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962"/>
        <w:spacing w:after="0"/>
        <w:rPr>
          <w:sz w:val="20"/>
          <w:szCs w:val="20"/>
          <w:color w:val="auto"/>
        </w:rPr>
      </w:pPr>
      <w:r>
        <w:rPr>
          <w:rFonts w:ascii="Courier New" w:cs="Courier New" w:eastAsia="Courier New" w:hAnsi="Courier New"/>
          <w:sz w:val="15"/>
          <w:szCs w:val="15"/>
          <w:color w:val="auto"/>
        </w:rPr>
        <w:t>Filed by Comcast Corporation Pursuant to Rule 425</w:t>
      </w:r>
    </w:p>
    <w:p>
      <w:pPr>
        <w:spacing w:after="0" w:line="13" w:lineRule="exact"/>
        <w:rPr>
          <w:sz w:val="24"/>
          <w:szCs w:val="24"/>
          <w:color w:val="auto"/>
        </w:rPr>
      </w:pPr>
    </w:p>
    <w:p>
      <w:pPr>
        <w:ind w:left="2962"/>
        <w:spacing w:after="0"/>
        <w:rPr>
          <w:sz w:val="20"/>
          <w:szCs w:val="20"/>
          <w:color w:val="auto"/>
        </w:rPr>
      </w:pPr>
      <w:r>
        <w:rPr>
          <w:rFonts w:ascii="Courier New" w:cs="Courier New" w:eastAsia="Courier New" w:hAnsi="Courier New"/>
          <w:sz w:val="15"/>
          <w:szCs w:val="15"/>
          <w:color w:val="auto"/>
        </w:rPr>
        <w:t>under the Securities Act of 1933 and deemed filed</w:t>
      </w:r>
    </w:p>
    <w:p>
      <w:pPr>
        <w:spacing w:after="0" w:line="11" w:lineRule="exact"/>
        <w:rPr>
          <w:sz w:val="24"/>
          <w:szCs w:val="24"/>
          <w:color w:val="auto"/>
        </w:rPr>
      </w:pPr>
    </w:p>
    <w:p>
      <w:pPr>
        <w:ind w:left="2962"/>
        <w:spacing w:after="0"/>
        <w:rPr>
          <w:sz w:val="20"/>
          <w:szCs w:val="20"/>
          <w:color w:val="auto"/>
        </w:rPr>
      </w:pPr>
      <w:r>
        <w:rPr>
          <w:rFonts w:ascii="Courier New" w:cs="Courier New" w:eastAsia="Courier New" w:hAnsi="Courier New"/>
          <w:sz w:val="16"/>
          <w:szCs w:val="16"/>
          <w:color w:val="auto"/>
        </w:rPr>
        <w:t>pursuant to Rule 14a-12 under the Securities</w:t>
      </w:r>
    </w:p>
    <w:p>
      <w:pPr>
        <w:spacing w:after="0" w:line="2" w:lineRule="exact"/>
        <w:rPr>
          <w:sz w:val="24"/>
          <w:szCs w:val="24"/>
          <w:color w:val="auto"/>
        </w:rPr>
      </w:pPr>
    </w:p>
    <w:p>
      <w:pPr>
        <w:ind w:left="2962"/>
        <w:spacing w:after="0"/>
        <w:rPr>
          <w:sz w:val="20"/>
          <w:szCs w:val="20"/>
          <w:color w:val="auto"/>
        </w:rPr>
      </w:pPr>
      <w:r>
        <w:rPr>
          <w:rFonts w:ascii="Courier New" w:cs="Courier New" w:eastAsia="Courier New" w:hAnsi="Courier New"/>
          <w:sz w:val="16"/>
          <w:szCs w:val="16"/>
          <w:color w:val="auto"/>
        </w:rPr>
        <w:t>Exchange Act of 1934</w:t>
      </w:r>
    </w:p>
    <w:p>
      <w:pPr>
        <w:spacing w:after="0" w:line="186" w:lineRule="exact"/>
        <w:rPr>
          <w:sz w:val="24"/>
          <w:szCs w:val="24"/>
          <w:color w:val="auto"/>
        </w:rPr>
      </w:pPr>
    </w:p>
    <w:p>
      <w:pPr>
        <w:ind w:left="2962"/>
        <w:spacing w:after="0"/>
        <w:rPr>
          <w:sz w:val="20"/>
          <w:szCs w:val="20"/>
          <w:color w:val="auto"/>
        </w:rPr>
      </w:pPr>
      <w:r>
        <w:rPr>
          <w:rFonts w:ascii="Courier New" w:cs="Courier New" w:eastAsia="Courier New" w:hAnsi="Courier New"/>
          <w:sz w:val="16"/>
          <w:szCs w:val="16"/>
          <w:color w:val="auto"/>
        </w:rPr>
        <w:t>Subject Company: AT&amp;T Comcast Corporation</w:t>
      </w:r>
    </w:p>
    <w:p>
      <w:pPr>
        <w:spacing w:after="0" w:line="2" w:lineRule="exact"/>
        <w:rPr>
          <w:sz w:val="24"/>
          <w:szCs w:val="24"/>
          <w:color w:val="auto"/>
        </w:rPr>
      </w:pPr>
    </w:p>
    <w:p>
      <w:pPr>
        <w:ind w:left="2962"/>
        <w:spacing w:after="0"/>
        <w:rPr>
          <w:sz w:val="20"/>
          <w:szCs w:val="20"/>
          <w:color w:val="auto"/>
        </w:rPr>
      </w:pPr>
      <w:r>
        <w:rPr>
          <w:rFonts w:ascii="Courier New" w:cs="Courier New" w:eastAsia="Courier New" w:hAnsi="Courier New"/>
          <w:sz w:val="16"/>
          <w:szCs w:val="16"/>
          <w:color w:val="auto"/>
        </w:rPr>
        <w:t>Commission File No. 333-82460</w:t>
      </w:r>
    </w:p>
    <w:p>
      <w:pPr>
        <w:spacing w:after="0" w:line="200" w:lineRule="exact"/>
        <w:rPr>
          <w:sz w:val="24"/>
          <w:szCs w:val="24"/>
          <w:color w:val="auto"/>
        </w:rPr>
      </w:pPr>
    </w:p>
    <w:p>
      <w:pPr>
        <w:spacing w:after="0" w:line="355" w:lineRule="exact"/>
        <w:rPr>
          <w:sz w:val="24"/>
          <w:szCs w:val="24"/>
          <w:color w:val="auto"/>
        </w:rPr>
      </w:pPr>
    </w:p>
    <w:p>
      <w:pPr>
        <w:ind w:left="2" w:right="2779" w:firstLine="477"/>
        <w:spacing w:after="0" w:line="271" w:lineRule="auto"/>
        <w:rPr>
          <w:sz w:val="20"/>
          <w:szCs w:val="20"/>
          <w:color w:val="auto"/>
        </w:rPr>
      </w:pPr>
      <w:r>
        <w:rPr>
          <w:rFonts w:ascii="Courier New" w:cs="Courier New" w:eastAsia="Courier New" w:hAnsi="Courier New"/>
          <w:sz w:val="15"/>
          <w:szCs w:val="15"/>
          <w:color w:val="auto"/>
        </w:rPr>
        <w:t>The following slide presentation was shown at Banc of America Securities' Growth Telecommunications, Media &amp; Entertainment Conference on May 1, 2002:</w:t>
      </w:r>
    </w:p>
    <w:p>
      <w:pPr>
        <w:spacing w:after="0" w:line="347" w:lineRule="exact"/>
        <w:rPr>
          <w:sz w:val="24"/>
          <w:szCs w:val="24"/>
          <w:color w:val="auto"/>
        </w:rPr>
      </w:pPr>
    </w:p>
    <w:p>
      <w:pPr>
        <w:ind w:left="1802"/>
        <w:spacing w:after="0"/>
        <w:rPr>
          <w:sz w:val="20"/>
          <w:szCs w:val="20"/>
          <w:color w:val="auto"/>
        </w:rPr>
      </w:pPr>
      <w:r>
        <w:rPr>
          <w:rFonts w:ascii="Courier New" w:cs="Courier New" w:eastAsia="Courier New" w:hAnsi="Courier New"/>
          <w:sz w:val="16"/>
          <w:szCs w:val="16"/>
          <w:color w:val="auto"/>
        </w:rPr>
        <w:t>Banc of America Securities Growth Telecom</w:t>
      </w:r>
    </w:p>
    <w:p>
      <w:pPr>
        <w:spacing w:after="0" w:line="2" w:lineRule="exact"/>
        <w:rPr>
          <w:sz w:val="24"/>
          <w:szCs w:val="24"/>
          <w:color w:val="auto"/>
        </w:rPr>
      </w:pPr>
    </w:p>
    <w:p>
      <w:pPr>
        <w:ind w:left="2202"/>
        <w:spacing w:after="0"/>
        <w:rPr>
          <w:sz w:val="20"/>
          <w:szCs w:val="20"/>
          <w:color w:val="auto"/>
        </w:rPr>
      </w:pPr>
      <w:r>
        <w:rPr>
          <w:rFonts w:ascii="Courier New" w:cs="Courier New" w:eastAsia="Courier New" w:hAnsi="Courier New"/>
          <w:sz w:val="16"/>
          <w:szCs w:val="16"/>
          <w:color w:val="auto"/>
        </w:rPr>
        <w:t>Media &amp; Entertainment Conference</w:t>
      </w:r>
    </w:p>
    <w:p>
      <w:pPr>
        <w:spacing w:after="0" w:line="369" w:lineRule="exact"/>
        <w:rPr>
          <w:sz w:val="24"/>
          <w:szCs w:val="24"/>
          <w:color w:val="auto"/>
        </w:rPr>
      </w:pPr>
    </w:p>
    <w:p>
      <w:pPr>
        <w:ind w:left="2962"/>
        <w:spacing w:after="0"/>
        <w:rPr>
          <w:sz w:val="20"/>
          <w:szCs w:val="20"/>
          <w:color w:val="auto"/>
        </w:rPr>
      </w:pPr>
      <w:r>
        <w:rPr>
          <w:rFonts w:ascii="Courier New" w:cs="Courier New" w:eastAsia="Courier New" w:hAnsi="Courier New"/>
          <w:sz w:val="16"/>
          <w:szCs w:val="16"/>
          <w:color w:val="auto"/>
        </w:rPr>
        <w:t>[GRAPHIC OMITTED]</w:t>
      </w:r>
    </w:p>
    <w:p>
      <w:pPr>
        <w:spacing w:after="0" w:line="369" w:lineRule="exact"/>
        <w:rPr>
          <w:sz w:val="24"/>
          <w:szCs w:val="24"/>
          <w:color w:val="auto"/>
        </w:rPr>
      </w:pPr>
    </w:p>
    <w:p>
      <w:pPr>
        <w:ind w:left="2"/>
        <w:spacing w:after="0"/>
        <w:rPr>
          <w:sz w:val="20"/>
          <w:szCs w:val="20"/>
          <w:color w:val="auto"/>
        </w:rPr>
      </w:pPr>
      <w:r>
        <w:rPr>
          <w:rFonts w:ascii="Courier New" w:cs="Courier New" w:eastAsia="Courier New" w:hAnsi="Courier New"/>
          <w:sz w:val="16"/>
          <w:szCs w:val="16"/>
          <w:color w:val="auto"/>
        </w:rPr>
        <w:t>May 1, 2002</w:t>
      </w:r>
    </w:p>
    <w:p>
      <w:pPr>
        <w:spacing w:after="0" w:line="369" w:lineRule="exact"/>
        <w:rPr>
          <w:sz w:val="24"/>
          <w:szCs w:val="24"/>
          <w:color w:val="auto"/>
        </w:rPr>
      </w:pPr>
    </w:p>
    <w:p>
      <w:pPr>
        <w:jc w:val="center"/>
        <w:ind w:right="-442"/>
        <w:spacing w:after="0"/>
        <w:rPr>
          <w:sz w:val="20"/>
          <w:szCs w:val="20"/>
          <w:color w:val="auto"/>
        </w:rPr>
      </w:pPr>
      <w:r>
        <w:rPr>
          <w:rFonts w:ascii="Courier New" w:cs="Courier New" w:eastAsia="Courier New" w:hAnsi="Courier New"/>
          <w:sz w:val="16"/>
          <w:szCs w:val="16"/>
          <w:color w:val="auto"/>
        </w:rPr>
        <w:t>comcast(R)</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5" w:lineRule="exact"/>
        <w:rPr>
          <w:sz w:val="24"/>
          <w:szCs w:val="24"/>
          <w:color w:val="auto"/>
        </w:rPr>
      </w:pPr>
    </w:p>
    <w:p>
      <w:pPr>
        <w:ind w:left="2"/>
        <w:spacing w:after="0"/>
        <w:rPr>
          <w:sz w:val="20"/>
          <w:szCs w:val="20"/>
          <w:color w:val="auto"/>
        </w:rPr>
      </w:pPr>
      <w:r>
        <w:rPr>
          <w:rFonts w:ascii="Courier New" w:cs="Courier New" w:eastAsia="Courier New" w:hAnsi="Courier New"/>
          <w:sz w:val="16"/>
          <w:szCs w:val="16"/>
          <w:color w:val="auto"/>
        </w:rPr>
        <w:t>Safe Harbor</w:t>
      </w:r>
    </w:p>
    <w:p>
      <w:pPr>
        <w:spacing w:after="0" w:line="186" w:lineRule="exact"/>
        <w:rPr>
          <w:sz w:val="24"/>
          <w:szCs w:val="24"/>
          <w:color w:val="auto"/>
        </w:rPr>
      </w:pPr>
    </w:p>
    <w:p>
      <w:pPr>
        <w:ind w:left="2"/>
        <w:spacing w:after="0"/>
        <w:rPr>
          <w:sz w:val="20"/>
          <w:szCs w:val="20"/>
          <w:color w:val="auto"/>
        </w:rPr>
      </w:pPr>
      <w:r>
        <w:rPr>
          <w:rFonts w:ascii="Courier New" w:cs="Courier New" w:eastAsia="Courier New" w:hAnsi="Courier New"/>
          <w:sz w:val="16"/>
          <w:szCs w:val="16"/>
          <w:color w:val="auto"/>
        </w:rPr>
        <w:t>Caution Concerning Forward-Looking Statements</w:t>
      </w:r>
    </w:p>
    <w:p>
      <w:pPr>
        <w:spacing w:after="0" w:line="188" w:lineRule="exact"/>
        <w:rPr>
          <w:sz w:val="24"/>
          <w:szCs w:val="24"/>
          <w:color w:val="auto"/>
        </w:rPr>
      </w:pPr>
    </w:p>
    <w:p>
      <w:pPr>
        <w:ind w:left="2" w:right="2679"/>
        <w:spacing w:after="0" w:line="259" w:lineRule="auto"/>
        <w:rPr>
          <w:sz w:val="20"/>
          <w:szCs w:val="20"/>
          <w:color w:val="auto"/>
        </w:rPr>
      </w:pPr>
      <w:r>
        <w:rPr>
          <w:rFonts w:ascii="Courier New" w:cs="Courier New" w:eastAsia="Courier New" w:hAnsi="Courier New"/>
          <w:sz w:val="15"/>
          <w:szCs w:val="15"/>
          <w:color w:val="auto"/>
        </w:rPr>
        <w:t>This presentation contains forward-looking statements within the meaning of the Private Securities Litigation Reform Act of 1995. In some cases, you can identify those so-called "forward-looking statements" by words such as"may," "will," "should," "expects," "plans," "anticipates," "believes," "estimates," "predicts," "potential," or "continue," or the negative of those words and other comparable words. Comcast Corporation ("Comcast") wishes to take advantage of the"safe harbor" provided for by the Private Securities Litigation Reform Act of 1995 and you are cautioned that actual events or results may differ materially from the expectations expressed in such forward-looking statements as a result of various factors, including risks and uncertainties, many of which are beyond the control of Comcast. Factors that could cause actual results to differ materially include, but are not limited to (1) the effects of legislative and regulatory changes; (2) the potential for increased competition; (3) technological changes; (4) the need to generate substantial growth in the subscriber base by successfully launching, marketing and providing services in identified markets; (5) pricing pressures which could affect demand for Comcast's services; (6) Comcast's ability to expand its distribution; (7) changes in labor, programming, equipment and capital costs;</w:t>
      </w:r>
    </w:p>
    <w:p>
      <w:pPr>
        <w:spacing w:after="0" w:line="184" w:lineRule="exact"/>
        <w:rPr>
          <w:sz w:val="24"/>
          <w:szCs w:val="24"/>
          <w:color w:val="auto"/>
        </w:rPr>
      </w:pPr>
    </w:p>
    <w:p>
      <w:pPr>
        <w:ind w:left="2" w:right="2879" w:hanging="2"/>
        <w:spacing w:after="0" w:line="259" w:lineRule="auto"/>
        <w:tabs>
          <w:tab w:leader="none" w:pos="384"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Comcast's continued ability to create or acquire programming and products that customers will find attractive; (9) future acquisitions, strategic partnerships and divestitures; (10) general business and economic conditions;</w:t>
      </w:r>
    </w:p>
    <w:p>
      <w:pPr>
        <w:ind w:left="2" w:right="2779" w:hanging="2"/>
        <w:spacing w:after="0" w:line="242" w:lineRule="auto"/>
        <w:tabs>
          <w:tab w:leader="none" w:pos="479"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other risks described from time to time in Comcast's periodic reports filed with the Securities and Exchange Commission; and (12) with respect to statements relating to the proposed combination of Comcast and AT&amp;T Broadband, factors that could cause actual results of the combined businesses of Comcast and AT&amp;T Broadband to differ materially from expected results for such businesses, including failure to integrate the businesses successfully or to achieve the expected combination benefits.</w:t>
      </w:r>
    </w:p>
    <w:p>
      <w:pPr>
        <w:sectPr>
          <w:pgSz w:w="11900" w:h="16838" w:orient="portrait"/>
          <w:cols w:equalWidth="0" w:num="1">
            <w:col w:w="10221"/>
          </w:cols>
          <w:pgMar w:left="238" w:top="423" w:right="1440" w:bottom="1440" w:gutter="0" w:footer="0" w:header="0"/>
        </w:sectPr>
      </w:pPr>
    </w:p>
    <w:p>
      <w:pPr>
        <w:spacing w:after="0" w:line="371" w:lineRule="exact"/>
        <w:rPr>
          <w:sz w:val="24"/>
          <w:szCs w:val="24"/>
          <w:color w:val="auto"/>
        </w:rPr>
      </w:pPr>
    </w:p>
    <w:p>
      <w:pPr>
        <w:ind w:left="2"/>
        <w:spacing w:after="0"/>
        <w:rPr>
          <w:sz w:val="20"/>
          <w:szCs w:val="20"/>
          <w:color w:val="auto"/>
        </w:rPr>
      </w:pPr>
      <w:r>
        <w:rPr>
          <w:rFonts w:ascii="Courier New" w:cs="Courier New" w:eastAsia="Courier New" w:hAnsi="Courier New"/>
          <w:sz w:val="15"/>
          <w:szCs w:val="15"/>
          <w:color w:val="auto"/>
        </w:rPr>
        <w:t>Banc of America</w:t>
      </w:r>
    </w:p>
    <w:p>
      <w:pPr>
        <w:spacing w:after="0" w:line="11" w:lineRule="exact"/>
        <w:rPr>
          <w:sz w:val="24"/>
          <w:szCs w:val="24"/>
          <w:color w:val="auto"/>
        </w:rPr>
      </w:pPr>
    </w:p>
    <w:p>
      <w:pPr>
        <w:ind w:left="2"/>
        <w:spacing w:after="0"/>
        <w:rPr>
          <w:sz w:val="20"/>
          <w:szCs w:val="20"/>
          <w:color w:val="auto"/>
        </w:rPr>
      </w:pPr>
      <w:r>
        <w:rPr>
          <w:rFonts w:ascii="Courier New" w:cs="Courier New" w:eastAsia="Courier New" w:hAnsi="Courier New"/>
          <w:sz w:val="16"/>
          <w:szCs w:val="16"/>
          <w:color w:val="auto"/>
        </w:rPr>
        <w:t>May 1, 2002</w:t>
      </w:r>
    </w:p>
    <w:p>
      <w:pPr>
        <w:spacing w:after="0" w:line="20" w:lineRule="exact"/>
        <w:rPr>
          <w:sz w:val="24"/>
          <w:szCs w:val="24"/>
          <w:color w:val="auto"/>
        </w:rPr>
      </w:pPr>
      <w:r>
        <w:rPr>
          <w:sz w:val="24"/>
          <w:szCs w:val="24"/>
          <w:color w:val="auto"/>
        </w:rPr>
        <w:br w:type="column"/>
      </w:r>
    </w:p>
    <w:p>
      <w:pPr>
        <w:spacing w:after="0" w:line="351"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comcast(R)</w:t>
      </w:r>
    </w:p>
    <w:p>
      <w:pPr>
        <w:sectPr>
          <w:pgSz w:w="11900" w:h="16838" w:orient="portrait"/>
          <w:cols w:equalWidth="0" w:num="2">
            <w:col w:w="5962" w:space="720"/>
            <w:col w:w="3539"/>
          </w:cols>
          <w:pgMar w:left="238" w:top="423" w:right="1440"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6"/>
          <w:szCs w:val="16"/>
          <w:color w:val="auto"/>
        </w:rPr>
        <w:t>comcast(R)</w:t>
      </w:r>
    </w:p>
    <w:p>
      <w:pPr>
        <w:spacing w:after="0" w:line="369" w:lineRule="exact"/>
        <w:rPr>
          <w:sz w:val="20"/>
          <w:szCs w:val="20"/>
          <w:color w:val="auto"/>
        </w:rPr>
      </w:pPr>
    </w:p>
    <w:p>
      <w:pPr>
        <w:jc w:val="right"/>
        <w:ind w:right="5639"/>
        <w:spacing w:after="0"/>
        <w:rPr>
          <w:sz w:val="20"/>
          <w:szCs w:val="20"/>
          <w:color w:val="auto"/>
        </w:rPr>
      </w:pPr>
      <w:r>
        <w:rPr>
          <w:rFonts w:ascii="Courier New" w:cs="Courier New" w:eastAsia="Courier New" w:hAnsi="Courier New"/>
          <w:sz w:val="16"/>
          <w:szCs w:val="16"/>
          <w:color w:val="auto"/>
        </w:rPr>
        <w:t>Brian L. Roberts</w:t>
      </w:r>
    </w:p>
    <w:p>
      <w:pPr>
        <w:spacing w:after="0" w:line="2" w:lineRule="exact"/>
        <w:rPr>
          <w:sz w:val="20"/>
          <w:szCs w:val="20"/>
          <w:color w:val="auto"/>
        </w:rPr>
      </w:pPr>
    </w:p>
    <w:p>
      <w:pPr>
        <w:ind w:left="3340"/>
        <w:spacing w:after="0"/>
        <w:rPr>
          <w:sz w:val="20"/>
          <w:szCs w:val="20"/>
          <w:color w:val="auto"/>
        </w:rPr>
      </w:pPr>
      <w:r>
        <w:rPr>
          <w:rFonts w:ascii="Courier New" w:cs="Courier New" w:eastAsia="Courier New" w:hAnsi="Courier New"/>
          <w:sz w:val="16"/>
          <w:szCs w:val="16"/>
          <w:color w:val="auto"/>
        </w:rPr>
        <w:t>President</w:t>
      </w:r>
    </w:p>
    <w:p>
      <w:pPr>
        <w:sectPr>
          <w:pgSz w:w="11900" w:h="16838" w:orient="portrait"/>
          <w:cols w:equalWidth="0" w:num="1">
            <w:col w:w="10219"/>
          </w:cols>
          <w:pgMar w:left="240" w:top="848" w:right="1440" w:bottom="1440" w:gutter="0" w:footer="0" w:header="0"/>
        </w:sectPr>
      </w:pPr>
    </w:p>
    <w:bookmarkStart w:id="2" w:name="page3"/>
    <w:bookmarkEnd w:id="2"/>
    <w:p>
      <w:pPr>
        <w:ind w:left="2"/>
        <w:spacing w:after="0"/>
        <w:rPr>
          <w:sz w:val="20"/>
          <w:szCs w:val="20"/>
          <w:color w:val="auto"/>
        </w:rPr>
      </w:pPr>
      <w:r>
        <w:rPr>
          <w:rFonts w:ascii="Courier New" w:cs="Courier New" w:eastAsia="Courier New" w:hAnsi="Courier New"/>
          <w:sz w:val="16"/>
          <w:szCs w:val="16"/>
          <w:color w:val="auto"/>
        </w:rPr>
        <w:t>Leveraging an Upgraded Network</w:t>
      </w:r>
    </w:p>
    <w:p>
      <w:pPr>
        <w:spacing w:after="0" w:line="186"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 --&gt; Strong Demand for New Services</w:t>
      </w:r>
    </w:p>
    <w:p>
      <w:pPr>
        <w:spacing w:after="0" w:line="186" w:lineRule="exact"/>
        <w:rPr>
          <w:sz w:val="20"/>
          <w:szCs w:val="20"/>
          <w:color w:val="auto"/>
        </w:rPr>
      </w:pPr>
    </w:p>
    <w:p>
      <w:pPr>
        <w:ind w:left="382"/>
        <w:spacing w:after="0"/>
        <w:rPr>
          <w:sz w:val="20"/>
          <w:szCs w:val="20"/>
          <w:color w:val="auto"/>
        </w:rPr>
      </w:pPr>
      <w:r>
        <w:rPr>
          <w:rFonts w:ascii="Courier New" w:cs="Courier New" w:eastAsia="Courier New" w:hAnsi="Courier New"/>
          <w:sz w:val="16"/>
          <w:szCs w:val="16"/>
          <w:color w:val="auto"/>
        </w:rPr>
        <w:t>comcast(R) High-Speed Internet</w:t>
      </w:r>
    </w:p>
    <w:p>
      <w:pPr>
        <w:spacing w:after="0" w:line="2" w:lineRule="exact"/>
        <w:rPr>
          <w:sz w:val="20"/>
          <w:szCs w:val="20"/>
          <w:color w:val="auto"/>
        </w:rPr>
      </w:pPr>
    </w:p>
    <w:p>
      <w:pPr>
        <w:ind w:left="382"/>
        <w:spacing w:after="0"/>
        <w:rPr>
          <w:sz w:val="20"/>
          <w:szCs w:val="20"/>
          <w:color w:val="auto"/>
        </w:rPr>
      </w:pPr>
      <w:r>
        <w:rPr>
          <w:rFonts w:ascii="Courier New" w:cs="Courier New" w:eastAsia="Courier New" w:hAnsi="Courier New"/>
          <w:sz w:val="16"/>
          <w:szCs w:val="16"/>
          <w:color w:val="auto"/>
        </w:rPr>
        <w:t>comcast(R) digital cable</w:t>
      </w:r>
    </w:p>
    <w:p>
      <w:pPr>
        <w:spacing w:after="0" w:line="188" w:lineRule="exact"/>
        <w:rPr>
          <w:sz w:val="20"/>
          <w:szCs w:val="20"/>
          <w:color w:val="auto"/>
        </w:rPr>
      </w:pPr>
    </w:p>
    <w:p>
      <w:pPr>
        <w:ind w:left="482" w:right="7459" w:hanging="482"/>
        <w:spacing w:after="0" w:line="239" w:lineRule="auto"/>
        <w:tabs>
          <w:tab w:leader="none" w:pos="196"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--&gt; Double-Digit OCF Growth o 10% in 2000</w:t>
      </w:r>
    </w:p>
    <w:p>
      <w:pPr>
        <w:spacing w:after="0" w:line="2" w:lineRule="exact"/>
        <w:rPr>
          <w:rFonts w:ascii="Courier New" w:cs="Courier New" w:eastAsia="Courier New" w:hAnsi="Courier New"/>
          <w:sz w:val="16"/>
          <w:szCs w:val="16"/>
          <w:color w:val="auto"/>
        </w:rPr>
      </w:pPr>
    </w:p>
    <w:p>
      <w:pPr>
        <w:ind w:left="482"/>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o  12% in 2001</w:t>
      </w:r>
    </w:p>
    <w:p>
      <w:pPr>
        <w:spacing w:after="0" w:line="2" w:lineRule="exact"/>
        <w:rPr>
          <w:rFonts w:ascii="Courier New" w:cs="Courier New" w:eastAsia="Courier New" w:hAnsi="Courier New"/>
          <w:sz w:val="16"/>
          <w:szCs w:val="16"/>
          <w:color w:val="auto"/>
        </w:rPr>
      </w:pPr>
    </w:p>
    <w:p>
      <w:pPr>
        <w:ind w:left="482"/>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o  12-14% in 2002E</w:t>
      </w:r>
    </w:p>
    <w:p>
      <w:pPr>
        <w:spacing w:after="0" w:line="185" w:lineRule="exact"/>
        <w:rPr>
          <w:rFonts w:ascii="Courier New" w:cs="Courier New" w:eastAsia="Courier New" w:hAnsi="Courier New"/>
          <w:sz w:val="16"/>
          <w:szCs w:val="16"/>
          <w:color w:val="auto"/>
        </w:rPr>
      </w:pPr>
    </w:p>
    <w:p>
      <w:pPr>
        <w:ind w:left="182" w:hanging="182"/>
        <w:spacing w:after="0"/>
        <w:tabs>
          <w:tab w:leader="none" w:pos="182"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--&gt; Significant Free Cash Flow</w:t>
      </w:r>
    </w:p>
    <w:p>
      <w:pPr>
        <w:spacing w:after="0" w:line="2" w:lineRule="exact"/>
        <w:rPr>
          <w:sz w:val="20"/>
          <w:szCs w:val="20"/>
          <w:color w:val="auto"/>
        </w:rPr>
      </w:pPr>
    </w:p>
    <w:p>
      <w:pPr>
        <w:ind w:left="762" w:hanging="285"/>
        <w:spacing w:after="0"/>
        <w:tabs>
          <w:tab w:leader="none" w:pos="762"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Consolidated: $800 million - $1.0 billion in 2002E</w:t>
      </w:r>
    </w:p>
    <w:p>
      <w:pPr>
        <w:spacing w:after="0" w:line="372" w:lineRule="exact"/>
        <w:rPr>
          <w:sz w:val="20"/>
          <w:szCs w:val="20"/>
          <w:color w:val="auto"/>
        </w:rPr>
      </w:pPr>
    </w:p>
    <w:p>
      <w:pPr>
        <w:jc w:val="center"/>
        <w:ind w:right="2697"/>
        <w:spacing w:after="0"/>
        <w:rPr>
          <w:sz w:val="20"/>
          <w:szCs w:val="20"/>
          <w:color w:val="auto"/>
        </w:rPr>
      </w:pPr>
      <w:r>
        <w:rPr>
          <w:rFonts w:ascii="Courier New" w:cs="Courier New" w:eastAsia="Courier New" w:hAnsi="Courier New"/>
          <w:sz w:val="15"/>
          <w:szCs w:val="15"/>
          <w:color w:val="auto"/>
        </w:rPr>
        <w:t>Upgraded Network + New Services + Double-Digit OCF Growth</w:t>
      </w:r>
    </w:p>
    <w:p>
      <w:pPr>
        <w:spacing w:after="0" w:line="11" w:lineRule="exact"/>
        <w:rPr>
          <w:sz w:val="20"/>
          <w:szCs w:val="20"/>
          <w:color w:val="auto"/>
        </w:rPr>
      </w:pPr>
    </w:p>
    <w:p>
      <w:pPr>
        <w:jc w:val="center"/>
        <w:ind w:right="2697"/>
        <w:spacing w:after="0"/>
        <w:rPr>
          <w:sz w:val="20"/>
          <w:szCs w:val="20"/>
          <w:color w:val="auto"/>
        </w:rPr>
      </w:pPr>
      <w:r>
        <w:rPr>
          <w:rFonts w:ascii="Courier New" w:cs="Courier New" w:eastAsia="Courier New" w:hAnsi="Courier New"/>
          <w:sz w:val="16"/>
          <w:szCs w:val="16"/>
          <w:color w:val="auto"/>
        </w:rPr>
        <w:t>= Significant Free Cash Flow Generation</w:t>
      </w:r>
    </w:p>
    <w:p>
      <w:pPr>
        <w:sectPr>
          <w:pgSz w:w="11900" w:h="16838" w:orient="portrait"/>
          <w:cols w:equalWidth="0" w:num="1">
            <w:col w:w="10221"/>
          </w:cols>
          <w:pgMar w:left="238" w:top="848" w:right="1440" w:bottom="1440" w:gutter="0" w:footer="0" w:header="0"/>
        </w:sectPr>
      </w:pPr>
    </w:p>
    <w:p>
      <w:pPr>
        <w:spacing w:after="0" w:line="372" w:lineRule="exact"/>
        <w:rPr>
          <w:sz w:val="20"/>
          <w:szCs w:val="20"/>
          <w:color w:val="auto"/>
        </w:rPr>
      </w:pPr>
    </w:p>
    <w:p>
      <w:pPr>
        <w:ind w:left="2"/>
        <w:spacing w:after="0"/>
        <w:rPr>
          <w:sz w:val="20"/>
          <w:szCs w:val="20"/>
          <w:color w:val="auto"/>
        </w:rPr>
      </w:pPr>
      <w:r>
        <w:rPr>
          <w:rFonts w:ascii="Courier New" w:cs="Courier New" w:eastAsia="Courier New" w:hAnsi="Courier New"/>
          <w:sz w:val="15"/>
          <w:szCs w:val="15"/>
          <w:color w:val="auto"/>
        </w:rPr>
        <w:t>Banc of America</w:t>
      </w:r>
    </w:p>
    <w:p>
      <w:pPr>
        <w:spacing w:after="0" w:line="11"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May 1, 2002</w:t>
      </w:r>
    </w:p>
    <w:p>
      <w:pPr>
        <w:spacing w:after="0" w:line="20" w:lineRule="exact"/>
        <w:rPr>
          <w:sz w:val="20"/>
          <w:szCs w:val="20"/>
          <w:color w:val="auto"/>
        </w:rPr>
      </w:pPr>
      <w:r>
        <w:rPr>
          <w:sz w:val="20"/>
          <w:szCs w:val="20"/>
          <w:color w:val="auto"/>
        </w:rPr>
        <w:br w:type="column"/>
      </w:r>
    </w:p>
    <w:p>
      <w:pPr>
        <w:spacing w:after="0" w:line="35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comcast(R)</w:t>
      </w:r>
    </w:p>
    <w:p>
      <w:pPr>
        <w:sectPr>
          <w:pgSz w:w="11900" w:h="16838" w:orient="portrait"/>
          <w:cols w:equalWidth="0" w:num="2">
            <w:col w:w="5962" w:space="720"/>
            <w:col w:w="3539"/>
          </w:cols>
          <w:pgMar w:left="238" w:top="848" w:right="1440" w:bottom="1440" w:gutter="0" w:footer="0" w:header="0"/>
          <w:type w:val="continuous"/>
        </w:sectPr>
      </w:pPr>
    </w:p>
    <w:bookmarkStart w:id="3" w:name="page4"/>
    <w:bookmarkEnd w:id="3"/>
    <w:tbl>
      <w:tblPr>
        <w:tblLayout w:type="fixed"/>
        <w:tblInd w:w="0" w:type="dxa"/>
        <w:tblCellMar>
          <w:top w:w="0" w:type="dxa"/>
          <w:left w:w="0" w:type="dxa"/>
          <w:bottom w:w="0" w:type="dxa"/>
          <w:right w:w="0" w:type="dxa"/>
        </w:tblCellMar>
      </w:tblPr>
      <w:tr>
        <w:trPr>
          <w:trHeight w:val="181"/>
        </w:trPr>
        <w:tc>
          <w:tcPr>
            <w:tcW w:w="6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960" w:type="dxa"/>
            <w:vAlign w:val="bottom"/>
            <w:gridSpan w:val="3"/>
          </w:tcPr>
          <w:p>
            <w:pPr>
              <w:ind w:left="100"/>
              <w:spacing w:after="0"/>
              <w:rPr>
                <w:sz w:val="20"/>
                <w:szCs w:val="20"/>
                <w:color w:val="auto"/>
              </w:rPr>
            </w:pPr>
            <w:r>
              <w:rPr>
                <w:rFonts w:ascii="Courier New" w:cs="Courier New" w:eastAsia="Courier New" w:hAnsi="Courier New"/>
                <w:sz w:val="16"/>
                <w:szCs w:val="16"/>
                <w:color w:val="auto"/>
              </w:rPr>
              <w:t>1Q02: Strong Operating Performance</w:t>
            </w:r>
          </w:p>
        </w:tc>
        <w:tc>
          <w:tcPr>
            <w:tcW w:w="4920" w:type="dxa"/>
            <w:vAlign w:val="bottom"/>
          </w:tcPr>
          <w:p>
            <w:pPr>
              <w:spacing w:after="0"/>
              <w:rPr>
                <w:sz w:val="15"/>
                <w:szCs w:val="15"/>
                <w:color w:val="auto"/>
              </w:rPr>
            </w:pPr>
          </w:p>
        </w:tc>
      </w:tr>
      <w:tr>
        <w:trPr>
          <w:trHeight w:val="734"/>
        </w:trPr>
        <w:tc>
          <w:tcPr>
            <w:tcW w:w="620" w:type="dxa"/>
            <w:vAlign w:val="bottom"/>
          </w:tcPr>
          <w:p>
            <w:pPr>
              <w:spacing w:after="0"/>
              <w:rPr>
                <w:sz w:val="24"/>
                <w:szCs w:val="24"/>
                <w:color w:val="auto"/>
              </w:rPr>
            </w:pPr>
          </w:p>
        </w:tc>
        <w:tc>
          <w:tcPr>
            <w:tcW w:w="860" w:type="dxa"/>
            <w:vAlign w:val="bottom"/>
          </w:tcPr>
          <w:p>
            <w:pPr>
              <w:ind w:left="140"/>
              <w:spacing w:after="0"/>
              <w:rPr>
                <w:sz w:val="20"/>
                <w:szCs w:val="20"/>
                <w:color w:val="auto"/>
              </w:rPr>
            </w:pPr>
            <w:r>
              <w:rPr>
                <w:rFonts w:ascii="Courier New" w:cs="Courier New" w:eastAsia="Courier New" w:hAnsi="Courier New"/>
                <w:sz w:val="16"/>
                <w:szCs w:val="16"/>
                <w:color w:val="auto"/>
              </w:rPr>
              <w:t>1Q01</w:t>
            </w:r>
          </w:p>
        </w:tc>
        <w:tc>
          <w:tcPr>
            <w:tcW w:w="520" w:type="dxa"/>
            <w:vAlign w:val="bottom"/>
          </w:tcPr>
          <w:p>
            <w:pPr>
              <w:ind w:left="40"/>
              <w:spacing w:after="0"/>
              <w:rPr>
                <w:sz w:val="20"/>
                <w:szCs w:val="20"/>
                <w:color w:val="auto"/>
              </w:rPr>
            </w:pPr>
            <w:r>
              <w:rPr>
                <w:rFonts w:ascii="Courier New" w:cs="Courier New" w:eastAsia="Courier New" w:hAnsi="Courier New"/>
                <w:sz w:val="16"/>
                <w:szCs w:val="16"/>
                <w:color w:val="auto"/>
              </w:rPr>
              <w:t>1Q02</w:t>
            </w:r>
          </w:p>
        </w:tc>
        <w:tc>
          <w:tcPr>
            <w:tcW w:w="2340" w:type="dxa"/>
            <w:vAlign w:val="bottom"/>
          </w:tcPr>
          <w:p>
            <w:pPr>
              <w:ind w:left="1720"/>
              <w:spacing w:after="0"/>
              <w:rPr>
                <w:sz w:val="20"/>
                <w:szCs w:val="20"/>
                <w:color w:val="auto"/>
              </w:rPr>
            </w:pPr>
            <w:r>
              <w:rPr>
                <w:rFonts w:ascii="Courier New" w:cs="Courier New" w:eastAsia="Courier New" w:hAnsi="Courier New"/>
                <w:sz w:val="16"/>
                <w:szCs w:val="16"/>
                <w:color w:val="auto"/>
              </w:rPr>
              <w:t>1Q01</w:t>
            </w:r>
          </w:p>
        </w:tc>
        <w:tc>
          <w:tcPr>
            <w:tcW w:w="620" w:type="dxa"/>
            <w:vAlign w:val="bottom"/>
          </w:tcPr>
          <w:p>
            <w:pPr>
              <w:ind w:left="140"/>
              <w:spacing w:after="0"/>
              <w:rPr>
                <w:sz w:val="20"/>
                <w:szCs w:val="20"/>
                <w:color w:val="auto"/>
              </w:rPr>
            </w:pPr>
            <w:r>
              <w:rPr>
                <w:rFonts w:ascii="Courier New" w:cs="Courier New" w:eastAsia="Courier New" w:hAnsi="Courier New"/>
                <w:sz w:val="16"/>
                <w:szCs w:val="16"/>
                <w:color w:val="auto"/>
              </w:rPr>
              <w:t>1Q02</w:t>
            </w:r>
          </w:p>
        </w:tc>
        <w:tc>
          <w:tcPr>
            <w:tcW w:w="1000" w:type="dxa"/>
            <w:vAlign w:val="bottom"/>
          </w:tcPr>
          <w:p>
            <w:pPr>
              <w:spacing w:after="0"/>
              <w:rPr>
                <w:sz w:val="24"/>
                <w:szCs w:val="24"/>
                <w:color w:val="auto"/>
              </w:rPr>
            </w:pPr>
          </w:p>
        </w:tc>
        <w:tc>
          <w:tcPr>
            <w:tcW w:w="4920" w:type="dxa"/>
            <w:vAlign w:val="bottom"/>
          </w:tcPr>
          <w:p>
            <w:pPr>
              <w:spacing w:after="0"/>
              <w:rPr>
                <w:sz w:val="24"/>
                <w:szCs w:val="24"/>
                <w:color w:val="auto"/>
              </w:rPr>
            </w:pPr>
          </w:p>
        </w:tc>
      </w:tr>
      <w:tr>
        <w:trPr>
          <w:trHeight w:val="183"/>
        </w:trPr>
        <w:tc>
          <w:tcPr>
            <w:tcW w:w="620" w:type="dxa"/>
            <w:vAlign w:val="bottom"/>
          </w:tcPr>
          <w:p>
            <w:pPr>
              <w:spacing w:after="0"/>
              <w:rPr>
                <w:sz w:val="15"/>
                <w:szCs w:val="15"/>
                <w:color w:val="auto"/>
              </w:rPr>
            </w:pPr>
          </w:p>
        </w:tc>
        <w:tc>
          <w:tcPr>
            <w:tcW w:w="860" w:type="dxa"/>
            <w:vAlign w:val="bottom"/>
          </w:tcPr>
          <w:p>
            <w:pPr>
              <w:ind w:left="140"/>
              <w:spacing w:after="0"/>
              <w:rPr>
                <w:sz w:val="20"/>
                <w:szCs w:val="20"/>
                <w:color w:val="auto"/>
              </w:rPr>
            </w:pPr>
            <w:r>
              <w:rPr>
                <w:rFonts w:ascii="Courier New" w:cs="Courier New" w:eastAsia="Courier New" w:hAnsi="Courier New"/>
                <w:sz w:val="16"/>
                <w:szCs w:val="16"/>
                <w:color w:val="auto"/>
              </w:rPr>
              <w:t>----</w:t>
            </w:r>
          </w:p>
        </w:tc>
        <w:tc>
          <w:tcPr>
            <w:tcW w:w="520" w:type="dxa"/>
            <w:vAlign w:val="bottom"/>
          </w:tcPr>
          <w:p>
            <w:pPr>
              <w:ind w:left="40"/>
              <w:spacing w:after="0"/>
              <w:rPr>
                <w:sz w:val="20"/>
                <w:szCs w:val="20"/>
                <w:color w:val="auto"/>
              </w:rPr>
            </w:pPr>
            <w:r>
              <w:rPr>
                <w:rFonts w:ascii="Courier New" w:cs="Courier New" w:eastAsia="Courier New" w:hAnsi="Courier New"/>
                <w:sz w:val="16"/>
                <w:szCs w:val="16"/>
                <w:color w:val="auto"/>
              </w:rPr>
              <w:t>----</w:t>
            </w:r>
          </w:p>
        </w:tc>
        <w:tc>
          <w:tcPr>
            <w:tcW w:w="2340" w:type="dxa"/>
            <w:vAlign w:val="bottom"/>
          </w:tcPr>
          <w:p>
            <w:pPr>
              <w:ind w:left="1720"/>
              <w:spacing w:after="0"/>
              <w:rPr>
                <w:sz w:val="20"/>
                <w:szCs w:val="20"/>
                <w:color w:val="auto"/>
              </w:rPr>
            </w:pPr>
            <w:r>
              <w:rPr>
                <w:rFonts w:ascii="Courier New" w:cs="Courier New" w:eastAsia="Courier New" w:hAnsi="Courier New"/>
                <w:sz w:val="16"/>
                <w:szCs w:val="16"/>
                <w:color w:val="auto"/>
              </w:rPr>
              <w:t>----</w:t>
            </w:r>
          </w:p>
        </w:tc>
        <w:tc>
          <w:tcPr>
            <w:tcW w:w="620" w:type="dxa"/>
            <w:vAlign w:val="bottom"/>
          </w:tcPr>
          <w:p>
            <w:pPr>
              <w:ind w:left="140"/>
              <w:spacing w:after="0"/>
              <w:rPr>
                <w:sz w:val="20"/>
                <w:szCs w:val="20"/>
                <w:color w:val="auto"/>
              </w:rPr>
            </w:pPr>
            <w:r>
              <w:rPr>
                <w:rFonts w:ascii="Courier New" w:cs="Courier New" w:eastAsia="Courier New" w:hAnsi="Courier New"/>
                <w:sz w:val="16"/>
                <w:szCs w:val="16"/>
                <w:color w:val="auto"/>
              </w:rPr>
              <w:t>----</w:t>
            </w:r>
          </w:p>
        </w:tc>
        <w:tc>
          <w:tcPr>
            <w:tcW w:w="1000" w:type="dxa"/>
            <w:vAlign w:val="bottom"/>
          </w:tcPr>
          <w:p>
            <w:pPr>
              <w:spacing w:after="0"/>
              <w:rPr>
                <w:sz w:val="15"/>
                <w:szCs w:val="15"/>
                <w:color w:val="auto"/>
              </w:rPr>
            </w:pPr>
          </w:p>
        </w:tc>
        <w:tc>
          <w:tcPr>
            <w:tcW w:w="4920" w:type="dxa"/>
            <w:vAlign w:val="bottom"/>
          </w:tcPr>
          <w:p>
            <w:pPr>
              <w:spacing w:after="0"/>
              <w:rPr>
                <w:sz w:val="15"/>
                <w:szCs w:val="15"/>
                <w:color w:val="auto"/>
              </w:rPr>
            </w:pPr>
          </w:p>
        </w:tc>
      </w:tr>
      <w:tr>
        <w:trPr>
          <w:trHeight w:val="367"/>
        </w:trPr>
        <w:tc>
          <w:tcPr>
            <w:tcW w:w="620" w:type="dxa"/>
            <w:vAlign w:val="bottom"/>
          </w:tcPr>
          <w:p>
            <w:pPr>
              <w:spacing w:after="0"/>
              <w:rPr>
                <w:sz w:val="20"/>
                <w:szCs w:val="20"/>
                <w:color w:val="auto"/>
              </w:rPr>
            </w:pPr>
            <w:r>
              <w:rPr>
                <w:rFonts w:ascii="Courier New" w:cs="Courier New" w:eastAsia="Courier New" w:hAnsi="Courier New"/>
                <w:sz w:val="16"/>
                <w:szCs w:val="16"/>
                <w:color w:val="auto"/>
              </w:rPr>
              <w:t>Cable</w:t>
            </w:r>
          </w:p>
        </w:tc>
        <w:tc>
          <w:tcPr>
            <w:tcW w:w="860" w:type="dxa"/>
            <w:vAlign w:val="bottom"/>
          </w:tcPr>
          <w:p>
            <w:pPr>
              <w:ind w:left="140"/>
              <w:spacing w:after="0"/>
              <w:rPr>
                <w:sz w:val="20"/>
                <w:szCs w:val="20"/>
                <w:color w:val="auto"/>
              </w:rPr>
            </w:pPr>
            <w:r>
              <w:rPr>
                <w:rFonts w:ascii="Courier New" w:cs="Courier New" w:eastAsia="Courier New" w:hAnsi="Courier New"/>
                <w:sz w:val="16"/>
                <w:szCs w:val="16"/>
                <w:color w:val="auto"/>
              </w:rPr>
              <w:t>526.3</w:t>
            </w:r>
          </w:p>
        </w:tc>
        <w:tc>
          <w:tcPr>
            <w:tcW w:w="520" w:type="dxa"/>
            <w:vAlign w:val="bottom"/>
          </w:tcPr>
          <w:p>
            <w:pPr>
              <w:ind w:left="40"/>
              <w:spacing w:after="0"/>
              <w:rPr>
                <w:sz w:val="20"/>
                <w:szCs w:val="20"/>
                <w:color w:val="auto"/>
              </w:rPr>
            </w:pPr>
            <w:r>
              <w:rPr>
                <w:rFonts w:ascii="Courier New" w:cs="Courier New" w:eastAsia="Courier New" w:hAnsi="Courier New"/>
                <w:sz w:val="16"/>
                <w:szCs w:val="16"/>
                <w:color w:val="auto"/>
                <w:w w:val="95"/>
              </w:rPr>
              <w:t>597.5</w:t>
            </w:r>
          </w:p>
        </w:tc>
        <w:tc>
          <w:tcPr>
            <w:tcW w:w="2340" w:type="dxa"/>
            <w:vAlign w:val="bottom"/>
          </w:tcPr>
          <w:p>
            <w:pPr>
              <w:ind w:left="1140"/>
              <w:spacing w:after="0"/>
              <w:rPr>
                <w:sz w:val="20"/>
                <w:szCs w:val="20"/>
                <w:color w:val="auto"/>
              </w:rPr>
            </w:pPr>
            <w:r>
              <w:rPr>
                <w:rFonts w:ascii="Courier New" w:cs="Courier New" w:eastAsia="Courier New" w:hAnsi="Courier New"/>
                <w:sz w:val="16"/>
                <w:szCs w:val="16"/>
                <w:color w:val="auto"/>
              </w:rPr>
              <w:t>QVC   172.7</w:t>
            </w:r>
          </w:p>
        </w:tc>
        <w:tc>
          <w:tcPr>
            <w:tcW w:w="620" w:type="dxa"/>
            <w:vAlign w:val="bottom"/>
          </w:tcPr>
          <w:p>
            <w:pPr>
              <w:ind w:left="140"/>
              <w:spacing w:after="0"/>
              <w:rPr>
                <w:sz w:val="20"/>
                <w:szCs w:val="20"/>
                <w:color w:val="auto"/>
              </w:rPr>
            </w:pPr>
            <w:r>
              <w:rPr>
                <w:rFonts w:ascii="Courier New" w:cs="Courier New" w:eastAsia="Courier New" w:hAnsi="Courier New"/>
                <w:sz w:val="16"/>
                <w:szCs w:val="16"/>
                <w:color w:val="auto"/>
                <w:w w:val="95"/>
              </w:rPr>
              <w:t>192.3</w:t>
            </w:r>
          </w:p>
        </w:tc>
        <w:tc>
          <w:tcPr>
            <w:tcW w:w="1000" w:type="dxa"/>
            <w:vAlign w:val="bottom"/>
          </w:tcPr>
          <w:p>
            <w:pPr>
              <w:spacing w:after="0"/>
              <w:rPr>
                <w:sz w:val="24"/>
                <w:szCs w:val="24"/>
                <w:color w:val="auto"/>
              </w:rPr>
            </w:pPr>
          </w:p>
        </w:tc>
        <w:tc>
          <w:tcPr>
            <w:tcW w:w="4920" w:type="dxa"/>
            <w:vAlign w:val="bottom"/>
          </w:tcPr>
          <w:p>
            <w:pPr>
              <w:ind w:left="140"/>
              <w:spacing w:after="0"/>
              <w:rPr>
                <w:sz w:val="20"/>
                <w:szCs w:val="20"/>
                <w:color w:val="auto"/>
              </w:rPr>
            </w:pPr>
            <w:r>
              <w:rPr>
                <w:rFonts w:ascii="Courier New" w:cs="Courier New" w:eastAsia="Courier New" w:hAnsi="Courier New"/>
                <w:sz w:val="16"/>
                <w:szCs w:val="16"/>
                <w:color w:val="auto"/>
                <w:w w:val="99"/>
              </w:rPr>
              <w:t>Content   [Omitted graph depicts a 33% increase in</w:t>
            </w:r>
          </w:p>
        </w:tc>
      </w:tr>
      <w:tr>
        <w:trPr>
          <w:trHeight w:val="183"/>
        </w:trPr>
        <w:tc>
          <w:tcPr>
            <w:tcW w:w="6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20" w:type="dxa"/>
            <w:vAlign w:val="bottom"/>
          </w:tcPr>
          <w:p>
            <w:pPr>
              <w:ind w:left="40"/>
              <w:spacing w:after="0"/>
              <w:rPr>
                <w:sz w:val="20"/>
                <w:szCs w:val="20"/>
                <w:color w:val="auto"/>
              </w:rPr>
            </w:pPr>
            <w:r>
              <w:rPr>
                <w:rFonts w:ascii="Courier New" w:cs="Courier New" w:eastAsia="Courier New" w:hAnsi="Courier New"/>
                <w:sz w:val="16"/>
                <w:szCs w:val="16"/>
                <w:color w:val="auto"/>
              </w:rPr>
              <w:t>(13%</w:t>
            </w:r>
          </w:p>
        </w:tc>
        <w:tc>
          <w:tcPr>
            <w:tcW w:w="2340" w:type="dxa"/>
            <w:vAlign w:val="bottom"/>
          </w:tcPr>
          <w:p>
            <w:pPr>
              <w:spacing w:after="0"/>
              <w:rPr>
                <w:sz w:val="20"/>
                <w:szCs w:val="20"/>
                <w:color w:val="auto"/>
              </w:rPr>
            </w:pPr>
            <w:r>
              <w:rPr>
                <w:rFonts w:ascii="Courier New" w:cs="Courier New" w:eastAsia="Courier New" w:hAnsi="Courier New"/>
                <w:sz w:val="16"/>
                <w:szCs w:val="16"/>
                <w:color w:val="auto"/>
              </w:rPr>
              <w:t>Increase)</w:t>
            </w:r>
          </w:p>
        </w:tc>
        <w:tc>
          <w:tcPr>
            <w:tcW w:w="620" w:type="dxa"/>
            <w:vAlign w:val="bottom"/>
          </w:tcPr>
          <w:p>
            <w:pPr>
              <w:ind w:left="140"/>
              <w:spacing w:after="0"/>
              <w:rPr>
                <w:sz w:val="20"/>
                <w:szCs w:val="20"/>
                <w:color w:val="auto"/>
              </w:rPr>
            </w:pPr>
            <w:r>
              <w:rPr>
                <w:rFonts w:ascii="Courier New" w:cs="Courier New" w:eastAsia="Courier New" w:hAnsi="Courier New"/>
                <w:sz w:val="16"/>
                <w:szCs w:val="16"/>
                <w:color w:val="auto"/>
              </w:rPr>
              <w:t>(11%</w:t>
            </w:r>
          </w:p>
        </w:tc>
        <w:tc>
          <w:tcPr>
            <w:tcW w:w="1000" w:type="dxa"/>
            <w:vAlign w:val="bottom"/>
          </w:tcPr>
          <w:p>
            <w:pPr>
              <w:spacing w:after="0"/>
              <w:rPr>
                <w:sz w:val="20"/>
                <w:szCs w:val="20"/>
                <w:color w:val="auto"/>
              </w:rPr>
            </w:pPr>
            <w:r>
              <w:rPr>
                <w:rFonts w:ascii="Courier New" w:cs="Courier New" w:eastAsia="Courier New" w:hAnsi="Courier New"/>
                <w:sz w:val="16"/>
                <w:szCs w:val="16"/>
                <w:color w:val="auto"/>
              </w:rPr>
              <w:t>Increase)</w:t>
            </w:r>
          </w:p>
        </w:tc>
        <w:tc>
          <w:tcPr>
            <w:tcW w:w="4920" w:type="dxa"/>
            <w:vAlign w:val="bottom"/>
          </w:tcPr>
          <w:p>
            <w:pPr>
              <w:ind w:left="1200"/>
              <w:spacing w:after="0"/>
              <w:rPr>
                <w:sz w:val="20"/>
                <w:szCs w:val="20"/>
                <w:color w:val="auto"/>
              </w:rPr>
            </w:pPr>
            <w:r>
              <w:rPr>
                <w:rFonts w:ascii="Courier New" w:cs="Courier New" w:eastAsia="Courier New" w:hAnsi="Courier New"/>
                <w:sz w:val="16"/>
                <w:szCs w:val="16"/>
                <w:color w:val="auto"/>
              </w:rPr>
              <w:t>content from 1Q01 to 1Q02]</w:t>
            </w:r>
          </w:p>
        </w:tc>
      </w:tr>
      <w:tr>
        <w:trPr>
          <w:trHeight w:val="917"/>
        </w:trPr>
        <w:tc>
          <w:tcPr>
            <w:tcW w:w="6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960" w:type="dxa"/>
            <w:vAlign w:val="bottom"/>
            <w:gridSpan w:val="2"/>
          </w:tcPr>
          <w:p>
            <w:pPr>
              <w:jc w:val="center"/>
              <w:ind w:left="501"/>
              <w:spacing w:after="0"/>
              <w:rPr>
                <w:sz w:val="20"/>
                <w:szCs w:val="20"/>
                <w:color w:val="auto"/>
              </w:rPr>
            </w:pPr>
            <w:r>
              <w:rPr>
                <w:rFonts w:ascii="Courier New" w:cs="Courier New" w:eastAsia="Courier New" w:hAnsi="Courier New"/>
                <w:sz w:val="16"/>
                <w:szCs w:val="16"/>
                <w:color w:val="auto"/>
                <w:w w:val="99"/>
              </w:rPr>
              <w:t>Revenue Growth: 12%</w:t>
            </w:r>
          </w:p>
        </w:tc>
        <w:tc>
          <w:tcPr>
            <w:tcW w:w="1000" w:type="dxa"/>
            <w:vAlign w:val="bottom"/>
          </w:tcPr>
          <w:p>
            <w:pPr>
              <w:spacing w:after="0"/>
              <w:rPr>
                <w:sz w:val="24"/>
                <w:szCs w:val="24"/>
                <w:color w:val="auto"/>
              </w:rPr>
            </w:pPr>
          </w:p>
        </w:tc>
        <w:tc>
          <w:tcPr>
            <w:tcW w:w="4920" w:type="dxa"/>
            <w:vAlign w:val="bottom"/>
          </w:tcPr>
          <w:p>
            <w:pPr>
              <w:spacing w:after="0"/>
              <w:rPr>
                <w:sz w:val="24"/>
                <w:szCs w:val="24"/>
                <w:color w:val="auto"/>
              </w:rPr>
            </w:pPr>
          </w:p>
        </w:tc>
      </w:tr>
      <w:tr>
        <w:trPr>
          <w:trHeight w:val="183"/>
        </w:trPr>
        <w:tc>
          <w:tcPr>
            <w:tcW w:w="6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480" w:type="dxa"/>
            <w:vAlign w:val="bottom"/>
            <w:gridSpan w:val="4"/>
          </w:tcPr>
          <w:p>
            <w:pPr>
              <w:jc w:val="center"/>
              <w:ind w:left="1"/>
              <w:spacing w:after="0"/>
              <w:rPr>
                <w:sz w:val="20"/>
                <w:szCs w:val="20"/>
                <w:color w:val="auto"/>
              </w:rPr>
            </w:pPr>
            <w:r>
              <w:rPr>
                <w:rFonts w:ascii="Courier New" w:cs="Courier New" w:eastAsia="Courier New" w:hAnsi="Courier New"/>
                <w:sz w:val="16"/>
                <w:szCs w:val="16"/>
                <w:color w:val="auto"/>
                <w:w w:val="99"/>
              </w:rPr>
              <w:t>Consolidated Consolidated OCF Growth: 18%</w:t>
            </w:r>
          </w:p>
        </w:tc>
        <w:tc>
          <w:tcPr>
            <w:tcW w:w="4920" w:type="dxa"/>
            <w:vAlign w:val="bottom"/>
          </w:tcPr>
          <w:p>
            <w:pPr>
              <w:spacing w:after="0"/>
              <w:rPr>
                <w:sz w:val="15"/>
                <w:szCs w:val="15"/>
                <w:color w:val="auto"/>
              </w:rPr>
            </w:pPr>
          </w:p>
        </w:tc>
      </w:tr>
      <w:tr>
        <w:trPr>
          <w:trHeight w:val="550"/>
        </w:trPr>
        <w:tc>
          <w:tcPr>
            <w:tcW w:w="6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960" w:type="dxa"/>
            <w:vAlign w:val="bottom"/>
            <w:gridSpan w:val="2"/>
          </w:tcPr>
          <w:p>
            <w:pPr>
              <w:jc w:val="center"/>
              <w:ind w:left="481"/>
              <w:spacing w:after="0"/>
              <w:rPr>
                <w:sz w:val="20"/>
                <w:szCs w:val="20"/>
                <w:color w:val="auto"/>
              </w:rPr>
            </w:pPr>
            <w:r>
              <w:rPr>
                <w:rFonts w:ascii="Courier New" w:cs="Courier New" w:eastAsia="Courier New" w:hAnsi="Courier New"/>
                <w:sz w:val="16"/>
                <w:szCs w:val="16"/>
                <w:color w:val="auto"/>
                <w:w w:val="99"/>
              </w:rPr>
              <w:t>Note: Pro Forma Results</w:t>
            </w:r>
          </w:p>
        </w:tc>
        <w:tc>
          <w:tcPr>
            <w:tcW w:w="1000" w:type="dxa"/>
            <w:vAlign w:val="bottom"/>
          </w:tcPr>
          <w:p>
            <w:pPr>
              <w:spacing w:after="0"/>
              <w:rPr>
                <w:sz w:val="24"/>
                <w:szCs w:val="24"/>
                <w:color w:val="auto"/>
              </w:rPr>
            </w:pPr>
          </w:p>
        </w:tc>
        <w:tc>
          <w:tcPr>
            <w:tcW w:w="4920" w:type="dxa"/>
            <w:vAlign w:val="bottom"/>
          </w:tcPr>
          <w:p>
            <w:pPr>
              <w:spacing w:after="0"/>
              <w:rPr>
                <w:sz w:val="24"/>
                <w:szCs w:val="24"/>
                <w:color w:val="auto"/>
              </w:rPr>
            </w:pPr>
          </w:p>
        </w:tc>
      </w:tr>
      <w:tr>
        <w:trPr>
          <w:trHeight w:val="367"/>
        </w:trPr>
        <w:tc>
          <w:tcPr>
            <w:tcW w:w="1480" w:type="dxa"/>
            <w:vAlign w:val="bottom"/>
            <w:gridSpan w:val="2"/>
          </w:tcPr>
          <w:p>
            <w:pPr>
              <w:spacing w:after="0"/>
              <w:rPr>
                <w:sz w:val="20"/>
                <w:szCs w:val="20"/>
                <w:color w:val="auto"/>
              </w:rPr>
            </w:pPr>
            <w:r>
              <w:rPr>
                <w:rFonts w:ascii="Courier New" w:cs="Courier New" w:eastAsia="Courier New" w:hAnsi="Courier New"/>
                <w:sz w:val="16"/>
                <w:szCs w:val="16"/>
                <w:color w:val="auto"/>
              </w:rPr>
              <w:t>Banc of America</w:t>
            </w:r>
          </w:p>
        </w:tc>
        <w:tc>
          <w:tcPr>
            <w:tcW w:w="52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920" w:type="dxa"/>
            <w:vAlign w:val="bottom"/>
          </w:tcPr>
          <w:p>
            <w:pPr>
              <w:ind w:left="720"/>
              <w:spacing w:after="0"/>
              <w:rPr>
                <w:sz w:val="20"/>
                <w:szCs w:val="20"/>
                <w:color w:val="auto"/>
              </w:rPr>
            </w:pPr>
            <w:r>
              <w:rPr>
                <w:rFonts w:ascii="Courier New" w:cs="Courier New" w:eastAsia="Courier New" w:hAnsi="Courier New"/>
                <w:sz w:val="16"/>
                <w:szCs w:val="16"/>
                <w:color w:val="auto"/>
              </w:rPr>
              <w:t>comcast(R)</w:t>
            </w:r>
          </w:p>
        </w:tc>
      </w:tr>
      <w:tr>
        <w:trPr>
          <w:trHeight w:val="183"/>
        </w:trPr>
        <w:tc>
          <w:tcPr>
            <w:tcW w:w="1480" w:type="dxa"/>
            <w:vAlign w:val="bottom"/>
            <w:gridSpan w:val="2"/>
          </w:tcPr>
          <w:p>
            <w:pPr>
              <w:spacing w:after="0"/>
              <w:rPr>
                <w:sz w:val="20"/>
                <w:szCs w:val="20"/>
                <w:color w:val="auto"/>
              </w:rPr>
            </w:pPr>
            <w:r>
              <w:rPr>
                <w:rFonts w:ascii="Courier New" w:cs="Courier New" w:eastAsia="Courier New" w:hAnsi="Courier New"/>
                <w:sz w:val="16"/>
                <w:szCs w:val="16"/>
                <w:color w:val="auto"/>
              </w:rPr>
              <w:t>May 1, 2002</w:t>
            </w:r>
          </w:p>
        </w:tc>
        <w:tc>
          <w:tcPr>
            <w:tcW w:w="520" w:type="dxa"/>
            <w:vAlign w:val="bottom"/>
          </w:tcPr>
          <w:p>
            <w:pPr>
              <w:spacing w:after="0"/>
              <w:rPr>
                <w:sz w:val="15"/>
                <w:szCs w:val="15"/>
                <w:color w:val="auto"/>
              </w:rPr>
            </w:pPr>
          </w:p>
        </w:tc>
        <w:tc>
          <w:tcPr>
            <w:tcW w:w="23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920" w:type="dxa"/>
            <w:vAlign w:val="bottom"/>
          </w:tcPr>
          <w:p>
            <w:pPr>
              <w:spacing w:after="0"/>
              <w:rPr>
                <w:sz w:val="15"/>
                <w:szCs w:val="15"/>
                <w:color w:val="auto"/>
              </w:rPr>
            </w:pPr>
          </w:p>
        </w:tc>
      </w:tr>
    </w:tbl>
    <w:p>
      <w:pPr>
        <w:sectPr>
          <w:pgSz w:w="11900" w:h="16838" w:orient="portrait"/>
          <w:cols w:equalWidth="0" w:num="1">
            <w:col w:w="10880"/>
          </w:cols>
          <w:pgMar w:left="240" w:top="848" w:right="779" w:bottom="1440" w:gutter="0" w:footer="0" w:header="0"/>
        </w:sectPr>
      </w:pPr>
    </w:p>
    <w:bookmarkStart w:id="4" w:name="page5"/>
    <w:bookmarkEnd w:id="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3100" w:type="dxa"/>
            <w:vAlign w:val="bottom"/>
            <w:gridSpan w:val="3"/>
          </w:tcPr>
          <w:p>
            <w:pPr>
              <w:spacing w:after="0"/>
              <w:rPr>
                <w:sz w:val="20"/>
                <w:szCs w:val="20"/>
                <w:color w:val="auto"/>
              </w:rPr>
            </w:pPr>
            <w:r>
              <w:rPr>
                <w:rFonts w:ascii="Courier New" w:cs="Courier New" w:eastAsia="Courier New" w:hAnsi="Courier New"/>
                <w:sz w:val="16"/>
                <w:szCs w:val="16"/>
                <w:color w:val="auto"/>
              </w:rPr>
              <w:t>comcast(R) digital cable</w:t>
            </w:r>
          </w:p>
        </w:tc>
        <w:tc>
          <w:tcPr>
            <w:tcW w:w="8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550"/>
        </w:trPr>
        <w:tc>
          <w:tcPr>
            <w:tcW w:w="1620" w:type="dxa"/>
            <w:vAlign w:val="bottom"/>
            <w:gridSpan w:val="2"/>
          </w:tcPr>
          <w:p>
            <w:pPr>
              <w:spacing w:after="0"/>
              <w:rPr>
                <w:sz w:val="20"/>
                <w:szCs w:val="20"/>
                <w:color w:val="auto"/>
              </w:rPr>
            </w:pPr>
            <w:r>
              <w:rPr>
                <w:rFonts w:ascii="Courier New" w:cs="Courier New" w:eastAsia="Courier New" w:hAnsi="Courier New"/>
                <w:sz w:val="16"/>
                <w:szCs w:val="16"/>
                <w:color w:val="auto"/>
              </w:rPr>
              <w:t>Subscriptions</w:t>
            </w:r>
          </w:p>
        </w:tc>
        <w:tc>
          <w:tcPr>
            <w:tcW w:w="14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83"/>
        </w:trPr>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(000s)</w:t>
            </w:r>
          </w:p>
        </w:tc>
        <w:tc>
          <w:tcPr>
            <w:tcW w:w="66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83"/>
        </w:trPr>
        <w:tc>
          <w:tcPr>
            <w:tcW w:w="9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00" w:type="dxa"/>
            <w:vAlign w:val="bottom"/>
            <w:gridSpan w:val="2"/>
          </w:tcPr>
          <w:p>
            <w:pPr>
              <w:jc w:val="right"/>
              <w:ind w:right="301"/>
              <w:spacing w:after="0"/>
              <w:rPr>
                <w:sz w:val="20"/>
                <w:szCs w:val="20"/>
                <w:color w:val="auto"/>
              </w:rPr>
            </w:pPr>
            <w:r>
              <w:rPr>
                <w:rFonts w:ascii="Courier New" w:cs="Courier New" w:eastAsia="Courier New" w:hAnsi="Courier New"/>
                <w:sz w:val="16"/>
                <w:szCs w:val="16"/>
                <w:color w:val="auto"/>
              </w:rPr>
              <w:t>Penetration</w:t>
            </w:r>
          </w:p>
        </w:tc>
      </w:tr>
      <w:tr>
        <w:trPr>
          <w:trHeight w:val="367"/>
        </w:trPr>
        <w:tc>
          <w:tcPr>
            <w:tcW w:w="9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0" w:type="dxa"/>
            <w:vAlign w:val="bottom"/>
          </w:tcPr>
          <w:p>
            <w:pPr>
              <w:ind w:left="100"/>
              <w:spacing w:after="0"/>
              <w:rPr>
                <w:sz w:val="20"/>
                <w:szCs w:val="20"/>
                <w:color w:val="auto"/>
              </w:rPr>
            </w:pPr>
            <w:r>
              <w:rPr>
                <w:rFonts w:ascii="Courier New" w:cs="Courier New" w:eastAsia="Courier New" w:hAnsi="Courier New"/>
                <w:sz w:val="16"/>
                <w:szCs w:val="16"/>
                <w:color w:val="auto"/>
              </w:rPr>
              <w:t>3MM*+</w:t>
            </w:r>
          </w:p>
        </w:tc>
        <w:tc>
          <w:tcPr>
            <w:tcW w:w="100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40%</w:t>
            </w:r>
          </w:p>
        </w:tc>
      </w:tr>
      <w:tr>
        <w:trPr>
          <w:trHeight w:val="367"/>
        </w:trPr>
        <w:tc>
          <w:tcPr>
            <w:tcW w:w="960" w:type="dxa"/>
            <w:vAlign w:val="bottom"/>
          </w:tcPr>
          <w:p>
            <w:pPr>
              <w:jc w:val="right"/>
              <w:ind w:right="401"/>
              <w:spacing w:after="0"/>
              <w:rPr>
                <w:sz w:val="20"/>
                <w:szCs w:val="20"/>
                <w:color w:val="auto"/>
              </w:rPr>
            </w:pPr>
            <w:r>
              <w:rPr>
                <w:rFonts w:ascii="Courier New" w:cs="Courier New" w:eastAsia="Courier New" w:hAnsi="Courier New"/>
                <w:sz w:val="16"/>
                <w:szCs w:val="16"/>
                <w:color w:val="auto"/>
                <w:w w:val="95"/>
              </w:rPr>
              <w:t>3,500</w:t>
            </w:r>
          </w:p>
        </w:tc>
        <w:tc>
          <w:tcPr>
            <w:tcW w:w="6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35%</w:t>
            </w:r>
          </w:p>
        </w:tc>
      </w:tr>
      <w:tr>
        <w:trPr>
          <w:trHeight w:val="183"/>
        </w:trPr>
        <w:tc>
          <w:tcPr>
            <w:tcW w:w="960" w:type="dxa"/>
            <w:vAlign w:val="bottom"/>
          </w:tcPr>
          <w:p>
            <w:pPr>
              <w:spacing w:after="0"/>
              <w:rPr>
                <w:sz w:val="15"/>
                <w:szCs w:val="15"/>
                <w:color w:val="auto"/>
              </w:rPr>
            </w:pPr>
          </w:p>
        </w:tc>
        <w:tc>
          <w:tcPr>
            <w:tcW w:w="2140" w:type="dxa"/>
            <w:vAlign w:val="bottom"/>
            <w:gridSpan w:val="2"/>
          </w:tcPr>
          <w:p>
            <w:pPr>
              <w:spacing w:after="0"/>
              <w:rPr>
                <w:sz w:val="20"/>
                <w:szCs w:val="20"/>
                <w:color w:val="auto"/>
              </w:rPr>
            </w:pPr>
            <w:r>
              <w:rPr>
                <w:rFonts w:ascii="Courier New" w:cs="Courier New" w:eastAsia="Courier New" w:hAnsi="Courier New"/>
                <w:sz w:val="16"/>
                <w:szCs w:val="16"/>
                <w:color w:val="auto"/>
              </w:rPr>
              <w:t>1Q02 Net Adds: 200,000</w:t>
            </w:r>
          </w:p>
        </w:tc>
        <w:tc>
          <w:tcPr>
            <w:tcW w:w="8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83"/>
        </w:trPr>
        <w:tc>
          <w:tcPr>
            <w:tcW w:w="960" w:type="dxa"/>
            <w:vAlign w:val="bottom"/>
          </w:tcPr>
          <w:p>
            <w:pPr>
              <w:jc w:val="right"/>
              <w:ind w:right="401"/>
              <w:spacing w:after="0"/>
              <w:rPr>
                <w:sz w:val="20"/>
                <w:szCs w:val="20"/>
                <w:color w:val="auto"/>
              </w:rPr>
            </w:pPr>
            <w:r>
              <w:rPr>
                <w:rFonts w:ascii="Courier New" w:cs="Courier New" w:eastAsia="Courier New" w:hAnsi="Courier New"/>
                <w:sz w:val="16"/>
                <w:szCs w:val="16"/>
                <w:color w:val="auto"/>
                <w:w w:val="95"/>
              </w:rPr>
              <w:t>3,000</w:t>
            </w:r>
          </w:p>
        </w:tc>
        <w:tc>
          <w:tcPr>
            <w:tcW w:w="66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60" w:type="dxa"/>
            <w:vAlign w:val="bottom"/>
          </w:tcPr>
          <w:p>
            <w:pPr>
              <w:ind w:left="180"/>
              <w:spacing w:after="0"/>
              <w:rPr>
                <w:sz w:val="20"/>
                <w:szCs w:val="20"/>
                <w:color w:val="auto"/>
              </w:rPr>
            </w:pPr>
            <w:r>
              <w:rPr>
                <w:rFonts w:ascii="Courier New" w:cs="Courier New" w:eastAsia="Courier New" w:hAnsi="Courier New"/>
                <w:sz w:val="16"/>
                <w:szCs w:val="16"/>
                <w:color w:val="auto"/>
              </w:rPr>
              <w:t>2.54MM</w:t>
            </w:r>
          </w:p>
        </w:tc>
        <w:tc>
          <w:tcPr>
            <w:tcW w:w="800" w:type="dxa"/>
            <w:vAlign w:val="bottom"/>
          </w:tcPr>
          <w:p>
            <w:pPr>
              <w:spacing w:after="0"/>
              <w:rPr>
                <w:sz w:val="15"/>
                <w:szCs w:val="15"/>
                <w:color w:val="auto"/>
              </w:rPr>
            </w:pPr>
          </w:p>
        </w:tc>
        <w:tc>
          <w:tcPr>
            <w:tcW w:w="100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30%</w:t>
            </w:r>
          </w:p>
        </w:tc>
      </w:tr>
      <w:tr>
        <w:trPr>
          <w:trHeight w:val="367"/>
        </w:trPr>
        <w:tc>
          <w:tcPr>
            <w:tcW w:w="960" w:type="dxa"/>
            <w:vAlign w:val="bottom"/>
          </w:tcPr>
          <w:p>
            <w:pPr>
              <w:jc w:val="right"/>
              <w:ind w:right="401"/>
              <w:spacing w:after="0"/>
              <w:rPr>
                <w:sz w:val="20"/>
                <w:szCs w:val="20"/>
                <w:color w:val="auto"/>
              </w:rPr>
            </w:pPr>
            <w:r>
              <w:rPr>
                <w:rFonts w:ascii="Courier New" w:cs="Courier New" w:eastAsia="Courier New" w:hAnsi="Courier New"/>
                <w:sz w:val="16"/>
                <w:szCs w:val="16"/>
                <w:color w:val="auto"/>
                <w:w w:val="95"/>
              </w:rPr>
              <w:t>2,500</w:t>
            </w:r>
          </w:p>
        </w:tc>
        <w:tc>
          <w:tcPr>
            <w:tcW w:w="6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0" w:type="dxa"/>
            <w:vAlign w:val="bottom"/>
          </w:tcPr>
          <w:p>
            <w:pPr>
              <w:ind w:left="240"/>
              <w:spacing w:after="0"/>
              <w:rPr>
                <w:sz w:val="20"/>
                <w:szCs w:val="20"/>
                <w:color w:val="auto"/>
              </w:rPr>
            </w:pPr>
            <w:r>
              <w:rPr>
                <w:rFonts w:ascii="Courier New" w:cs="Courier New" w:eastAsia="Courier New" w:hAnsi="Courier New"/>
                <w:sz w:val="16"/>
                <w:szCs w:val="16"/>
                <w:color w:val="auto"/>
              </w:rPr>
              <w:t>2.33MM</w:t>
            </w:r>
          </w:p>
        </w:tc>
        <w:tc>
          <w:tcPr>
            <w:tcW w:w="8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25%</w:t>
            </w:r>
          </w:p>
        </w:tc>
      </w:tr>
      <w:tr>
        <w:trPr>
          <w:trHeight w:val="367"/>
        </w:trPr>
        <w:tc>
          <w:tcPr>
            <w:tcW w:w="960" w:type="dxa"/>
            <w:vAlign w:val="bottom"/>
          </w:tcPr>
          <w:p>
            <w:pPr>
              <w:jc w:val="right"/>
              <w:ind w:right="401"/>
              <w:spacing w:after="0"/>
              <w:rPr>
                <w:sz w:val="20"/>
                <w:szCs w:val="20"/>
                <w:color w:val="auto"/>
              </w:rPr>
            </w:pPr>
            <w:r>
              <w:rPr>
                <w:rFonts w:ascii="Courier New" w:cs="Courier New" w:eastAsia="Courier New" w:hAnsi="Courier New"/>
                <w:sz w:val="16"/>
                <w:szCs w:val="16"/>
                <w:color w:val="auto"/>
                <w:w w:val="95"/>
              </w:rPr>
              <w:t>2,000</w:t>
            </w:r>
          </w:p>
        </w:tc>
        <w:tc>
          <w:tcPr>
            <w:tcW w:w="6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860" w:type="dxa"/>
            <w:vAlign w:val="bottom"/>
          </w:tcPr>
          <w:p>
            <w:pPr>
              <w:jc w:val="center"/>
              <w:ind w:right="121"/>
              <w:spacing w:after="0"/>
              <w:rPr>
                <w:sz w:val="20"/>
                <w:szCs w:val="20"/>
                <w:color w:val="auto"/>
              </w:rPr>
            </w:pPr>
            <w:r>
              <w:rPr>
                <w:rFonts w:ascii="Courier New" w:cs="Courier New" w:eastAsia="Courier New" w:hAnsi="Courier New"/>
                <w:sz w:val="16"/>
                <w:szCs w:val="16"/>
                <w:color w:val="auto"/>
              </w:rPr>
              <w:t>1.35MM</w:t>
            </w:r>
          </w:p>
        </w:tc>
        <w:tc>
          <w:tcPr>
            <w:tcW w:w="10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20%</w:t>
            </w:r>
          </w:p>
        </w:tc>
      </w:tr>
      <w:tr>
        <w:trPr>
          <w:trHeight w:val="367"/>
        </w:trPr>
        <w:tc>
          <w:tcPr>
            <w:tcW w:w="960" w:type="dxa"/>
            <w:vAlign w:val="bottom"/>
          </w:tcPr>
          <w:p>
            <w:pPr>
              <w:jc w:val="right"/>
              <w:ind w:right="401"/>
              <w:spacing w:after="0"/>
              <w:rPr>
                <w:sz w:val="20"/>
                <w:szCs w:val="20"/>
                <w:color w:val="auto"/>
              </w:rPr>
            </w:pPr>
            <w:r>
              <w:rPr>
                <w:rFonts w:ascii="Courier New" w:cs="Courier New" w:eastAsia="Courier New" w:hAnsi="Courier New"/>
                <w:sz w:val="16"/>
                <w:szCs w:val="16"/>
                <w:color w:val="auto"/>
                <w:w w:val="95"/>
              </w:rPr>
              <w:t>1,500</w:t>
            </w:r>
          </w:p>
        </w:tc>
        <w:tc>
          <w:tcPr>
            <w:tcW w:w="6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15%</w:t>
            </w:r>
          </w:p>
        </w:tc>
      </w:tr>
      <w:tr>
        <w:trPr>
          <w:trHeight w:val="367"/>
        </w:trPr>
        <w:tc>
          <w:tcPr>
            <w:tcW w:w="960" w:type="dxa"/>
            <w:vAlign w:val="bottom"/>
          </w:tcPr>
          <w:p>
            <w:pPr>
              <w:jc w:val="right"/>
              <w:ind w:right="401"/>
              <w:spacing w:after="0"/>
              <w:rPr>
                <w:sz w:val="20"/>
                <w:szCs w:val="20"/>
                <w:color w:val="auto"/>
              </w:rPr>
            </w:pPr>
            <w:r>
              <w:rPr>
                <w:rFonts w:ascii="Courier New" w:cs="Courier New" w:eastAsia="Courier New" w:hAnsi="Courier New"/>
                <w:sz w:val="16"/>
                <w:szCs w:val="16"/>
                <w:color w:val="auto"/>
                <w:w w:val="95"/>
              </w:rPr>
              <w:t>1,000</w:t>
            </w:r>
          </w:p>
        </w:tc>
        <w:tc>
          <w:tcPr>
            <w:tcW w:w="6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10%</w:t>
            </w:r>
          </w:p>
        </w:tc>
      </w:tr>
      <w:tr>
        <w:trPr>
          <w:trHeight w:val="367"/>
        </w:trPr>
        <w:tc>
          <w:tcPr>
            <w:tcW w:w="96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500</w:t>
            </w:r>
          </w:p>
        </w:tc>
        <w:tc>
          <w:tcPr>
            <w:tcW w:w="660" w:type="dxa"/>
            <w:vAlign w:val="bottom"/>
          </w:tcPr>
          <w:p>
            <w:pPr>
              <w:spacing w:after="0"/>
              <w:rPr>
                <w:sz w:val="24"/>
                <w:szCs w:val="24"/>
                <w:color w:val="auto"/>
              </w:rPr>
            </w:pPr>
          </w:p>
        </w:tc>
        <w:tc>
          <w:tcPr>
            <w:tcW w:w="1480" w:type="dxa"/>
            <w:vAlign w:val="bottom"/>
          </w:tcPr>
          <w:p>
            <w:pPr>
              <w:ind w:left="580"/>
              <w:spacing w:after="0"/>
              <w:rPr>
                <w:sz w:val="20"/>
                <w:szCs w:val="20"/>
                <w:color w:val="auto"/>
              </w:rPr>
            </w:pPr>
            <w:r>
              <w:rPr>
                <w:rFonts w:ascii="Courier New" w:cs="Courier New" w:eastAsia="Courier New" w:hAnsi="Courier New"/>
                <w:sz w:val="16"/>
                <w:szCs w:val="16"/>
                <w:color w:val="auto"/>
              </w:rPr>
              <w:t>515K</w:t>
            </w:r>
          </w:p>
        </w:tc>
        <w:tc>
          <w:tcPr>
            <w:tcW w:w="8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5%</w:t>
            </w:r>
          </w:p>
        </w:tc>
      </w:tr>
      <w:tr>
        <w:trPr>
          <w:trHeight w:val="367"/>
        </w:trPr>
        <w:tc>
          <w:tcPr>
            <w:tcW w:w="96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0</w:t>
            </w:r>
          </w:p>
        </w:tc>
        <w:tc>
          <w:tcPr>
            <w:tcW w:w="66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78K</w:t>
            </w:r>
          </w:p>
        </w:tc>
        <w:tc>
          <w:tcPr>
            <w:tcW w:w="14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0%</w:t>
            </w:r>
          </w:p>
        </w:tc>
      </w:tr>
      <w:tr>
        <w:trPr>
          <w:trHeight w:val="367"/>
        </w:trPr>
        <w:tc>
          <w:tcPr>
            <w:tcW w:w="960" w:type="dxa"/>
            <w:vAlign w:val="bottom"/>
          </w:tcPr>
          <w:p>
            <w:pPr>
              <w:spacing w:after="0"/>
              <w:rPr>
                <w:sz w:val="24"/>
                <w:szCs w:val="24"/>
                <w:color w:val="auto"/>
              </w:rPr>
            </w:pPr>
          </w:p>
        </w:tc>
        <w:tc>
          <w:tcPr>
            <w:tcW w:w="66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YE98</w:t>
            </w:r>
          </w:p>
        </w:tc>
        <w:tc>
          <w:tcPr>
            <w:tcW w:w="1480" w:type="dxa"/>
            <w:vAlign w:val="bottom"/>
          </w:tcPr>
          <w:p>
            <w:pPr>
              <w:ind w:left="580"/>
              <w:spacing w:after="0"/>
              <w:rPr>
                <w:sz w:val="20"/>
                <w:szCs w:val="20"/>
                <w:color w:val="auto"/>
              </w:rPr>
            </w:pPr>
            <w:r>
              <w:rPr>
                <w:rFonts w:ascii="Courier New" w:cs="Courier New" w:eastAsia="Courier New" w:hAnsi="Courier New"/>
                <w:sz w:val="16"/>
                <w:szCs w:val="16"/>
                <w:color w:val="auto"/>
              </w:rPr>
              <w:t>YE99</w:t>
            </w:r>
          </w:p>
        </w:tc>
        <w:tc>
          <w:tcPr>
            <w:tcW w:w="860" w:type="dxa"/>
            <w:vAlign w:val="bottom"/>
          </w:tcPr>
          <w:p>
            <w:pPr>
              <w:jc w:val="center"/>
              <w:ind w:right="121"/>
              <w:spacing w:after="0"/>
              <w:rPr>
                <w:sz w:val="20"/>
                <w:szCs w:val="20"/>
                <w:color w:val="auto"/>
              </w:rPr>
            </w:pPr>
            <w:r>
              <w:rPr>
                <w:rFonts w:ascii="Courier New" w:cs="Courier New" w:eastAsia="Courier New" w:hAnsi="Courier New"/>
                <w:sz w:val="16"/>
                <w:szCs w:val="16"/>
                <w:color w:val="auto"/>
                <w:w w:val="98"/>
              </w:rPr>
              <w:t>YE00</w:t>
            </w:r>
          </w:p>
        </w:tc>
        <w:tc>
          <w:tcPr>
            <w:tcW w:w="1000" w:type="dxa"/>
            <w:vAlign w:val="bottom"/>
          </w:tcPr>
          <w:p>
            <w:pPr>
              <w:ind w:left="240"/>
              <w:spacing w:after="0"/>
              <w:rPr>
                <w:sz w:val="20"/>
                <w:szCs w:val="20"/>
                <w:color w:val="auto"/>
              </w:rPr>
            </w:pPr>
            <w:r>
              <w:rPr>
                <w:rFonts w:ascii="Courier New" w:cs="Courier New" w:eastAsia="Courier New" w:hAnsi="Courier New"/>
                <w:sz w:val="16"/>
                <w:szCs w:val="16"/>
                <w:color w:val="auto"/>
              </w:rPr>
              <w:t>YE01</w:t>
            </w:r>
          </w:p>
        </w:tc>
        <w:tc>
          <w:tcPr>
            <w:tcW w:w="860" w:type="dxa"/>
            <w:vAlign w:val="bottom"/>
          </w:tcPr>
          <w:p>
            <w:pPr>
              <w:ind w:left="180"/>
              <w:spacing w:after="0"/>
              <w:rPr>
                <w:sz w:val="20"/>
                <w:szCs w:val="20"/>
                <w:color w:val="auto"/>
              </w:rPr>
            </w:pPr>
            <w:r>
              <w:rPr>
                <w:rFonts w:ascii="Courier New" w:cs="Courier New" w:eastAsia="Courier New" w:hAnsi="Courier New"/>
                <w:sz w:val="16"/>
                <w:szCs w:val="16"/>
                <w:color w:val="auto"/>
              </w:rPr>
              <w:t>1Q02</w:t>
            </w:r>
          </w:p>
        </w:tc>
        <w:tc>
          <w:tcPr>
            <w:tcW w:w="800" w:type="dxa"/>
            <w:vAlign w:val="bottom"/>
          </w:tcPr>
          <w:p>
            <w:pPr>
              <w:ind w:left="280"/>
              <w:spacing w:after="0"/>
              <w:rPr>
                <w:sz w:val="20"/>
                <w:szCs w:val="20"/>
                <w:color w:val="auto"/>
              </w:rPr>
            </w:pPr>
            <w:r>
              <w:rPr>
                <w:rFonts w:ascii="Courier New" w:cs="Courier New" w:eastAsia="Courier New" w:hAnsi="Courier New"/>
                <w:sz w:val="16"/>
                <w:szCs w:val="16"/>
                <w:color w:val="auto"/>
              </w:rPr>
              <w:t>YE02E</w:t>
            </w:r>
          </w:p>
        </w:tc>
        <w:tc>
          <w:tcPr>
            <w:tcW w:w="1000" w:type="dxa"/>
            <w:vAlign w:val="bottom"/>
          </w:tcPr>
          <w:p>
            <w:pPr>
              <w:spacing w:after="0"/>
              <w:rPr>
                <w:sz w:val="24"/>
                <w:szCs w:val="24"/>
                <w:color w:val="auto"/>
              </w:rPr>
            </w:pPr>
          </w:p>
        </w:tc>
      </w:tr>
      <w:tr>
        <w:trPr>
          <w:trHeight w:val="550"/>
        </w:trPr>
        <w:tc>
          <w:tcPr>
            <w:tcW w:w="9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200" w:type="dxa"/>
            <w:vAlign w:val="bottom"/>
            <w:gridSpan w:val="4"/>
          </w:tcPr>
          <w:p>
            <w:pPr>
              <w:ind w:left="180"/>
              <w:spacing w:after="0"/>
              <w:rPr>
                <w:sz w:val="20"/>
                <w:szCs w:val="20"/>
                <w:color w:val="auto"/>
              </w:rPr>
            </w:pPr>
            <w:r>
              <w:rPr>
                <w:rFonts w:ascii="Courier New" w:cs="Courier New" w:eastAsia="Courier New" w:hAnsi="Courier New"/>
                <w:sz w:val="16"/>
                <w:szCs w:val="16"/>
                <w:color w:val="auto"/>
              </w:rPr>
              <w:t>*2002 Guidance: 600-700,000 net additions</w:t>
            </w:r>
          </w:p>
        </w:tc>
        <w:tc>
          <w:tcPr>
            <w:tcW w:w="80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550"/>
        </w:trPr>
        <w:tc>
          <w:tcPr>
            <w:tcW w:w="1620" w:type="dxa"/>
            <w:vAlign w:val="bottom"/>
            <w:gridSpan w:val="2"/>
          </w:tcPr>
          <w:p>
            <w:pPr>
              <w:spacing w:after="0"/>
              <w:rPr>
                <w:sz w:val="20"/>
                <w:szCs w:val="20"/>
                <w:color w:val="auto"/>
              </w:rPr>
            </w:pPr>
            <w:r>
              <w:rPr>
                <w:rFonts w:ascii="Courier New" w:cs="Courier New" w:eastAsia="Courier New" w:hAnsi="Courier New"/>
                <w:sz w:val="16"/>
                <w:szCs w:val="16"/>
                <w:color w:val="auto"/>
              </w:rPr>
              <w:t>Banc of America</w:t>
            </w:r>
          </w:p>
        </w:tc>
        <w:tc>
          <w:tcPr>
            <w:tcW w:w="14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comcast(R)</w:t>
            </w:r>
          </w:p>
        </w:tc>
      </w:tr>
      <w:tr>
        <w:trPr>
          <w:trHeight w:val="183"/>
        </w:trPr>
        <w:tc>
          <w:tcPr>
            <w:tcW w:w="1620" w:type="dxa"/>
            <w:vAlign w:val="bottom"/>
            <w:gridSpan w:val="2"/>
          </w:tcPr>
          <w:p>
            <w:pPr>
              <w:spacing w:after="0"/>
              <w:rPr>
                <w:sz w:val="20"/>
                <w:szCs w:val="20"/>
                <w:color w:val="auto"/>
              </w:rPr>
            </w:pPr>
            <w:r>
              <w:rPr>
                <w:rFonts w:ascii="Courier New" w:cs="Courier New" w:eastAsia="Courier New" w:hAnsi="Courier New"/>
                <w:sz w:val="16"/>
                <w:szCs w:val="16"/>
                <w:color w:val="auto"/>
              </w:rPr>
              <w:t>May 1, 2002</w:t>
            </w:r>
          </w:p>
        </w:tc>
        <w:tc>
          <w:tcPr>
            <w:tcW w:w="14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0" w:type="dxa"/>
            <w:vAlign w:val="bottom"/>
          </w:tcPr>
          <w:p>
            <w:pPr>
              <w:spacing w:after="0"/>
              <w:rPr>
                <w:sz w:val="15"/>
                <w:szCs w:val="15"/>
                <w:color w:val="auto"/>
              </w:rPr>
            </w:pPr>
          </w:p>
        </w:tc>
      </w:tr>
    </w:tbl>
    <w:p>
      <w:pPr>
        <w:sectPr>
          <w:pgSz w:w="11900" w:h="16838" w:orient="portrait"/>
          <w:cols w:equalWidth="0" w:num="1">
            <w:col w:w="10219"/>
          </w:cols>
          <w:pgMar w:left="240" w:top="848" w:right="1440"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5"/>
          <w:szCs w:val="15"/>
          <w:color w:val="auto"/>
        </w:rPr>
        <w:t>Banc of America</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May 1, 2002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comcast(R)</w:t>
      </w:r>
    </w:p>
    <w:p>
      <w:pPr>
        <w:sectPr>
          <w:pgSz w:w="11900" w:h="16838" w:orient="portrait"/>
          <w:cols w:equalWidth="0" w:num="2">
            <w:col w:w="5960" w:space="720"/>
            <w:col w:w="3539"/>
          </w:cols>
          <w:pgMar w:left="240" w:top="851" w:right="1440" w:bottom="1440" w:gutter="0" w:footer="0" w:header="0"/>
        </w:sectPr>
      </w:pPr>
    </w:p>
    <w:bookmarkStart w:id="6" w:name="page7"/>
    <w:bookmarkEnd w:id="6"/>
    <w:p>
      <w:pPr>
        <w:ind w:left="2200"/>
        <w:spacing w:after="0"/>
        <w:rPr>
          <w:sz w:val="20"/>
          <w:szCs w:val="20"/>
          <w:color w:val="auto"/>
        </w:rPr>
      </w:pPr>
      <w:r>
        <w:rPr>
          <w:rFonts w:ascii="Courier New" w:cs="Courier New" w:eastAsia="Courier New" w:hAnsi="Courier New"/>
          <w:sz w:val="16"/>
          <w:szCs w:val="16"/>
          <w:color w:val="auto"/>
        </w:rPr>
        <w:t>Building on the Digital Platform</w:t>
      </w:r>
    </w:p>
    <w:p>
      <w:pPr>
        <w:spacing w:after="0" w:line="186" w:lineRule="exact"/>
        <w:rPr>
          <w:sz w:val="20"/>
          <w:szCs w:val="20"/>
          <w:color w:val="auto"/>
        </w:rPr>
      </w:pPr>
    </w:p>
    <w:p>
      <w:pPr>
        <w:ind w:left="3040"/>
        <w:spacing w:after="0"/>
        <w:rPr>
          <w:sz w:val="20"/>
          <w:szCs w:val="20"/>
          <w:color w:val="auto"/>
        </w:rPr>
      </w:pPr>
      <w:r>
        <w:rPr>
          <w:rFonts w:ascii="Courier New" w:cs="Courier New" w:eastAsia="Courier New" w:hAnsi="Courier New"/>
          <w:sz w:val="16"/>
          <w:szCs w:val="16"/>
          <w:color w:val="auto"/>
        </w:rPr>
        <w:t>Video-On-Demand</w:t>
      </w:r>
    </w:p>
    <w:p>
      <w:pPr>
        <w:spacing w:after="0" w:line="369" w:lineRule="exact"/>
        <w:rPr>
          <w:sz w:val="20"/>
          <w:szCs w:val="20"/>
          <w:color w:val="auto"/>
        </w:rPr>
      </w:pPr>
    </w:p>
    <w:p>
      <w:pPr>
        <w:ind w:left="2280" w:hanging="375"/>
        <w:spacing w:after="0"/>
        <w:tabs>
          <w:tab w:leader="none" w:pos="228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Drive Digital Penetration</w:t>
      </w:r>
    </w:p>
    <w:p>
      <w:pPr>
        <w:spacing w:after="0" w:line="2" w:lineRule="exact"/>
        <w:rPr>
          <w:rFonts w:ascii="Courier New" w:cs="Courier New" w:eastAsia="Courier New" w:hAnsi="Courier New"/>
          <w:sz w:val="16"/>
          <w:szCs w:val="16"/>
          <w:color w:val="auto"/>
        </w:rPr>
      </w:pPr>
    </w:p>
    <w:p>
      <w:pPr>
        <w:ind w:left="2280" w:hanging="375"/>
        <w:spacing w:after="0"/>
        <w:tabs>
          <w:tab w:leader="none" w:pos="228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Competitive Differentiation</w:t>
      </w:r>
    </w:p>
    <w:p>
      <w:pPr>
        <w:spacing w:after="0" w:line="4" w:lineRule="exact"/>
        <w:rPr>
          <w:rFonts w:ascii="Courier New" w:cs="Courier New" w:eastAsia="Courier New" w:hAnsi="Courier New"/>
          <w:sz w:val="16"/>
          <w:szCs w:val="16"/>
          <w:color w:val="auto"/>
        </w:rPr>
      </w:pPr>
    </w:p>
    <w:p>
      <w:pPr>
        <w:ind w:left="2280" w:hanging="375"/>
        <w:spacing w:after="0"/>
        <w:tabs>
          <w:tab w:leader="none" w:pos="228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Today: 3 Million VOD-Ready Homes in 19 Markets</w:t>
      </w:r>
    </w:p>
    <w:p>
      <w:pPr>
        <w:spacing w:after="0" w:line="10" w:lineRule="exact"/>
        <w:rPr>
          <w:rFonts w:ascii="Courier New" w:cs="Courier New" w:eastAsia="Courier New" w:hAnsi="Courier New"/>
          <w:sz w:val="15"/>
          <w:szCs w:val="15"/>
          <w:color w:val="auto"/>
        </w:rPr>
      </w:pPr>
    </w:p>
    <w:p>
      <w:pPr>
        <w:ind w:left="2280" w:hanging="375"/>
        <w:spacing w:after="0"/>
        <w:tabs>
          <w:tab w:leader="none" w:pos="228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YE02:  5-6 Million VOD-Ready Homes</w:t>
      </w:r>
    </w:p>
    <w:p>
      <w:pPr>
        <w:sectPr>
          <w:pgSz w:w="11900" w:h="16838" w:orient="portrait"/>
          <w:cols w:equalWidth="0" w:num="1">
            <w:col w:w="10219"/>
          </w:cols>
          <w:pgMar w:left="240" w:top="848" w:right="1440" w:bottom="1440" w:gutter="0" w:footer="0" w:header="0"/>
        </w:sectPr>
      </w:pP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Banc of America</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May 1, 2002</w:t>
      </w:r>
    </w:p>
    <w:p>
      <w:pPr>
        <w:spacing w:after="0" w:line="20" w:lineRule="exact"/>
        <w:rPr>
          <w:sz w:val="20"/>
          <w:szCs w:val="20"/>
          <w:color w:val="auto"/>
        </w:rPr>
      </w:pPr>
      <w:r>
        <w:rPr>
          <w:sz w:val="20"/>
          <w:szCs w:val="20"/>
          <w:color w:val="auto"/>
        </w:rPr>
        <w:br w:type="column"/>
      </w:r>
    </w:p>
    <w:p>
      <w:pPr>
        <w:spacing w:after="0" w:line="35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comcast(R)</w:t>
      </w:r>
    </w:p>
    <w:p>
      <w:pPr>
        <w:sectPr>
          <w:pgSz w:w="11900" w:h="16838" w:orient="portrait"/>
          <w:cols w:equalWidth="0" w:num="2">
            <w:col w:w="5960" w:space="720"/>
            <w:col w:w="3539"/>
          </w:cols>
          <w:pgMar w:left="240" w:top="848" w:right="1440" w:bottom="1440" w:gutter="0" w:footer="0" w:header="0"/>
          <w:type w:val="continuous"/>
        </w:sectPr>
      </w:pPr>
    </w:p>
    <w:bookmarkStart w:id="7" w:name="page8"/>
    <w:bookmarkEnd w:id="7"/>
    <w:p>
      <w:pPr>
        <w:ind w:left="2760"/>
        <w:spacing w:after="0"/>
        <w:rPr>
          <w:sz w:val="20"/>
          <w:szCs w:val="20"/>
          <w:color w:val="auto"/>
        </w:rPr>
      </w:pPr>
      <w:r>
        <w:rPr>
          <w:rFonts w:ascii="Courier New" w:cs="Courier New" w:eastAsia="Courier New" w:hAnsi="Courier New"/>
          <w:sz w:val="15"/>
          <w:szCs w:val="15"/>
          <w:color w:val="auto"/>
        </w:rPr>
        <w:t>VOD...More Than Movies</w:t>
      </w:r>
    </w:p>
    <w:p>
      <w:pPr>
        <w:sectPr>
          <w:pgSz w:w="11900" w:h="16838" w:orient="portrait"/>
          <w:cols w:equalWidth="0" w:num="1">
            <w:col w:w="10219"/>
          </w:cols>
          <w:pgMar w:left="240" w:top="851" w:right="1440" w:bottom="1440" w:gutter="0" w:footer="0" w:header="0"/>
        </w:sectPr>
      </w:pPr>
    </w:p>
    <w:p>
      <w:pPr>
        <w:spacing w:after="0" w:line="194" w:lineRule="exact"/>
        <w:rPr>
          <w:sz w:val="20"/>
          <w:szCs w:val="20"/>
          <w:color w:val="auto"/>
        </w:rPr>
      </w:pPr>
    </w:p>
    <w:p>
      <w:pPr>
        <w:ind w:left="1420"/>
        <w:spacing w:after="0"/>
        <w:rPr>
          <w:sz w:val="20"/>
          <w:szCs w:val="20"/>
          <w:color w:val="auto"/>
        </w:rPr>
      </w:pPr>
      <w:r>
        <w:rPr>
          <w:rFonts w:ascii="Courier New" w:cs="Courier New" w:eastAsia="Courier New" w:hAnsi="Courier New"/>
          <w:sz w:val="16"/>
          <w:szCs w:val="16"/>
          <w:color w:val="auto"/>
        </w:rPr>
        <w:t>Movies</w:t>
      </w:r>
    </w:p>
    <w:p>
      <w:pPr>
        <w:spacing w:after="0" w:line="2" w:lineRule="exact"/>
        <w:rPr>
          <w:sz w:val="20"/>
          <w:szCs w:val="20"/>
          <w:color w:val="auto"/>
        </w:rPr>
      </w:pPr>
    </w:p>
    <w:p>
      <w:pPr>
        <w:ind w:left="1620"/>
        <w:spacing w:after="0"/>
        <w:rPr>
          <w:sz w:val="20"/>
          <w:szCs w:val="20"/>
          <w:color w:val="auto"/>
        </w:rPr>
      </w:pPr>
      <w:r>
        <w:rPr>
          <w:rFonts w:ascii="Courier New" w:cs="Courier New" w:eastAsia="Courier New" w:hAnsi="Courier New"/>
          <w:sz w:val="16"/>
          <w:szCs w:val="16"/>
          <w:color w:val="auto"/>
        </w:rPr>
        <w:t>|</w:t>
      </w:r>
    </w:p>
    <w:p>
      <w:pPr>
        <w:spacing w:after="0" w:line="2" w:lineRule="exact"/>
        <w:rPr>
          <w:sz w:val="20"/>
          <w:szCs w:val="20"/>
          <w:color w:val="auto"/>
        </w:rPr>
      </w:pPr>
    </w:p>
    <w:p>
      <w:pPr>
        <w:ind w:left="1620"/>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left="860"/>
        <w:spacing w:after="0"/>
        <w:rPr>
          <w:sz w:val="20"/>
          <w:szCs w:val="20"/>
          <w:color w:val="auto"/>
        </w:rPr>
      </w:pPr>
      <w:r>
        <w:rPr>
          <w:rFonts w:ascii="Courier New" w:cs="Courier New" w:eastAsia="Courier New" w:hAnsi="Courier New"/>
          <w:sz w:val="15"/>
          <w:szCs w:val="15"/>
          <w:color w:val="auto"/>
        </w:rPr>
        <w:t>----------------</w:t>
      </w:r>
    </w:p>
    <w:p>
      <w:pPr>
        <w:spacing w:after="0" w:line="11" w:lineRule="exact"/>
        <w:rPr>
          <w:sz w:val="20"/>
          <w:szCs w:val="20"/>
          <w:color w:val="auto"/>
        </w:rPr>
      </w:pPr>
    </w:p>
    <w:p>
      <w:pPr>
        <w:ind w:left="1340"/>
        <w:spacing w:after="0"/>
        <w:rPr>
          <w:sz w:val="20"/>
          <w:szCs w:val="20"/>
          <w:color w:val="auto"/>
        </w:rPr>
      </w:pPr>
      <w:r>
        <w:rPr>
          <w:rFonts w:ascii="Courier New" w:cs="Courier New" w:eastAsia="Courier New" w:hAnsi="Courier New"/>
          <w:sz w:val="16"/>
          <w:szCs w:val="16"/>
          <w:color w:val="auto"/>
        </w:rPr>
        <w:t>Impulse</w:t>
      </w:r>
    </w:p>
    <w:p>
      <w:pPr>
        <w:spacing w:after="0" w:line="20" w:lineRule="exact"/>
        <w:rPr>
          <w:sz w:val="20"/>
          <w:szCs w:val="20"/>
          <w:color w:val="auto"/>
        </w:rPr>
      </w:pPr>
      <w:r>
        <w:rPr>
          <w:sz w:val="20"/>
          <w:szCs w:val="20"/>
          <w:color w:val="auto"/>
        </w:rPr>
        <w:br w:type="column"/>
      </w:r>
    </w:p>
    <w:p>
      <w:pPr>
        <w:spacing w:after="0" w:line="174"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Time Shifted Programming</w:t>
      </w:r>
    </w:p>
    <w:p>
      <w:pPr>
        <w:spacing w:after="0" w:line="2" w:lineRule="exact"/>
        <w:rPr>
          <w:sz w:val="20"/>
          <w:szCs w:val="20"/>
          <w:color w:val="auto"/>
        </w:rPr>
      </w:pPr>
    </w:p>
    <w:p>
      <w:pPr>
        <w:ind w:left="1920"/>
        <w:spacing w:after="0"/>
        <w:rPr>
          <w:sz w:val="20"/>
          <w:szCs w:val="20"/>
          <w:color w:val="auto"/>
        </w:rPr>
      </w:pPr>
      <w:r>
        <w:rPr>
          <w:rFonts w:ascii="Courier New" w:cs="Courier New" w:eastAsia="Courier New" w:hAnsi="Courier New"/>
          <w:sz w:val="16"/>
          <w:szCs w:val="16"/>
          <w:color w:val="auto"/>
        </w:rPr>
        <w:t>|</w:t>
      </w:r>
    </w:p>
    <w:p>
      <w:pPr>
        <w:spacing w:after="0" w:line="2" w:lineRule="exact"/>
        <w:rPr>
          <w:sz w:val="20"/>
          <w:szCs w:val="20"/>
          <w:color w:val="auto"/>
        </w:rPr>
      </w:pPr>
    </w:p>
    <w:p>
      <w:pPr>
        <w:ind w:left="1920"/>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left="380"/>
        <w:spacing w:after="0"/>
        <w:rPr>
          <w:sz w:val="20"/>
          <w:szCs w:val="20"/>
          <w:color w:val="auto"/>
        </w:rPr>
      </w:pPr>
      <w:r>
        <w:rPr>
          <w:rFonts w:ascii="Courier New" w:cs="Courier New" w:eastAsia="Courier New" w:hAnsi="Courier New"/>
          <w:sz w:val="15"/>
          <w:szCs w:val="15"/>
          <w:color w:val="auto"/>
        </w:rPr>
        <w:t>----------------------------------</w:t>
      </w:r>
    </w:p>
    <w:p>
      <w:pPr>
        <w:spacing w:after="0" w:line="11" w:lineRule="exact"/>
        <w:rPr>
          <w:sz w:val="20"/>
          <w:szCs w:val="20"/>
          <w:color w:val="auto"/>
        </w:rPr>
      </w:pPr>
    </w:p>
    <w:p>
      <w:pPr>
        <w:ind w:left="860"/>
        <w:spacing w:after="0"/>
        <w:tabs>
          <w:tab w:leader="none" w:pos="2280" w:val="left"/>
          <w:tab w:leader="none" w:pos="2660" w:val="left"/>
        </w:tabs>
        <w:rPr>
          <w:sz w:val="20"/>
          <w:szCs w:val="20"/>
          <w:color w:val="auto"/>
        </w:rPr>
      </w:pPr>
      <w:r>
        <w:rPr>
          <w:rFonts w:ascii="Courier New" w:cs="Courier New" w:eastAsia="Courier New" w:hAnsi="Courier New"/>
          <w:sz w:val="16"/>
          <w:szCs w:val="16"/>
          <w:color w:val="auto"/>
        </w:rPr>
        <w:t>Subscription</w:t>
      </w:r>
      <w:r>
        <w:rPr>
          <w:sz w:val="20"/>
          <w:szCs w:val="20"/>
          <w:color w:val="auto"/>
        </w:rPr>
        <w:tab/>
      </w: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5"/>
          <w:szCs w:val="15"/>
          <w:color w:val="auto"/>
        </w:rPr>
        <w:t>Free</w:t>
      </w:r>
    </w:p>
    <w:p>
      <w:pPr>
        <w:spacing w:after="0" w:line="2" w:lineRule="exact"/>
        <w:rPr>
          <w:sz w:val="20"/>
          <w:szCs w:val="20"/>
          <w:color w:val="auto"/>
        </w:rPr>
      </w:pPr>
    </w:p>
    <w:p>
      <w:pPr>
        <w:ind w:left="1340"/>
        <w:spacing w:after="0"/>
        <w:tabs>
          <w:tab w:leader="none" w:pos="284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w:t>
      </w:r>
    </w:p>
    <w:p>
      <w:pPr>
        <w:spacing w:after="0" w:line="2" w:lineRule="exact"/>
        <w:rPr>
          <w:sz w:val="20"/>
          <w:szCs w:val="20"/>
          <w:color w:val="auto"/>
        </w:rPr>
      </w:pPr>
    </w:p>
    <w:p>
      <w:pPr>
        <w:ind w:left="1340"/>
        <w:spacing w:after="0"/>
        <w:tabs>
          <w:tab w:leader="none" w:pos="284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w:t>
      </w:r>
    </w:p>
    <w:p>
      <w:pPr>
        <w:spacing w:after="0" w:line="2" w:lineRule="exact"/>
        <w:rPr>
          <w:sz w:val="20"/>
          <w:szCs w:val="20"/>
          <w:color w:val="auto"/>
        </w:rPr>
      </w:pPr>
    </w:p>
    <w:p>
      <w:pPr>
        <w:ind w:left="1240"/>
        <w:spacing w:after="0"/>
        <w:tabs>
          <w:tab w:leader="none" w:pos="2460" w:val="left"/>
        </w:tabs>
        <w:rPr>
          <w:sz w:val="20"/>
          <w:szCs w:val="20"/>
          <w:color w:val="auto"/>
        </w:rPr>
      </w:pPr>
      <w:r>
        <w:rPr>
          <w:rFonts w:ascii="Courier New" w:cs="Courier New" w:eastAsia="Courier New" w:hAnsi="Courier New"/>
          <w:sz w:val="16"/>
          <w:szCs w:val="16"/>
          <w:color w:val="auto"/>
        </w:rPr>
        <w:t>HBO</w:t>
      </w:r>
      <w:r>
        <w:rPr>
          <w:sz w:val="20"/>
          <w:szCs w:val="20"/>
          <w:color w:val="auto"/>
        </w:rPr>
        <w:tab/>
      </w:r>
      <w:r>
        <w:rPr>
          <w:rFonts w:ascii="Courier New" w:cs="Courier New" w:eastAsia="Courier New" w:hAnsi="Courier New"/>
          <w:sz w:val="16"/>
          <w:szCs w:val="16"/>
          <w:color w:val="auto"/>
        </w:rPr>
        <w:t>"Best of"</w:t>
      </w:r>
    </w:p>
    <w:p>
      <w:pPr>
        <w:spacing w:after="0" w:line="2" w:lineRule="exact"/>
        <w:rPr>
          <w:sz w:val="20"/>
          <w:szCs w:val="20"/>
          <w:color w:val="auto"/>
        </w:rPr>
      </w:pPr>
    </w:p>
    <w:p>
      <w:pPr>
        <w:ind w:left="1060"/>
        <w:spacing w:after="0"/>
        <w:tabs>
          <w:tab w:leader="none" w:pos="2460" w:val="left"/>
        </w:tabs>
        <w:rPr>
          <w:sz w:val="20"/>
          <w:szCs w:val="20"/>
          <w:color w:val="auto"/>
        </w:rPr>
      </w:pPr>
      <w:r>
        <w:rPr>
          <w:rFonts w:ascii="Courier New" w:cs="Courier New" w:eastAsia="Courier New" w:hAnsi="Courier New"/>
          <w:sz w:val="16"/>
          <w:szCs w:val="16"/>
          <w:color w:val="auto"/>
        </w:rPr>
        <w:t>Showtime</w:t>
      </w:r>
      <w:r>
        <w:rPr>
          <w:sz w:val="20"/>
          <w:szCs w:val="20"/>
          <w:color w:val="auto"/>
        </w:rPr>
        <w:tab/>
      </w:r>
      <w:r>
        <w:rPr>
          <w:rFonts w:ascii="Courier New" w:cs="Courier New" w:eastAsia="Courier New" w:hAnsi="Courier New"/>
          <w:sz w:val="16"/>
          <w:szCs w:val="16"/>
          <w:color w:val="auto"/>
        </w:rPr>
        <w:t>Cable and</w:t>
      </w:r>
    </w:p>
    <w:p>
      <w:pPr>
        <w:spacing w:after="0" w:line="2" w:lineRule="exact"/>
        <w:rPr>
          <w:sz w:val="20"/>
          <w:szCs w:val="20"/>
          <w:color w:val="auto"/>
        </w:rPr>
      </w:pPr>
    </w:p>
    <w:p>
      <w:pPr>
        <w:ind w:left="1140"/>
        <w:spacing w:after="0"/>
        <w:tabs>
          <w:tab w:leader="none" w:pos="2360" w:val="left"/>
        </w:tabs>
        <w:rPr>
          <w:sz w:val="20"/>
          <w:szCs w:val="20"/>
          <w:color w:val="auto"/>
        </w:rPr>
      </w:pPr>
      <w:r>
        <w:rPr>
          <w:rFonts w:ascii="Courier New" w:cs="Courier New" w:eastAsia="Courier New" w:hAnsi="Courier New"/>
          <w:sz w:val="16"/>
          <w:szCs w:val="16"/>
          <w:color w:val="auto"/>
        </w:rPr>
        <w:t>STARZ!</w:t>
      </w:r>
      <w:r>
        <w:rPr>
          <w:sz w:val="20"/>
          <w:szCs w:val="20"/>
          <w:color w:val="auto"/>
        </w:rPr>
        <w:tab/>
      </w:r>
      <w:r>
        <w:rPr>
          <w:rFonts w:ascii="Courier New" w:cs="Courier New" w:eastAsia="Courier New" w:hAnsi="Courier New"/>
          <w:sz w:val="16"/>
          <w:szCs w:val="16"/>
          <w:color w:val="auto"/>
        </w:rPr>
        <w:t>Broadcasting</w:t>
      </w:r>
    </w:p>
    <w:p>
      <w:pPr>
        <w:spacing w:after="0" w:line="200" w:lineRule="exact"/>
        <w:rPr>
          <w:sz w:val="20"/>
          <w:szCs w:val="20"/>
          <w:color w:val="auto"/>
        </w:rPr>
      </w:pPr>
    </w:p>
    <w:p>
      <w:pPr>
        <w:sectPr>
          <w:pgSz w:w="11900" w:h="16838" w:orient="portrait"/>
          <w:cols w:equalWidth="0" w:num="2">
            <w:col w:w="2420" w:space="720"/>
            <w:col w:w="7079"/>
          </w:cols>
          <w:pgMar w:left="240" w:top="851" w:right="1440" w:bottom="1440" w:gutter="0" w:footer="0" w:header="0"/>
          <w:type w:val="continuous"/>
        </w:sectPr>
      </w:pPr>
    </w:p>
    <w:p>
      <w:pPr>
        <w:spacing w:after="0" w:line="172" w:lineRule="exact"/>
        <w:rPr>
          <w:sz w:val="20"/>
          <w:szCs w:val="20"/>
          <w:color w:val="auto"/>
        </w:rPr>
      </w:pPr>
    </w:p>
    <w:p>
      <w:pPr>
        <w:ind w:left="2960"/>
        <w:spacing w:after="0"/>
        <w:rPr>
          <w:sz w:val="20"/>
          <w:szCs w:val="20"/>
          <w:color w:val="auto"/>
        </w:rPr>
      </w:pPr>
      <w:r>
        <w:rPr>
          <w:rFonts w:ascii="Courier New" w:cs="Courier New" w:eastAsia="Courier New" w:hAnsi="Courier New"/>
          <w:sz w:val="15"/>
          <w:szCs w:val="15"/>
          <w:color w:val="auto"/>
        </w:rPr>
        <w:t>[GRAPHIC OMITTED]</w:t>
      </w:r>
    </w:p>
    <w:p>
      <w:pPr>
        <w:sectPr>
          <w:pgSz w:w="11900" w:h="16838" w:orient="portrait"/>
          <w:cols w:equalWidth="0" w:num="1">
            <w:col w:w="10219"/>
          </w:cols>
          <w:pgMar w:left="240" w:top="851" w:right="1440" w:bottom="1440" w:gutter="0" w:footer="0" w:header="0"/>
          <w:type w:val="continuous"/>
        </w:sectPr>
      </w:pPr>
    </w:p>
    <w:p>
      <w:pPr>
        <w:spacing w:after="0" w:line="3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Banc of America</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May 1, 2002</w:t>
      </w:r>
    </w:p>
    <w:p>
      <w:pPr>
        <w:spacing w:after="0" w:line="20" w:lineRule="exact"/>
        <w:rPr>
          <w:sz w:val="20"/>
          <w:szCs w:val="20"/>
          <w:color w:val="auto"/>
        </w:rPr>
      </w:pPr>
      <w:r>
        <w:rPr>
          <w:sz w:val="20"/>
          <w:szCs w:val="20"/>
          <w:color w:val="auto"/>
        </w:rPr>
        <w:br w:type="column"/>
      </w:r>
    </w:p>
    <w:p>
      <w:pPr>
        <w:spacing w:after="0" w:line="3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comcast(R)</w:t>
      </w:r>
    </w:p>
    <w:p>
      <w:pPr>
        <w:sectPr>
          <w:pgSz w:w="11900" w:h="16838" w:orient="portrait"/>
          <w:cols w:equalWidth="0" w:num="2">
            <w:col w:w="5960" w:space="720"/>
            <w:col w:w="3539"/>
          </w:cols>
          <w:pgMar w:left="240" w:top="851" w:right="1440" w:bottom="1440" w:gutter="0" w:footer="0" w:header="0"/>
          <w:type w:val="continuous"/>
        </w:sectPr>
      </w:pPr>
    </w:p>
    <w:bookmarkStart w:id="8" w:name="page9"/>
    <w:bookmarkEnd w:id="8"/>
    <w:p>
      <w:pPr>
        <w:jc w:val="center"/>
        <w:ind w:right="2779"/>
        <w:spacing w:after="0"/>
        <w:rPr>
          <w:sz w:val="20"/>
          <w:szCs w:val="20"/>
          <w:color w:val="auto"/>
        </w:rPr>
      </w:pPr>
      <w:r>
        <w:rPr>
          <w:rFonts w:ascii="Courier New" w:cs="Courier New" w:eastAsia="Courier New" w:hAnsi="Courier New"/>
          <w:sz w:val="15"/>
          <w:szCs w:val="15"/>
          <w:color w:val="auto"/>
        </w:rPr>
        <w:t>Building on the Digital Platform</w:t>
      </w:r>
    </w:p>
    <w:p>
      <w:pPr>
        <w:spacing w:after="0" w:line="194" w:lineRule="exact"/>
        <w:rPr>
          <w:sz w:val="20"/>
          <w:szCs w:val="20"/>
          <w:color w:val="auto"/>
        </w:rPr>
      </w:pPr>
    </w:p>
    <w:p>
      <w:pPr>
        <w:ind w:left="2480"/>
        <w:spacing w:after="0"/>
        <w:rPr>
          <w:sz w:val="20"/>
          <w:szCs w:val="20"/>
          <w:color w:val="auto"/>
        </w:rPr>
      </w:pPr>
      <w:r>
        <w:rPr>
          <w:rFonts w:ascii="Courier New" w:cs="Courier New" w:eastAsia="Courier New" w:hAnsi="Courier New"/>
          <w:sz w:val="16"/>
          <w:szCs w:val="16"/>
          <w:color w:val="auto"/>
        </w:rPr>
        <w:t>High-Definition Television</w:t>
      </w:r>
    </w:p>
    <w:p>
      <w:pPr>
        <w:sectPr>
          <w:pgSz w:w="11900" w:h="16838" w:orient="portrait"/>
          <w:cols w:equalWidth="0" w:num="1">
            <w:col w:w="10219"/>
          </w:cols>
          <w:pgMar w:left="240" w:top="851" w:right="1440" w:bottom="1440" w:gutter="0" w:footer="0" w:header="0"/>
        </w:sectPr>
      </w:pP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 Today:</w:t>
      </w:r>
    </w:p>
    <w:p>
      <w:pPr>
        <w:spacing w:after="0" w:line="20" w:lineRule="exact"/>
        <w:rPr>
          <w:sz w:val="20"/>
          <w:szCs w:val="20"/>
          <w:color w:val="auto"/>
        </w:rPr>
      </w:pPr>
      <w:r>
        <w:rPr>
          <w:sz w:val="20"/>
          <w:szCs w:val="20"/>
          <w:color w:val="auto"/>
        </w:rPr>
        <w:br w:type="column"/>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Available to 1.3MM</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Customers in Philadelphia</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and New Jersey</w:t>
      </w:r>
    </w:p>
    <w:p>
      <w:pPr>
        <w:spacing w:after="0" w:line="186" w:lineRule="exact"/>
        <w:rPr>
          <w:sz w:val="20"/>
          <w:szCs w:val="20"/>
          <w:color w:val="auto"/>
        </w:rPr>
      </w:pPr>
    </w:p>
    <w:p>
      <w:pPr>
        <w:sectPr>
          <w:pgSz w:w="11900" w:h="16838" w:orient="portrait"/>
          <w:cols w:equalWidth="0" w:num="2">
            <w:col w:w="800" w:space="720"/>
            <w:col w:w="8699"/>
          </w:cols>
          <w:pgMar w:left="240" w:top="851" w:right="1440" w:bottom="1440" w:gutter="0" w:footer="0" w:header="0"/>
          <w:type w:val="continuous"/>
        </w:sectPr>
      </w:pP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 YE 2002: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Expand Offering in Mid-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Atlantic Super Cluster and</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to Other Key Markets</w:t>
      </w:r>
    </w:p>
    <w:p>
      <w:pPr>
        <w:spacing w:after="0" w:line="188" w:lineRule="exact"/>
        <w:rPr>
          <w:sz w:val="20"/>
          <w:szCs w:val="20"/>
          <w:color w:val="auto"/>
        </w:rPr>
      </w:pPr>
    </w:p>
    <w:p>
      <w:pPr>
        <w:sectPr>
          <w:pgSz w:w="11900" w:h="16838" w:orient="portrait"/>
          <w:cols w:equalWidth="0" w:num="2">
            <w:col w:w="960" w:space="560"/>
            <w:col w:w="8699"/>
          </w:cols>
          <w:pgMar w:left="240" w:top="851"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o Programming: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ABC, NBC, HBO, and Showtime</w:t>
      </w:r>
    </w:p>
    <w:p>
      <w:pPr>
        <w:spacing w:after="0" w:line="197" w:lineRule="exact"/>
        <w:rPr>
          <w:sz w:val="20"/>
          <w:szCs w:val="20"/>
          <w:color w:val="auto"/>
        </w:rPr>
      </w:pPr>
    </w:p>
    <w:p>
      <w:pPr>
        <w:sectPr>
          <w:pgSz w:w="11900" w:h="16838" w:orient="portrait"/>
          <w:cols w:equalWidth="0" w:num="2">
            <w:col w:w="1340" w:space="180"/>
            <w:col w:w="8699"/>
          </w:cols>
          <w:pgMar w:left="240" w:top="851"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o 2003:</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Comcast SportsNet</w:t>
      </w:r>
    </w:p>
    <w:p>
      <w:pPr>
        <w:spacing w:after="0" w:line="200" w:lineRule="exact"/>
        <w:rPr>
          <w:sz w:val="20"/>
          <w:szCs w:val="20"/>
          <w:color w:val="auto"/>
        </w:rPr>
      </w:pPr>
    </w:p>
    <w:p>
      <w:pPr>
        <w:sectPr>
          <w:pgSz w:w="11900" w:h="16838" w:orient="portrait"/>
          <w:cols w:equalWidth="0" w:num="2">
            <w:col w:w="800" w:space="720"/>
            <w:col w:w="8699"/>
          </w:cols>
          <w:pgMar w:left="240" w:top="851" w:right="1440" w:bottom="1440" w:gutter="0" w:footer="0" w:header="0"/>
          <w:type w:val="continuous"/>
        </w:sectPr>
      </w:pPr>
    </w:p>
    <w:p>
      <w:pPr>
        <w:spacing w:after="0" w:line="180" w:lineRule="exact"/>
        <w:rPr>
          <w:sz w:val="20"/>
          <w:szCs w:val="20"/>
          <w:color w:val="auto"/>
        </w:rPr>
      </w:pPr>
    </w:p>
    <w:p>
      <w:pPr>
        <w:ind w:left="5920"/>
        <w:spacing w:after="0"/>
        <w:rPr>
          <w:sz w:val="20"/>
          <w:szCs w:val="20"/>
          <w:color w:val="auto"/>
        </w:rPr>
      </w:pPr>
      <w:r>
        <w:rPr>
          <w:rFonts w:ascii="Courier New" w:cs="Courier New" w:eastAsia="Courier New" w:hAnsi="Courier New"/>
          <w:sz w:val="15"/>
          <w:szCs w:val="15"/>
          <w:color w:val="auto"/>
        </w:rPr>
        <w:t>[GRAPHIC OMITTED]</w:t>
      </w:r>
    </w:p>
    <w:p>
      <w:pPr>
        <w:sectPr>
          <w:pgSz w:w="11900" w:h="16838" w:orient="portrait"/>
          <w:cols w:equalWidth="0" w:num="1">
            <w:col w:w="10219"/>
          </w:cols>
          <w:pgMar w:left="240" w:top="851" w:right="1440" w:bottom="1440" w:gutter="0" w:footer="0" w:header="0"/>
          <w:type w:val="continuous"/>
        </w:sectPr>
      </w:pPr>
    </w:p>
    <w:p>
      <w:pPr>
        <w:spacing w:after="0" w:line="3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Banc of America</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May 1, 2002</w:t>
      </w:r>
    </w:p>
    <w:p>
      <w:pPr>
        <w:spacing w:after="0" w:line="20" w:lineRule="exact"/>
        <w:rPr>
          <w:sz w:val="20"/>
          <w:szCs w:val="20"/>
          <w:color w:val="auto"/>
        </w:rPr>
      </w:pPr>
      <w:r>
        <w:rPr>
          <w:sz w:val="20"/>
          <w:szCs w:val="20"/>
          <w:color w:val="auto"/>
        </w:rPr>
        <w:br w:type="column"/>
      </w:r>
    </w:p>
    <w:p>
      <w:pPr>
        <w:spacing w:after="0" w:line="3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comcast(R)</w:t>
      </w:r>
    </w:p>
    <w:p>
      <w:pPr>
        <w:sectPr>
          <w:pgSz w:w="11900" w:h="16838" w:orient="portrait"/>
          <w:cols w:equalWidth="0" w:num="2">
            <w:col w:w="5960" w:space="720"/>
            <w:col w:w="3539"/>
          </w:cols>
          <w:pgMar w:left="240" w:top="851" w:right="1440" w:bottom="1440" w:gutter="0" w:footer="0" w:header="0"/>
          <w:type w:val="continuous"/>
        </w:sectPr>
      </w:pPr>
    </w:p>
    <w:bookmarkStart w:id="9" w:name="page10"/>
    <w:bookmarkEnd w:id="9"/>
    <w:tbl>
      <w:tblPr>
        <w:tblLayout w:type="fixed"/>
        <w:tblInd w:w="0" w:type="dxa"/>
        <w:tblCellMar>
          <w:top w:w="0" w:type="dxa"/>
          <w:left w:w="0" w:type="dxa"/>
          <w:bottom w:w="0" w:type="dxa"/>
          <w:right w:w="0" w:type="dxa"/>
        </w:tblCellMar>
      </w:tblPr>
      <w:tr>
        <w:trPr>
          <w:trHeight w:val="181"/>
        </w:trPr>
        <w:tc>
          <w:tcPr>
            <w:tcW w:w="3140" w:type="dxa"/>
            <w:vAlign w:val="bottom"/>
            <w:gridSpan w:val="2"/>
          </w:tcPr>
          <w:p>
            <w:pPr>
              <w:spacing w:after="0"/>
              <w:rPr>
                <w:sz w:val="20"/>
                <w:szCs w:val="20"/>
                <w:color w:val="auto"/>
              </w:rPr>
            </w:pPr>
            <w:r>
              <w:rPr>
                <w:rFonts w:ascii="Courier New" w:cs="Courier New" w:eastAsia="Courier New" w:hAnsi="Courier New"/>
                <w:sz w:val="16"/>
                <w:szCs w:val="16"/>
                <w:color w:val="auto"/>
              </w:rPr>
              <w:t>comcast(R) High-Speed Internet</w:t>
            </w:r>
          </w:p>
        </w:tc>
        <w:tc>
          <w:tcPr>
            <w:tcW w:w="7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800" w:type="dxa"/>
            <w:vAlign w:val="bottom"/>
          </w:tcPr>
          <w:p>
            <w:pPr>
              <w:spacing w:after="0"/>
              <w:rPr>
                <w:sz w:val="15"/>
                <w:szCs w:val="15"/>
                <w:color w:val="auto"/>
              </w:rPr>
            </w:pPr>
          </w:p>
        </w:tc>
      </w:tr>
      <w:tr>
        <w:trPr>
          <w:trHeight w:val="550"/>
        </w:trPr>
        <w:tc>
          <w:tcPr>
            <w:tcW w:w="1620" w:type="dxa"/>
            <w:vAlign w:val="bottom"/>
          </w:tcPr>
          <w:p>
            <w:pPr>
              <w:spacing w:after="0"/>
              <w:rPr>
                <w:sz w:val="20"/>
                <w:szCs w:val="20"/>
                <w:color w:val="auto"/>
              </w:rPr>
            </w:pPr>
            <w:r>
              <w:rPr>
                <w:rFonts w:ascii="Courier New" w:cs="Courier New" w:eastAsia="Courier New" w:hAnsi="Courier New"/>
                <w:sz w:val="16"/>
                <w:szCs w:val="16"/>
                <w:color w:val="auto"/>
              </w:rPr>
              <w:t>Subscriptions</w:t>
            </w:r>
          </w:p>
        </w:tc>
        <w:tc>
          <w:tcPr>
            <w:tcW w:w="15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0" w:type="dxa"/>
            <w:vAlign w:val="bottom"/>
          </w:tcPr>
          <w:p>
            <w:pPr>
              <w:spacing w:after="0"/>
              <w:rPr>
                <w:sz w:val="24"/>
                <w:szCs w:val="24"/>
                <w:color w:val="auto"/>
              </w:rPr>
            </w:pPr>
          </w:p>
        </w:tc>
      </w:tr>
      <w:tr>
        <w:trPr>
          <w:trHeight w:val="183"/>
        </w:trPr>
        <w:tc>
          <w:tcPr>
            <w:tcW w:w="162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(000s)</w:t>
            </w:r>
          </w:p>
        </w:tc>
        <w:tc>
          <w:tcPr>
            <w:tcW w:w="15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800" w:type="dxa"/>
            <w:vAlign w:val="bottom"/>
          </w:tcPr>
          <w:p>
            <w:pPr>
              <w:spacing w:after="0"/>
              <w:rPr>
                <w:sz w:val="15"/>
                <w:szCs w:val="15"/>
                <w:color w:val="auto"/>
              </w:rPr>
            </w:pPr>
          </w:p>
        </w:tc>
      </w:tr>
      <w:tr>
        <w:trPr>
          <w:trHeight w:val="183"/>
        </w:trPr>
        <w:tc>
          <w:tcPr>
            <w:tcW w:w="162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80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Penetration</w:t>
            </w:r>
          </w:p>
        </w:tc>
      </w:tr>
      <w:tr>
        <w:trPr>
          <w:trHeight w:val="367"/>
        </w:trPr>
        <w:tc>
          <w:tcPr>
            <w:tcW w:w="1620" w:type="dxa"/>
            <w:vAlign w:val="bottom"/>
          </w:tcPr>
          <w:p>
            <w:pPr>
              <w:jc w:val="right"/>
              <w:ind w:right="1061"/>
              <w:spacing w:after="0"/>
              <w:rPr>
                <w:sz w:val="20"/>
                <w:szCs w:val="20"/>
                <w:color w:val="auto"/>
              </w:rPr>
            </w:pPr>
            <w:r>
              <w:rPr>
                <w:rFonts w:ascii="Courier New" w:cs="Courier New" w:eastAsia="Courier New" w:hAnsi="Courier New"/>
                <w:sz w:val="16"/>
                <w:szCs w:val="16"/>
                <w:color w:val="auto"/>
                <w:w w:val="95"/>
              </w:rPr>
              <w:t>1,600</w:t>
            </w:r>
          </w:p>
        </w:tc>
        <w:tc>
          <w:tcPr>
            <w:tcW w:w="15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14%</w:t>
            </w:r>
          </w:p>
        </w:tc>
      </w:tr>
      <w:tr>
        <w:trPr>
          <w:trHeight w:val="183"/>
        </w:trPr>
        <w:tc>
          <w:tcPr>
            <w:tcW w:w="3140" w:type="dxa"/>
            <w:vAlign w:val="bottom"/>
            <w:gridSpan w:val="2"/>
          </w:tcPr>
          <w:p>
            <w:pPr>
              <w:ind w:left="960"/>
              <w:spacing w:after="0"/>
              <w:rPr>
                <w:sz w:val="20"/>
                <w:szCs w:val="20"/>
                <w:color w:val="auto"/>
              </w:rPr>
            </w:pPr>
            <w:r>
              <w:rPr>
                <w:rFonts w:ascii="Courier New" w:cs="Courier New" w:eastAsia="Courier New" w:hAnsi="Courier New"/>
                <w:sz w:val="16"/>
                <w:szCs w:val="16"/>
                <w:color w:val="auto"/>
              </w:rPr>
              <w:t>1Q02 Net Adds: 200,000</w:t>
            </w:r>
          </w:p>
        </w:tc>
        <w:tc>
          <w:tcPr>
            <w:tcW w:w="7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800" w:type="dxa"/>
            <w:vAlign w:val="bottom"/>
          </w:tcPr>
          <w:p>
            <w:pPr>
              <w:jc w:val="right"/>
              <w:ind w:right="861"/>
              <w:spacing w:after="0"/>
              <w:rPr>
                <w:sz w:val="20"/>
                <w:szCs w:val="20"/>
                <w:color w:val="auto"/>
              </w:rPr>
            </w:pPr>
            <w:r>
              <w:rPr>
                <w:rFonts w:ascii="Courier New" w:cs="Courier New" w:eastAsia="Courier New" w:hAnsi="Courier New"/>
                <w:sz w:val="16"/>
                <w:szCs w:val="16"/>
                <w:color w:val="auto"/>
              </w:rPr>
              <w:t>1.44MM*+</w:t>
            </w:r>
          </w:p>
        </w:tc>
      </w:tr>
      <w:tr>
        <w:trPr>
          <w:trHeight w:val="183"/>
        </w:trPr>
        <w:tc>
          <w:tcPr>
            <w:tcW w:w="1620" w:type="dxa"/>
            <w:vAlign w:val="bottom"/>
          </w:tcPr>
          <w:p>
            <w:pPr>
              <w:jc w:val="right"/>
              <w:ind w:right="1061"/>
              <w:spacing w:after="0"/>
              <w:rPr>
                <w:sz w:val="20"/>
                <w:szCs w:val="20"/>
                <w:color w:val="auto"/>
              </w:rPr>
            </w:pPr>
            <w:r>
              <w:rPr>
                <w:rFonts w:ascii="Courier New" w:cs="Courier New" w:eastAsia="Courier New" w:hAnsi="Courier New"/>
                <w:sz w:val="16"/>
                <w:szCs w:val="16"/>
                <w:color w:val="auto"/>
                <w:w w:val="95"/>
              </w:rPr>
              <w:t>1,400</w:t>
            </w:r>
          </w:p>
        </w:tc>
        <w:tc>
          <w:tcPr>
            <w:tcW w:w="15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80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12%</w:t>
            </w:r>
          </w:p>
        </w:tc>
      </w:tr>
      <w:tr>
        <w:trPr>
          <w:trHeight w:val="367"/>
        </w:trPr>
        <w:tc>
          <w:tcPr>
            <w:tcW w:w="1620" w:type="dxa"/>
            <w:vAlign w:val="bottom"/>
          </w:tcPr>
          <w:p>
            <w:pPr>
              <w:jc w:val="right"/>
              <w:ind w:right="1061"/>
              <w:spacing w:after="0"/>
              <w:rPr>
                <w:sz w:val="20"/>
                <w:szCs w:val="20"/>
                <w:color w:val="auto"/>
              </w:rPr>
            </w:pPr>
            <w:r>
              <w:rPr>
                <w:rFonts w:ascii="Courier New" w:cs="Courier New" w:eastAsia="Courier New" w:hAnsi="Courier New"/>
                <w:sz w:val="16"/>
                <w:szCs w:val="16"/>
                <w:color w:val="auto"/>
                <w:w w:val="95"/>
              </w:rPr>
              <w:t>1,200</w:t>
            </w:r>
          </w:p>
        </w:tc>
        <w:tc>
          <w:tcPr>
            <w:tcW w:w="15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60" w:type="dxa"/>
            <w:vAlign w:val="bottom"/>
          </w:tcPr>
          <w:p>
            <w:pPr>
              <w:ind w:left="280"/>
              <w:spacing w:after="0"/>
              <w:rPr>
                <w:sz w:val="20"/>
                <w:szCs w:val="20"/>
                <w:color w:val="auto"/>
              </w:rPr>
            </w:pPr>
            <w:r>
              <w:rPr>
                <w:rFonts w:ascii="Courier New" w:cs="Courier New" w:eastAsia="Courier New" w:hAnsi="Courier New"/>
                <w:sz w:val="16"/>
                <w:szCs w:val="16"/>
                <w:color w:val="auto"/>
              </w:rPr>
              <w:t>1.04MM</w:t>
            </w:r>
          </w:p>
        </w:tc>
        <w:tc>
          <w:tcPr>
            <w:tcW w:w="180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10%</w:t>
            </w:r>
          </w:p>
        </w:tc>
      </w:tr>
      <w:tr>
        <w:trPr>
          <w:trHeight w:val="183"/>
        </w:trPr>
        <w:tc>
          <w:tcPr>
            <w:tcW w:w="162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60" w:type="dxa"/>
            <w:vAlign w:val="bottom"/>
          </w:tcPr>
          <w:p>
            <w:pPr>
              <w:ind w:left="300"/>
              <w:spacing w:after="0"/>
              <w:rPr>
                <w:sz w:val="20"/>
                <w:szCs w:val="20"/>
                <w:color w:val="auto"/>
              </w:rPr>
            </w:pPr>
            <w:r>
              <w:rPr>
                <w:rFonts w:ascii="Courier New" w:cs="Courier New" w:eastAsia="Courier New" w:hAnsi="Courier New"/>
                <w:sz w:val="16"/>
                <w:szCs w:val="16"/>
                <w:color w:val="auto"/>
              </w:rPr>
              <w:t>948K</w:t>
            </w:r>
          </w:p>
        </w:tc>
        <w:tc>
          <w:tcPr>
            <w:tcW w:w="960" w:type="dxa"/>
            <w:vAlign w:val="bottom"/>
          </w:tcPr>
          <w:p>
            <w:pPr>
              <w:spacing w:after="0"/>
              <w:rPr>
                <w:sz w:val="15"/>
                <w:szCs w:val="15"/>
                <w:color w:val="auto"/>
              </w:rPr>
            </w:pPr>
          </w:p>
        </w:tc>
        <w:tc>
          <w:tcPr>
            <w:tcW w:w="1800" w:type="dxa"/>
            <w:vAlign w:val="bottom"/>
          </w:tcPr>
          <w:p>
            <w:pPr>
              <w:spacing w:after="0"/>
              <w:rPr>
                <w:sz w:val="15"/>
                <w:szCs w:val="15"/>
                <w:color w:val="auto"/>
              </w:rPr>
            </w:pPr>
          </w:p>
        </w:tc>
      </w:tr>
      <w:tr>
        <w:trPr>
          <w:trHeight w:val="183"/>
        </w:trPr>
        <w:tc>
          <w:tcPr>
            <w:tcW w:w="1620" w:type="dxa"/>
            <w:vAlign w:val="bottom"/>
          </w:tcPr>
          <w:p>
            <w:pPr>
              <w:jc w:val="right"/>
              <w:ind w:right="1061"/>
              <w:spacing w:after="0"/>
              <w:rPr>
                <w:sz w:val="20"/>
                <w:szCs w:val="20"/>
                <w:color w:val="auto"/>
              </w:rPr>
            </w:pPr>
            <w:r>
              <w:rPr>
                <w:rFonts w:ascii="Courier New" w:cs="Courier New" w:eastAsia="Courier New" w:hAnsi="Courier New"/>
                <w:sz w:val="16"/>
                <w:szCs w:val="16"/>
                <w:color w:val="auto"/>
                <w:w w:val="95"/>
              </w:rPr>
              <w:t>1,000</w:t>
            </w:r>
          </w:p>
        </w:tc>
        <w:tc>
          <w:tcPr>
            <w:tcW w:w="15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800" w:type="dxa"/>
            <w:vAlign w:val="bottom"/>
          </w:tcPr>
          <w:p>
            <w:pPr>
              <w:spacing w:after="0"/>
              <w:rPr>
                <w:sz w:val="15"/>
                <w:szCs w:val="15"/>
                <w:color w:val="auto"/>
              </w:rPr>
            </w:pPr>
          </w:p>
        </w:tc>
      </w:tr>
      <w:tr>
        <w:trPr>
          <w:trHeight w:val="183"/>
        </w:trPr>
        <w:tc>
          <w:tcPr>
            <w:tcW w:w="162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80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8%</w:t>
            </w:r>
          </w:p>
        </w:tc>
      </w:tr>
      <w:tr>
        <w:trPr>
          <w:trHeight w:val="183"/>
        </w:trPr>
        <w:tc>
          <w:tcPr>
            <w:tcW w:w="1620" w:type="dxa"/>
            <w:vAlign w:val="bottom"/>
          </w:tcPr>
          <w:p>
            <w:pPr>
              <w:jc w:val="right"/>
              <w:ind w:right="1061"/>
              <w:spacing w:after="0"/>
              <w:rPr>
                <w:sz w:val="20"/>
                <w:szCs w:val="20"/>
                <w:color w:val="auto"/>
              </w:rPr>
            </w:pPr>
            <w:r>
              <w:rPr>
                <w:rFonts w:ascii="Courier New" w:cs="Courier New" w:eastAsia="Courier New" w:hAnsi="Courier New"/>
                <w:sz w:val="16"/>
                <w:szCs w:val="16"/>
                <w:color w:val="auto"/>
              </w:rPr>
              <w:t>800</w:t>
            </w:r>
          </w:p>
        </w:tc>
        <w:tc>
          <w:tcPr>
            <w:tcW w:w="15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800" w:type="dxa"/>
            <w:vAlign w:val="bottom"/>
          </w:tcPr>
          <w:p>
            <w:pPr>
              <w:spacing w:after="0"/>
              <w:rPr>
                <w:sz w:val="15"/>
                <w:szCs w:val="15"/>
                <w:color w:val="auto"/>
              </w:rPr>
            </w:pPr>
          </w:p>
        </w:tc>
      </w:tr>
      <w:tr>
        <w:trPr>
          <w:trHeight w:val="183"/>
        </w:trPr>
        <w:tc>
          <w:tcPr>
            <w:tcW w:w="162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80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6%</w:t>
            </w:r>
          </w:p>
        </w:tc>
      </w:tr>
      <w:tr>
        <w:trPr>
          <w:trHeight w:val="183"/>
        </w:trPr>
        <w:tc>
          <w:tcPr>
            <w:tcW w:w="1620" w:type="dxa"/>
            <w:vAlign w:val="bottom"/>
          </w:tcPr>
          <w:p>
            <w:pPr>
              <w:jc w:val="right"/>
              <w:ind w:right="1061"/>
              <w:spacing w:after="0"/>
              <w:rPr>
                <w:sz w:val="20"/>
                <w:szCs w:val="20"/>
                <w:color w:val="auto"/>
              </w:rPr>
            </w:pPr>
            <w:r>
              <w:rPr>
                <w:rFonts w:ascii="Courier New" w:cs="Courier New" w:eastAsia="Courier New" w:hAnsi="Courier New"/>
                <w:sz w:val="16"/>
                <w:szCs w:val="16"/>
                <w:color w:val="auto"/>
              </w:rPr>
              <w:t>600</w:t>
            </w:r>
          </w:p>
        </w:tc>
        <w:tc>
          <w:tcPr>
            <w:tcW w:w="15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800" w:type="dxa"/>
            <w:vAlign w:val="bottom"/>
          </w:tcPr>
          <w:p>
            <w:pPr>
              <w:spacing w:after="0"/>
              <w:rPr>
                <w:sz w:val="15"/>
                <w:szCs w:val="15"/>
                <w:color w:val="auto"/>
              </w:rPr>
            </w:pPr>
          </w:p>
        </w:tc>
      </w:tr>
      <w:tr>
        <w:trPr>
          <w:trHeight w:val="183"/>
        </w:trPr>
        <w:tc>
          <w:tcPr>
            <w:tcW w:w="162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80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4%</w:t>
            </w:r>
          </w:p>
        </w:tc>
      </w:tr>
      <w:tr>
        <w:trPr>
          <w:trHeight w:val="183"/>
        </w:trPr>
        <w:tc>
          <w:tcPr>
            <w:tcW w:w="1620" w:type="dxa"/>
            <w:vAlign w:val="bottom"/>
          </w:tcPr>
          <w:p>
            <w:pPr>
              <w:jc w:val="right"/>
              <w:ind w:right="1061"/>
              <w:spacing w:after="0"/>
              <w:rPr>
                <w:sz w:val="20"/>
                <w:szCs w:val="20"/>
                <w:color w:val="auto"/>
              </w:rPr>
            </w:pPr>
            <w:r>
              <w:rPr>
                <w:rFonts w:ascii="Courier New" w:cs="Courier New" w:eastAsia="Courier New" w:hAnsi="Courier New"/>
                <w:sz w:val="16"/>
                <w:szCs w:val="16"/>
                <w:color w:val="auto"/>
              </w:rPr>
              <w:t>400</w:t>
            </w:r>
          </w:p>
        </w:tc>
        <w:tc>
          <w:tcPr>
            <w:tcW w:w="1520" w:type="dxa"/>
            <w:vAlign w:val="bottom"/>
          </w:tcPr>
          <w:p>
            <w:pPr>
              <w:spacing w:after="0"/>
              <w:rPr>
                <w:sz w:val="15"/>
                <w:szCs w:val="15"/>
                <w:color w:val="auto"/>
              </w:rPr>
            </w:pPr>
          </w:p>
        </w:tc>
        <w:tc>
          <w:tcPr>
            <w:tcW w:w="760" w:type="dxa"/>
            <w:vAlign w:val="bottom"/>
          </w:tcPr>
          <w:p>
            <w:pPr>
              <w:ind w:left="100"/>
              <w:spacing w:after="0"/>
              <w:rPr>
                <w:sz w:val="20"/>
                <w:szCs w:val="20"/>
                <w:color w:val="auto"/>
              </w:rPr>
            </w:pPr>
            <w:r>
              <w:rPr>
                <w:rFonts w:ascii="Courier New" w:cs="Courier New" w:eastAsia="Courier New" w:hAnsi="Courier New"/>
                <w:sz w:val="16"/>
                <w:szCs w:val="16"/>
                <w:color w:val="auto"/>
              </w:rPr>
              <w:t>400K</w:t>
            </w:r>
          </w:p>
        </w:tc>
        <w:tc>
          <w:tcPr>
            <w:tcW w:w="9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800" w:type="dxa"/>
            <w:vAlign w:val="bottom"/>
          </w:tcPr>
          <w:p>
            <w:pPr>
              <w:spacing w:after="0"/>
              <w:rPr>
                <w:sz w:val="15"/>
                <w:szCs w:val="15"/>
                <w:color w:val="auto"/>
              </w:rPr>
            </w:pPr>
          </w:p>
        </w:tc>
      </w:tr>
      <w:tr>
        <w:trPr>
          <w:trHeight w:val="183"/>
        </w:trPr>
        <w:tc>
          <w:tcPr>
            <w:tcW w:w="162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80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2%</w:t>
            </w:r>
          </w:p>
        </w:tc>
      </w:tr>
      <w:tr>
        <w:trPr>
          <w:trHeight w:val="183"/>
        </w:trPr>
        <w:tc>
          <w:tcPr>
            <w:tcW w:w="1620" w:type="dxa"/>
            <w:vAlign w:val="bottom"/>
          </w:tcPr>
          <w:p>
            <w:pPr>
              <w:jc w:val="right"/>
              <w:ind w:right="1061"/>
              <w:spacing w:after="0"/>
              <w:rPr>
                <w:sz w:val="20"/>
                <w:szCs w:val="20"/>
                <w:color w:val="auto"/>
              </w:rPr>
            </w:pPr>
            <w:r>
              <w:rPr>
                <w:rFonts w:ascii="Courier New" w:cs="Courier New" w:eastAsia="Courier New" w:hAnsi="Courier New"/>
                <w:sz w:val="16"/>
                <w:szCs w:val="16"/>
                <w:color w:val="auto"/>
              </w:rPr>
              <w:t>200</w:t>
            </w:r>
          </w:p>
        </w:tc>
        <w:tc>
          <w:tcPr>
            <w:tcW w:w="1520" w:type="dxa"/>
            <w:vAlign w:val="bottom"/>
          </w:tcPr>
          <w:p>
            <w:pPr>
              <w:ind w:left="580"/>
              <w:spacing w:after="0"/>
              <w:rPr>
                <w:sz w:val="20"/>
                <w:szCs w:val="20"/>
                <w:color w:val="auto"/>
              </w:rPr>
            </w:pPr>
            <w:r>
              <w:rPr>
                <w:rFonts w:ascii="Courier New" w:cs="Courier New" w:eastAsia="Courier New" w:hAnsi="Courier New"/>
                <w:sz w:val="16"/>
                <w:szCs w:val="16"/>
                <w:color w:val="auto"/>
              </w:rPr>
              <w:t>142K</w:t>
            </w:r>
          </w:p>
        </w:tc>
        <w:tc>
          <w:tcPr>
            <w:tcW w:w="7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800" w:type="dxa"/>
            <w:vAlign w:val="bottom"/>
          </w:tcPr>
          <w:p>
            <w:pPr>
              <w:spacing w:after="0"/>
              <w:rPr>
                <w:sz w:val="15"/>
                <w:szCs w:val="15"/>
                <w:color w:val="auto"/>
              </w:rPr>
            </w:pPr>
          </w:p>
        </w:tc>
      </w:tr>
      <w:tr>
        <w:trPr>
          <w:trHeight w:val="183"/>
        </w:trPr>
        <w:tc>
          <w:tcPr>
            <w:tcW w:w="162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51K</w:t>
            </w:r>
          </w:p>
        </w:tc>
        <w:tc>
          <w:tcPr>
            <w:tcW w:w="15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800" w:type="dxa"/>
            <w:vAlign w:val="bottom"/>
          </w:tcPr>
          <w:p>
            <w:pPr>
              <w:spacing w:after="0"/>
              <w:rPr>
                <w:sz w:val="15"/>
                <w:szCs w:val="15"/>
                <w:color w:val="auto"/>
              </w:rPr>
            </w:pPr>
          </w:p>
        </w:tc>
      </w:tr>
      <w:tr>
        <w:trPr>
          <w:trHeight w:val="183"/>
        </w:trPr>
        <w:tc>
          <w:tcPr>
            <w:tcW w:w="1620" w:type="dxa"/>
            <w:vAlign w:val="bottom"/>
          </w:tcPr>
          <w:p>
            <w:pPr>
              <w:jc w:val="right"/>
              <w:ind w:right="1061"/>
              <w:spacing w:after="0"/>
              <w:rPr>
                <w:sz w:val="20"/>
                <w:szCs w:val="20"/>
                <w:color w:val="auto"/>
              </w:rPr>
            </w:pPr>
            <w:r>
              <w:rPr>
                <w:rFonts w:ascii="Courier New" w:cs="Courier New" w:eastAsia="Courier New" w:hAnsi="Courier New"/>
                <w:sz w:val="16"/>
                <w:szCs w:val="16"/>
                <w:color w:val="auto"/>
              </w:rPr>
              <w:t>0</w:t>
            </w:r>
          </w:p>
        </w:tc>
        <w:tc>
          <w:tcPr>
            <w:tcW w:w="15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80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0%</w:t>
            </w:r>
          </w:p>
        </w:tc>
      </w:tr>
      <w:tr>
        <w:trPr>
          <w:trHeight w:val="367"/>
        </w:trPr>
        <w:tc>
          <w:tcPr>
            <w:tcW w:w="162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YE98</w:t>
            </w:r>
          </w:p>
        </w:tc>
        <w:tc>
          <w:tcPr>
            <w:tcW w:w="1520" w:type="dxa"/>
            <w:vAlign w:val="bottom"/>
          </w:tcPr>
          <w:p>
            <w:pPr>
              <w:ind w:left="580"/>
              <w:spacing w:after="0"/>
              <w:rPr>
                <w:sz w:val="20"/>
                <w:szCs w:val="20"/>
                <w:color w:val="auto"/>
              </w:rPr>
            </w:pPr>
            <w:r>
              <w:rPr>
                <w:rFonts w:ascii="Courier New" w:cs="Courier New" w:eastAsia="Courier New" w:hAnsi="Courier New"/>
                <w:sz w:val="16"/>
                <w:szCs w:val="16"/>
                <w:color w:val="auto"/>
              </w:rPr>
              <w:t>YE99</w:t>
            </w:r>
          </w:p>
        </w:tc>
        <w:tc>
          <w:tcPr>
            <w:tcW w:w="760" w:type="dxa"/>
            <w:vAlign w:val="bottom"/>
          </w:tcPr>
          <w:p>
            <w:pPr>
              <w:ind w:left="100"/>
              <w:spacing w:after="0"/>
              <w:rPr>
                <w:sz w:val="20"/>
                <w:szCs w:val="20"/>
                <w:color w:val="auto"/>
              </w:rPr>
            </w:pPr>
            <w:r>
              <w:rPr>
                <w:rFonts w:ascii="Courier New" w:cs="Courier New" w:eastAsia="Courier New" w:hAnsi="Courier New"/>
                <w:sz w:val="16"/>
                <w:szCs w:val="16"/>
                <w:color w:val="auto"/>
              </w:rPr>
              <w:t>YE00</w:t>
            </w:r>
          </w:p>
        </w:tc>
        <w:tc>
          <w:tcPr>
            <w:tcW w:w="960" w:type="dxa"/>
            <w:vAlign w:val="bottom"/>
          </w:tcPr>
          <w:p>
            <w:pPr>
              <w:ind w:left="300"/>
              <w:spacing w:after="0"/>
              <w:rPr>
                <w:sz w:val="20"/>
                <w:szCs w:val="20"/>
                <w:color w:val="auto"/>
              </w:rPr>
            </w:pPr>
            <w:r>
              <w:rPr>
                <w:rFonts w:ascii="Courier New" w:cs="Courier New" w:eastAsia="Courier New" w:hAnsi="Courier New"/>
                <w:sz w:val="16"/>
                <w:szCs w:val="16"/>
                <w:color w:val="auto"/>
              </w:rPr>
              <w:t>YE01</w:t>
            </w:r>
          </w:p>
        </w:tc>
        <w:tc>
          <w:tcPr>
            <w:tcW w:w="960" w:type="dxa"/>
            <w:vAlign w:val="bottom"/>
          </w:tcPr>
          <w:p>
            <w:pPr>
              <w:ind w:left="280"/>
              <w:spacing w:after="0"/>
              <w:rPr>
                <w:sz w:val="20"/>
                <w:szCs w:val="20"/>
                <w:color w:val="auto"/>
              </w:rPr>
            </w:pPr>
            <w:r>
              <w:rPr>
                <w:rFonts w:ascii="Courier New" w:cs="Courier New" w:eastAsia="Courier New" w:hAnsi="Courier New"/>
                <w:sz w:val="16"/>
                <w:szCs w:val="16"/>
                <w:color w:val="auto"/>
              </w:rPr>
              <w:t>1Q02</w:t>
            </w:r>
          </w:p>
        </w:tc>
        <w:tc>
          <w:tcPr>
            <w:tcW w:w="1800" w:type="dxa"/>
            <w:vAlign w:val="bottom"/>
          </w:tcPr>
          <w:p>
            <w:pPr>
              <w:jc w:val="right"/>
              <w:ind w:right="961"/>
              <w:spacing w:after="0"/>
              <w:rPr>
                <w:sz w:val="20"/>
                <w:szCs w:val="20"/>
                <w:color w:val="auto"/>
              </w:rPr>
            </w:pPr>
            <w:r>
              <w:rPr>
                <w:rFonts w:ascii="Courier New" w:cs="Courier New" w:eastAsia="Courier New" w:hAnsi="Courier New"/>
                <w:sz w:val="16"/>
                <w:szCs w:val="16"/>
                <w:color w:val="auto"/>
              </w:rPr>
              <w:t>YE02E</w:t>
            </w:r>
          </w:p>
        </w:tc>
      </w:tr>
      <w:tr>
        <w:trPr>
          <w:trHeight w:val="550"/>
        </w:trPr>
        <w:tc>
          <w:tcPr>
            <w:tcW w:w="1620" w:type="dxa"/>
            <w:vAlign w:val="bottom"/>
          </w:tcPr>
          <w:p>
            <w:pPr>
              <w:spacing w:after="0"/>
              <w:rPr>
                <w:sz w:val="24"/>
                <w:szCs w:val="24"/>
                <w:color w:val="auto"/>
              </w:rPr>
            </w:pPr>
          </w:p>
        </w:tc>
        <w:tc>
          <w:tcPr>
            <w:tcW w:w="4200" w:type="dxa"/>
            <w:vAlign w:val="bottom"/>
            <w:gridSpan w:val="4"/>
          </w:tcPr>
          <w:p>
            <w:pPr>
              <w:ind w:left="180"/>
              <w:spacing w:after="0"/>
              <w:rPr>
                <w:sz w:val="20"/>
                <w:szCs w:val="20"/>
                <w:color w:val="auto"/>
              </w:rPr>
            </w:pPr>
            <w:r>
              <w:rPr>
                <w:rFonts w:ascii="Courier New" w:cs="Courier New" w:eastAsia="Courier New" w:hAnsi="Courier New"/>
                <w:sz w:val="16"/>
                <w:szCs w:val="16"/>
                <w:color w:val="auto"/>
              </w:rPr>
              <w:t>*2002 Guidance: 400-500,000 net additions</w:t>
            </w:r>
          </w:p>
        </w:tc>
        <w:tc>
          <w:tcPr>
            <w:tcW w:w="1800" w:type="dxa"/>
            <w:vAlign w:val="bottom"/>
          </w:tcPr>
          <w:p>
            <w:pPr>
              <w:spacing w:after="0"/>
              <w:rPr>
                <w:sz w:val="24"/>
                <w:szCs w:val="24"/>
                <w:color w:val="auto"/>
              </w:rPr>
            </w:pPr>
          </w:p>
        </w:tc>
      </w:tr>
      <w:tr>
        <w:trPr>
          <w:trHeight w:val="550"/>
        </w:trPr>
        <w:tc>
          <w:tcPr>
            <w:tcW w:w="1620" w:type="dxa"/>
            <w:vAlign w:val="bottom"/>
          </w:tcPr>
          <w:p>
            <w:pPr>
              <w:spacing w:after="0"/>
              <w:rPr>
                <w:sz w:val="20"/>
                <w:szCs w:val="20"/>
                <w:color w:val="auto"/>
              </w:rPr>
            </w:pPr>
            <w:r>
              <w:rPr>
                <w:rFonts w:ascii="Courier New" w:cs="Courier New" w:eastAsia="Courier New" w:hAnsi="Courier New"/>
                <w:sz w:val="16"/>
                <w:szCs w:val="16"/>
                <w:color w:val="auto"/>
              </w:rPr>
              <w:t>Banc of America</w:t>
            </w:r>
          </w:p>
        </w:tc>
        <w:tc>
          <w:tcPr>
            <w:tcW w:w="15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0" w:type="dxa"/>
            <w:vAlign w:val="bottom"/>
          </w:tcPr>
          <w:p>
            <w:pPr>
              <w:jc w:val="right"/>
              <w:spacing w:after="0"/>
              <w:rPr>
                <w:sz w:val="20"/>
                <w:szCs w:val="20"/>
                <w:color w:val="auto"/>
              </w:rPr>
            </w:pPr>
            <w:r>
              <w:rPr>
                <w:rFonts w:ascii="Courier New" w:cs="Courier New" w:eastAsia="Courier New" w:hAnsi="Courier New"/>
                <w:sz w:val="16"/>
                <w:szCs w:val="16"/>
                <w:color w:val="auto"/>
              </w:rPr>
              <w:t>comcast(R)</w:t>
            </w:r>
          </w:p>
        </w:tc>
      </w:tr>
      <w:tr>
        <w:trPr>
          <w:trHeight w:val="183"/>
        </w:trPr>
        <w:tc>
          <w:tcPr>
            <w:tcW w:w="1620" w:type="dxa"/>
            <w:vAlign w:val="bottom"/>
          </w:tcPr>
          <w:p>
            <w:pPr>
              <w:spacing w:after="0"/>
              <w:rPr>
                <w:sz w:val="20"/>
                <w:szCs w:val="20"/>
                <w:color w:val="auto"/>
              </w:rPr>
            </w:pPr>
            <w:r>
              <w:rPr>
                <w:rFonts w:ascii="Courier New" w:cs="Courier New" w:eastAsia="Courier New" w:hAnsi="Courier New"/>
                <w:sz w:val="16"/>
                <w:szCs w:val="16"/>
                <w:color w:val="auto"/>
              </w:rPr>
              <w:t>May 1, 2002</w:t>
            </w:r>
          </w:p>
        </w:tc>
        <w:tc>
          <w:tcPr>
            <w:tcW w:w="15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800" w:type="dxa"/>
            <w:vAlign w:val="bottom"/>
          </w:tcPr>
          <w:p>
            <w:pPr>
              <w:spacing w:after="0"/>
              <w:rPr>
                <w:sz w:val="15"/>
                <w:szCs w:val="15"/>
                <w:color w:val="auto"/>
              </w:rPr>
            </w:pPr>
          </w:p>
        </w:tc>
      </w:tr>
    </w:tbl>
    <w:p>
      <w:pPr>
        <w:sectPr>
          <w:pgSz w:w="11900" w:h="16838" w:orient="portrait"/>
          <w:cols w:equalWidth="0" w:num="1">
            <w:col w:w="10219"/>
          </w:cols>
          <w:pgMar w:left="240" w:top="848" w:right="1440" w:bottom="1440" w:gutter="0" w:footer="0" w:header="0"/>
        </w:sectPr>
      </w:pPr>
    </w:p>
    <w:bookmarkStart w:id="10" w:name="page11"/>
    <w:bookmarkEnd w:id="10"/>
    <w:p>
      <w:pPr>
        <w:ind w:left="2"/>
        <w:spacing w:after="0"/>
        <w:rPr>
          <w:sz w:val="20"/>
          <w:szCs w:val="20"/>
          <w:color w:val="auto"/>
        </w:rPr>
      </w:pPr>
      <w:r>
        <w:rPr>
          <w:rFonts w:ascii="Courier New" w:cs="Courier New" w:eastAsia="Courier New" w:hAnsi="Courier New"/>
          <w:sz w:val="16"/>
          <w:szCs w:val="16"/>
          <w:color w:val="auto"/>
        </w:rPr>
        <w:t>comcast(R) High-Speed Internet</w:t>
      </w:r>
    </w:p>
    <w:p>
      <w:pPr>
        <w:spacing w:after="0" w:line="186" w:lineRule="exact"/>
        <w:rPr>
          <w:sz w:val="20"/>
          <w:szCs w:val="20"/>
          <w:color w:val="auto"/>
        </w:rPr>
      </w:pPr>
    </w:p>
    <w:p>
      <w:pPr>
        <w:ind w:left="282" w:hanging="282"/>
        <w:spacing w:after="0"/>
        <w:tabs>
          <w:tab w:leader="none" w:pos="282"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Completed Transition to Comcast Network</w:t>
      </w:r>
    </w:p>
    <w:p>
      <w:pPr>
        <w:spacing w:after="0" w:line="185" w:lineRule="exact"/>
        <w:rPr>
          <w:rFonts w:ascii="Courier New" w:cs="Courier New" w:eastAsia="Courier New" w:hAnsi="Courier New"/>
          <w:sz w:val="16"/>
          <w:szCs w:val="16"/>
          <w:color w:val="auto"/>
        </w:rPr>
      </w:pPr>
    </w:p>
    <w:p>
      <w:pPr>
        <w:ind w:left="282" w:hanging="282"/>
        <w:spacing w:after="0"/>
        <w:tabs>
          <w:tab w:leader="none" w:pos="282"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1Q02 ARPU of $40</w:t>
      </w:r>
    </w:p>
    <w:p>
      <w:pPr>
        <w:spacing w:after="0" w:line="185" w:lineRule="exact"/>
        <w:rPr>
          <w:rFonts w:ascii="Courier New" w:cs="Courier New" w:eastAsia="Courier New" w:hAnsi="Courier New"/>
          <w:sz w:val="16"/>
          <w:szCs w:val="16"/>
          <w:color w:val="auto"/>
        </w:rPr>
      </w:pPr>
    </w:p>
    <w:p>
      <w:pPr>
        <w:ind w:left="282" w:hanging="282"/>
        <w:spacing w:after="0"/>
        <w:tabs>
          <w:tab w:leader="none" w:pos="282"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Significant Cash Flow Improvement</w:t>
      </w:r>
    </w:p>
    <w:p>
      <w:pPr>
        <w:spacing w:after="0" w:line="188" w:lineRule="exact"/>
        <w:rPr>
          <w:rFonts w:ascii="Courier New" w:cs="Courier New" w:eastAsia="Courier New" w:hAnsi="Courier New"/>
          <w:sz w:val="16"/>
          <w:szCs w:val="16"/>
          <w:color w:val="auto"/>
        </w:rPr>
      </w:pPr>
    </w:p>
    <w:p>
      <w:pPr>
        <w:ind w:left="282" w:right="6779" w:hanging="282"/>
        <w:spacing w:after="0" w:line="239" w:lineRule="auto"/>
        <w:tabs>
          <w:tab w:leader="none" w:pos="282"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Designed to Support Multiple ISPs and Tiered Services</w:t>
      </w:r>
    </w:p>
    <w:p>
      <w:pPr>
        <w:spacing w:after="0" w:line="186" w:lineRule="exact"/>
        <w:rPr>
          <w:rFonts w:ascii="Courier New" w:cs="Courier New" w:eastAsia="Courier New" w:hAnsi="Courier New"/>
          <w:sz w:val="16"/>
          <w:szCs w:val="16"/>
          <w:color w:val="auto"/>
        </w:rPr>
      </w:pPr>
    </w:p>
    <w:p>
      <w:pPr>
        <w:ind w:left="282" w:hanging="282"/>
        <w:spacing w:after="0"/>
        <w:tabs>
          <w:tab w:leader="none" w:pos="282"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First ISP Deal: Juno and NetZero</w:t>
      </w:r>
    </w:p>
    <w:p>
      <w:pPr>
        <w:spacing w:after="0" w:line="372" w:lineRule="exact"/>
        <w:rPr>
          <w:sz w:val="20"/>
          <w:szCs w:val="20"/>
          <w:color w:val="auto"/>
        </w:rPr>
      </w:pPr>
    </w:p>
    <w:p>
      <w:pPr>
        <w:ind w:left="5922"/>
        <w:spacing w:after="0"/>
        <w:rPr>
          <w:sz w:val="20"/>
          <w:szCs w:val="20"/>
          <w:color w:val="auto"/>
        </w:rPr>
      </w:pPr>
      <w:r>
        <w:rPr>
          <w:rFonts w:ascii="Courier New" w:cs="Courier New" w:eastAsia="Courier New" w:hAnsi="Courier New"/>
          <w:sz w:val="15"/>
          <w:szCs w:val="15"/>
          <w:color w:val="auto"/>
        </w:rPr>
        <w:t>[GRAPHIC OMITTED]</w:t>
      </w:r>
    </w:p>
    <w:p>
      <w:pPr>
        <w:sectPr>
          <w:pgSz w:w="11900" w:h="16838" w:orient="portrait"/>
          <w:cols w:equalWidth="0" w:num="1">
            <w:col w:w="10221"/>
          </w:cols>
          <w:pgMar w:left="238" w:top="848" w:right="1440" w:bottom="1440" w:gutter="0" w:footer="0" w:header="0"/>
        </w:sectPr>
      </w:pPr>
    </w:p>
    <w:p>
      <w:pPr>
        <w:spacing w:after="0" w:line="380" w:lineRule="exact"/>
        <w:rPr>
          <w:sz w:val="20"/>
          <w:szCs w:val="20"/>
          <w:color w:val="auto"/>
        </w:rPr>
      </w:pPr>
    </w:p>
    <w:p>
      <w:pPr>
        <w:ind w:left="2"/>
        <w:spacing w:after="0"/>
        <w:rPr>
          <w:sz w:val="20"/>
          <w:szCs w:val="20"/>
          <w:color w:val="auto"/>
        </w:rPr>
      </w:pPr>
      <w:r>
        <w:rPr>
          <w:rFonts w:ascii="Courier New" w:cs="Courier New" w:eastAsia="Courier New" w:hAnsi="Courier New"/>
          <w:sz w:val="15"/>
          <w:szCs w:val="15"/>
          <w:color w:val="auto"/>
        </w:rPr>
        <w:t>Banc of America</w:t>
      </w:r>
    </w:p>
    <w:p>
      <w:pPr>
        <w:spacing w:after="0" w:line="11"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May 1, 2002</w:t>
      </w:r>
    </w:p>
    <w:p>
      <w:pPr>
        <w:spacing w:after="0" w:line="20" w:lineRule="exact"/>
        <w:rPr>
          <w:sz w:val="20"/>
          <w:szCs w:val="20"/>
          <w:color w:val="auto"/>
        </w:rPr>
      </w:pPr>
      <w:r>
        <w:rPr>
          <w:sz w:val="20"/>
          <w:szCs w:val="20"/>
          <w:color w:val="auto"/>
        </w:rPr>
        <w:br w:type="column"/>
      </w:r>
    </w:p>
    <w:p>
      <w:pPr>
        <w:spacing w:after="0" w:line="3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comcast(R)</w:t>
      </w:r>
    </w:p>
    <w:p>
      <w:pPr>
        <w:sectPr>
          <w:pgSz w:w="11900" w:h="16838" w:orient="portrait"/>
          <w:cols w:equalWidth="0" w:num="2">
            <w:col w:w="5962" w:space="720"/>
            <w:col w:w="3539"/>
          </w:cols>
          <w:pgMar w:left="238" w:top="848" w:right="1440" w:bottom="1440" w:gutter="0" w:footer="0" w:header="0"/>
          <w:type w:val="continuous"/>
        </w:sectPr>
      </w:pPr>
    </w:p>
    <w:bookmarkStart w:id="11" w:name="page12"/>
    <w:bookmarkEnd w:id="11"/>
    <w:p>
      <w:pPr>
        <w:ind w:left="2"/>
        <w:spacing w:after="0"/>
        <w:rPr>
          <w:sz w:val="20"/>
          <w:szCs w:val="20"/>
          <w:color w:val="auto"/>
        </w:rPr>
      </w:pPr>
      <w:r>
        <w:rPr>
          <w:rFonts w:ascii="Courier New" w:cs="Courier New" w:eastAsia="Courier New" w:hAnsi="Courier New"/>
          <w:sz w:val="16"/>
          <w:szCs w:val="16"/>
          <w:color w:val="auto"/>
        </w:rPr>
        <w:t>AT&amp;T comcast(R)</w:t>
      </w:r>
    </w:p>
    <w:p>
      <w:pPr>
        <w:spacing w:after="0" w:line="2" w:lineRule="exact"/>
        <w:rPr>
          <w:sz w:val="20"/>
          <w:szCs w:val="20"/>
          <w:color w:val="auto"/>
        </w:rPr>
      </w:pPr>
    </w:p>
    <w:p>
      <w:pPr>
        <w:ind w:left="662"/>
        <w:spacing w:after="0"/>
        <w:rPr>
          <w:sz w:val="20"/>
          <w:szCs w:val="20"/>
          <w:color w:val="auto"/>
        </w:rPr>
      </w:pPr>
      <w:r>
        <w:rPr>
          <w:rFonts w:ascii="Courier New" w:cs="Courier New" w:eastAsia="Courier New" w:hAnsi="Courier New"/>
          <w:sz w:val="16"/>
          <w:szCs w:val="16"/>
          <w:color w:val="auto"/>
        </w:rPr>
        <w:t>CORPORATION</w:t>
      </w:r>
    </w:p>
    <w:p>
      <w:pPr>
        <w:spacing w:after="0" w:line="369" w:lineRule="exact"/>
        <w:rPr>
          <w:sz w:val="20"/>
          <w:szCs w:val="20"/>
          <w:color w:val="auto"/>
        </w:rPr>
      </w:pPr>
    </w:p>
    <w:p>
      <w:pPr>
        <w:jc w:val="right"/>
        <w:ind w:right="4979"/>
        <w:spacing w:after="0"/>
        <w:rPr>
          <w:sz w:val="20"/>
          <w:szCs w:val="20"/>
          <w:color w:val="auto"/>
        </w:rPr>
      </w:pPr>
      <w:r>
        <w:rPr>
          <w:rFonts w:ascii="Courier New" w:cs="Courier New" w:eastAsia="Courier New" w:hAnsi="Courier New"/>
          <w:sz w:val="16"/>
          <w:szCs w:val="16"/>
          <w:color w:val="auto"/>
        </w:rPr>
        <w:t>A Powerful Platform for Growth</w:t>
      </w:r>
    </w:p>
    <w:p>
      <w:pPr>
        <w:spacing w:after="0" w:line="186" w:lineRule="exact"/>
        <w:rPr>
          <w:sz w:val="20"/>
          <w:szCs w:val="20"/>
          <w:color w:val="auto"/>
        </w:rPr>
      </w:pPr>
    </w:p>
    <w:p>
      <w:pPr>
        <w:ind w:left="382" w:hanging="382"/>
        <w:spacing w:after="0"/>
        <w:tabs>
          <w:tab w:leader="none" w:pos="382"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Margin Improvement/Operating Efficiencies</w:t>
      </w:r>
    </w:p>
    <w:p>
      <w:pPr>
        <w:spacing w:after="0" w:line="185" w:lineRule="exact"/>
        <w:rPr>
          <w:rFonts w:ascii="Courier New" w:cs="Courier New" w:eastAsia="Courier New" w:hAnsi="Courier New"/>
          <w:sz w:val="16"/>
          <w:szCs w:val="16"/>
          <w:color w:val="auto"/>
        </w:rPr>
      </w:pPr>
    </w:p>
    <w:p>
      <w:pPr>
        <w:ind w:left="382" w:hanging="382"/>
        <w:spacing w:after="0"/>
        <w:tabs>
          <w:tab w:leader="none" w:pos="382"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Other Value Creation Opportunities</w:t>
      </w:r>
    </w:p>
    <w:p>
      <w:pPr>
        <w:spacing w:after="0" w:line="186" w:lineRule="exact"/>
        <w:rPr>
          <w:sz w:val="20"/>
          <w:szCs w:val="20"/>
          <w:color w:val="auto"/>
        </w:rPr>
      </w:pPr>
    </w:p>
    <w:p>
      <w:pPr>
        <w:ind w:left="762" w:hanging="381"/>
        <w:spacing w:after="0"/>
        <w:tabs>
          <w:tab w:leader="none" w:pos="762"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Content</w:t>
      </w:r>
    </w:p>
    <w:p>
      <w:pPr>
        <w:spacing w:after="0" w:line="185" w:lineRule="exact"/>
        <w:rPr>
          <w:rFonts w:ascii="Courier New" w:cs="Courier New" w:eastAsia="Courier New" w:hAnsi="Courier New"/>
          <w:sz w:val="16"/>
          <w:szCs w:val="16"/>
          <w:color w:val="auto"/>
        </w:rPr>
      </w:pPr>
    </w:p>
    <w:p>
      <w:pPr>
        <w:ind w:left="762" w:hanging="381"/>
        <w:spacing w:after="0"/>
        <w:tabs>
          <w:tab w:leader="none" w:pos="762"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National Advertising</w:t>
      </w:r>
    </w:p>
    <w:p>
      <w:pPr>
        <w:spacing w:after="0" w:line="185" w:lineRule="exact"/>
        <w:rPr>
          <w:rFonts w:ascii="Courier New" w:cs="Courier New" w:eastAsia="Courier New" w:hAnsi="Courier New"/>
          <w:sz w:val="16"/>
          <w:szCs w:val="16"/>
          <w:color w:val="auto"/>
        </w:rPr>
      </w:pPr>
    </w:p>
    <w:p>
      <w:pPr>
        <w:ind w:left="762" w:hanging="381"/>
        <w:spacing w:after="0"/>
        <w:tabs>
          <w:tab w:leader="none" w:pos="762"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Technology</w:t>
      </w:r>
    </w:p>
    <w:p>
      <w:pPr>
        <w:spacing w:after="0" w:line="369" w:lineRule="exact"/>
        <w:rPr>
          <w:sz w:val="20"/>
          <w:szCs w:val="20"/>
          <w:color w:val="auto"/>
        </w:rPr>
      </w:pPr>
    </w:p>
    <w:p>
      <w:pPr>
        <w:ind w:left="2762"/>
        <w:spacing w:after="0"/>
        <w:rPr>
          <w:sz w:val="20"/>
          <w:szCs w:val="20"/>
          <w:color w:val="auto"/>
        </w:rPr>
      </w:pPr>
      <w:r>
        <w:rPr>
          <w:rFonts w:ascii="Courier New" w:cs="Courier New" w:eastAsia="Courier New" w:hAnsi="Courier New"/>
          <w:sz w:val="16"/>
          <w:szCs w:val="16"/>
          <w:color w:val="auto"/>
        </w:rPr>
        <w:t>Unlimited Opportunity</w:t>
      </w:r>
    </w:p>
    <w:p>
      <w:pPr>
        <w:sectPr>
          <w:pgSz w:w="11900" w:h="16838" w:orient="portrait"/>
          <w:cols w:equalWidth="0" w:num="1">
            <w:col w:w="10221"/>
          </w:cols>
          <w:pgMar w:left="238" w:top="848" w:right="1440" w:bottom="1440" w:gutter="0" w:footer="0" w:header="0"/>
        </w:sectPr>
      </w:pPr>
    </w:p>
    <w:p>
      <w:pPr>
        <w:spacing w:after="0" w:line="372" w:lineRule="exact"/>
        <w:rPr>
          <w:sz w:val="20"/>
          <w:szCs w:val="20"/>
          <w:color w:val="auto"/>
        </w:rPr>
      </w:pPr>
    </w:p>
    <w:p>
      <w:pPr>
        <w:ind w:left="2"/>
        <w:spacing w:after="0"/>
        <w:rPr>
          <w:sz w:val="20"/>
          <w:szCs w:val="20"/>
          <w:color w:val="auto"/>
        </w:rPr>
      </w:pPr>
      <w:r>
        <w:rPr>
          <w:rFonts w:ascii="Courier New" w:cs="Courier New" w:eastAsia="Courier New" w:hAnsi="Courier New"/>
          <w:sz w:val="15"/>
          <w:szCs w:val="15"/>
          <w:color w:val="auto"/>
        </w:rPr>
        <w:t>Banc of America</w:t>
      </w:r>
    </w:p>
    <w:p>
      <w:pPr>
        <w:spacing w:after="0" w:line="11"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May 1, 2002</w:t>
      </w:r>
    </w:p>
    <w:p>
      <w:pPr>
        <w:spacing w:after="0" w:line="20" w:lineRule="exact"/>
        <w:rPr>
          <w:sz w:val="20"/>
          <w:szCs w:val="20"/>
          <w:color w:val="auto"/>
        </w:rPr>
      </w:pPr>
      <w:r>
        <w:rPr>
          <w:sz w:val="20"/>
          <w:szCs w:val="20"/>
          <w:color w:val="auto"/>
        </w:rPr>
        <w:br w:type="column"/>
      </w:r>
    </w:p>
    <w:p>
      <w:pPr>
        <w:spacing w:after="0" w:line="35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comcast(R)</w:t>
      </w:r>
    </w:p>
    <w:p>
      <w:pPr>
        <w:sectPr>
          <w:pgSz w:w="11900" w:h="16838" w:orient="portrait"/>
          <w:cols w:equalWidth="0" w:num="2">
            <w:col w:w="5962" w:space="720"/>
            <w:col w:w="3539"/>
          </w:cols>
          <w:pgMar w:left="238" w:top="848" w:right="1440" w:bottom="1440" w:gutter="0" w:footer="0" w:header="0"/>
          <w:type w:val="continuous"/>
        </w:sectPr>
      </w:pPr>
    </w:p>
    <w:bookmarkStart w:id="12" w:name="page13"/>
    <w:bookmarkEnd w:id="12"/>
    <w:p>
      <w:pPr>
        <w:spacing w:after="0"/>
        <w:rPr>
          <w:sz w:val="20"/>
          <w:szCs w:val="20"/>
          <w:color w:val="auto"/>
        </w:rPr>
      </w:pPr>
      <w:r>
        <w:rPr>
          <w:rFonts w:ascii="Courier New" w:cs="Courier New" w:eastAsia="Courier New" w:hAnsi="Courier New"/>
          <w:sz w:val="16"/>
          <w:szCs w:val="16"/>
          <w:color w:val="auto"/>
        </w:rPr>
        <w:t>comcast(R)</w:t>
      </w:r>
    </w:p>
    <w:p>
      <w:pPr>
        <w:spacing w:after="0" w:line="369" w:lineRule="exact"/>
        <w:rPr>
          <w:sz w:val="20"/>
          <w:szCs w:val="20"/>
          <w:color w:val="auto"/>
        </w:rPr>
      </w:pPr>
    </w:p>
    <w:p>
      <w:pPr>
        <w:jc w:val="center"/>
        <w:ind w:right="2599"/>
        <w:spacing w:after="0"/>
        <w:rPr>
          <w:sz w:val="20"/>
          <w:szCs w:val="20"/>
          <w:color w:val="auto"/>
        </w:rPr>
      </w:pPr>
      <w:r>
        <w:rPr>
          <w:rFonts w:ascii="Courier New" w:cs="Courier New" w:eastAsia="Courier New" w:hAnsi="Courier New"/>
          <w:sz w:val="16"/>
          <w:szCs w:val="16"/>
          <w:color w:val="auto"/>
        </w:rPr>
        <w:t>John R. Alchin</w:t>
      </w:r>
    </w:p>
    <w:p>
      <w:pPr>
        <w:spacing w:after="0" w:line="5" w:lineRule="exact"/>
        <w:rPr>
          <w:sz w:val="20"/>
          <w:szCs w:val="20"/>
          <w:color w:val="auto"/>
        </w:rPr>
      </w:pPr>
    </w:p>
    <w:p>
      <w:pPr>
        <w:jc w:val="center"/>
        <w:ind w:right="2599"/>
        <w:spacing w:after="0"/>
        <w:rPr>
          <w:sz w:val="20"/>
          <w:szCs w:val="20"/>
          <w:color w:val="auto"/>
        </w:rPr>
      </w:pPr>
      <w:r>
        <w:rPr>
          <w:rFonts w:ascii="Courier New" w:cs="Courier New" w:eastAsia="Courier New" w:hAnsi="Courier New"/>
          <w:sz w:val="15"/>
          <w:szCs w:val="15"/>
          <w:color w:val="auto"/>
        </w:rPr>
        <w:t>Executive Vice President and Treasurer</w:t>
      </w:r>
    </w:p>
    <w:p>
      <w:pPr>
        <w:sectPr>
          <w:pgSz w:w="11900" w:h="16838" w:orient="portrait"/>
          <w:cols w:equalWidth="0" w:num="1">
            <w:col w:w="10219"/>
          </w:cols>
          <w:pgMar w:left="240" w:top="848" w:right="1440" w:bottom="1440" w:gutter="0" w:footer="0" w:header="0"/>
        </w:sectPr>
      </w:pPr>
    </w:p>
    <w:bookmarkStart w:id="13" w:name="page14"/>
    <w:bookmarkEnd w:id="13"/>
    <w:p>
      <w:pPr>
        <w:ind w:left="2"/>
        <w:spacing w:after="0"/>
        <w:rPr>
          <w:sz w:val="20"/>
          <w:szCs w:val="20"/>
          <w:color w:val="auto"/>
        </w:rPr>
      </w:pPr>
      <w:r>
        <w:rPr>
          <w:rFonts w:ascii="Courier New" w:cs="Courier New" w:eastAsia="Courier New" w:hAnsi="Courier New"/>
          <w:sz w:val="16"/>
          <w:szCs w:val="16"/>
          <w:color w:val="auto"/>
        </w:rPr>
        <w:t>Financial Reputation</w:t>
      </w:r>
    </w:p>
    <w:p>
      <w:pPr>
        <w:spacing w:after="0" w:line="186" w:lineRule="exact"/>
        <w:rPr>
          <w:sz w:val="20"/>
          <w:szCs w:val="20"/>
          <w:color w:val="auto"/>
        </w:rPr>
      </w:pPr>
    </w:p>
    <w:p>
      <w:pPr>
        <w:jc w:val="center"/>
        <w:ind w:right="2677"/>
        <w:spacing w:after="0"/>
        <w:rPr>
          <w:sz w:val="20"/>
          <w:szCs w:val="20"/>
          <w:color w:val="auto"/>
        </w:rPr>
      </w:pPr>
      <w:r>
        <w:rPr>
          <w:rFonts w:ascii="Courier New" w:cs="Courier New" w:eastAsia="Courier New" w:hAnsi="Courier New"/>
          <w:sz w:val="16"/>
          <w:szCs w:val="16"/>
          <w:color w:val="auto"/>
        </w:rPr>
        <w:t>Fully Reviewed Comcast 10-K in Connection</w:t>
      </w:r>
    </w:p>
    <w:p>
      <w:pPr>
        <w:spacing w:after="0" w:line="2" w:lineRule="exact"/>
        <w:rPr>
          <w:sz w:val="20"/>
          <w:szCs w:val="20"/>
          <w:color w:val="auto"/>
        </w:rPr>
      </w:pPr>
    </w:p>
    <w:p>
      <w:pPr>
        <w:jc w:val="center"/>
        <w:ind w:right="2677"/>
        <w:spacing w:after="0"/>
        <w:rPr>
          <w:sz w:val="20"/>
          <w:szCs w:val="20"/>
          <w:color w:val="auto"/>
        </w:rPr>
      </w:pPr>
      <w:r>
        <w:rPr>
          <w:rFonts w:ascii="Courier New" w:cs="Courier New" w:eastAsia="Courier New" w:hAnsi="Courier New"/>
          <w:sz w:val="16"/>
          <w:szCs w:val="16"/>
          <w:color w:val="auto"/>
        </w:rPr>
        <w:t>with the Filing of Merger Proxy</w:t>
      </w:r>
    </w:p>
    <w:p>
      <w:pPr>
        <w:spacing w:after="0" w:line="186" w:lineRule="exact"/>
        <w:rPr>
          <w:sz w:val="20"/>
          <w:szCs w:val="20"/>
          <w:color w:val="auto"/>
        </w:rPr>
      </w:pPr>
    </w:p>
    <w:p>
      <w:pPr>
        <w:ind w:left="282" w:hanging="282"/>
        <w:spacing w:after="0"/>
        <w:tabs>
          <w:tab w:leader="none" w:pos="282"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Ratings Triggers</w:t>
      </w:r>
    </w:p>
    <w:p>
      <w:pPr>
        <w:spacing w:after="0" w:line="185" w:lineRule="exact"/>
        <w:rPr>
          <w:rFonts w:ascii="Courier New" w:cs="Courier New" w:eastAsia="Courier New" w:hAnsi="Courier New"/>
          <w:sz w:val="16"/>
          <w:szCs w:val="16"/>
          <w:color w:val="auto"/>
        </w:rPr>
      </w:pPr>
    </w:p>
    <w:p>
      <w:pPr>
        <w:ind w:left="282" w:hanging="282"/>
        <w:spacing w:after="0"/>
        <w:tabs>
          <w:tab w:leader="none" w:pos="282"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Commercial Paper Issuance Concerns</w:t>
      </w:r>
    </w:p>
    <w:p>
      <w:pPr>
        <w:spacing w:after="0" w:line="185" w:lineRule="exact"/>
        <w:rPr>
          <w:rFonts w:ascii="Courier New" w:cs="Courier New" w:eastAsia="Courier New" w:hAnsi="Courier New"/>
          <w:sz w:val="16"/>
          <w:szCs w:val="16"/>
          <w:color w:val="auto"/>
        </w:rPr>
      </w:pPr>
    </w:p>
    <w:p>
      <w:pPr>
        <w:ind w:left="282" w:hanging="282"/>
        <w:spacing w:after="0"/>
        <w:tabs>
          <w:tab w:leader="none" w:pos="282"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Material Off-Balance Sheet Debt</w:t>
      </w:r>
    </w:p>
    <w:p>
      <w:pPr>
        <w:spacing w:after="0" w:line="4" w:lineRule="exact"/>
        <w:rPr>
          <w:rFonts w:ascii="Courier New" w:cs="Courier New" w:eastAsia="Courier New" w:hAnsi="Courier New"/>
          <w:sz w:val="16"/>
          <w:szCs w:val="16"/>
          <w:color w:val="auto"/>
        </w:rPr>
      </w:pPr>
    </w:p>
    <w:p>
      <w:pPr>
        <w:ind w:left="282"/>
        <w:spacing w:after="0"/>
        <w:rPr>
          <w:rFonts w:ascii="Courier New" w:cs="Courier New" w:eastAsia="Courier New" w:hAnsi="Courier New"/>
          <w:sz w:val="16"/>
          <w:szCs w:val="16"/>
          <w:color w:val="auto"/>
        </w:rPr>
      </w:pPr>
      <w:r>
        <w:rPr>
          <w:rFonts w:ascii="Courier New" w:cs="Courier New" w:eastAsia="Courier New" w:hAnsi="Courier New"/>
          <w:sz w:val="15"/>
          <w:szCs w:val="15"/>
          <w:color w:val="auto"/>
        </w:rPr>
        <w:t>-  $200MM Performance Guarantee of an Affiliate Fully Disclosed</w:t>
      </w:r>
    </w:p>
    <w:p>
      <w:pPr>
        <w:spacing w:after="0" w:line="194" w:lineRule="exact"/>
        <w:rPr>
          <w:rFonts w:ascii="Courier New" w:cs="Courier New" w:eastAsia="Courier New" w:hAnsi="Courier New"/>
          <w:sz w:val="16"/>
          <w:szCs w:val="16"/>
          <w:color w:val="auto"/>
        </w:rPr>
      </w:pPr>
    </w:p>
    <w:p>
      <w:pPr>
        <w:ind w:left="282" w:hanging="282"/>
        <w:spacing w:after="0"/>
        <w:tabs>
          <w:tab w:leader="none" w:pos="282"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Unusual Capitalization Policies</w:t>
      </w:r>
    </w:p>
    <w:p>
      <w:pPr>
        <w:spacing w:after="0" w:line="369" w:lineRule="exact"/>
        <w:rPr>
          <w:sz w:val="20"/>
          <w:szCs w:val="20"/>
          <w:color w:val="auto"/>
        </w:rPr>
      </w:pPr>
    </w:p>
    <w:p>
      <w:pPr>
        <w:ind w:left="3242"/>
        <w:spacing w:after="0"/>
        <w:rPr>
          <w:sz w:val="20"/>
          <w:szCs w:val="20"/>
          <w:color w:val="auto"/>
        </w:rPr>
      </w:pPr>
      <w:r>
        <w:rPr>
          <w:rFonts w:ascii="Courier New" w:cs="Courier New" w:eastAsia="Courier New" w:hAnsi="Courier New"/>
          <w:sz w:val="16"/>
          <w:szCs w:val="16"/>
          <w:color w:val="auto"/>
        </w:rPr>
        <w:t>NO NONSENSE</w:t>
      </w:r>
    </w:p>
    <w:p>
      <w:pPr>
        <w:sectPr>
          <w:pgSz w:w="11900" w:h="16838" w:orient="portrait"/>
          <w:cols w:equalWidth="0" w:num="1">
            <w:col w:w="10221"/>
          </w:cols>
          <w:pgMar w:left="238" w:top="848" w:right="1440" w:bottom="1440" w:gutter="0" w:footer="0" w:header="0"/>
        </w:sectPr>
      </w:pPr>
    </w:p>
    <w:p>
      <w:pPr>
        <w:spacing w:after="0" w:line="188" w:lineRule="exact"/>
        <w:rPr>
          <w:sz w:val="20"/>
          <w:szCs w:val="20"/>
          <w:color w:val="auto"/>
        </w:rPr>
      </w:pPr>
    </w:p>
    <w:p>
      <w:pPr>
        <w:ind w:left="2"/>
        <w:spacing w:after="0"/>
        <w:rPr>
          <w:sz w:val="20"/>
          <w:szCs w:val="20"/>
          <w:color w:val="auto"/>
        </w:rPr>
      </w:pPr>
      <w:r>
        <w:rPr>
          <w:rFonts w:ascii="Courier New" w:cs="Courier New" w:eastAsia="Courier New" w:hAnsi="Courier New"/>
          <w:sz w:val="15"/>
          <w:szCs w:val="15"/>
          <w:color w:val="auto"/>
        </w:rPr>
        <w:t>Banc of America</w:t>
      </w:r>
    </w:p>
    <w:p>
      <w:pPr>
        <w:spacing w:after="0" w:line="11"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May 1, 2002</w:t>
      </w:r>
    </w:p>
    <w:p>
      <w:pPr>
        <w:spacing w:after="0" w:line="20" w:lineRule="exact"/>
        <w:rPr>
          <w:sz w:val="20"/>
          <w:szCs w:val="20"/>
          <w:color w:val="auto"/>
        </w:rPr>
      </w:pPr>
      <w:r>
        <w:rPr>
          <w:sz w:val="20"/>
          <w:szCs w:val="20"/>
          <w:color w:val="auto"/>
        </w:rPr>
        <w:br w:type="column"/>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comcast(R)</w:t>
      </w:r>
    </w:p>
    <w:p>
      <w:pPr>
        <w:sectPr>
          <w:pgSz w:w="11900" w:h="16838" w:orient="portrait"/>
          <w:cols w:equalWidth="0" w:num="2">
            <w:col w:w="5962" w:space="720"/>
            <w:col w:w="3539"/>
          </w:cols>
          <w:pgMar w:left="238" w:top="848" w:right="1440" w:bottom="1440" w:gutter="0" w:footer="0" w:header="0"/>
          <w:type w:val="continuous"/>
        </w:sectPr>
      </w:pPr>
    </w:p>
    <w:bookmarkStart w:id="14" w:name="page15"/>
    <w:bookmarkEnd w:id="14"/>
    <w:p>
      <w:pPr>
        <w:ind w:left="2"/>
        <w:spacing w:after="0"/>
        <w:rPr>
          <w:sz w:val="20"/>
          <w:szCs w:val="20"/>
          <w:color w:val="auto"/>
        </w:rPr>
      </w:pPr>
      <w:r>
        <w:rPr>
          <w:rFonts w:ascii="Courier New" w:cs="Courier New" w:eastAsia="Courier New" w:hAnsi="Courier New"/>
          <w:sz w:val="16"/>
          <w:szCs w:val="16"/>
          <w:color w:val="auto"/>
        </w:rPr>
        <w:t>AT&amp;T comcast(R)</w:t>
      </w:r>
    </w:p>
    <w:p>
      <w:pPr>
        <w:spacing w:after="0" w:line="2" w:lineRule="exact"/>
        <w:rPr>
          <w:sz w:val="20"/>
          <w:szCs w:val="20"/>
          <w:color w:val="auto"/>
        </w:rPr>
      </w:pPr>
    </w:p>
    <w:p>
      <w:pPr>
        <w:ind w:left="662"/>
        <w:spacing w:after="0"/>
        <w:rPr>
          <w:sz w:val="20"/>
          <w:szCs w:val="20"/>
          <w:color w:val="auto"/>
        </w:rPr>
      </w:pPr>
      <w:r>
        <w:rPr>
          <w:rFonts w:ascii="Courier New" w:cs="Courier New" w:eastAsia="Courier New" w:hAnsi="Courier New"/>
          <w:sz w:val="16"/>
          <w:szCs w:val="16"/>
          <w:color w:val="auto"/>
        </w:rPr>
        <w:t>CORPORATION</w:t>
      </w:r>
    </w:p>
    <w:p>
      <w:pPr>
        <w:spacing w:after="0" w:line="369"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Merger Funding Update</w:t>
      </w:r>
    </w:p>
    <w:p>
      <w:pPr>
        <w:spacing w:after="0" w:line="186" w:lineRule="exact"/>
        <w:rPr>
          <w:sz w:val="20"/>
          <w:szCs w:val="20"/>
          <w:color w:val="auto"/>
        </w:rPr>
      </w:pPr>
    </w:p>
    <w:p>
      <w:pPr>
        <w:ind w:left="282" w:hanging="282"/>
        <w:spacing w:after="0"/>
        <w:tabs>
          <w:tab w:leader="none" w:pos="282"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$17 Billion of Bank Facilities</w:t>
      </w:r>
    </w:p>
    <w:p>
      <w:pPr>
        <w:spacing w:after="0" w:line="185" w:lineRule="exact"/>
        <w:rPr>
          <w:rFonts w:ascii="Courier New" w:cs="Courier New" w:eastAsia="Courier New" w:hAnsi="Courier New"/>
          <w:sz w:val="16"/>
          <w:szCs w:val="16"/>
          <w:color w:val="auto"/>
        </w:rPr>
      </w:pPr>
    </w:p>
    <w:p>
      <w:pPr>
        <w:ind w:left="282" w:hanging="282"/>
        <w:spacing w:after="0"/>
        <w:tabs>
          <w:tab w:leader="none" w:pos="282"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Funding Requirement at Closing: $11-$14 Billion</w:t>
      </w:r>
    </w:p>
    <w:p>
      <w:pPr>
        <w:spacing w:after="0" w:line="188" w:lineRule="exact"/>
        <w:rPr>
          <w:rFonts w:ascii="Courier New" w:cs="Courier New" w:eastAsia="Courier New" w:hAnsi="Courier New"/>
          <w:sz w:val="16"/>
          <w:szCs w:val="16"/>
          <w:color w:val="auto"/>
        </w:rPr>
      </w:pPr>
    </w:p>
    <w:p>
      <w:pPr>
        <w:jc w:val="right"/>
        <w:ind w:left="582" w:right="3919" w:hanging="286"/>
        <w:spacing w:after="0" w:line="271" w:lineRule="auto"/>
        <w:rPr>
          <w:rFonts w:ascii="Courier New" w:cs="Courier New" w:eastAsia="Courier New" w:hAnsi="Courier New"/>
          <w:sz w:val="16"/>
          <w:szCs w:val="16"/>
          <w:color w:val="auto"/>
        </w:rPr>
      </w:pPr>
      <w:r>
        <w:rPr>
          <w:rFonts w:ascii="Courier New" w:cs="Courier New" w:eastAsia="Courier New" w:hAnsi="Courier New"/>
          <w:sz w:val="15"/>
          <w:szCs w:val="15"/>
          <w:color w:val="auto"/>
        </w:rPr>
        <w:t>o  Includes Repayment of AT&amp;T Intercompany Debt, Free Cash Flow Deficit and Other Near-Term Liquidity Needs for AT&amp;T Comcast</w:t>
      </w:r>
    </w:p>
    <w:p>
      <w:pPr>
        <w:sectPr>
          <w:pgSz w:w="11900" w:h="16838" w:orient="portrait"/>
          <w:cols w:equalWidth="0" w:num="1">
            <w:col w:w="10221"/>
          </w:cols>
          <w:pgMar w:left="238" w:top="848" w:right="1440" w:bottom="1440" w:gutter="0" w:footer="0" w:header="0"/>
        </w:sectPr>
      </w:pPr>
    </w:p>
    <w:p>
      <w:pPr>
        <w:spacing w:after="0" w:line="350" w:lineRule="exact"/>
        <w:rPr>
          <w:sz w:val="20"/>
          <w:szCs w:val="20"/>
          <w:color w:val="auto"/>
        </w:rPr>
      </w:pPr>
    </w:p>
    <w:p>
      <w:pPr>
        <w:ind w:left="2"/>
        <w:spacing w:after="0"/>
        <w:rPr>
          <w:sz w:val="20"/>
          <w:szCs w:val="20"/>
          <w:color w:val="auto"/>
        </w:rPr>
      </w:pPr>
      <w:r>
        <w:rPr>
          <w:rFonts w:ascii="Courier New" w:cs="Courier New" w:eastAsia="Courier New" w:hAnsi="Courier New"/>
          <w:sz w:val="15"/>
          <w:szCs w:val="15"/>
          <w:color w:val="auto"/>
        </w:rPr>
        <w:t>Banc of America</w:t>
      </w:r>
    </w:p>
    <w:p>
      <w:pPr>
        <w:spacing w:after="0" w:line="11"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May 1, 2002</w:t>
      </w:r>
    </w:p>
    <w:p>
      <w:pPr>
        <w:spacing w:after="0" w:line="20" w:lineRule="exact"/>
        <w:rPr>
          <w:sz w:val="20"/>
          <w:szCs w:val="20"/>
          <w:color w:val="auto"/>
        </w:rPr>
      </w:pPr>
      <w:r>
        <w:rPr>
          <w:sz w:val="20"/>
          <w:szCs w:val="20"/>
          <w:color w:val="auto"/>
        </w:rPr>
        <w:br w:type="column"/>
      </w:r>
    </w:p>
    <w:p>
      <w:pPr>
        <w:spacing w:after="0" w:line="33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comcast(R)</w:t>
      </w:r>
    </w:p>
    <w:p>
      <w:pPr>
        <w:sectPr>
          <w:pgSz w:w="11900" w:h="16838" w:orient="portrait"/>
          <w:cols w:equalWidth="0" w:num="2">
            <w:col w:w="5962" w:space="720"/>
            <w:col w:w="3539"/>
          </w:cols>
          <w:pgMar w:left="238" w:top="848" w:right="1440" w:bottom="1440" w:gutter="0" w:footer="0" w:header="0"/>
          <w:type w:val="continuous"/>
        </w:sectPr>
      </w:pPr>
    </w:p>
    <w:bookmarkStart w:id="15" w:name="page16"/>
    <w:bookmarkEnd w:id="15"/>
    <w:p>
      <w:pPr>
        <w:spacing w:after="0"/>
        <w:rPr>
          <w:sz w:val="20"/>
          <w:szCs w:val="20"/>
          <w:color w:val="auto"/>
        </w:rPr>
      </w:pPr>
      <w:r>
        <w:rPr>
          <w:rFonts w:ascii="Courier New" w:cs="Courier New" w:eastAsia="Courier New" w:hAnsi="Courier New"/>
          <w:sz w:val="16"/>
          <w:szCs w:val="16"/>
          <w:color w:val="auto"/>
        </w:rPr>
        <w:t>Commitment to Deleveraging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1280" w:type="dxa"/>
            <w:vAlign w:val="bottom"/>
          </w:tcPr>
          <w:p>
            <w:pPr>
              <w:spacing w:after="0"/>
              <w:rPr>
                <w:sz w:val="15"/>
                <w:szCs w:val="15"/>
                <w:color w:val="auto"/>
              </w:rPr>
            </w:pPr>
          </w:p>
        </w:tc>
        <w:tc>
          <w:tcPr>
            <w:tcW w:w="3060" w:type="dxa"/>
            <w:vAlign w:val="bottom"/>
            <w:gridSpan w:val="3"/>
          </w:tcPr>
          <w:p>
            <w:pPr>
              <w:ind w:left="140"/>
              <w:spacing w:after="0"/>
              <w:rPr>
                <w:sz w:val="20"/>
                <w:szCs w:val="20"/>
                <w:color w:val="auto"/>
              </w:rPr>
            </w:pPr>
            <w:r>
              <w:rPr>
                <w:rFonts w:ascii="Courier New" w:cs="Courier New" w:eastAsia="Courier New" w:hAnsi="Courier New"/>
                <w:sz w:val="16"/>
                <w:szCs w:val="16"/>
                <w:color w:val="auto"/>
              </w:rPr>
              <w:t>AT&amp;T Comcast debt(1)</w:t>
            </w:r>
          </w:p>
        </w:tc>
        <w:tc>
          <w:tcPr>
            <w:tcW w:w="1900" w:type="dxa"/>
            <w:vAlign w:val="bottom"/>
          </w:tcPr>
          <w:p>
            <w:pPr>
              <w:spacing w:after="0"/>
              <w:rPr>
                <w:sz w:val="15"/>
                <w:szCs w:val="15"/>
                <w:color w:val="auto"/>
              </w:rPr>
            </w:pPr>
          </w:p>
        </w:tc>
        <w:tc>
          <w:tcPr>
            <w:tcW w:w="1760" w:type="dxa"/>
            <w:vAlign w:val="bottom"/>
          </w:tcPr>
          <w:p>
            <w:pPr>
              <w:ind w:left="1480"/>
              <w:spacing w:after="0"/>
              <w:rPr>
                <w:sz w:val="20"/>
                <w:szCs w:val="20"/>
                <w:color w:val="auto"/>
              </w:rPr>
            </w:pPr>
            <w:r>
              <w:rPr>
                <w:rFonts w:ascii="Courier New" w:cs="Courier New" w:eastAsia="Courier New" w:hAnsi="Courier New"/>
                <w:sz w:val="16"/>
                <w:szCs w:val="16"/>
                <w:color w:val="auto"/>
              </w:rPr>
              <w:t>o</w:t>
            </w:r>
          </w:p>
        </w:tc>
        <w:tc>
          <w:tcPr>
            <w:tcW w:w="3520" w:type="dxa"/>
            <w:vAlign w:val="bottom"/>
          </w:tcPr>
          <w:p>
            <w:pPr>
              <w:ind w:left="200"/>
              <w:spacing w:after="0"/>
              <w:rPr>
                <w:sz w:val="20"/>
                <w:szCs w:val="20"/>
                <w:color w:val="auto"/>
              </w:rPr>
            </w:pPr>
            <w:r>
              <w:rPr>
                <w:rFonts w:ascii="Courier New" w:cs="Courier New" w:eastAsia="Courier New" w:hAnsi="Courier New"/>
                <w:sz w:val="16"/>
                <w:szCs w:val="16"/>
                <w:color w:val="auto"/>
              </w:rPr>
              <w:t>QUIPS conversion to equity</w:t>
            </w:r>
          </w:p>
        </w:tc>
      </w:tr>
      <w:tr>
        <w:trPr>
          <w:trHeight w:val="183"/>
        </w:trPr>
        <w:tc>
          <w:tcPr>
            <w:tcW w:w="12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2480" w:type="dxa"/>
            <w:vAlign w:val="bottom"/>
            <w:gridSpan w:val="2"/>
          </w:tcPr>
          <w:p>
            <w:pPr>
              <w:jc w:val="right"/>
              <w:ind w:right="1221"/>
              <w:spacing w:after="0"/>
              <w:rPr>
                <w:sz w:val="20"/>
                <w:szCs w:val="20"/>
                <w:color w:val="auto"/>
              </w:rPr>
            </w:pPr>
            <w:r>
              <w:rPr>
                <w:rFonts w:ascii="Courier New" w:cs="Courier New" w:eastAsia="Courier New" w:hAnsi="Courier New"/>
                <w:sz w:val="16"/>
                <w:szCs w:val="16"/>
                <w:color w:val="auto"/>
              </w:rPr>
              <w:t>in Billions)</w:t>
            </w:r>
          </w:p>
        </w:tc>
        <w:tc>
          <w:tcPr>
            <w:tcW w:w="190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3520" w:type="dxa"/>
            <w:vAlign w:val="bottom"/>
          </w:tcPr>
          <w:p>
            <w:pPr>
              <w:ind w:left="200"/>
              <w:spacing w:after="0"/>
              <w:rPr>
                <w:sz w:val="20"/>
                <w:szCs w:val="20"/>
                <w:color w:val="auto"/>
              </w:rPr>
            </w:pPr>
            <w:r>
              <w:rPr>
                <w:rFonts w:ascii="Courier New" w:cs="Courier New" w:eastAsia="Courier New" w:hAnsi="Courier New"/>
                <w:sz w:val="16"/>
                <w:szCs w:val="16"/>
                <w:color w:val="auto"/>
              </w:rPr>
              <w:t>represents a $5.0BN (face value)</w:t>
            </w:r>
          </w:p>
        </w:tc>
      </w:tr>
      <w:tr>
        <w:trPr>
          <w:trHeight w:val="183"/>
        </w:trPr>
        <w:tc>
          <w:tcPr>
            <w:tcW w:w="12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0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3520" w:type="dxa"/>
            <w:vAlign w:val="bottom"/>
          </w:tcPr>
          <w:p>
            <w:pPr>
              <w:ind w:left="200"/>
              <w:spacing w:after="0"/>
              <w:rPr>
                <w:sz w:val="20"/>
                <w:szCs w:val="20"/>
                <w:color w:val="auto"/>
              </w:rPr>
            </w:pPr>
            <w:r>
              <w:rPr>
                <w:rFonts w:ascii="Courier New" w:cs="Courier New" w:eastAsia="Courier New" w:hAnsi="Courier New"/>
                <w:sz w:val="16"/>
                <w:szCs w:val="16"/>
                <w:color w:val="auto"/>
              </w:rPr>
              <w:t>reduction in total debt and</w:t>
            </w:r>
          </w:p>
        </w:tc>
      </w:tr>
      <w:tr>
        <w:trPr>
          <w:trHeight w:val="183"/>
        </w:trPr>
        <w:tc>
          <w:tcPr>
            <w:tcW w:w="12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0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3520" w:type="dxa"/>
            <w:vAlign w:val="bottom"/>
          </w:tcPr>
          <w:p>
            <w:pPr>
              <w:ind w:left="200"/>
              <w:spacing w:after="0"/>
              <w:rPr>
                <w:sz w:val="20"/>
                <w:szCs w:val="20"/>
                <w:color w:val="auto"/>
              </w:rPr>
            </w:pPr>
            <w:r>
              <w:rPr>
                <w:rFonts w:ascii="Courier New" w:cs="Courier New" w:eastAsia="Courier New" w:hAnsi="Courier New"/>
                <w:sz w:val="16"/>
                <w:szCs w:val="16"/>
                <w:color w:val="auto"/>
              </w:rPr>
              <w:t>preferred</w:t>
            </w:r>
          </w:p>
        </w:tc>
      </w:tr>
      <w:tr>
        <w:trPr>
          <w:trHeight w:val="183"/>
        </w:trPr>
        <w:tc>
          <w:tcPr>
            <w:tcW w:w="1280" w:type="dxa"/>
            <w:vAlign w:val="bottom"/>
          </w:tcPr>
          <w:p>
            <w:pPr>
              <w:spacing w:after="0"/>
              <w:rPr>
                <w:sz w:val="20"/>
                <w:szCs w:val="20"/>
                <w:color w:val="auto"/>
              </w:rPr>
            </w:pPr>
            <w:r>
              <w:rPr>
                <w:rFonts w:ascii="Courier New" w:cs="Courier New" w:eastAsia="Courier New" w:hAnsi="Courier New"/>
                <w:sz w:val="16"/>
                <w:szCs w:val="16"/>
                <w:color w:val="auto"/>
              </w:rPr>
              <w:t>QUIPS</w:t>
            </w:r>
          </w:p>
        </w:tc>
        <w:tc>
          <w:tcPr>
            <w:tcW w:w="580" w:type="dxa"/>
            <w:vAlign w:val="bottom"/>
          </w:tcPr>
          <w:p>
            <w:pPr>
              <w:jc w:val="right"/>
              <w:spacing w:after="0"/>
              <w:rPr>
                <w:sz w:val="20"/>
                <w:szCs w:val="20"/>
                <w:color w:val="auto"/>
              </w:rPr>
            </w:pPr>
            <w:r>
              <w:rPr>
                <w:rFonts w:ascii="Courier New" w:cs="Courier New" w:eastAsia="Courier New" w:hAnsi="Courier New"/>
                <w:sz w:val="16"/>
                <w:szCs w:val="16"/>
                <w:color w:val="auto"/>
              </w:rPr>
              <w:t>$5.0</w:t>
            </w:r>
          </w:p>
        </w:tc>
        <w:tc>
          <w:tcPr>
            <w:tcW w:w="280" w:type="dxa"/>
            <w:vAlign w:val="bottom"/>
          </w:tcPr>
          <w:p>
            <w:pPr>
              <w:spacing w:after="0"/>
              <w:rPr>
                <w:sz w:val="15"/>
                <w:szCs w:val="15"/>
                <w:color w:val="auto"/>
              </w:rPr>
            </w:pPr>
          </w:p>
        </w:tc>
        <w:tc>
          <w:tcPr>
            <w:tcW w:w="2200" w:type="dxa"/>
            <w:vAlign w:val="bottom"/>
          </w:tcPr>
          <w:p>
            <w:pPr>
              <w:jc w:val="right"/>
              <w:ind w:right="1501"/>
              <w:spacing w:after="0"/>
              <w:rPr>
                <w:sz w:val="20"/>
                <w:szCs w:val="20"/>
                <w:color w:val="auto"/>
              </w:rPr>
            </w:pPr>
            <w:r>
              <w:rPr>
                <w:rFonts w:ascii="Courier New" w:cs="Courier New" w:eastAsia="Courier New" w:hAnsi="Courier New"/>
                <w:sz w:val="16"/>
                <w:szCs w:val="16"/>
                <w:color w:val="auto"/>
              </w:rPr>
              <w:t>$5.0</w:t>
            </w:r>
          </w:p>
        </w:tc>
        <w:tc>
          <w:tcPr>
            <w:tcW w:w="190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3520" w:type="dxa"/>
            <w:vAlign w:val="bottom"/>
          </w:tcPr>
          <w:p>
            <w:pPr>
              <w:spacing w:after="0"/>
              <w:rPr>
                <w:sz w:val="15"/>
                <w:szCs w:val="15"/>
                <w:color w:val="auto"/>
              </w:rPr>
            </w:pPr>
          </w:p>
        </w:tc>
      </w:tr>
      <w:tr>
        <w:trPr>
          <w:trHeight w:val="183"/>
        </w:trPr>
        <w:tc>
          <w:tcPr>
            <w:tcW w:w="12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00" w:type="dxa"/>
            <w:vAlign w:val="bottom"/>
          </w:tcPr>
          <w:p>
            <w:pPr>
              <w:jc w:val="right"/>
              <w:ind w:right="741"/>
              <w:spacing w:after="0"/>
              <w:rPr>
                <w:sz w:val="20"/>
                <w:szCs w:val="20"/>
                <w:color w:val="auto"/>
              </w:rPr>
            </w:pPr>
            <w:r>
              <w:rPr>
                <w:rFonts w:ascii="Courier New" w:cs="Courier New" w:eastAsia="Courier New" w:hAnsi="Courier New"/>
                <w:sz w:val="16"/>
                <w:szCs w:val="16"/>
                <w:color w:val="auto"/>
              </w:rPr>
              <w:t>$2.4</w:t>
            </w:r>
          </w:p>
        </w:tc>
        <w:tc>
          <w:tcPr>
            <w:tcW w:w="1900" w:type="dxa"/>
            <w:vAlign w:val="bottom"/>
          </w:tcPr>
          <w:p>
            <w:pPr>
              <w:spacing w:after="0"/>
              <w:rPr>
                <w:sz w:val="15"/>
                <w:szCs w:val="15"/>
                <w:color w:val="auto"/>
              </w:rPr>
            </w:pPr>
          </w:p>
        </w:tc>
        <w:tc>
          <w:tcPr>
            <w:tcW w:w="1760" w:type="dxa"/>
            <w:vAlign w:val="bottom"/>
          </w:tcPr>
          <w:p>
            <w:pPr>
              <w:ind w:left="1480"/>
              <w:spacing w:after="0"/>
              <w:rPr>
                <w:sz w:val="20"/>
                <w:szCs w:val="20"/>
                <w:color w:val="auto"/>
              </w:rPr>
            </w:pPr>
            <w:r>
              <w:rPr>
                <w:rFonts w:ascii="Courier New" w:cs="Courier New" w:eastAsia="Courier New" w:hAnsi="Courier New"/>
                <w:sz w:val="16"/>
                <w:szCs w:val="16"/>
                <w:color w:val="auto"/>
              </w:rPr>
              <w:t>o</w:t>
            </w:r>
          </w:p>
        </w:tc>
        <w:tc>
          <w:tcPr>
            <w:tcW w:w="3520" w:type="dxa"/>
            <w:vAlign w:val="bottom"/>
          </w:tcPr>
          <w:p>
            <w:pPr>
              <w:ind w:left="200"/>
              <w:spacing w:after="0"/>
              <w:rPr>
                <w:sz w:val="20"/>
                <w:szCs w:val="20"/>
                <w:color w:val="auto"/>
              </w:rPr>
            </w:pPr>
            <w:r>
              <w:rPr>
                <w:rFonts w:ascii="Courier New" w:cs="Courier New" w:eastAsia="Courier New" w:hAnsi="Courier New"/>
                <w:sz w:val="16"/>
                <w:szCs w:val="16"/>
                <w:color w:val="auto"/>
              </w:rPr>
              <w:t>On April 5th, AT&amp;T Broadband</w:t>
            </w:r>
          </w:p>
        </w:tc>
      </w:tr>
      <w:tr>
        <w:trPr>
          <w:trHeight w:val="183"/>
        </w:trPr>
        <w:tc>
          <w:tcPr>
            <w:tcW w:w="12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0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3520" w:type="dxa"/>
            <w:vAlign w:val="bottom"/>
          </w:tcPr>
          <w:p>
            <w:pPr>
              <w:ind w:left="200"/>
              <w:spacing w:after="0"/>
              <w:rPr>
                <w:sz w:val="20"/>
                <w:szCs w:val="20"/>
                <w:color w:val="auto"/>
              </w:rPr>
            </w:pPr>
            <w:r>
              <w:rPr>
                <w:rFonts w:ascii="Courier New" w:cs="Courier New" w:eastAsia="Courier New" w:hAnsi="Courier New"/>
                <w:sz w:val="16"/>
                <w:szCs w:val="16"/>
                <w:color w:val="auto"/>
              </w:rPr>
              <w:t>reached an agreement with Bresnan</w:t>
            </w:r>
          </w:p>
        </w:tc>
      </w:tr>
      <w:tr>
        <w:trPr>
          <w:trHeight w:val="183"/>
        </w:trPr>
        <w:tc>
          <w:tcPr>
            <w:tcW w:w="1280" w:type="dxa"/>
            <w:vAlign w:val="bottom"/>
          </w:tcPr>
          <w:p>
            <w:pPr>
              <w:spacing w:after="0"/>
              <w:rPr>
                <w:sz w:val="20"/>
                <w:szCs w:val="20"/>
                <w:color w:val="auto"/>
              </w:rPr>
            </w:pPr>
            <w:r>
              <w:rPr>
                <w:rFonts w:ascii="Courier New" w:cs="Courier New" w:eastAsia="Courier New" w:hAnsi="Courier New"/>
                <w:sz w:val="16"/>
                <w:szCs w:val="16"/>
                <w:color w:val="auto"/>
              </w:rPr>
              <w:t>New</w:t>
            </w: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0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3520" w:type="dxa"/>
            <w:vAlign w:val="bottom"/>
          </w:tcPr>
          <w:p>
            <w:pPr>
              <w:ind w:left="200"/>
              <w:spacing w:after="0"/>
              <w:rPr>
                <w:sz w:val="20"/>
                <w:szCs w:val="20"/>
                <w:color w:val="auto"/>
              </w:rPr>
            </w:pPr>
            <w:r>
              <w:rPr>
                <w:rFonts w:ascii="Courier New" w:cs="Courier New" w:eastAsia="Courier New" w:hAnsi="Courier New"/>
                <w:sz w:val="16"/>
                <w:szCs w:val="16"/>
                <w:color w:val="auto"/>
              </w:rPr>
              <w:t>Communications to sell 320,000</w:t>
            </w:r>
          </w:p>
        </w:tc>
      </w:tr>
      <w:tr>
        <w:trPr>
          <w:trHeight w:val="183"/>
        </w:trPr>
        <w:tc>
          <w:tcPr>
            <w:tcW w:w="1280" w:type="dxa"/>
            <w:vAlign w:val="bottom"/>
          </w:tcPr>
          <w:p>
            <w:pPr>
              <w:spacing w:after="0"/>
              <w:rPr>
                <w:sz w:val="20"/>
                <w:szCs w:val="20"/>
                <w:color w:val="auto"/>
              </w:rPr>
            </w:pPr>
            <w:r>
              <w:rPr>
                <w:rFonts w:ascii="Courier New" w:cs="Courier New" w:eastAsia="Courier New" w:hAnsi="Courier New"/>
                <w:sz w:val="16"/>
                <w:szCs w:val="16"/>
                <w:color w:val="auto"/>
              </w:rPr>
              <w:t>AT&amp;T Comcast</w:t>
            </w: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00" w:type="dxa"/>
            <w:vAlign w:val="bottom"/>
          </w:tcPr>
          <w:p>
            <w:pPr>
              <w:spacing w:after="0"/>
              <w:rPr>
                <w:sz w:val="15"/>
                <w:szCs w:val="15"/>
                <w:color w:val="auto"/>
              </w:rPr>
            </w:pPr>
          </w:p>
        </w:tc>
        <w:tc>
          <w:tcPr>
            <w:tcW w:w="190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$6.5</w:t>
            </w:r>
          </w:p>
        </w:tc>
        <w:tc>
          <w:tcPr>
            <w:tcW w:w="1760" w:type="dxa"/>
            <w:vAlign w:val="bottom"/>
          </w:tcPr>
          <w:p>
            <w:pPr>
              <w:spacing w:after="0"/>
              <w:rPr>
                <w:sz w:val="15"/>
                <w:szCs w:val="15"/>
                <w:color w:val="auto"/>
              </w:rPr>
            </w:pPr>
          </w:p>
        </w:tc>
        <w:tc>
          <w:tcPr>
            <w:tcW w:w="3520" w:type="dxa"/>
            <w:vAlign w:val="bottom"/>
          </w:tcPr>
          <w:p>
            <w:pPr>
              <w:ind w:left="200"/>
              <w:spacing w:after="0"/>
              <w:rPr>
                <w:sz w:val="20"/>
                <w:szCs w:val="20"/>
                <w:color w:val="auto"/>
              </w:rPr>
            </w:pPr>
            <w:r>
              <w:rPr>
                <w:rFonts w:ascii="Courier New" w:cs="Courier New" w:eastAsia="Courier New" w:hAnsi="Courier New"/>
                <w:sz w:val="16"/>
                <w:szCs w:val="16"/>
                <w:color w:val="auto"/>
                <w:w w:val="98"/>
              </w:rPr>
              <w:t>subscribers in Montana, Wyoming and</w:t>
            </w:r>
          </w:p>
        </w:tc>
      </w:tr>
      <w:tr>
        <w:trPr>
          <w:trHeight w:val="183"/>
        </w:trPr>
        <w:tc>
          <w:tcPr>
            <w:tcW w:w="1280" w:type="dxa"/>
            <w:vAlign w:val="bottom"/>
          </w:tcPr>
          <w:p>
            <w:pPr>
              <w:spacing w:after="0"/>
              <w:rPr>
                <w:sz w:val="20"/>
                <w:szCs w:val="20"/>
                <w:color w:val="auto"/>
              </w:rPr>
            </w:pPr>
            <w:r>
              <w:rPr>
                <w:rFonts w:ascii="Courier New" w:cs="Courier New" w:eastAsia="Courier New" w:hAnsi="Courier New"/>
                <w:sz w:val="16"/>
                <w:szCs w:val="16"/>
                <w:color w:val="auto"/>
              </w:rPr>
              <w:t>Borrowings</w:t>
            </w:r>
          </w:p>
        </w:tc>
        <w:tc>
          <w:tcPr>
            <w:tcW w:w="860" w:type="dxa"/>
            <w:vAlign w:val="bottom"/>
            <w:gridSpan w:val="2"/>
          </w:tcPr>
          <w:p>
            <w:pPr>
              <w:ind w:left="140"/>
              <w:spacing w:after="0"/>
              <w:rPr>
                <w:sz w:val="20"/>
                <w:szCs w:val="20"/>
                <w:color w:val="auto"/>
              </w:rPr>
            </w:pPr>
            <w:r>
              <w:rPr>
                <w:rFonts w:ascii="Courier New" w:cs="Courier New" w:eastAsia="Courier New" w:hAnsi="Courier New"/>
                <w:sz w:val="16"/>
                <w:szCs w:val="16"/>
                <w:color w:val="auto"/>
              </w:rPr>
              <w:t>$12.5</w:t>
            </w:r>
          </w:p>
        </w:tc>
        <w:tc>
          <w:tcPr>
            <w:tcW w:w="2200" w:type="dxa"/>
            <w:vAlign w:val="bottom"/>
          </w:tcPr>
          <w:p>
            <w:pPr>
              <w:spacing w:after="0"/>
              <w:rPr>
                <w:sz w:val="15"/>
                <w:szCs w:val="15"/>
                <w:color w:val="auto"/>
              </w:rPr>
            </w:pPr>
          </w:p>
        </w:tc>
        <w:tc>
          <w:tcPr>
            <w:tcW w:w="1900" w:type="dxa"/>
            <w:vAlign w:val="bottom"/>
          </w:tcPr>
          <w:p>
            <w:pPr>
              <w:ind w:left="240"/>
              <w:spacing w:after="0"/>
              <w:rPr>
                <w:sz w:val="20"/>
                <w:szCs w:val="20"/>
                <w:color w:val="auto"/>
              </w:rPr>
            </w:pPr>
            <w:r>
              <w:rPr>
                <w:rFonts w:ascii="Courier New" w:cs="Courier New" w:eastAsia="Courier New" w:hAnsi="Courier New"/>
                <w:sz w:val="16"/>
                <w:szCs w:val="16"/>
                <w:color w:val="auto"/>
              </w:rPr>
              <w:t>$10.1</w:t>
            </w:r>
          </w:p>
        </w:tc>
        <w:tc>
          <w:tcPr>
            <w:tcW w:w="1760" w:type="dxa"/>
            <w:vAlign w:val="bottom"/>
          </w:tcPr>
          <w:p>
            <w:pPr>
              <w:spacing w:after="0"/>
              <w:rPr>
                <w:sz w:val="15"/>
                <w:szCs w:val="15"/>
                <w:color w:val="auto"/>
              </w:rPr>
            </w:pPr>
          </w:p>
        </w:tc>
        <w:tc>
          <w:tcPr>
            <w:tcW w:w="3520" w:type="dxa"/>
            <w:vAlign w:val="bottom"/>
          </w:tcPr>
          <w:p>
            <w:pPr>
              <w:ind w:left="200"/>
              <w:spacing w:after="0"/>
              <w:rPr>
                <w:sz w:val="20"/>
                <w:szCs w:val="20"/>
                <w:color w:val="auto"/>
              </w:rPr>
            </w:pPr>
            <w:r>
              <w:rPr>
                <w:rFonts w:ascii="Courier New" w:cs="Courier New" w:eastAsia="Courier New" w:hAnsi="Courier New"/>
                <w:sz w:val="16"/>
                <w:szCs w:val="16"/>
                <w:color w:val="auto"/>
              </w:rPr>
              <w:t>Colorado for $735MM in cash</w:t>
            </w:r>
          </w:p>
        </w:tc>
      </w:tr>
      <w:tr>
        <w:trPr>
          <w:trHeight w:val="183"/>
        </w:trPr>
        <w:tc>
          <w:tcPr>
            <w:tcW w:w="12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0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1760" w:type="dxa"/>
            <w:vAlign w:val="bottom"/>
          </w:tcPr>
          <w:p>
            <w:pPr>
              <w:ind w:left="60"/>
              <w:spacing w:after="0"/>
              <w:rPr>
                <w:sz w:val="20"/>
                <w:szCs w:val="20"/>
                <w:color w:val="auto"/>
              </w:rPr>
            </w:pPr>
            <w:r>
              <w:rPr>
                <w:rFonts w:ascii="Courier New" w:cs="Courier New" w:eastAsia="Courier New" w:hAnsi="Courier New"/>
                <w:sz w:val="16"/>
                <w:szCs w:val="16"/>
                <w:color w:val="auto"/>
              </w:rPr>
              <w:t>$3.6</w:t>
            </w:r>
          </w:p>
        </w:tc>
        <w:tc>
          <w:tcPr>
            <w:tcW w:w="3520" w:type="dxa"/>
            <w:vAlign w:val="bottom"/>
          </w:tcPr>
          <w:p>
            <w:pPr>
              <w:spacing w:after="0"/>
              <w:rPr>
                <w:sz w:val="15"/>
                <w:szCs w:val="15"/>
                <w:color w:val="auto"/>
              </w:rPr>
            </w:pPr>
          </w:p>
        </w:tc>
      </w:tr>
      <w:tr>
        <w:trPr>
          <w:trHeight w:val="183"/>
        </w:trPr>
        <w:tc>
          <w:tcPr>
            <w:tcW w:w="12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0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1760" w:type="dxa"/>
            <w:vAlign w:val="bottom"/>
          </w:tcPr>
          <w:p>
            <w:pPr>
              <w:ind w:left="1480"/>
              <w:spacing w:after="0"/>
              <w:rPr>
                <w:sz w:val="20"/>
                <w:szCs w:val="20"/>
                <w:color w:val="auto"/>
              </w:rPr>
            </w:pPr>
            <w:r>
              <w:rPr>
                <w:rFonts w:ascii="Courier New" w:cs="Courier New" w:eastAsia="Courier New" w:hAnsi="Courier New"/>
                <w:sz w:val="16"/>
                <w:szCs w:val="16"/>
                <w:color w:val="auto"/>
              </w:rPr>
              <w:t>o</w:t>
            </w:r>
          </w:p>
        </w:tc>
        <w:tc>
          <w:tcPr>
            <w:tcW w:w="3520" w:type="dxa"/>
            <w:vAlign w:val="bottom"/>
          </w:tcPr>
          <w:p>
            <w:pPr>
              <w:ind w:left="200"/>
              <w:spacing w:after="0"/>
              <w:rPr>
                <w:sz w:val="20"/>
                <w:szCs w:val="20"/>
                <w:color w:val="auto"/>
              </w:rPr>
            </w:pPr>
            <w:r>
              <w:rPr>
                <w:rFonts w:ascii="Courier New" w:cs="Courier New" w:eastAsia="Courier New" w:hAnsi="Courier New"/>
                <w:sz w:val="16"/>
                <w:szCs w:val="16"/>
                <w:color w:val="auto"/>
              </w:rPr>
              <w:t>An additional after-tax value of</w:t>
            </w:r>
          </w:p>
        </w:tc>
      </w:tr>
      <w:tr>
        <w:trPr>
          <w:trHeight w:val="183"/>
        </w:trPr>
        <w:tc>
          <w:tcPr>
            <w:tcW w:w="1280" w:type="dxa"/>
            <w:vAlign w:val="bottom"/>
          </w:tcPr>
          <w:p>
            <w:pPr>
              <w:spacing w:after="0"/>
              <w:rPr>
                <w:sz w:val="20"/>
                <w:szCs w:val="20"/>
                <w:color w:val="auto"/>
              </w:rPr>
            </w:pPr>
            <w:r>
              <w:rPr>
                <w:rFonts w:ascii="Courier New" w:cs="Courier New" w:eastAsia="Courier New" w:hAnsi="Courier New"/>
                <w:sz w:val="16"/>
                <w:szCs w:val="16"/>
                <w:color w:val="auto"/>
              </w:rPr>
              <w:t>Existing</w:t>
            </w: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0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3520" w:type="dxa"/>
            <w:vAlign w:val="bottom"/>
          </w:tcPr>
          <w:p>
            <w:pPr>
              <w:ind w:left="200"/>
              <w:spacing w:after="0"/>
              <w:rPr>
                <w:sz w:val="20"/>
                <w:szCs w:val="20"/>
                <w:color w:val="auto"/>
              </w:rPr>
            </w:pPr>
            <w:r>
              <w:rPr>
                <w:rFonts w:ascii="Courier New" w:cs="Courier New" w:eastAsia="Courier New" w:hAnsi="Courier New"/>
                <w:sz w:val="16"/>
                <w:szCs w:val="16"/>
                <w:color w:val="auto"/>
                <w:w w:val="98"/>
              </w:rPr>
              <w:t>$1.7BN in highly liquid assets will</w:t>
            </w:r>
          </w:p>
        </w:tc>
      </w:tr>
      <w:tr>
        <w:trPr>
          <w:trHeight w:val="183"/>
        </w:trPr>
        <w:tc>
          <w:tcPr>
            <w:tcW w:w="1280" w:type="dxa"/>
            <w:vAlign w:val="bottom"/>
          </w:tcPr>
          <w:p>
            <w:pPr>
              <w:spacing w:after="0"/>
              <w:rPr>
                <w:sz w:val="20"/>
                <w:szCs w:val="20"/>
                <w:color w:val="auto"/>
              </w:rPr>
            </w:pPr>
            <w:r>
              <w:rPr>
                <w:rFonts w:ascii="Courier New" w:cs="Courier New" w:eastAsia="Courier New" w:hAnsi="Courier New"/>
                <w:sz w:val="16"/>
                <w:szCs w:val="16"/>
                <w:color w:val="auto"/>
              </w:rPr>
              <w:t>AT&amp;T Bonds</w:t>
            </w:r>
          </w:p>
        </w:tc>
        <w:tc>
          <w:tcPr>
            <w:tcW w:w="580" w:type="dxa"/>
            <w:vAlign w:val="bottom"/>
          </w:tcPr>
          <w:p>
            <w:pPr>
              <w:jc w:val="right"/>
              <w:spacing w:after="0"/>
              <w:rPr>
                <w:sz w:val="20"/>
                <w:szCs w:val="20"/>
                <w:color w:val="auto"/>
              </w:rPr>
            </w:pPr>
            <w:r>
              <w:rPr>
                <w:rFonts w:ascii="Courier New" w:cs="Courier New" w:eastAsia="Courier New" w:hAnsi="Courier New"/>
                <w:sz w:val="16"/>
                <w:szCs w:val="16"/>
                <w:color w:val="auto"/>
              </w:rPr>
              <w:t>$8.4</w:t>
            </w:r>
          </w:p>
        </w:tc>
        <w:tc>
          <w:tcPr>
            <w:tcW w:w="280" w:type="dxa"/>
            <w:vAlign w:val="bottom"/>
          </w:tcPr>
          <w:p>
            <w:pPr>
              <w:spacing w:after="0"/>
              <w:rPr>
                <w:sz w:val="15"/>
                <w:szCs w:val="15"/>
                <w:color w:val="auto"/>
              </w:rPr>
            </w:pPr>
          </w:p>
        </w:tc>
        <w:tc>
          <w:tcPr>
            <w:tcW w:w="2200" w:type="dxa"/>
            <w:vAlign w:val="bottom"/>
          </w:tcPr>
          <w:p>
            <w:pPr>
              <w:spacing w:after="0"/>
              <w:rPr>
                <w:sz w:val="15"/>
                <w:szCs w:val="15"/>
                <w:color w:val="auto"/>
              </w:rPr>
            </w:pPr>
          </w:p>
        </w:tc>
        <w:tc>
          <w:tcPr>
            <w:tcW w:w="1900" w:type="dxa"/>
            <w:vAlign w:val="bottom"/>
          </w:tcPr>
          <w:p>
            <w:pPr>
              <w:ind w:left="240"/>
              <w:spacing w:after="0"/>
              <w:rPr>
                <w:sz w:val="20"/>
                <w:szCs w:val="20"/>
                <w:color w:val="auto"/>
              </w:rPr>
            </w:pPr>
            <w:r>
              <w:rPr>
                <w:rFonts w:ascii="Courier New" w:cs="Courier New" w:eastAsia="Courier New" w:hAnsi="Courier New"/>
                <w:sz w:val="16"/>
                <w:szCs w:val="16"/>
                <w:color w:val="auto"/>
              </w:rPr>
              <w:t>$8.4</w:t>
            </w:r>
          </w:p>
        </w:tc>
        <w:tc>
          <w:tcPr>
            <w:tcW w:w="1760" w:type="dxa"/>
            <w:vAlign w:val="bottom"/>
          </w:tcPr>
          <w:p>
            <w:pPr>
              <w:ind w:left="60"/>
              <w:spacing w:after="0"/>
              <w:rPr>
                <w:sz w:val="20"/>
                <w:szCs w:val="20"/>
                <w:color w:val="auto"/>
              </w:rPr>
            </w:pPr>
            <w:r>
              <w:rPr>
                <w:rFonts w:ascii="Courier New" w:cs="Courier New" w:eastAsia="Courier New" w:hAnsi="Courier New"/>
                <w:sz w:val="16"/>
                <w:szCs w:val="16"/>
                <w:color w:val="auto"/>
              </w:rPr>
              <w:t>$8.4</w:t>
            </w:r>
          </w:p>
        </w:tc>
        <w:tc>
          <w:tcPr>
            <w:tcW w:w="3520" w:type="dxa"/>
            <w:vAlign w:val="bottom"/>
          </w:tcPr>
          <w:p>
            <w:pPr>
              <w:ind w:left="200"/>
              <w:spacing w:after="0"/>
              <w:rPr>
                <w:sz w:val="20"/>
                <w:szCs w:val="20"/>
                <w:color w:val="auto"/>
              </w:rPr>
            </w:pPr>
            <w:r>
              <w:rPr>
                <w:rFonts w:ascii="Courier New" w:cs="Courier New" w:eastAsia="Courier New" w:hAnsi="Courier New"/>
                <w:sz w:val="16"/>
                <w:szCs w:val="16"/>
                <w:color w:val="auto"/>
              </w:rPr>
              <w:t>also be immediately monetized</w:t>
            </w:r>
          </w:p>
        </w:tc>
      </w:tr>
      <w:tr>
        <w:trPr>
          <w:trHeight w:val="367"/>
        </w:trPr>
        <w:tc>
          <w:tcPr>
            <w:tcW w:w="1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760" w:type="dxa"/>
            <w:vAlign w:val="bottom"/>
          </w:tcPr>
          <w:p>
            <w:pPr>
              <w:ind w:left="1480"/>
              <w:spacing w:after="0"/>
              <w:rPr>
                <w:sz w:val="20"/>
                <w:szCs w:val="20"/>
                <w:color w:val="auto"/>
              </w:rPr>
            </w:pPr>
            <w:r>
              <w:rPr>
                <w:rFonts w:ascii="Courier New" w:cs="Courier New" w:eastAsia="Courier New" w:hAnsi="Courier New"/>
                <w:sz w:val="16"/>
                <w:szCs w:val="16"/>
                <w:color w:val="auto"/>
              </w:rPr>
              <w:t>o</w:t>
            </w:r>
          </w:p>
        </w:tc>
        <w:tc>
          <w:tcPr>
            <w:tcW w:w="3520" w:type="dxa"/>
            <w:vAlign w:val="bottom"/>
          </w:tcPr>
          <w:p>
            <w:pPr>
              <w:ind w:left="200"/>
              <w:spacing w:after="0"/>
              <w:rPr>
                <w:sz w:val="20"/>
                <w:szCs w:val="20"/>
                <w:color w:val="auto"/>
              </w:rPr>
            </w:pPr>
            <w:r>
              <w:rPr>
                <w:rFonts w:ascii="Courier New" w:cs="Courier New" w:eastAsia="Courier New" w:hAnsi="Courier New"/>
                <w:sz w:val="16"/>
                <w:szCs w:val="16"/>
                <w:color w:val="auto"/>
              </w:rPr>
              <w:t>Within two years, AT&amp;T Comcast</w:t>
            </w:r>
          </w:p>
        </w:tc>
      </w:tr>
      <w:tr>
        <w:trPr>
          <w:trHeight w:val="183"/>
        </w:trPr>
        <w:tc>
          <w:tcPr>
            <w:tcW w:w="1280" w:type="dxa"/>
            <w:vAlign w:val="bottom"/>
          </w:tcPr>
          <w:p>
            <w:pPr>
              <w:spacing w:after="0"/>
              <w:rPr>
                <w:sz w:val="20"/>
                <w:szCs w:val="20"/>
                <w:color w:val="auto"/>
              </w:rPr>
            </w:pPr>
            <w:r>
              <w:rPr>
                <w:rFonts w:ascii="Courier New" w:cs="Courier New" w:eastAsia="Courier New" w:hAnsi="Courier New"/>
                <w:sz w:val="16"/>
                <w:szCs w:val="16"/>
                <w:color w:val="auto"/>
              </w:rPr>
              <w:t>Existing</w:t>
            </w: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0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3520" w:type="dxa"/>
            <w:vAlign w:val="bottom"/>
          </w:tcPr>
          <w:p>
            <w:pPr>
              <w:ind w:left="200"/>
              <w:spacing w:after="0"/>
              <w:rPr>
                <w:sz w:val="20"/>
                <w:szCs w:val="20"/>
                <w:color w:val="auto"/>
              </w:rPr>
            </w:pPr>
            <w:r>
              <w:rPr>
                <w:rFonts w:ascii="Courier New" w:cs="Courier New" w:eastAsia="Courier New" w:hAnsi="Courier New"/>
                <w:sz w:val="16"/>
                <w:szCs w:val="16"/>
                <w:color w:val="auto"/>
              </w:rPr>
              <w:t>expects to monetize TWE ($6.5BN+,</w:t>
            </w:r>
          </w:p>
        </w:tc>
      </w:tr>
      <w:tr>
        <w:trPr>
          <w:trHeight w:val="183"/>
        </w:trPr>
        <w:tc>
          <w:tcPr>
            <w:tcW w:w="1280" w:type="dxa"/>
            <w:vAlign w:val="bottom"/>
          </w:tcPr>
          <w:p>
            <w:pPr>
              <w:spacing w:after="0"/>
              <w:rPr>
                <w:sz w:val="20"/>
                <w:szCs w:val="20"/>
                <w:color w:val="auto"/>
              </w:rPr>
            </w:pPr>
            <w:r>
              <w:rPr>
                <w:rFonts w:ascii="Courier New" w:cs="Courier New" w:eastAsia="Courier New" w:hAnsi="Courier New"/>
                <w:sz w:val="16"/>
                <w:szCs w:val="16"/>
                <w:color w:val="auto"/>
              </w:rPr>
              <w:t>Comcast Debt</w:t>
            </w:r>
          </w:p>
        </w:tc>
        <w:tc>
          <w:tcPr>
            <w:tcW w:w="580" w:type="dxa"/>
            <w:vAlign w:val="bottom"/>
          </w:tcPr>
          <w:p>
            <w:pPr>
              <w:jc w:val="right"/>
              <w:spacing w:after="0"/>
              <w:rPr>
                <w:sz w:val="20"/>
                <w:szCs w:val="20"/>
                <w:color w:val="auto"/>
              </w:rPr>
            </w:pPr>
            <w:r>
              <w:rPr>
                <w:rFonts w:ascii="Courier New" w:cs="Courier New" w:eastAsia="Courier New" w:hAnsi="Courier New"/>
                <w:sz w:val="16"/>
                <w:szCs w:val="16"/>
                <w:color w:val="auto"/>
              </w:rPr>
              <w:t>$9.9</w:t>
            </w:r>
          </w:p>
        </w:tc>
        <w:tc>
          <w:tcPr>
            <w:tcW w:w="280" w:type="dxa"/>
            <w:vAlign w:val="bottom"/>
          </w:tcPr>
          <w:p>
            <w:pPr>
              <w:spacing w:after="0"/>
              <w:rPr>
                <w:sz w:val="15"/>
                <w:szCs w:val="15"/>
                <w:color w:val="auto"/>
              </w:rPr>
            </w:pPr>
          </w:p>
        </w:tc>
        <w:tc>
          <w:tcPr>
            <w:tcW w:w="2200" w:type="dxa"/>
            <w:vAlign w:val="bottom"/>
          </w:tcPr>
          <w:p>
            <w:pPr>
              <w:spacing w:after="0"/>
              <w:rPr>
                <w:sz w:val="15"/>
                <w:szCs w:val="15"/>
                <w:color w:val="auto"/>
              </w:rPr>
            </w:pPr>
          </w:p>
        </w:tc>
        <w:tc>
          <w:tcPr>
            <w:tcW w:w="1900" w:type="dxa"/>
            <w:vAlign w:val="bottom"/>
          </w:tcPr>
          <w:p>
            <w:pPr>
              <w:ind w:left="240"/>
              <w:spacing w:after="0"/>
              <w:rPr>
                <w:sz w:val="20"/>
                <w:szCs w:val="20"/>
                <w:color w:val="auto"/>
              </w:rPr>
            </w:pPr>
            <w:r>
              <w:rPr>
                <w:rFonts w:ascii="Courier New" w:cs="Courier New" w:eastAsia="Courier New" w:hAnsi="Courier New"/>
                <w:sz w:val="16"/>
                <w:szCs w:val="16"/>
                <w:color w:val="auto"/>
              </w:rPr>
              <w:t>$9.9</w:t>
            </w:r>
          </w:p>
        </w:tc>
        <w:tc>
          <w:tcPr>
            <w:tcW w:w="1760" w:type="dxa"/>
            <w:vAlign w:val="bottom"/>
          </w:tcPr>
          <w:p>
            <w:pPr>
              <w:ind w:left="60"/>
              <w:spacing w:after="0"/>
              <w:rPr>
                <w:sz w:val="20"/>
                <w:szCs w:val="20"/>
                <w:color w:val="auto"/>
              </w:rPr>
            </w:pPr>
            <w:r>
              <w:rPr>
                <w:rFonts w:ascii="Courier New" w:cs="Courier New" w:eastAsia="Courier New" w:hAnsi="Courier New"/>
                <w:sz w:val="16"/>
                <w:szCs w:val="16"/>
                <w:color w:val="auto"/>
              </w:rPr>
              <w:t>$9.9</w:t>
            </w:r>
          </w:p>
        </w:tc>
        <w:tc>
          <w:tcPr>
            <w:tcW w:w="3520" w:type="dxa"/>
            <w:vAlign w:val="bottom"/>
          </w:tcPr>
          <w:p>
            <w:pPr>
              <w:ind w:left="200"/>
              <w:spacing w:after="0"/>
              <w:rPr>
                <w:sz w:val="20"/>
                <w:szCs w:val="20"/>
                <w:color w:val="auto"/>
              </w:rPr>
            </w:pPr>
            <w:r>
              <w:rPr>
                <w:rFonts w:ascii="Courier New" w:cs="Courier New" w:eastAsia="Courier New" w:hAnsi="Courier New"/>
                <w:sz w:val="16"/>
                <w:szCs w:val="16"/>
                <w:color w:val="auto"/>
              </w:rPr>
              <w:t>after-tax2)</w:t>
            </w:r>
          </w:p>
        </w:tc>
      </w:tr>
      <w:tr>
        <w:trPr>
          <w:trHeight w:val="367"/>
        </w:trPr>
        <w:tc>
          <w:tcPr>
            <w:tcW w:w="1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Rural Cable</w:t>
            </w:r>
          </w:p>
        </w:tc>
        <w:tc>
          <w:tcPr>
            <w:tcW w:w="1900" w:type="dxa"/>
            <w:vAlign w:val="bottom"/>
          </w:tcPr>
          <w:p>
            <w:pPr>
              <w:jc w:val="center"/>
              <w:ind w:left="681"/>
              <w:spacing w:after="0"/>
              <w:rPr>
                <w:sz w:val="20"/>
                <w:szCs w:val="20"/>
                <w:color w:val="auto"/>
              </w:rPr>
            </w:pPr>
            <w:r>
              <w:rPr>
                <w:rFonts w:ascii="Courier New" w:cs="Courier New" w:eastAsia="Courier New" w:hAnsi="Courier New"/>
                <w:sz w:val="16"/>
                <w:szCs w:val="16"/>
                <w:color w:val="auto"/>
                <w:w w:val="99"/>
              </w:rPr>
              <w:t>Estimated</w:t>
            </w:r>
          </w:p>
        </w:tc>
        <w:tc>
          <w:tcPr>
            <w:tcW w:w="1760" w:type="dxa"/>
            <w:vAlign w:val="bottom"/>
          </w:tcPr>
          <w:p>
            <w:pPr>
              <w:ind w:left="1480"/>
              <w:spacing w:after="0"/>
              <w:rPr>
                <w:sz w:val="20"/>
                <w:szCs w:val="20"/>
                <w:color w:val="auto"/>
              </w:rPr>
            </w:pPr>
            <w:r>
              <w:rPr>
                <w:rFonts w:ascii="Courier New" w:cs="Courier New" w:eastAsia="Courier New" w:hAnsi="Courier New"/>
                <w:sz w:val="16"/>
                <w:szCs w:val="16"/>
                <w:color w:val="auto"/>
              </w:rPr>
              <w:t>o</w:t>
            </w:r>
          </w:p>
        </w:tc>
        <w:tc>
          <w:tcPr>
            <w:tcW w:w="3520" w:type="dxa"/>
            <w:vAlign w:val="bottom"/>
          </w:tcPr>
          <w:p>
            <w:pPr>
              <w:ind w:left="200"/>
              <w:spacing w:after="0"/>
              <w:rPr>
                <w:sz w:val="20"/>
                <w:szCs w:val="20"/>
                <w:color w:val="auto"/>
              </w:rPr>
            </w:pPr>
            <w:r>
              <w:rPr>
                <w:rFonts w:ascii="Courier New" w:cs="Courier New" w:eastAsia="Courier New" w:hAnsi="Courier New"/>
                <w:sz w:val="16"/>
                <w:szCs w:val="16"/>
                <w:color w:val="auto"/>
              </w:rPr>
              <w:t>Solid Investment Grade Profile</w:t>
            </w:r>
          </w:p>
        </w:tc>
      </w:tr>
      <w:tr>
        <w:trPr>
          <w:trHeight w:val="183"/>
        </w:trPr>
        <w:tc>
          <w:tcPr>
            <w:tcW w:w="12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00" w:type="dxa"/>
            <w:vAlign w:val="bottom"/>
          </w:tcPr>
          <w:p>
            <w:pPr>
              <w:jc w:val="center"/>
              <w:ind w:left="501"/>
              <w:spacing w:after="0"/>
              <w:rPr>
                <w:sz w:val="20"/>
                <w:szCs w:val="20"/>
                <w:color w:val="auto"/>
              </w:rPr>
            </w:pPr>
            <w:r>
              <w:rPr>
                <w:rFonts w:ascii="Courier New" w:cs="Courier New" w:eastAsia="Courier New" w:hAnsi="Courier New"/>
                <w:sz w:val="16"/>
                <w:szCs w:val="16"/>
                <w:color w:val="auto"/>
              </w:rPr>
              <w:t>System</w:t>
            </w:r>
          </w:p>
        </w:tc>
        <w:tc>
          <w:tcPr>
            <w:tcW w:w="1900" w:type="dxa"/>
            <w:vAlign w:val="bottom"/>
          </w:tcPr>
          <w:p>
            <w:pPr>
              <w:jc w:val="center"/>
              <w:ind w:left="681"/>
              <w:spacing w:after="0"/>
              <w:rPr>
                <w:sz w:val="20"/>
                <w:szCs w:val="20"/>
                <w:color w:val="auto"/>
              </w:rPr>
            </w:pPr>
            <w:r>
              <w:rPr>
                <w:rFonts w:ascii="Courier New" w:cs="Courier New" w:eastAsia="Courier New" w:hAnsi="Courier New"/>
                <w:sz w:val="16"/>
                <w:szCs w:val="16"/>
                <w:color w:val="auto"/>
                <w:w w:val="99"/>
              </w:rPr>
              <w:t>TWE value</w:t>
            </w:r>
          </w:p>
        </w:tc>
        <w:tc>
          <w:tcPr>
            <w:tcW w:w="1760" w:type="dxa"/>
            <w:vAlign w:val="bottom"/>
          </w:tcPr>
          <w:p>
            <w:pPr>
              <w:spacing w:after="0"/>
              <w:rPr>
                <w:sz w:val="15"/>
                <w:szCs w:val="15"/>
                <w:color w:val="auto"/>
              </w:rPr>
            </w:pPr>
          </w:p>
        </w:tc>
        <w:tc>
          <w:tcPr>
            <w:tcW w:w="3520" w:type="dxa"/>
            <w:vAlign w:val="bottom"/>
          </w:tcPr>
          <w:p>
            <w:pPr>
              <w:spacing w:after="0"/>
              <w:rPr>
                <w:sz w:val="15"/>
                <w:szCs w:val="15"/>
                <w:color w:val="auto"/>
              </w:rPr>
            </w:pPr>
          </w:p>
        </w:tc>
      </w:tr>
      <w:tr>
        <w:trPr>
          <w:trHeight w:val="183"/>
        </w:trPr>
        <w:tc>
          <w:tcPr>
            <w:tcW w:w="12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00" w:type="dxa"/>
            <w:vAlign w:val="bottom"/>
          </w:tcPr>
          <w:p>
            <w:pPr>
              <w:jc w:val="center"/>
              <w:ind w:left="501"/>
              <w:spacing w:after="0"/>
              <w:rPr>
                <w:sz w:val="20"/>
                <w:szCs w:val="20"/>
                <w:color w:val="auto"/>
              </w:rPr>
            </w:pPr>
            <w:r>
              <w:rPr>
                <w:rFonts w:ascii="Courier New" w:cs="Courier New" w:eastAsia="Courier New" w:hAnsi="Courier New"/>
                <w:sz w:val="16"/>
                <w:szCs w:val="16"/>
                <w:color w:val="auto"/>
              </w:rPr>
              <w:t>Sales/</w:t>
            </w:r>
          </w:p>
        </w:tc>
        <w:tc>
          <w:tcPr>
            <w:tcW w:w="1900" w:type="dxa"/>
            <w:vAlign w:val="bottom"/>
          </w:tcPr>
          <w:p>
            <w:pPr>
              <w:jc w:val="center"/>
              <w:ind w:left="681"/>
              <w:spacing w:after="0"/>
              <w:rPr>
                <w:sz w:val="20"/>
                <w:szCs w:val="20"/>
                <w:color w:val="auto"/>
              </w:rPr>
            </w:pPr>
            <w:r>
              <w:rPr>
                <w:rFonts w:ascii="Courier New" w:cs="Courier New" w:eastAsia="Courier New" w:hAnsi="Courier New"/>
                <w:sz w:val="16"/>
                <w:szCs w:val="16"/>
                <w:color w:val="auto"/>
              </w:rPr>
              <w:t>(after-tax)</w:t>
            </w:r>
          </w:p>
        </w:tc>
        <w:tc>
          <w:tcPr>
            <w:tcW w:w="1760" w:type="dxa"/>
            <w:vAlign w:val="bottom"/>
          </w:tcPr>
          <w:p>
            <w:pPr>
              <w:spacing w:after="0"/>
              <w:rPr>
                <w:sz w:val="15"/>
                <w:szCs w:val="15"/>
                <w:color w:val="auto"/>
              </w:rPr>
            </w:pPr>
          </w:p>
        </w:tc>
        <w:tc>
          <w:tcPr>
            <w:tcW w:w="3520" w:type="dxa"/>
            <w:vAlign w:val="bottom"/>
          </w:tcPr>
          <w:p>
            <w:pPr>
              <w:spacing w:after="0"/>
              <w:rPr>
                <w:sz w:val="15"/>
                <w:szCs w:val="15"/>
                <w:color w:val="auto"/>
              </w:rPr>
            </w:pPr>
          </w:p>
        </w:tc>
      </w:tr>
      <w:tr>
        <w:trPr>
          <w:trHeight w:val="183"/>
        </w:trPr>
        <w:tc>
          <w:tcPr>
            <w:tcW w:w="12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00" w:type="dxa"/>
            <w:vAlign w:val="bottom"/>
          </w:tcPr>
          <w:p>
            <w:pPr>
              <w:jc w:val="center"/>
              <w:ind w:left="501"/>
              <w:spacing w:after="0"/>
              <w:rPr>
                <w:sz w:val="20"/>
                <w:szCs w:val="20"/>
                <w:color w:val="auto"/>
              </w:rPr>
            </w:pPr>
            <w:r>
              <w:rPr>
                <w:rFonts w:ascii="Courier New" w:cs="Courier New" w:eastAsia="Courier New" w:hAnsi="Courier New"/>
                <w:sz w:val="16"/>
                <w:szCs w:val="16"/>
                <w:color w:val="auto"/>
                <w:w w:val="98"/>
              </w:rPr>
              <w:t>Liquid Share</w:t>
            </w:r>
          </w:p>
        </w:tc>
        <w:tc>
          <w:tcPr>
            <w:tcW w:w="190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3520" w:type="dxa"/>
            <w:vAlign w:val="bottom"/>
          </w:tcPr>
          <w:p>
            <w:pPr>
              <w:spacing w:after="0"/>
              <w:rPr>
                <w:sz w:val="15"/>
                <w:szCs w:val="15"/>
                <w:color w:val="auto"/>
              </w:rPr>
            </w:pPr>
          </w:p>
        </w:tc>
      </w:tr>
      <w:tr>
        <w:trPr>
          <w:trHeight w:val="183"/>
        </w:trPr>
        <w:tc>
          <w:tcPr>
            <w:tcW w:w="12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00" w:type="dxa"/>
            <w:vAlign w:val="bottom"/>
          </w:tcPr>
          <w:p>
            <w:pPr>
              <w:jc w:val="center"/>
              <w:ind w:left="501"/>
              <w:spacing w:after="0"/>
              <w:rPr>
                <w:sz w:val="20"/>
                <w:szCs w:val="20"/>
                <w:color w:val="auto"/>
              </w:rPr>
            </w:pPr>
            <w:r>
              <w:rPr>
                <w:rFonts w:ascii="Courier New" w:cs="Courier New" w:eastAsia="Courier New" w:hAnsi="Courier New"/>
                <w:sz w:val="16"/>
                <w:szCs w:val="16"/>
                <w:color w:val="auto"/>
                <w:w w:val="98"/>
              </w:rPr>
              <w:t>Monetization</w:t>
            </w:r>
          </w:p>
        </w:tc>
        <w:tc>
          <w:tcPr>
            <w:tcW w:w="190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3520" w:type="dxa"/>
            <w:vAlign w:val="bottom"/>
          </w:tcPr>
          <w:p>
            <w:pPr>
              <w:spacing w:after="0"/>
              <w:rPr>
                <w:sz w:val="15"/>
                <w:szCs w:val="15"/>
                <w:color w:val="auto"/>
              </w:rPr>
            </w:pPr>
          </w:p>
        </w:tc>
      </w:tr>
    </w:tbl>
    <w:p>
      <w:pPr>
        <w:spacing w:after="0" w:line="200" w:lineRule="exact"/>
        <w:rPr>
          <w:sz w:val="20"/>
          <w:szCs w:val="20"/>
          <w:color w:val="auto"/>
        </w:rPr>
      </w:pP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140" w:type="dxa"/>
            <w:vAlign w:val="bottom"/>
          </w:tcPr>
          <w:p>
            <w:pPr>
              <w:spacing w:after="0"/>
              <w:rPr>
                <w:sz w:val="20"/>
                <w:szCs w:val="20"/>
                <w:color w:val="auto"/>
              </w:rPr>
            </w:pPr>
            <w:r>
              <w:rPr>
                <w:rFonts w:ascii="Courier New" w:cs="Courier New" w:eastAsia="Courier New" w:hAnsi="Courier New"/>
                <w:sz w:val="16"/>
                <w:szCs w:val="16"/>
                <w:color w:val="auto"/>
              </w:rPr>
              <w:t>1</w:t>
            </w:r>
          </w:p>
        </w:tc>
        <w:tc>
          <w:tcPr>
            <w:tcW w:w="1140" w:type="dxa"/>
            <w:vAlign w:val="bottom"/>
          </w:tcPr>
          <w:p>
            <w:pPr>
              <w:ind w:left="40"/>
              <w:spacing w:after="0"/>
              <w:rPr>
                <w:sz w:val="20"/>
                <w:szCs w:val="20"/>
                <w:color w:val="auto"/>
              </w:rPr>
            </w:pPr>
            <w:r>
              <w:rPr>
                <w:rFonts w:ascii="Courier New" w:cs="Courier New" w:eastAsia="Courier New" w:hAnsi="Courier New"/>
                <w:sz w:val="16"/>
                <w:szCs w:val="16"/>
                <w:color w:val="auto"/>
              </w:rPr>
              <w:t>Net of AT&amp;T</w:t>
            </w:r>
          </w:p>
        </w:tc>
        <w:tc>
          <w:tcPr>
            <w:tcW w:w="3440" w:type="dxa"/>
            <w:vAlign w:val="bottom"/>
          </w:tcPr>
          <w:p>
            <w:pPr>
              <w:ind w:left="60"/>
              <w:spacing w:after="0"/>
              <w:rPr>
                <w:sz w:val="20"/>
                <w:szCs w:val="20"/>
                <w:color w:val="auto"/>
              </w:rPr>
            </w:pPr>
            <w:r>
              <w:rPr>
                <w:rFonts w:ascii="Courier New" w:cs="Courier New" w:eastAsia="Courier New" w:hAnsi="Courier New"/>
                <w:sz w:val="16"/>
                <w:szCs w:val="16"/>
                <w:color w:val="auto"/>
                <w:w w:val="99"/>
              </w:rPr>
              <w:t>Broadband Exchangeables and Comcast</w:t>
            </w:r>
          </w:p>
        </w:tc>
        <w:tc>
          <w:tcPr>
            <w:tcW w:w="580" w:type="dxa"/>
            <w:vAlign w:val="bottom"/>
          </w:tcPr>
          <w:p>
            <w:pPr>
              <w:ind w:left="40"/>
              <w:spacing w:after="0"/>
              <w:rPr>
                <w:sz w:val="20"/>
                <w:szCs w:val="20"/>
                <w:color w:val="auto"/>
              </w:rPr>
            </w:pPr>
            <w:r>
              <w:rPr>
                <w:rFonts w:ascii="Courier New" w:cs="Courier New" w:eastAsia="Courier New" w:hAnsi="Courier New"/>
                <w:sz w:val="16"/>
                <w:szCs w:val="16"/>
                <w:color w:val="auto"/>
              </w:rPr>
              <w:t>ZONES</w:t>
            </w:r>
          </w:p>
        </w:tc>
        <w:tc>
          <w:tcPr>
            <w:tcW w:w="2320" w:type="dxa"/>
            <w:vAlign w:val="bottom"/>
          </w:tcPr>
          <w:p>
            <w:pPr>
              <w:spacing w:after="0"/>
              <w:rPr>
                <w:sz w:val="15"/>
                <w:szCs w:val="15"/>
                <w:color w:val="auto"/>
              </w:rPr>
            </w:pPr>
          </w:p>
        </w:tc>
      </w:tr>
      <w:tr>
        <w:trPr>
          <w:trHeight w:val="183"/>
        </w:trPr>
        <w:tc>
          <w:tcPr>
            <w:tcW w:w="140" w:type="dxa"/>
            <w:vAlign w:val="bottom"/>
          </w:tcPr>
          <w:p>
            <w:pPr>
              <w:spacing w:after="0"/>
              <w:rPr>
                <w:sz w:val="20"/>
                <w:szCs w:val="20"/>
                <w:color w:val="auto"/>
              </w:rPr>
            </w:pPr>
            <w:r>
              <w:rPr>
                <w:rFonts w:ascii="Courier New" w:cs="Courier New" w:eastAsia="Courier New" w:hAnsi="Courier New"/>
                <w:sz w:val="16"/>
                <w:szCs w:val="16"/>
                <w:color w:val="auto"/>
              </w:rPr>
              <w:t>2</w:t>
            </w:r>
          </w:p>
        </w:tc>
        <w:tc>
          <w:tcPr>
            <w:tcW w:w="1140" w:type="dxa"/>
            <w:vAlign w:val="bottom"/>
          </w:tcPr>
          <w:p>
            <w:pPr>
              <w:ind w:left="40"/>
              <w:spacing w:after="0"/>
              <w:rPr>
                <w:sz w:val="20"/>
                <w:szCs w:val="20"/>
                <w:color w:val="auto"/>
              </w:rPr>
            </w:pPr>
            <w:r>
              <w:rPr>
                <w:rFonts w:ascii="Courier New" w:cs="Courier New" w:eastAsia="Courier New" w:hAnsi="Courier New"/>
                <w:sz w:val="16"/>
                <w:szCs w:val="16"/>
                <w:color w:val="auto"/>
              </w:rPr>
              <w:t>Preliminary</w:t>
            </w:r>
          </w:p>
        </w:tc>
        <w:tc>
          <w:tcPr>
            <w:tcW w:w="3440" w:type="dxa"/>
            <w:vAlign w:val="bottom"/>
          </w:tcPr>
          <w:p>
            <w:pPr>
              <w:ind w:left="60"/>
              <w:spacing w:after="0"/>
              <w:rPr>
                <w:sz w:val="20"/>
                <w:szCs w:val="20"/>
                <w:color w:val="auto"/>
              </w:rPr>
            </w:pPr>
            <w:r>
              <w:rPr>
                <w:rFonts w:ascii="Courier New" w:cs="Courier New" w:eastAsia="Courier New" w:hAnsi="Courier New"/>
                <w:sz w:val="16"/>
                <w:szCs w:val="16"/>
                <w:color w:val="auto"/>
                <w:w w:val="99"/>
              </w:rPr>
              <w:t>valuation for illustrative purposes</w:t>
            </w:r>
          </w:p>
        </w:tc>
        <w:tc>
          <w:tcPr>
            <w:tcW w:w="580" w:type="dxa"/>
            <w:vAlign w:val="bottom"/>
          </w:tcPr>
          <w:p>
            <w:pPr>
              <w:ind w:left="40"/>
              <w:spacing w:after="0"/>
              <w:rPr>
                <w:sz w:val="20"/>
                <w:szCs w:val="20"/>
                <w:color w:val="auto"/>
              </w:rPr>
            </w:pPr>
            <w:r>
              <w:rPr>
                <w:rFonts w:ascii="Courier New" w:cs="Courier New" w:eastAsia="Courier New" w:hAnsi="Courier New"/>
                <w:sz w:val="16"/>
                <w:szCs w:val="16"/>
                <w:color w:val="auto"/>
              </w:rPr>
              <w:t>based</w:t>
            </w:r>
          </w:p>
        </w:tc>
        <w:tc>
          <w:tcPr>
            <w:tcW w:w="2320" w:type="dxa"/>
            <w:vAlign w:val="bottom"/>
          </w:tcPr>
          <w:p>
            <w:pPr>
              <w:jc w:val="right"/>
              <w:spacing w:after="0"/>
              <w:rPr>
                <w:sz w:val="20"/>
                <w:szCs w:val="20"/>
                <w:color w:val="auto"/>
              </w:rPr>
            </w:pPr>
            <w:r>
              <w:rPr>
                <w:rFonts w:ascii="Courier New" w:cs="Courier New" w:eastAsia="Courier New" w:hAnsi="Courier New"/>
                <w:sz w:val="16"/>
                <w:szCs w:val="16"/>
                <w:color w:val="auto"/>
                <w:w w:val="99"/>
              </w:rPr>
              <w:t>on Wall Street estimates</w:t>
            </w:r>
          </w:p>
        </w:tc>
      </w:tr>
      <w:tr>
        <w:trPr>
          <w:trHeight w:val="550"/>
        </w:trPr>
        <w:tc>
          <w:tcPr>
            <w:tcW w:w="4720" w:type="dxa"/>
            <w:vAlign w:val="bottom"/>
            <w:gridSpan w:val="3"/>
          </w:tcPr>
          <w:p>
            <w:pPr>
              <w:spacing w:after="0"/>
              <w:rPr>
                <w:sz w:val="20"/>
                <w:szCs w:val="20"/>
                <w:color w:val="auto"/>
              </w:rPr>
            </w:pPr>
            <w:r>
              <w:rPr>
                <w:rFonts w:ascii="Courier New" w:cs="Courier New" w:eastAsia="Courier New" w:hAnsi="Courier New"/>
                <w:sz w:val="16"/>
                <w:szCs w:val="16"/>
                <w:color w:val="auto"/>
              </w:rPr>
              <w:t>Banc of America</w:t>
            </w:r>
          </w:p>
        </w:tc>
        <w:tc>
          <w:tcPr>
            <w:tcW w:w="580" w:type="dxa"/>
            <w:vAlign w:val="bottom"/>
          </w:tcPr>
          <w:p>
            <w:pPr>
              <w:spacing w:after="0"/>
              <w:rPr>
                <w:sz w:val="24"/>
                <w:szCs w:val="24"/>
                <w:color w:val="auto"/>
              </w:rPr>
            </w:pPr>
          </w:p>
        </w:tc>
        <w:tc>
          <w:tcPr>
            <w:tcW w:w="2320" w:type="dxa"/>
            <w:vAlign w:val="bottom"/>
          </w:tcPr>
          <w:p>
            <w:pPr>
              <w:jc w:val="right"/>
              <w:spacing w:after="0"/>
              <w:rPr>
                <w:sz w:val="20"/>
                <w:szCs w:val="20"/>
                <w:color w:val="auto"/>
              </w:rPr>
            </w:pPr>
            <w:r>
              <w:rPr>
                <w:rFonts w:ascii="Courier New" w:cs="Courier New" w:eastAsia="Courier New" w:hAnsi="Courier New"/>
                <w:sz w:val="16"/>
                <w:szCs w:val="16"/>
                <w:color w:val="auto"/>
              </w:rPr>
              <w:t>comcast(R)</w:t>
            </w:r>
          </w:p>
        </w:tc>
      </w:tr>
      <w:tr>
        <w:trPr>
          <w:trHeight w:val="183"/>
        </w:trPr>
        <w:tc>
          <w:tcPr>
            <w:tcW w:w="1280" w:type="dxa"/>
            <w:vAlign w:val="bottom"/>
            <w:gridSpan w:val="2"/>
          </w:tcPr>
          <w:p>
            <w:pPr>
              <w:spacing w:after="0"/>
              <w:rPr>
                <w:sz w:val="20"/>
                <w:szCs w:val="20"/>
                <w:color w:val="auto"/>
              </w:rPr>
            </w:pPr>
            <w:r>
              <w:rPr>
                <w:rFonts w:ascii="Courier New" w:cs="Courier New" w:eastAsia="Courier New" w:hAnsi="Courier New"/>
                <w:sz w:val="16"/>
                <w:szCs w:val="16"/>
                <w:color w:val="auto"/>
              </w:rPr>
              <w:t>May 1, 2002</w:t>
            </w:r>
          </w:p>
        </w:tc>
        <w:tc>
          <w:tcPr>
            <w:tcW w:w="34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320" w:type="dxa"/>
            <w:vAlign w:val="bottom"/>
          </w:tcPr>
          <w:p>
            <w:pPr>
              <w:spacing w:after="0"/>
              <w:rPr>
                <w:sz w:val="15"/>
                <w:szCs w:val="15"/>
                <w:color w:val="auto"/>
              </w:rPr>
            </w:pPr>
          </w:p>
        </w:tc>
      </w:tr>
    </w:tbl>
    <w:p>
      <w:pPr>
        <w:sectPr>
          <w:pgSz w:w="11900" w:h="16838" w:orient="portrait"/>
          <w:cols w:equalWidth="0" w:num="1">
            <w:col w:w="11520"/>
          </w:cols>
          <w:pgMar w:left="240" w:top="848" w:right="139" w:bottom="1440" w:gutter="0" w:footer="0" w:header="0"/>
        </w:sectPr>
      </w:pPr>
    </w:p>
    <w:bookmarkStart w:id="16" w:name="page17"/>
    <w:bookmarkEnd w:id="1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420" w:type="dxa"/>
            <w:vAlign w:val="bottom"/>
          </w:tcPr>
          <w:p>
            <w:pPr>
              <w:spacing w:after="0"/>
              <w:rPr>
                <w:sz w:val="15"/>
                <w:szCs w:val="15"/>
                <w:color w:val="auto"/>
              </w:rPr>
            </w:pPr>
          </w:p>
        </w:tc>
        <w:tc>
          <w:tcPr>
            <w:tcW w:w="1340" w:type="dxa"/>
            <w:vAlign w:val="bottom"/>
          </w:tcPr>
          <w:p>
            <w:pPr>
              <w:ind w:left="240"/>
              <w:spacing w:after="0"/>
              <w:rPr>
                <w:sz w:val="20"/>
                <w:szCs w:val="20"/>
                <w:color w:val="auto"/>
              </w:rPr>
            </w:pPr>
            <w:r>
              <w:rPr>
                <w:rFonts w:ascii="Courier New" w:cs="Courier New" w:eastAsia="Courier New" w:hAnsi="Courier New"/>
                <w:sz w:val="16"/>
                <w:szCs w:val="16"/>
                <w:color w:val="auto"/>
              </w:rPr>
              <w:t>AT&amp;T</w:t>
            </w:r>
          </w:p>
        </w:tc>
        <w:tc>
          <w:tcPr>
            <w:tcW w:w="1480" w:type="dxa"/>
            <w:vAlign w:val="bottom"/>
          </w:tcPr>
          <w:p>
            <w:pPr>
              <w:spacing w:after="0"/>
              <w:rPr>
                <w:sz w:val="15"/>
                <w:szCs w:val="15"/>
                <w:color w:val="auto"/>
              </w:rPr>
            </w:pPr>
          </w:p>
        </w:tc>
        <w:tc>
          <w:tcPr>
            <w:tcW w:w="29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83"/>
        </w:trPr>
        <w:tc>
          <w:tcPr>
            <w:tcW w:w="420" w:type="dxa"/>
            <w:vAlign w:val="bottom"/>
          </w:tcPr>
          <w:p>
            <w:pPr>
              <w:spacing w:after="0"/>
              <w:rPr>
                <w:sz w:val="15"/>
                <w:szCs w:val="15"/>
                <w:color w:val="auto"/>
              </w:rPr>
            </w:pPr>
          </w:p>
        </w:tc>
        <w:tc>
          <w:tcPr>
            <w:tcW w:w="1340" w:type="dxa"/>
            <w:vAlign w:val="bottom"/>
          </w:tcPr>
          <w:p>
            <w:pPr>
              <w:ind w:left="240"/>
              <w:spacing w:after="0"/>
              <w:rPr>
                <w:sz w:val="20"/>
                <w:szCs w:val="20"/>
                <w:color w:val="auto"/>
              </w:rPr>
            </w:pPr>
            <w:r>
              <w:rPr>
                <w:rFonts w:ascii="Courier New" w:cs="Courier New" w:eastAsia="Courier New" w:hAnsi="Courier New"/>
                <w:sz w:val="16"/>
                <w:szCs w:val="16"/>
                <w:color w:val="auto"/>
              </w:rPr>
              <w:t>Broadband</w:t>
            </w:r>
          </w:p>
        </w:tc>
        <w:tc>
          <w:tcPr>
            <w:tcW w:w="1480" w:type="dxa"/>
            <w:vAlign w:val="bottom"/>
          </w:tcPr>
          <w:p>
            <w:pPr>
              <w:ind w:left="240"/>
              <w:spacing w:after="0"/>
              <w:rPr>
                <w:sz w:val="20"/>
                <w:szCs w:val="20"/>
                <w:color w:val="auto"/>
              </w:rPr>
            </w:pPr>
            <w:r>
              <w:rPr>
                <w:rFonts w:ascii="Courier New" w:cs="Courier New" w:eastAsia="Courier New" w:hAnsi="Courier New"/>
                <w:sz w:val="16"/>
                <w:szCs w:val="16"/>
                <w:color w:val="auto"/>
              </w:rPr>
              <w:t>Comcast</w:t>
            </w:r>
          </w:p>
        </w:tc>
        <w:tc>
          <w:tcPr>
            <w:tcW w:w="29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83"/>
        </w:trPr>
        <w:tc>
          <w:tcPr>
            <w:tcW w:w="4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2960" w:type="dxa"/>
            <w:vAlign w:val="bottom"/>
          </w:tcPr>
          <w:p>
            <w:pPr>
              <w:ind w:left="580"/>
              <w:spacing w:after="0"/>
              <w:rPr>
                <w:sz w:val="20"/>
                <w:szCs w:val="20"/>
                <w:color w:val="auto"/>
              </w:rPr>
            </w:pPr>
            <w:r>
              <w:rPr>
                <w:rFonts w:ascii="Courier New" w:cs="Courier New" w:eastAsia="Courier New" w:hAnsi="Courier New"/>
                <w:sz w:val="16"/>
                <w:szCs w:val="16"/>
                <w:color w:val="auto"/>
              </w:rPr>
              <w:t>Industry Margins</w:t>
            </w:r>
          </w:p>
        </w:tc>
        <w:tc>
          <w:tcPr>
            <w:tcW w:w="420" w:type="dxa"/>
            <w:vAlign w:val="bottom"/>
          </w:tcPr>
          <w:p>
            <w:pPr>
              <w:jc w:val="right"/>
              <w:ind w:right="61"/>
              <w:spacing w:after="0"/>
              <w:rPr>
                <w:sz w:val="20"/>
                <w:szCs w:val="20"/>
                <w:color w:val="auto"/>
              </w:rPr>
            </w:pPr>
            <w:r>
              <w:rPr>
                <w:rFonts w:ascii="Courier New" w:cs="Courier New" w:eastAsia="Courier New" w:hAnsi="Courier New"/>
                <w:sz w:val="16"/>
                <w:szCs w:val="16"/>
                <w:color w:val="auto"/>
                <w:w w:val="90"/>
              </w:rPr>
              <w:t>36%</w:t>
            </w:r>
          </w:p>
        </w:tc>
        <w:tc>
          <w:tcPr>
            <w:tcW w:w="100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42%</w:t>
            </w:r>
          </w:p>
        </w:tc>
      </w:tr>
      <w:tr>
        <w:trPr>
          <w:trHeight w:val="183"/>
        </w:trPr>
        <w:tc>
          <w:tcPr>
            <w:tcW w:w="420" w:type="dxa"/>
            <w:vAlign w:val="bottom"/>
          </w:tcPr>
          <w:p>
            <w:pPr>
              <w:spacing w:after="0"/>
              <w:rPr>
                <w:sz w:val="20"/>
                <w:szCs w:val="20"/>
                <w:color w:val="auto"/>
              </w:rPr>
            </w:pPr>
            <w:r>
              <w:rPr>
                <w:rFonts w:ascii="Courier New" w:cs="Courier New" w:eastAsia="Courier New" w:hAnsi="Courier New"/>
                <w:sz w:val="16"/>
                <w:szCs w:val="16"/>
                <w:color w:val="auto"/>
              </w:rPr>
              <w:t>1Q01</w:t>
            </w:r>
          </w:p>
        </w:tc>
        <w:tc>
          <w:tcPr>
            <w:tcW w:w="1340" w:type="dxa"/>
            <w:vAlign w:val="bottom"/>
          </w:tcPr>
          <w:p>
            <w:pPr>
              <w:jc w:val="right"/>
              <w:ind w:right="541"/>
              <w:spacing w:after="0"/>
              <w:rPr>
                <w:sz w:val="20"/>
                <w:szCs w:val="20"/>
                <w:color w:val="auto"/>
              </w:rPr>
            </w:pPr>
            <w:r>
              <w:rPr>
                <w:rFonts w:ascii="Courier New" w:cs="Courier New" w:eastAsia="Courier New" w:hAnsi="Courier New"/>
                <w:sz w:val="16"/>
                <w:szCs w:val="16"/>
                <w:color w:val="auto"/>
              </w:rPr>
              <w:t>18</w:t>
            </w:r>
          </w:p>
        </w:tc>
        <w:tc>
          <w:tcPr>
            <w:tcW w:w="1480" w:type="dxa"/>
            <w:vAlign w:val="bottom"/>
          </w:tcPr>
          <w:p>
            <w:pPr>
              <w:ind w:left="440"/>
              <w:spacing w:after="0"/>
              <w:rPr>
                <w:sz w:val="20"/>
                <w:szCs w:val="20"/>
                <w:color w:val="auto"/>
              </w:rPr>
            </w:pPr>
            <w:r>
              <w:rPr>
                <w:rFonts w:ascii="Courier New" w:cs="Courier New" w:eastAsia="Courier New" w:hAnsi="Courier New"/>
                <w:sz w:val="16"/>
                <w:szCs w:val="16"/>
                <w:color w:val="auto"/>
              </w:rPr>
              <w:t>40</w:t>
            </w:r>
          </w:p>
        </w:tc>
        <w:tc>
          <w:tcPr>
            <w:tcW w:w="29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83"/>
        </w:trPr>
        <w:tc>
          <w:tcPr>
            <w:tcW w:w="420" w:type="dxa"/>
            <w:vAlign w:val="bottom"/>
          </w:tcPr>
          <w:p>
            <w:pPr>
              <w:spacing w:after="0"/>
              <w:rPr>
                <w:sz w:val="20"/>
                <w:szCs w:val="20"/>
                <w:color w:val="auto"/>
              </w:rPr>
            </w:pPr>
            <w:r>
              <w:rPr>
                <w:rFonts w:ascii="Courier New" w:cs="Courier New" w:eastAsia="Courier New" w:hAnsi="Courier New"/>
                <w:sz w:val="16"/>
                <w:szCs w:val="16"/>
                <w:color w:val="auto"/>
              </w:rPr>
              <w:t>2Q01</w:t>
            </w:r>
          </w:p>
        </w:tc>
        <w:tc>
          <w:tcPr>
            <w:tcW w:w="1340" w:type="dxa"/>
            <w:vAlign w:val="bottom"/>
          </w:tcPr>
          <w:p>
            <w:pPr>
              <w:jc w:val="right"/>
              <w:ind w:right="541"/>
              <w:spacing w:after="0"/>
              <w:rPr>
                <w:sz w:val="20"/>
                <w:szCs w:val="20"/>
                <w:color w:val="auto"/>
              </w:rPr>
            </w:pPr>
            <w:r>
              <w:rPr>
                <w:rFonts w:ascii="Courier New" w:cs="Courier New" w:eastAsia="Courier New" w:hAnsi="Courier New"/>
                <w:sz w:val="16"/>
                <w:szCs w:val="16"/>
                <w:color w:val="auto"/>
              </w:rPr>
              <w:t>23</w:t>
            </w:r>
          </w:p>
        </w:tc>
        <w:tc>
          <w:tcPr>
            <w:tcW w:w="1480" w:type="dxa"/>
            <w:vAlign w:val="bottom"/>
          </w:tcPr>
          <w:p>
            <w:pPr>
              <w:ind w:left="440"/>
              <w:spacing w:after="0"/>
              <w:rPr>
                <w:sz w:val="20"/>
                <w:szCs w:val="20"/>
                <w:color w:val="auto"/>
              </w:rPr>
            </w:pPr>
            <w:r>
              <w:rPr>
                <w:rFonts w:ascii="Courier New" w:cs="Courier New" w:eastAsia="Courier New" w:hAnsi="Courier New"/>
                <w:sz w:val="16"/>
                <w:szCs w:val="16"/>
                <w:color w:val="auto"/>
              </w:rPr>
              <w:t>41</w:t>
            </w:r>
          </w:p>
        </w:tc>
        <w:tc>
          <w:tcPr>
            <w:tcW w:w="2960" w:type="dxa"/>
            <w:vAlign w:val="bottom"/>
          </w:tcPr>
          <w:p>
            <w:pPr>
              <w:ind w:left="580"/>
              <w:spacing w:after="0"/>
              <w:rPr>
                <w:sz w:val="20"/>
                <w:szCs w:val="20"/>
                <w:color w:val="auto"/>
              </w:rPr>
            </w:pPr>
            <w:r>
              <w:rPr>
                <w:rFonts w:ascii="Courier New" w:cs="Courier New" w:eastAsia="Courier New" w:hAnsi="Courier New"/>
                <w:sz w:val="16"/>
                <w:szCs w:val="16"/>
                <w:color w:val="auto"/>
              </w:rPr>
              <w:t>AT&amp;T Broadband Margin</w:t>
            </w:r>
          </w:p>
        </w:tc>
        <w:tc>
          <w:tcPr>
            <w:tcW w:w="420" w:type="dxa"/>
            <w:vAlign w:val="bottom"/>
          </w:tcPr>
          <w:p>
            <w:pPr>
              <w:jc w:val="right"/>
              <w:ind w:right="61"/>
              <w:spacing w:after="0"/>
              <w:rPr>
                <w:sz w:val="20"/>
                <w:szCs w:val="20"/>
                <w:color w:val="auto"/>
              </w:rPr>
            </w:pPr>
            <w:r>
              <w:rPr>
                <w:rFonts w:ascii="Courier New" w:cs="Courier New" w:eastAsia="Courier New" w:hAnsi="Courier New"/>
                <w:sz w:val="16"/>
                <w:szCs w:val="16"/>
                <w:color w:val="auto"/>
                <w:w w:val="90"/>
              </w:rPr>
              <w:t>20%</w:t>
            </w:r>
          </w:p>
        </w:tc>
        <w:tc>
          <w:tcPr>
            <w:tcW w:w="100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20%</w:t>
            </w:r>
          </w:p>
        </w:tc>
      </w:tr>
      <w:tr>
        <w:trPr>
          <w:trHeight w:val="183"/>
        </w:trPr>
        <w:tc>
          <w:tcPr>
            <w:tcW w:w="420" w:type="dxa"/>
            <w:vAlign w:val="bottom"/>
          </w:tcPr>
          <w:p>
            <w:pPr>
              <w:spacing w:after="0"/>
              <w:rPr>
                <w:sz w:val="20"/>
                <w:szCs w:val="20"/>
                <w:color w:val="auto"/>
              </w:rPr>
            </w:pPr>
            <w:r>
              <w:rPr>
                <w:rFonts w:ascii="Courier New" w:cs="Courier New" w:eastAsia="Courier New" w:hAnsi="Courier New"/>
                <w:sz w:val="16"/>
                <w:szCs w:val="16"/>
                <w:color w:val="auto"/>
              </w:rPr>
              <w:t>3Q01</w:t>
            </w:r>
          </w:p>
        </w:tc>
        <w:tc>
          <w:tcPr>
            <w:tcW w:w="1340" w:type="dxa"/>
            <w:vAlign w:val="bottom"/>
          </w:tcPr>
          <w:p>
            <w:pPr>
              <w:jc w:val="right"/>
              <w:ind w:right="541"/>
              <w:spacing w:after="0"/>
              <w:rPr>
                <w:sz w:val="20"/>
                <w:szCs w:val="20"/>
                <w:color w:val="auto"/>
              </w:rPr>
            </w:pPr>
            <w:r>
              <w:rPr>
                <w:rFonts w:ascii="Courier New" w:cs="Courier New" w:eastAsia="Courier New" w:hAnsi="Courier New"/>
                <w:sz w:val="16"/>
                <w:szCs w:val="16"/>
                <w:color w:val="auto"/>
              </w:rPr>
              <w:t>25</w:t>
            </w:r>
          </w:p>
        </w:tc>
        <w:tc>
          <w:tcPr>
            <w:tcW w:w="1480" w:type="dxa"/>
            <w:vAlign w:val="bottom"/>
          </w:tcPr>
          <w:p>
            <w:pPr>
              <w:ind w:left="440"/>
              <w:spacing w:after="0"/>
              <w:rPr>
                <w:sz w:val="20"/>
                <w:szCs w:val="20"/>
                <w:color w:val="auto"/>
              </w:rPr>
            </w:pPr>
            <w:r>
              <w:rPr>
                <w:rFonts w:ascii="Courier New" w:cs="Courier New" w:eastAsia="Courier New" w:hAnsi="Courier New"/>
                <w:sz w:val="16"/>
                <w:szCs w:val="16"/>
                <w:color w:val="auto"/>
              </w:rPr>
              <w:t>41</w:t>
            </w:r>
          </w:p>
        </w:tc>
        <w:tc>
          <w:tcPr>
            <w:tcW w:w="29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83"/>
        </w:trPr>
        <w:tc>
          <w:tcPr>
            <w:tcW w:w="420" w:type="dxa"/>
            <w:vAlign w:val="bottom"/>
          </w:tcPr>
          <w:p>
            <w:pPr>
              <w:spacing w:after="0"/>
              <w:rPr>
                <w:sz w:val="20"/>
                <w:szCs w:val="20"/>
                <w:color w:val="auto"/>
              </w:rPr>
            </w:pPr>
            <w:r>
              <w:rPr>
                <w:rFonts w:ascii="Courier New" w:cs="Courier New" w:eastAsia="Courier New" w:hAnsi="Courier New"/>
                <w:sz w:val="16"/>
                <w:szCs w:val="16"/>
                <w:color w:val="auto"/>
              </w:rPr>
              <w:t>4Q01</w:t>
            </w:r>
          </w:p>
        </w:tc>
        <w:tc>
          <w:tcPr>
            <w:tcW w:w="1340" w:type="dxa"/>
            <w:vAlign w:val="bottom"/>
          </w:tcPr>
          <w:p>
            <w:pPr>
              <w:jc w:val="right"/>
              <w:ind w:right="541"/>
              <w:spacing w:after="0"/>
              <w:rPr>
                <w:sz w:val="20"/>
                <w:szCs w:val="20"/>
                <w:color w:val="auto"/>
              </w:rPr>
            </w:pPr>
            <w:r>
              <w:rPr>
                <w:rFonts w:ascii="Courier New" w:cs="Courier New" w:eastAsia="Courier New" w:hAnsi="Courier New"/>
                <w:sz w:val="16"/>
                <w:szCs w:val="16"/>
                <w:color w:val="auto"/>
              </w:rPr>
              <w:t>23</w:t>
            </w:r>
          </w:p>
        </w:tc>
        <w:tc>
          <w:tcPr>
            <w:tcW w:w="1480" w:type="dxa"/>
            <w:vAlign w:val="bottom"/>
          </w:tcPr>
          <w:p>
            <w:pPr>
              <w:ind w:left="440"/>
              <w:spacing w:after="0"/>
              <w:rPr>
                <w:sz w:val="20"/>
                <w:szCs w:val="20"/>
                <w:color w:val="auto"/>
              </w:rPr>
            </w:pPr>
            <w:r>
              <w:rPr>
                <w:rFonts w:ascii="Courier New" w:cs="Courier New" w:eastAsia="Courier New" w:hAnsi="Courier New"/>
                <w:sz w:val="16"/>
                <w:szCs w:val="16"/>
                <w:color w:val="auto"/>
              </w:rPr>
              <w:t>41</w:t>
            </w:r>
          </w:p>
        </w:tc>
        <w:tc>
          <w:tcPr>
            <w:tcW w:w="3380" w:type="dxa"/>
            <w:vAlign w:val="bottom"/>
            <w:gridSpan w:val="2"/>
          </w:tcPr>
          <w:p>
            <w:pPr>
              <w:ind w:left="580"/>
              <w:spacing w:after="0"/>
              <w:rPr>
                <w:sz w:val="20"/>
                <w:szCs w:val="20"/>
                <w:color w:val="auto"/>
              </w:rPr>
            </w:pPr>
            <w:r>
              <w:rPr>
                <w:rFonts w:ascii="Courier New" w:cs="Courier New" w:eastAsia="Courier New" w:hAnsi="Courier New"/>
                <w:sz w:val="16"/>
                <w:szCs w:val="16"/>
                <w:color w:val="auto"/>
                <w:w w:val="74"/>
              </w:rPr>
              <w:t>---------------------------------------</w:t>
            </w:r>
          </w:p>
        </w:tc>
        <w:tc>
          <w:tcPr>
            <w:tcW w:w="1000" w:type="dxa"/>
            <w:vAlign w:val="bottom"/>
          </w:tcPr>
          <w:p>
            <w:pPr>
              <w:spacing w:after="0"/>
              <w:rPr>
                <w:sz w:val="15"/>
                <w:szCs w:val="15"/>
                <w:color w:val="auto"/>
              </w:rPr>
            </w:pPr>
          </w:p>
        </w:tc>
      </w:tr>
      <w:tr>
        <w:trPr>
          <w:trHeight w:val="183"/>
        </w:trPr>
        <w:tc>
          <w:tcPr>
            <w:tcW w:w="420" w:type="dxa"/>
            <w:vAlign w:val="bottom"/>
          </w:tcPr>
          <w:p>
            <w:pPr>
              <w:spacing w:after="0"/>
              <w:rPr>
                <w:sz w:val="20"/>
                <w:szCs w:val="20"/>
                <w:color w:val="auto"/>
              </w:rPr>
            </w:pPr>
            <w:r>
              <w:rPr>
                <w:rFonts w:ascii="Courier New" w:cs="Courier New" w:eastAsia="Courier New" w:hAnsi="Courier New"/>
                <w:sz w:val="16"/>
                <w:szCs w:val="16"/>
                <w:color w:val="auto"/>
              </w:rPr>
              <w:t>1Q02</w:t>
            </w:r>
          </w:p>
        </w:tc>
        <w:tc>
          <w:tcPr>
            <w:tcW w:w="1340" w:type="dxa"/>
            <w:vAlign w:val="bottom"/>
          </w:tcPr>
          <w:p>
            <w:pPr>
              <w:jc w:val="right"/>
              <w:ind w:right="541"/>
              <w:spacing w:after="0"/>
              <w:rPr>
                <w:sz w:val="20"/>
                <w:szCs w:val="20"/>
                <w:color w:val="auto"/>
              </w:rPr>
            </w:pPr>
            <w:r>
              <w:rPr>
                <w:rFonts w:ascii="Courier New" w:cs="Courier New" w:eastAsia="Courier New" w:hAnsi="Courier New"/>
                <w:sz w:val="16"/>
                <w:szCs w:val="16"/>
                <w:color w:val="auto"/>
              </w:rPr>
              <w:t>20</w:t>
            </w:r>
          </w:p>
        </w:tc>
        <w:tc>
          <w:tcPr>
            <w:tcW w:w="1480" w:type="dxa"/>
            <w:vAlign w:val="bottom"/>
          </w:tcPr>
          <w:p>
            <w:pPr>
              <w:ind w:left="440"/>
              <w:spacing w:after="0"/>
              <w:rPr>
                <w:sz w:val="20"/>
                <w:szCs w:val="20"/>
                <w:color w:val="auto"/>
              </w:rPr>
            </w:pPr>
            <w:r>
              <w:rPr>
                <w:rFonts w:ascii="Courier New" w:cs="Courier New" w:eastAsia="Courier New" w:hAnsi="Courier New"/>
                <w:sz w:val="16"/>
                <w:szCs w:val="16"/>
                <w:color w:val="auto"/>
              </w:rPr>
              <w:t>41</w:t>
            </w:r>
          </w:p>
        </w:tc>
        <w:tc>
          <w:tcPr>
            <w:tcW w:w="2960" w:type="dxa"/>
            <w:vAlign w:val="bottom"/>
          </w:tcPr>
          <w:p>
            <w:pPr>
              <w:ind w:left="580"/>
              <w:spacing w:after="0"/>
              <w:rPr>
                <w:sz w:val="20"/>
                <w:szCs w:val="20"/>
                <w:color w:val="auto"/>
              </w:rPr>
            </w:pPr>
            <w:r>
              <w:rPr>
                <w:rFonts w:ascii="Courier New" w:cs="Courier New" w:eastAsia="Courier New" w:hAnsi="Courier New"/>
                <w:sz w:val="16"/>
                <w:szCs w:val="16"/>
                <w:color w:val="auto"/>
              </w:rPr>
              <w:t>Difference</w:t>
            </w:r>
          </w:p>
        </w:tc>
        <w:tc>
          <w:tcPr>
            <w:tcW w:w="420" w:type="dxa"/>
            <w:vAlign w:val="bottom"/>
          </w:tcPr>
          <w:p>
            <w:pPr>
              <w:jc w:val="right"/>
              <w:ind w:right="61"/>
              <w:spacing w:after="0"/>
              <w:rPr>
                <w:sz w:val="20"/>
                <w:szCs w:val="20"/>
                <w:color w:val="auto"/>
              </w:rPr>
            </w:pPr>
            <w:r>
              <w:rPr>
                <w:rFonts w:ascii="Courier New" w:cs="Courier New" w:eastAsia="Courier New" w:hAnsi="Courier New"/>
                <w:sz w:val="16"/>
                <w:szCs w:val="16"/>
                <w:color w:val="auto"/>
                <w:w w:val="90"/>
              </w:rPr>
              <w:t>16%</w:t>
            </w:r>
          </w:p>
        </w:tc>
        <w:tc>
          <w:tcPr>
            <w:tcW w:w="100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22%</w:t>
            </w:r>
          </w:p>
        </w:tc>
      </w:tr>
      <w:tr>
        <w:trPr>
          <w:trHeight w:val="183"/>
        </w:trPr>
        <w:tc>
          <w:tcPr>
            <w:tcW w:w="4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4380" w:type="dxa"/>
            <w:vAlign w:val="bottom"/>
            <w:gridSpan w:val="3"/>
          </w:tcPr>
          <w:p>
            <w:pPr>
              <w:ind w:left="580"/>
              <w:spacing w:after="0"/>
              <w:rPr>
                <w:sz w:val="20"/>
                <w:szCs w:val="20"/>
                <w:color w:val="auto"/>
              </w:rPr>
            </w:pPr>
            <w:r>
              <w:rPr>
                <w:rFonts w:ascii="Courier New" w:cs="Courier New" w:eastAsia="Courier New" w:hAnsi="Courier New"/>
                <w:sz w:val="16"/>
                <w:szCs w:val="16"/>
                <w:color w:val="auto"/>
              </w:rPr>
              <w:t>---------------------------------------</w:t>
            </w:r>
          </w:p>
        </w:tc>
      </w:tr>
      <w:tr>
        <w:trPr>
          <w:trHeight w:val="367"/>
        </w:trPr>
        <w:tc>
          <w:tcPr>
            <w:tcW w:w="4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3380" w:type="dxa"/>
            <w:vAlign w:val="bottom"/>
            <w:gridSpan w:val="2"/>
          </w:tcPr>
          <w:p>
            <w:pPr>
              <w:ind w:left="580"/>
              <w:spacing w:after="0"/>
              <w:rPr>
                <w:sz w:val="20"/>
                <w:szCs w:val="20"/>
                <w:color w:val="auto"/>
              </w:rPr>
            </w:pPr>
            <w:r>
              <w:rPr>
                <w:rFonts w:ascii="Courier New" w:cs="Courier New" w:eastAsia="Courier New" w:hAnsi="Courier New"/>
                <w:sz w:val="16"/>
                <w:szCs w:val="16"/>
                <w:color w:val="auto"/>
                <w:w w:val="99"/>
              </w:rPr>
              <w:t>AT&amp;T Broadband '01 Revenue(1)</w:t>
            </w:r>
          </w:p>
        </w:tc>
        <w:tc>
          <w:tcPr>
            <w:tcW w:w="100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x $9.2B</w:t>
            </w:r>
          </w:p>
        </w:tc>
      </w:tr>
      <w:tr>
        <w:trPr>
          <w:trHeight w:val="367"/>
        </w:trPr>
        <w:tc>
          <w:tcPr>
            <w:tcW w:w="420" w:type="dxa"/>
            <w:vAlign w:val="bottom"/>
          </w:tcPr>
          <w:p>
            <w:pPr>
              <w:spacing w:after="0"/>
              <w:rPr>
                <w:sz w:val="20"/>
                <w:szCs w:val="20"/>
                <w:color w:val="auto"/>
              </w:rPr>
            </w:pPr>
            <w:r>
              <w:rPr>
                <w:rFonts w:ascii="Courier New" w:cs="Courier New" w:eastAsia="Courier New" w:hAnsi="Courier New"/>
                <w:sz w:val="16"/>
                <w:szCs w:val="16"/>
                <w:color w:val="auto"/>
              </w:rPr>
              <w:t>1.</w:t>
            </w:r>
          </w:p>
        </w:tc>
        <w:tc>
          <w:tcPr>
            <w:tcW w:w="2820" w:type="dxa"/>
            <w:vAlign w:val="bottom"/>
            <w:gridSpan w:val="2"/>
          </w:tcPr>
          <w:p>
            <w:pPr>
              <w:ind w:left="60"/>
              <w:spacing w:after="0"/>
              <w:rPr>
                <w:sz w:val="20"/>
                <w:szCs w:val="20"/>
                <w:color w:val="auto"/>
              </w:rPr>
            </w:pPr>
            <w:r>
              <w:rPr>
                <w:rFonts w:ascii="Courier New" w:cs="Courier New" w:eastAsia="Courier New" w:hAnsi="Courier New"/>
                <w:sz w:val="16"/>
                <w:szCs w:val="16"/>
                <w:color w:val="auto"/>
              </w:rPr>
              <w:t>Margin Improvement</w:t>
            </w:r>
          </w:p>
        </w:tc>
        <w:tc>
          <w:tcPr>
            <w:tcW w:w="2960" w:type="dxa"/>
            <w:vAlign w:val="bottom"/>
          </w:tcPr>
          <w:p>
            <w:pPr>
              <w:ind w:left="580"/>
              <w:spacing w:after="0"/>
              <w:rPr>
                <w:sz w:val="20"/>
                <w:szCs w:val="20"/>
                <w:color w:val="auto"/>
              </w:rPr>
            </w:pPr>
            <w:r>
              <w:rPr>
                <w:rFonts w:ascii="Courier New" w:cs="Courier New" w:eastAsia="Courier New" w:hAnsi="Courier New"/>
                <w:sz w:val="16"/>
                <w:szCs w:val="16"/>
                <w:color w:val="auto"/>
              </w:rPr>
              <w:t>Annual EBITDA Impact:</w:t>
            </w:r>
          </w:p>
        </w:tc>
        <w:tc>
          <w:tcPr>
            <w:tcW w:w="142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w w:val="97"/>
              </w:rPr>
              <w:t>$1.4B - $2.0B</w:t>
            </w:r>
          </w:p>
        </w:tc>
      </w:tr>
      <w:tr>
        <w:trPr>
          <w:trHeight w:val="367"/>
        </w:trPr>
        <w:tc>
          <w:tcPr>
            <w:tcW w:w="420" w:type="dxa"/>
            <w:vAlign w:val="bottom"/>
          </w:tcPr>
          <w:p>
            <w:pPr>
              <w:spacing w:after="0"/>
              <w:rPr>
                <w:sz w:val="20"/>
                <w:szCs w:val="20"/>
                <w:color w:val="auto"/>
              </w:rPr>
            </w:pPr>
            <w:r>
              <w:rPr>
                <w:rFonts w:ascii="Courier New" w:cs="Courier New" w:eastAsia="Courier New" w:hAnsi="Courier New"/>
                <w:sz w:val="16"/>
                <w:szCs w:val="16"/>
                <w:color w:val="auto"/>
              </w:rPr>
              <w:t>2.</w:t>
            </w:r>
          </w:p>
        </w:tc>
        <w:tc>
          <w:tcPr>
            <w:tcW w:w="2820" w:type="dxa"/>
            <w:vAlign w:val="bottom"/>
            <w:gridSpan w:val="2"/>
          </w:tcPr>
          <w:p>
            <w:pPr>
              <w:ind w:left="60"/>
              <w:spacing w:after="0"/>
              <w:rPr>
                <w:sz w:val="20"/>
                <w:szCs w:val="20"/>
                <w:color w:val="auto"/>
              </w:rPr>
            </w:pPr>
            <w:r>
              <w:rPr>
                <w:rFonts w:ascii="Courier New" w:cs="Courier New" w:eastAsia="Courier New" w:hAnsi="Courier New"/>
                <w:sz w:val="16"/>
                <w:szCs w:val="16"/>
                <w:color w:val="auto"/>
              </w:rPr>
              <w:t>Operating Efficiencies</w:t>
            </w:r>
          </w:p>
        </w:tc>
        <w:tc>
          <w:tcPr>
            <w:tcW w:w="2960" w:type="dxa"/>
            <w:vAlign w:val="bottom"/>
          </w:tcPr>
          <w:p>
            <w:pPr>
              <w:ind w:left="580"/>
              <w:spacing w:after="0"/>
              <w:rPr>
                <w:sz w:val="20"/>
                <w:szCs w:val="20"/>
                <w:color w:val="auto"/>
              </w:rPr>
            </w:pPr>
            <w:r>
              <w:rPr>
                <w:rFonts w:ascii="Courier New" w:cs="Courier New" w:eastAsia="Courier New" w:hAnsi="Courier New"/>
                <w:sz w:val="16"/>
                <w:szCs w:val="16"/>
                <w:color w:val="auto"/>
              </w:rPr>
              <w:t>Annual EBITDA Impact:</w:t>
            </w:r>
          </w:p>
        </w:tc>
        <w:tc>
          <w:tcPr>
            <w:tcW w:w="142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w w:val="97"/>
              </w:rPr>
              <w:t>$1.3B - $1.9B</w:t>
            </w:r>
          </w:p>
        </w:tc>
      </w:tr>
      <w:tr>
        <w:trPr>
          <w:trHeight w:val="550"/>
        </w:trPr>
        <w:tc>
          <w:tcPr>
            <w:tcW w:w="4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440" w:type="dxa"/>
            <w:vAlign w:val="bottom"/>
            <w:gridSpan w:val="2"/>
          </w:tcPr>
          <w:p>
            <w:pPr>
              <w:ind w:left="440"/>
              <w:spacing w:after="0"/>
              <w:rPr>
                <w:sz w:val="20"/>
                <w:szCs w:val="20"/>
                <w:color w:val="auto"/>
              </w:rPr>
            </w:pPr>
            <w:r>
              <w:rPr>
                <w:rFonts w:ascii="Courier New" w:cs="Courier New" w:eastAsia="Courier New" w:hAnsi="Courier New"/>
                <w:sz w:val="16"/>
                <w:szCs w:val="16"/>
                <w:color w:val="auto"/>
              </w:rPr>
              <w:t>(1) Source: Company Press Release</w:t>
            </w:r>
          </w:p>
        </w:tc>
        <w:tc>
          <w:tcPr>
            <w:tcW w:w="42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550"/>
        </w:trPr>
        <w:tc>
          <w:tcPr>
            <w:tcW w:w="1760" w:type="dxa"/>
            <w:vAlign w:val="bottom"/>
            <w:gridSpan w:val="2"/>
          </w:tcPr>
          <w:p>
            <w:pPr>
              <w:spacing w:after="0"/>
              <w:rPr>
                <w:sz w:val="20"/>
                <w:szCs w:val="20"/>
                <w:color w:val="auto"/>
              </w:rPr>
            </w:pPr>
            <w:r>
              <w:rPr>
                <w:rFonts w:ascii="Courier New" w:cs="Courier New" w:eastAsia="Courier New" w:hAnsi="Courier New"/>
                <w:sz w:val="16"/>
                <w:szCs w:val="16"/>
                <w:color w:val="auto"/>
              </w:rPr>
              <w:t>Banc of America</w:t>
            </w:r>
          </w:p>
        </w:tc>
        <w:tc>
          <w:tcPr>
            <w:tcW w:w="148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comcast(R)</w:t>
            </w:r>
          </w:p>
        </w:tc>
      </w:tr>
      <w:tr>
        <w:trPr>
          <w:trHeight w:val="183"/>
        </w:trPr>
        <w:tc>
          <w:tcPr>
            <w:tcW w:w="1760" w:type="dxa"/>
            <w:vAlign w:val="bottom"/>
            <w:gridSpan w:val="2"/>
          </w:tcPr>
          <w:p>
            <w:pPr>
              <w:spacing w:after="0"/>
              <w:rPr>
                <w:sz w:val="20"/>
                <w:szCs w:val="20"/>
                <w:color w:val="auto"/>
              </w:rPr>
            </w:pPr>
            <w:r>
              <w:rPr>
                <w:rFonts w:ascii="Courier New" w:cs="Courier New" w:eastAsia="Courier New" w:hAnsi="Courier New"/>
                <w:sz w:val="16"/>
                <w:szCs w:val="16"/>
                <w:color w:val="auto"/>
              </w:rPr>
              <w:t>May 1, 2002</w:t>
            </w:r>
          </w:p>
        </w:tc>
        <w:tc>
          <w:tcPr>
            <w:tcW w:w="1480" w:type="dxa"/>
            <w:vAlign w:val="bottom"/>
          </w:tcPr>
          <w:p>
            <w:pPr>
              <w:spacing w:after="0"/>
              <w:rPr>
                <w:sz w:val="15"/>
                <w:szCs w:val="15"/>
                <w:color w:val="auto"/>
              </w:rPr>
            </w:pPr>
          </w:p>
        </w:tc>
        <w:tc>
          <w:tcPr>
            <w:tcW w:w="29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0" w:type="dxa"/>
            <w:vAlign w:val="bottom"/>
          </w:tcPr>
          <w:p>
            <w:pPr>
              <w:spacing w:after="0"/>
              <w:rPr>
                <w:sz w:val="15"/>
                <w:szCs w:val="15"/>
                <w:color w:val="auto"/>
              </w:rPr>
            </w:pPr>
          </w:p>
        </w:tc>
      </w:tr>
    </w:tbl>
    <w:p>
      <w:pPr>
        <w:sectPr>
          <w:pgSz w:w="11900" w:h="16838" w:orient="portrait"/>
          <w:cols w:equalWidth="0" w:num="1">
            <w:col w:w="10219"/>
          </w:cols>
          <w:pgMar w:left="240" w:top="848" w:right="1440" w:bottom="1440" w:gutter="0" w:footer="0" w:header="0"/>
        </w:sectPr>
      </w:pPr>
    </w:p>
    <w:bookmarkStart w:id="17" w:name="page18"/>
    <w:bookmarkEnd w:id="17"/>
    <w:p>
      <w:pPr>
        <w:spacing w:after="0"/>
        <w:rPr>
          <w:sz w:val="20"/>
          <w:szCs w:val="20"/>
          <w:color w:val="auto"/>
        </w:rPr>
      </w:pPr>
      <w:r>
        <w:rPr>
          <w:rFonts w:ascii="Courier New" w:cs="Courier New" w:eastAsia="Courier New" w:hAnsi="Courier New"/>
          <w:sz w:val="16"/>
          <w:szCs w:val="16"/>
          <w:color w:val="auto"/>
        </w:rPr>
        <w:t>AT&amp;T comcast(R)</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3660" w:type="dxa"/>
            <w:vAlign w:val="bottom"/>
          </w:tcPr>
          <w:p>
            <w:pPr>
              <w:ind w:left="660"/>
              <w:spacing w:after="0"/>
              <w:rPr>
                <w:sz w:val="20"/>
                <w:szCs w:val="20"/>
                <w:color w:val="auto"/>
              </w:rPr>
            </w:pPr>
            <w:r>
              <w:rPr>
                <w:rFonts w:ascii="Courier New" w:cs="Courier New" w:eastAsia="Courier New" w:hAnsi="Courier New"/>
                <w:sz w:val="16"/>
                <w:szCs w:val="16"/>
                <w:color w:val="auto"/>
              </w:rPr>
              <w:t>CORPORATION</w:t>
            </w:r>
          </w:p>
        </w:tc>
        <w:tc>
          <w:tcPr>
            <w:tcW w:w="10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580" w:type="dxa"/>
            <w:vAlign w:val="bottom"/>
          </w:tcPr>
          <w:p>
            <w:pPr>
              <w:spacing w:after="0"/>
              <w:rPr>
                <w:sz w:val="15"/>
                <w:szCs w:val="15"/>
                <w:color w:val="auto"/>
              </w:rPr>
            </w:pPr>
          </w:p>
        </w:tc>
      </w:tr>
      <w:tr>
        <w:trPr>
          <w:trHeight w:val="367"/>
        </w:trPr>
        <w:tc>
          <w:tcPr>
            <w:tcW w:w="3660" w:type="dxa"/>
            <w:vAlign w:val="bottom"/>
          </w:tcPr>
          <w:p>
            <w:pPr>
              <w:spacing w:after="0"/>
              <w:rPr>
                <w:sz w:val="24"/>
                <w:szCs w:val="24"/>
                <w:color w:val="auto"/>
              </w:rPr>
            </w:pPr>
          </w:p>
        </w:tc>
        <w:tc>
          <w:tcPr>
            <w:tcW w:w="1020" w:type="dxa"/>
            <w:vAlign w:val="bottom"/>
          </w:tcPr>
          <w:p>
            <w:pPr>
              <w:ind w:left="620"/>
              <w:spacing w:after="0"/>
              <w:rPr>
                <w:sz w:val="20"/>
                <w:szCs w:val="20"/>
                <w:color w:val="auto"/>
              </w:rPr>
            </w:pPr>
            <w:r>
              <w:rPr>
                <w:rFonts w:ascii="Courier New" w:cs="Courier New" w:eastAsia="Courier New" w:hAnsi="Courier New"/>
                <w:sz w:val="16"/>
                <w:szCs w:val="16"/>
                <w:color w:val="auto"/>
                <w:w w:val="98"/>
              </w:rPr>
              <w:t>2003</w:t>
            </w:r>
          </w:p>
        </w:tc>
        <w:tc>
          <w:tcPr>
            <w:tcW w:w="132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2004</w:t>
            </w:r>
          </w:p>
        </w:tc>
        <w:tc>
          <w:tcPr>
            <w:tcW w:w="580" w:type="dxa"/>
            <w:vAlign w:val="bottom"/>
          </w:tcPr>
          <w:p>
            <w:pPr>
              <w:jc w:val="right"/>
              <w:spacing w:after="0"/>
              <w:rPr>
                <w:sz w:val="20"/>
                <w:szCs w:val="20"/>
                <w:color w:val="auto"/>
              </w:rPr>
            </w:pPr>
            <w:r>
              <w:rPr>
                <w:rFonts w:ascii="Courier New" w:cs="Courier New" w:eastAsia="Courier New" w:hAnsi="Courier New"/>
                <w:sz w:val="16"/>
                <w:szCs w:val="16"/>
                <w:color w:val="auto"/>
              </w:rPr>
              <w:t>2005</w:t>
            </w:r>
          </w:p>
        </w:tc>
      </w:tr>
      <w:tr>
        <w:trPr>
          <w:trHeight w:val="183"/>
        </w:trPr>
        <w:tc>
          <w:tcPr>
            <w:tcW w:w="3660" w:type="dxa"/>
            <w:vAlign w:val="bottom"/>
          </w:tcPr>
          <w:p>
            <w:pPr>
              <w:spacing w:after="0"/>
              <w:rPr>
                <w:sz w:val="15"/>
                <w:szCs w:val="15"/>
                <w:color w:val="auto"/>
              </w:rPr>
            </w:pPr>
          </w:p>
        </w:tc>
        <w:tc>
          <w:tcPr>
            <w:tcW w:w="1020" w:type="dxa"/>
            <w:vAlign w:val="bottom"/>
          </w:tcPr>
          <w:p>
            <w:pPr>
              <w:ind w:left="620"/>
              <w:spacing w:after="0"/>
              <w:rPr>
                <w:sz w:val="20"/>
                <w:szCs w:val="20"/>
                <w:color w:val="auto"/>
              </w:rPr>
            </w:pPr>
            <w:r>
              <w:rPr>
                <w:rFonts w:ascii="Courier New" w:cs="Courier New" w:eastAsia="Courier New" w:hAnsi="Courier New"/>
                <w:sz w:val="16"/>
                <w:szCs w:val="16"/>
                <w:color w:val="auto"/>
                <w:w w:val="98"/>
              </w:rPr>
              <w:t>----</w:t>
            </w:r>
          </w:p>
        </w:tc>
        <w:tc>
          <w:tcPr>
            <w:tcW w:w="132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5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3"/>
        </w:trPr>
        <w:tc>
          <w:tcPr>
            <w:tcW w:w="3660" w:type="dxa"/>
            <w:vAlign w:val="bottom"/>
          </w:tcPr>
          <w:p>
            <w:pPr>
              <w:spacing w:after="0"/>
              <w:rPr>
                <w:sz w:val="20"/>
                <w:szCs w:val="20"/>
                <w:color w:val="auto"/>
              </w:rPr>
            </w:pPr>
            <w:r>
              <w:rPr>
                <w:rFonts w:ascii="Courier New" w:cs="Courier New" w:eastAsia="Courier New" w:hAnsi="Courier New"/>
                <w:sz w:val="16"/>
                <w:szCs w:val="16"/>
                <w:color w:val="auto"/>
              </w:rPr>
              <w:t>AT&amp;T Broadband OCF</w:t>
            </w:r>
          </w:p>
        </w:tc>
        <w:tc>
          <w:tcPr>
            <w:tcW w:w="10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580" w:type="dxa"/>
            <w:vAlign w:val="bottom"/>
          </w:tcPr>
          <w:p>
            <w:pPr>
              <w:spacing w:after="0"/>
              <w:rPr>
                <w:sz w:val="15"/>
                <w:szCs w:val="15"/>
                <w:color w:val="auto"/>
              </w:rPr>
            </w:pPr>
          </w:p>
        </w:tc>
      </w:tr>
      <w:tr>
        <w:trPr>
          <w:trHeight w:val="367"/>
        </w:trPr>
        <w:tc>
          <w:tcPr>
            <w:tcW w:w="3660" w:type="dxa"/>
            <w:vAlign w:val="bottom"/>
          </w:tcPr>
          <w:p>
            <w:pPr>
              <w:spacing w:after="0"/>
              <w:rPr>
                <w:sz w:val="20"/>
                <w:szCs w:val="20"/>
                <w:color w:val="auto"/>
              </w:rPr>
            </w:pPr>
            <w:r>
              <w:rPr>
                <w:rFonts w:ascii="Courier New" w:cs="Courier New" w:eastAsia="Courier New" w:hAnsi="Courier New"/>
                <w:sz w:val="16"/>
                <w:szCs w:val="16"/>
                <w:color w:val="auto"/>
              </w:rPr>
              <w:t>Margin Improvement(1)</w:t>
            </w:r>
          </w:p>
        </w:tc>
        <w:tc>
          <w:tcPr>
            <w:tcW w:w="1020" w:type="dxa"/>
            <w:vAlign w:val="bottom"/>
          </w:tcPr>
          <w:p>
            <w:pPr>
              <w:ind w:left="620"/>
              <w:spacing w:after="0"/>
              <w:rPr>
                <w:sz w:val="20"/>
                <w:szCs w:val="20"/>
                <w:color w:val="auto"/>
              </w:rPr>
            </w:pPr>
            <w:r>
              <w:rPr>
                <w:rFonts w:ascii="Courier New" w:cs="Courier New" w:eastAsia="Courier New" w:hAnsi="Courier New"/>
                <w:sz w:val="16"/>
                <w:szCs w:val="16"/>
                <w:color w:val="auto"/>
              </w:rPr>
              <w:t>26%</w:t>
            </w:r>
          </w:p>
        </w:tc>
        <w:tc>
          <w:tcPr>
            <w:tcW w:w="1320" w:type="dxa"/>
            <w:vAlign w:val="bottom"/>
          </w:tcPr>
          <w:p>
            <w:pPr>
              <w:jc w:val="right"/>
              <w:spacing w:after="0"/>
              <w:rPr>
                <w:sz w:val="20"/>
                <w:szCs w:val="20"/>
                <w:color w:val="auto"/>
              </w:rPr>
            </w:pPr>
            <w:r>
              <w:rPr>
                <w:rFonts w:ascii="Courier New" w:cs="Courier New" w:eastAsia="Courier New" w:hAnsi="Courier New"/>
                <w:sz w:val="16"/>
                <w:szCs w:val="16"/>
                <w:color w:val="auto"/>
                <w:w w:val="96"/>
              </w:rPr>
              <w:t>--------------</w:t>
            </w:r>
          </w:p>
        </w:tc>
        <w:tc>
          <w:tcPr>
            <w:tcW w:w="58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5"/>
              </w:rPr>
              <w:t>&gt; 36%</w:t>
            </w:r>
          </w:p>
        </w:tc>
      </w:tr>
      <w:tr>
        <w:trPr>
          <w:trHeight w:val="367"/>
        </w:trPr>
        <w:tc>
          <w:tcPr>
            <w:tcW w:w="3660" w:type="dxa"/>
            <w:vAlign w:val="bottom"/>
          </w:tcPr>
          <w:p>
            <w:pPr>
              <w:spacing w:after="0"/>
              <w:rPr>
                <w:sz w:val="20"/>
                <w:szCs w:val="20"/>
                <w:color w:val="auto"/>
              </w:rPr>
            </w:pPr>
            <w:r>
              <w:rPr>
                <w:rFonts w:ascii="Courier New" w:cs="Courier New" w:eastAsia="Courier New" w:hAnsi="Courier New"/>
                <w:sz w:val="16"/>
                <w:szCs w:val="16"/>
                <w:color w:val="auto"/>
              </w:rPr>
              <w:t>Operating Synergies(1) (Millions)</w:t>
            </w:r>
          </w:p>
        </w:tc>
        <w:tc>
          <w:tcPr>
            <w:tcW w:w="1020" w:type="dxa"/>
            <w:vAlign w:val="bottom"/>
          </w:tcPr>
          <w:p>
            <w:pPr>
              <w:ind w:left="540"/>
              <w:spacing w:after="0"/>
              <w:rPr>
                <w:sz w:val="20"/>
                <w:szCs w:val="20"/>
                <w:color w:val="auto"/>
              </w:rPr>
            </w:pPr>
            <w:r>
              <w:rPr>
                <w:rFonts w:ascii="Courier New" w:cs="Courier New" w:eastAsia="Courier New" w:hAnsi="Courier New"/>
                <w:sz w:val="16"/>
                <w:szCs w:val="16"/>
                <w:color w:val="auto"/>
              </w:rPr>
              <w:t>$300</w:t>
            </w:r>
          </w:p>
        </w:tc>
        <w:tc>
          <w:tcPr>
            <w:tcW w:w="132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$400</w:t>
            </w:r>
          </w:p>
        </w:tc>
        <w:tc>
          <w:tcPr>
            <w:tcW w:w="580" w:type="dxa"/>
            <w:vAlign w:val="bottom"/>
          </w:tcPr>
          <w:p>
            <w:pPr>
              <w:jc w:val="right"/>
              <w:spacing w:after="0"/>
              <w:rPr>
                <w:sz w:val="20"/>
                <w:szCs w:val="20"/>
                <w:color w:val="auto"/>
              </w:rPr>
            </w:pPr>
            <w:r>
              <w:rPr>
                <w:rFonts w:ascii="Courier New" w:cs="Courier New" w:eastAsia="Courier New" w:hAnsi="Courier New"/>
                <w:sz w:val="16"/>
                <w:szCs w:val="16"/>
                <w:color w:val="auto"/>
              </w:rPr>
              <w:t>$500</w:t>
            </w:r>
          </w:p>
        </w:tc>
      </w:tr>
      <w:tr>
        <w:trPr>
          <w:trHeight w:val="367"/>
        </w:trPr>
        <w:tc>
          <w:tcPr>
            <w:tcW w:w="3660" w:type="dxa"/>
            <w:vAlign w:val="bottom"/>
          </w:tcPr>
          <w:p>
            <w:pPr>
              <w:spacing w:after="0"/>
              <w:rPr>
                <w:sz w:val="20"/>
                <w:szCs w:val="20"/>
                <w:color w:val="auto"/>
              </w:rPr>
            </w:pPr>
            <w:r>
              <w:rPr>
                <w:rFonts w:ascii="Courier New" w:cs="Courier New" w:eastAsia="Courier New" w:hAnsi="Courier New"/>
                <w:sz w:val="16"/>
                <w:szCs w:val="16"/>
                <w:color w:val="auto"/>
              </w:rPr>
              <w:t>Comcast Cable OCF Growth(1)</w:t>
            </w:r>
          </w:p>
        </w:tc>
        <w:tc>
          <w:tcPr>
            <w:tcW w:w="1020" w:type="dxa"/>
            <w:vAlign w:val="bottom"/>
          </w:tcPr>
          <w:p>
            <w:pPr>
              <w:ind w:left="620"/>
              <w:spacing w:after="0"/>
              <w:rPr>
                <w:sz w:val="20"/>
                <w:szCs w:val="20"/>
                <w:color w:val="auto"/>
              </w:rPr>
            </w:pPr>
            <w:r>
              <w:rPr>
                <w:rFonts w:ascii="Courier New" w:cs="Courier New" w:eastAsia="Courier New" w:hAnsi="Courier New"/>
                <w:sz w:val="16"/>
                <w:szCs w:val="16"/>
                <w:color w:val="auto"/>
              </w:rPr>
              <w:t>11%</w:t>
            </w:r>
          </w:p>
        </w:tc>
        <w:tc>
          <w:tcPr>
            <w:tcW w:w="1320" w:type="dxa"/>
            <w:vAlign w:val="bottom"/>
          </w:tcPr>
          <w:p>
            <w:pPr>
              <w:jc w:val="right"/>
              <w:spacing w:after="0"/>
              <w:rPr>
                <w:sz w:val="20"/>
                <w:szCs w:val="20"/>
                <w:color w:val="auto"/>
              </w:rPr>
            </w:pPr>
            <w:r>
              <w:rPr>
                <w:rFonts w:ascii="Courier New" w:cs="Courier New" w:eastAsia="Courier New" w:hAnsi="Courier New"/>
                <w:sz w:val="16"/>
                <w:szCs w:val="16"/>
                <w:color w:val="auto"/>
                <w:w w:val="96"/>
              </w:rPr>
              <w:t>--------------</w:t>
            </w:r>
          </w:p>
        </w:tc>
        <w:tc>
          <w:tcPr>
            <w:tcW w:w="58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5"/>
              </w:rPr>
              <w:t>&gt; 11%</w:t>
            </w:r>
          </w:p>
        </w:tc>
      </w:tr>
    </w:tbl>
    <w:p>
      <w:pPr>
        <w:spacing w:after="0" w:line="369" w:lineRule="exact"/>
        <w:rPr>
          <w:sz w:val="20"/>
          <w:szCs w:val="20"/>
          <w:color w:val="auto"/>
        </w:rPr>
      </w:pPr>
    </w:p>
    <w:p>
      <w:pPr>
        <w:ind w:left="2580"/>
        <w:spacing w:after="0"/>
        <w:rPr>
          <w:sz w:val="20"/>
          <w:szCs w:val="20"/>
          <w:color w:val="auto"/>
        </w:rPr>
      </w:pPr>
      <w:r>
        <w:rPr>
          <w:rFonts w:ascii="Courier New" w:cs="Courier New" w:eastAsia="Courier New" w:hAnsi="Courier New"/>
          <w:sz w:val="16"/>
          <w:szCs w:val="16"/>
          <w:color w:val="auto"/>
        </w:rPr>
        <w:t>OCF Growth Exceeding 20%</w:t>
      </w:r>
    </w:p>
    <w:p>
      <w:pPr>
        <w:spacing w:after="0" w:line="369" w:lineRule="exact"/>
        <w:rPr>
          <w:sz w:val="20"/>
          <w:szCs w:val="20"/>
          <w:color w:val="auto"/>
        </w:rPr>
      </w:pPr>
    </w:p>
    <w:p>
      <w:pPr>
        <w:jc w:val="right"/>
        <w:ind w:right="3459"/>
        <w:spacing w:after="0"/>
        <w:rPr>
          <w:sz w:val="20"/>
          <w:szCs w:val="20"/>
          <w:color w:val="auto"/>
        </w:rPr>
      </w:pPr>
      <w:r>
        <w:rPr>
          <w:rFonts w:ascii="Courier New" w:cs="Courier New" w:eastAsia="Courier New" w:hAnsi="Courier New"/>
          <w:sz w:val="16"/>
          <w:szCs w:val="16"/>
          <w:color w:val="auto"/>
        </w:rPr>
        <w:t>(1) For illustrative Purposes Only. Not Indicative of Guidance.</w:t>
      </w:r>
    </w:p>
    <w:p>
      <w:pPr>
        <w:sectPr>
          <w:pgSz w:w="11900" w:h="16838" w:orient="portrait"/>
          <w:cols w:equalWidth="0" w:num="1">
            <w:col w:w="10219"/>
          </w:cols>
          <w:pgMar w:left="240" w:top="848" w:right="1440" w:bottom="1440" w:gutter="0" w:footer="0" w:header="0"/>
        </w:sectPr>
      </w:pP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Banc of America</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May 1, 2002</w:t>
      </w:r>
    </w:p>
    <w:p>
      <w:pPr>
        <w:spacing w:after="0" w:line="20" w:lineRule="exact"/>
        <w:rPr>
          <w:sz w:val="20"/>
          <w:szCs w:val="20"/>
          <w:color w:val="auto"/>
        </w:rPr>
      </w:pPr>
      <w:r>
        <w:rPr>
          <w:sz w:val="20"/>
          <w:szCs w:val="20"/>
          <w:color w:val="auto"/>
        </w:rPr>
        <w:br w:type="column"/>
      </w:r>
    </w:p>
    <w:p>
      <w:pPr>
        <w:spacing w:after="0" w:line="35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comcast(R)</w:t>
      </w:r>
    </w:p>
    <w:p>
      <w:pPr>
        <w:sectPr>
          <w:pgSz w:w="11900" w:h="16838" w:orient="portrait"/>
          <w:cols w:equalWidth="0" w:num="2">
            <w:col w:w="5960" w:space="720"/>
            <w:col w:w="3539"/>
          </w:cols>
          <w:pgMar w:left="240" w:top="848" w:right="1440" w:bottom="1440" w:gutter="0" w:footer="0" w:header="0"/>
          <w:type w:val="continuous"/>
        </w:sectPr>
      </w:pPr>
    </w:p>
    <w:bookmarkStart w:id="18" w:name="page19"/>
    <w:bookmarkEnd w:id="18"/>
    <w:p>
      <w:pPr>
        <w:spacing w:after="0"/>
        <w:rPr>
          <w:sz w:val="20"/>
          <w:szCs w:val="20"/>
          <w:color w:val="auto"/>
        </w:rPr>
      </w:pPr>
      <w:r>
        <w:rPr>
          <w:rFonts w:ascii="Courier New" w:cs="Courier New" w:eastAsia="Courier New" w:hAnsi="Courier New"/>
          <w:sz w:val="16"/>
          <w:szCs w:val="16"/>
          <w:color w:val="auto"/>
        </w:rPr>
        <w:t>AT&amp;T comcast(R)</w:t>
      </w:r>
    </w:p>
    <w:p>
      <w:pPr>
        <w:spacing w:after="0" w:line="2" w:lineRule="exact"/>
        <w:rPr>
          <w:sz w:val="20"/>
          <w:szCs w:val="20"/>
          <w:color w:val="auto"/>
        </w:rPr>
      </w:pPr>
    </w:p>
    <w:p>
      <w:pPr>
        <w:ind w:left="660"/>
        <w:spacing w:after="0"/>
        <w:rPr>
          <w:sz w:val="20"/>
          <w:szCs w:val="20"/>
          <w:color w:val="auto"/>
        </w:rPr>
      </w:pPr>
      <w:r>
        <w:rPr>
          <w:rFonts w:ascii="Courier New" w:cs="Courier New" w:eastAsia="Courier New" w:hAnsi="Courier New"/>
          <w:sz w:val="16"/>
          <w:szCs w:val="16"/>
          <w:color w:val="auto"/>
        </w:rPr>
        <w:t>CORPORATION</w:t>
      </w: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Financially Strong and</w:t>
      </w:r>
    </w:p>
    <w:p>
      <w:pPr>
        <w:spacing w:after="0" w:line="2"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Positioned for Growth</w:t>
      </w:r>
    </w:p>
    <w:p>
      <w:pPr>
        <w:spacing w:after="0" w:line="186" w:lineRule="exact"/>
        <w:rPr>
          <w:sz w:val="20"/>
          <w:szCs w:val="20"/>
          <w:color w:val="auto"/>
        </w:rPr>
      </w:pPr>
    </w:p>
    <w:p>
      <w:pPr>
        <w:ind w:left="760" w:hanging="285"/>
        <w:spacing w:after="0"/>
        <w:tabs>
          <w:tab w:leader="none" w:pos="76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Investment Grade Rating</w:t>
      </w:r>
    </w:p>
    <w:p>
      <w:pPr>
        <w:spacing w:after="0" w:line="185" w:lineRule="exact"/>
        <w:rPr>
          <w:rFonts w:ascii="Courier New" w:cs="Courier New" w:eastAsia="Courier New" w:hAnsi="Courier New"/>
          <w:sz w:val="16"/>
          <w:szCs w:val="16"/>
          <w:color w:val="auto"/>
        </w:rPr>
      </w:pPr>
    </w:p>
    <w:p>
      <w:pPr>
        <w:ind w:left="760" w:hanging="285"/>
        <w:spacing w:after="0"/>
        <w:tabs>
          <w:tab w:leader="none" w:pos="76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Free Cash Flow Generation</w:t>
      </w:r>
    </w:p>
    <w:p>
      <w:pPr>
        <w:spacing w:after="0" w:line="185" w:lineRule="exact"/>
        <w:rPr>
          <w:rFonts w:ascii="Courier New" w:cs="Courier New" w:eastAsia="Courier New" w:hAnsi="Courier New"/>
          <w:sz w:val="16"/>
          <w:szCs w:val="16"/>
          <w:color w:val="auto"/>
        </w:rPr>
      </w:pPr>
    </w:p>
    <w:p>
      <w:pPr>
        <w:ind w:left="760" w:hanging="285"/>
        <w:spacing w:after="0"/>
        <w:tabs>
          <w:tab w:leader="none" w:pos="76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Building Long Term Shareholder Value</w:t>
      </w:r>
    </w:p>
    <w:p>
      <w:pPr>
        <w:spacing w:after="0" w:line="372" w:lineRule="exact"/>
        <w:rPr>
          <w:sz w:val="20"/>
          <w:szCs w:val="20"/>
          <w:color w:val="auto"/>
        </w:rPr>
      </w:pPr>
    </w:p>
    <w:p>
      <w:pPr>
        <w:ind w:left="2760"/>
        <w:spacing w:after="0"/>
        <w:rPr>
          <w:sz w:val="20"/>
          <w:szCs w:val="20"/>
          <w:color w:val="auto"/>
        </w:rPr>
      </w:pPr>
      <w:r>
        <w:rPr>
          <w:rFonts w:ascii="Courier New" w:cs="Courier New" w:eastAsia="Courier New" w:hAnsi="Courier New"/>
          <w:sz w:val="15"/>
          <w:szCs w:val="15"/>
          <w:color w:val="auto"/>
        </w:rPr>
        <w:t>Unlimited Opportunity</w:t>
      </w:r>
    </w:p>
    <w:p>
      <w:pPr>
        <w:sectPr>
          <w:pgSz w:w="11900" w:h="16838" w:orient="portrait"/>
          <w:cols w:equalWidth="0" w:num="1">
            <w:col w:w="10219"/>
          </w:cols>
          <w:pgMar w:left="240" w:top="848" w:right="1440" w:bottom="1440" w:gutter="0" w:footer="0" w:header="0"/>
        </w:sectPr>
      </w:pPr>
    </w:p>
    <w:p>
      <w:pPr>
        <w:spacing w:after="0" w:line="3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Banc of America</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May 1, 2002</w:t>
      </w:r>
    </w:p>
    <w:p>
      <w:pPr>
        <w:spacing w:after="0" w:line="20" w:lineRule="exact"/>
        <w:rPr>
          <w:sz w:val="20"/>
          <w:szCs w:val="20"/>
          <w:color w:val="auto"/>
        </w:rPr>
      </w:pPr>
      <w:r>
        <w:rPr>
          <w:sz w:val="20"/>
          <w:szCs w:val="20"/>
          <w:color w:val="auto"/>
        </w:rPr>
        <w:br w:type="column"/>
      </w:r>
    </w:p>
    <w:p>
      <w:pPr>
        <w:spacing w:after="0" w:line="3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comcast(R)</w:t>
      </w:r>
    </w:p>
    <w:p>
      <w:pPr>
        <w:sectPr>
          <w:pgSz w:w="11900" w:h="16838" w:orient="portrait"/>
          <w:cols w:equalWidth="0" w:num="2">
            <w:col w:w="5960" w:space="720"/>
            <w:col w:w="3539"/>
          </w:cols>
          <w:pgMar w:left="240" w:top="848" w:right="1440" w:bottom="1440" w:gutter="0" w:footer="0" w:header="0"/>
          <w:type w:val="continuous"/>
        </w:sectPr>
      </w:pPr>
    </w:p>
    <w:bookmarkStart w:id="19" w:name="page20"/>
    <w:bookmarkEnd w:id="19"/>
    <w:p>
      <w:pPr>
        <w:ind w:left="2040"/>
        <w:spacing w:after="0"/>
        <w:rPr>
          <w:sz w:val="20"/>
          <w:szCs w:val="20"/>
          <w:color w:val="auto"/>
        </w:rPr>
      </w:pPr>
      <w:r>
        <w:rPr>
          <w:rFonts w:ascii="Courier New" w:cs="Courier New" w:eastAsia="Courier New" w:hAnsi="Courier New"/>
          <w:sz w:val="16"/>
          <w:szCs w:val="16"/>
          <w:color w:val="auto"/>
        </w:rPr>
        <w:t>comcast(R)</w:t>
      </w:r>
    </w:p>
    <w:sectPr>
      <w:pgSz w:w="11900" w:h="16838" w:orient="portrait"/>
      <w:cols w:equalWidth="0" w:num="1">
        <w:col w:w="9019"/>
      </w:cols>
      <w:pgMar w:left="1440" w:top="84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1)"/>
      <w:numFmt w:val="decimal"/>
      <w:start w:val="8"/>
    </w:lvl>
  </w:abstractNum>
  <w:abstractNum w:abstractNumId="1">
    <w:nsid w:val="2EB141F2"/>
    <w:multiLevelType w:val="hybridMultilevel"/>
    <w:lvl w:ilvl="0">
      <w:lvlJc w:val="left"/>
      <w:lvlText w:val="(%1)"/>
      <w:numFmt w:val="decimal"/>
      <w:start w:val="11"/>
    </w:lvl>
  </w:abstractNum>
  <w:abstractNum w:abstractNumId="2">
    <w:nsid w:val="41B71EFB"/>
    <w:multiLevelType w:val="hybridMultilevel"/>
    <w:lvl w:ilvl="0">
      <w:lvlJc w:val="left"/>
      <w:lvlText w:val="-"/>
      <w:numFmt w:val="bullet"/>
      <w:start w:val="1"/>
    </w:lvl>
  </w:abstractNum>
  <w:abstractNum w:abstractNumId="3">
    <w:nsid w:val="79E2A9E3"/>
    <w:multiLevelType w:val="hybridMultilevel"/>
    <w:lvl w:ilvl="0">
      <w:lvlJc w:val="left"/>
      <w:lvlText w:val="o"/>
      <w:numFmt w:val="bullet"/>
      <w:start w:val="1"/>
    </w:lvl>
  </w:abstractNum>
  <w:abstractNum w:abstractNumId="4">
    <w:nsid w:val="7545E146"/>
    <w:multiLevelType w:val="hybridMultilevel"/>
    <w:lvl w:ilvl="0">
      <w:lvlJc w:val="left"/>
      <w:lvlText w:val="o"/>
      <w:numFmt w:val="bullet"/>
      <w:start w:val="1"/>
    </w:lvl>
  </w:abstractNum>
  <w:abstractNum w:abstractNumId="5">
    <w:nsid w:val="515F007C"/>
    <w:multiLevelType w:val="hybridMultilevel"/>
    <w:lvl w:ilvl="0">
      <w:lvlJc w:val="left"/>
      <w:lvlText w:val="o"/>
      <w:numFmt w:val="bullet"/>
      <w:start w:val="1"/>
    </w:lvl>
  </w:abstractNum>
  <w:abstractNum w:abstractNumId="6">
    <w:nsid w:val="5BD062C2"/>
    <w:multiLevelType w:val="hybridMultilevel"/>
    <w:lvl w:ilvl="0">
      <w:lvlJc w:val="left"/>
      <w:lvlText w:val="o"/>
      <w:numFmt w:val="bullet"/>
      <w:start w:val="1"/>
    </w:lvl>
  </w:abstractNum>
  <w:abstractNum w:abstractNumId="7">
    <w:nsid w:val="12200854"/>
    <w:multiLevelType w:val="hybridMultilevel"/>
    <w:lvl w:ilvl="0">
      <w:lvlJc w:val="left"/>
      <w:lvlText w:val="o"/>
      <w:numFmt w:val="bullet"/>
      <w:start w:val="1"/>
    </w:lvl>
  </w:abstractNum>
  <w:abstractNum w:abstractNumId="8">
    <w:nsid w:val="4DB127F8"/>
    <w:multiLevelType w:val="hybridMultilevel"/>
    <w:lvl w:ilvl="0">
      <w:lvlJc w:val="left"/>
      <w:lvlText w:val="o"/>
      <w:numFmt w:val="bullet"/>
      <w:start w:val="1"/>
    </w:lvl>
  </w:abstractNum>
  <w:abstractNum w:abstractNumId="9">
    <w:nsid w:val="216231B"/>
    <w:multiLevelType w:val="hybridMultilevel"/>
    <w:lvl w:ilvl="0">
      <w:lvlJc w:val="left"/>
      <w:lvlText w:val="o"/>
      <w:numFmt w:val="bullet"/>
      <w:start w:val="1"/>
    </w:lvl>
  </w:abstractNum>
  <w:abstractNum w:abstractNumId="10">
    <w:nsid w:val="1F16E9E8"/>
    <w:multiLevelType w:val="hybridMultilevel"/>
    <w:lvl w:ilvl="0">
      <w:lvlJc w:val="left"/>
      <w:lvlText w:val="o"/>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2019-12-12T02:35:03Z</dcterms:created>
  <dcterms:modified xsi:type="dcterms:W3CDTF">2019-12-12T02:35:03Z</dcterms:modified>
</cp:coreProperties>
</file>