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219075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SCHEDULE 13D</w:t>
      </w:r>
    </w:p>
    <w:p>
      <w:pPr>
        <w:spacing w:after="0" w:line="246"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238125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599"/>
        <w:spacing w:after="0"/>
        <w:rPr>
          <w:sz w:val="20"/>
          <w:szCs w:val="20"/>
          <w:color w:val="auto"/>
        </w:rPr>
      </w:pPr>
      <w:r>
        <w:rPr>
          <w:rFonts w:ascii="Arial" w:cs="Arial" w:eastAsia="Arial" w:hAnsi="Arial"/>
          <w:sz w:val="22"/>
          <w:szCs w:val="22"/>
          <w:color w:val="auto"/>
        </w:rPr>
        <w:t>ValueVision Media,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92047K-10-7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Arthur R. Block, Esq.</w:t>
      </w:r>
    </w:p>
    <w:p>
      <w:pPr>
        <w:spacing w:after="0" w:line="23"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Comcast Corporation</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One Comcast Center</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Philadelphia, PA 19103-2838</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January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Rules 13d-1(e), 13d-1(f) or 13d-1(g),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40"/>
          </w:cols>
          <w:pgMar w:left="240" w:top="787" w:right="81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92047K-10-7</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13D</w:t>
            </w:r>
          </w:p>
        </w:tc>
        <w:tc>
          <w:tcPr>
            <w:tcW w:w="4420" w:type="dxa"/>
            <w:vAlign w:val="bottom"/>
            <w:tcBorders>
              <w:top w:val="single" w:sz="8" w:color="auto"/>
              <w:bottom w:val="single" w:sz="8" w:color="auto"/>
              <w:right w:val="single" w:sz="8" w:color="auto"/>
            </w:tcBorders>
          </w:tcPr>
          <w:p>
            <w:pPr>
              <w:ind w:left="1960"/>
              <w:spacing w:after="0"/>
              <w:rPr>
                <w:sz w:val="20"/>
                <w:szCs w:val="20"/>
                <w:color w:val="auto"/>
              </w:rPr>
            </w:pPr>
            <w:r>
              <w:rPr>
                <w:rFonts w:ascii="Arial" w:cs="Arial" w:eastAsia="Arial" w:hAnsi="Arial"/>
                <w:sz w:val="18"/>
                <w:szCs w:val="18"/>
                <w:color w:val="auto"/>
              </w:rPr>
              <w:t>Page 2</w:t>
            </w:r>
          </w:p>
        </w:tc>
      </w:tr>
      <w:tr>
        <w:trPr>
          <w:trHeight w:val="270"/>
        </w:trPr>
        <w:tc>
          <w:tcPr>
            <w:tcW w:w="90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2"/>
          </w:tcPr>
          <w:p>
            <w:pPr>
              <w:spacing w:after="0"/>
              <w:rPr>
                <w:sz w:val="23"/>
                <w:szCs w:val="23"/>
                <w:color w:val="auto"/>
              </w:rPr>
            </w:pPr>
          </w:p>
        </w:tc>
        <w:tc>
          <w:tcPr>
            <w:tcW w:w="4420" w:type="dxa"/>
            <w:vAlign w:val="bottom"/>
            <w:tcBorders>
              <w:bottom w:val="single" w:sz="8" w:color="auto"/>
            </w:tcBorders>
          </w:tcPr>
          <w:p>
            <w:pPr>
              <w:spacing w:after="0"/>
              <w:rPr>
                <w:sz w:val="23"/>
                <w:szCs w:val="23"/>
                <w:color w:val="auto"/>
              </w:rPr>
            </w:pPr>
          </w:p>
        </w:tc>
      </w:tr>
      <w:tr>
        <w:trPr>
          <w:trHeight w:val="214"/>
        </w:trPr>
        <w:tc>
          <w:tcPr>
            <w:tcW w:w="90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w:t>
            </w:r>
          </w:p>
        </w:tc>
        <w:tc>
          <w:tcPr>
            <w:tcW w:w="3500" w:type="dxa"/>
            <w:vAlign w:val="bottom"/>
          </w:tcPr>
          <w:p>
            <w:pPr>
              <w:spacing w:after="0"/>
              <w:rPr>
                <w:sz w:val="20"/>
                <w:szCs w:val="20"/>
                <w:color w:val="auto"/>
              </w:rPr>
            </w:pPr>
            <w:r>
              <w:rPr>
                <w:rFonts w:ascii="Arial" w:cs="Arial" w:eastAsia="Arial" w:hAnsi="Arial"/>
                <w:sz w:val="18"/>
                <w:szCs w:val="18"/>
                <w:color w:val="auto"/>
              </w:rPr>
              <w:t>NAMES OF REPORTING PERSONS:</w:t>
            </w:r>
          </w:p>
        </w:tc>
        <w:tc>
          <w:tcPr>
            <w:tcW w:w="2580" w:type="dxa"/>
            <w:vAlign w:val="bottom"/>
            <w:gridSpan w:val="2"/>
          </w:tcPr>
          <w:p>
            <w:pPr>
              <w:ind w:left="640"/>
              <w:spacing w:after="0"/>
              <w:rPr>
                <w:sz w:val="20"/>
                <w:szCs w:val="20"/>
                <w:color w:val="auto"/>
              </w:rPr>
            </w:pPr>
            <w:r>
              <w:rPr>
                <w:rFonts w:ascii="Arial" w:cs="Arial" w:eastAsia="Arial" w:hAnsi="Arial"/>
                <w:sz w:val="18"/>
                <w:szCs w:val="18"/>
                <w:color w:val="auto"/>
              </w:rPr>
              <w:t>Comcast Corporation</w:t>
            </w:r>
          </w:p>
        </w:tc>
        <w:tc>
          <w:tcPr>
            <w:tcW w:w="4420" w:type="dxa"/>
            <w:vAlign w:val="bottom"/>
          </w:tcPr>
          <w:p>
            <w:pPr>
              <w:spacing w:after="0"/>
              <w:rPr>
                <w:sz w:val="18"/>
                <w:szCs w:val="18"/>
                <w:color w:val="auto"/>
              </w:rPr>
            </w:pPr>
          </w:p>
        </w:tc>
      </w:tr>
      <w:tr>
        <w:trPr>
          <w:trHeight w:val="208"/>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-16510</wp:posOffset>
            </wp:positionV>
            <wp:extent cx="17145" cy="1475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1475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7145" cy="3790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 cy="379031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-307975</wp:posOffset>
            </wp:positionV>
            <wp:extent cx="17145" cy="409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 cy="4098925"/>
                    </a:xfrm>
                    <a:prstGeom prst="rect">
                      <a:avLst/>
                    </a:prstGeom>
                    <a:noFill/>
                  </pic:spPr>
                </pic:pic>
              </a:graphicData>
            </a:graphic>
          </wp:anchor>
        </w:drawing>
      </w:r>
    </w:p>
    <w:p>
      <w:pPr>
        <w:ind w:left="920" w:hanging="498"/>
        <w:spacing w:after="0"/>
        <w:tabs>
          <w:tab w:leader="none" w:pos="9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MEMBER(a)  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OF A GROUP:</w:t>
            </w:r>
          </w:p>
        </w:tc>
        <w:tc>
          <w:tcPr>
            <w:tcW w:w="2320" w:type="dxa"/>
            <w:vAlign w:val="bottom"/>
            <w:tcBorders>
              <w:bottom w:val="single" w:sz="8" w:color="auto"/>
            </w:tcBorders>
          </w:tcPr>
          <w:p>
            <w:pPr>
              <w:spacing w:after="0"/>
              <w:rPr>
                <w:sz w:val="19"/>
                <w:szCs w:val="19"/>
                <w:color w:val="auto"/>
              </w:rPr>
            </w:pPr>
          </w:p>
        </w:tc>
        <w:tc>
          <w:tcPr>
            <w:tcW w:w="70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348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7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3480" w:type="dxa"/>
            <w:vAlign w:val="bottom"/>
            <w:gridSpan w:val="3"/>
          </w:tcPr>
          <w:p>
            <w:pPr>
              <w:spacing w:after="0"/>
              <w:rPr>
                <w:sz w:val="20"/>
                <w:szCs w:val="20"/>
                <w:color w:val="auto"/>
              </w:rPr>
            </w:pPr>
            <w:r>
              <w:rPr>
                <w:rFonts w:ascii="Arial" w:cs="Arial" w:eastAsia="Arial" w:hAnsi="Arial"/>
                <w:sz w:val="18"/>
                <w:szCs w:val="18"/>
                <w:color w:val="auto"/>
              </w:rPr>
              <w:t>SOURCE OF FUNDS:</w:t>
            </w:r>
          </w:p>
        </w:tc>
        <w:tc>
          <w:tcPr>
            <w:tcW w:w="7020" w:type="dxa"/>
            <w:vAlign w:val="bottom"/>
          </w:tcPr>
          <w:p>
            <w:pPr>
              <w:ind w:left="7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3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5</w:t>
            </w:r>
          </w:p>
        </w:tc>
        <w:tc>
          <w:tcPr>
            <w:tcW w:w="10500" w:type="dxa"/>
            <w:vAlign w:val="bottom"/>
            <w:gridSpan w:val="4"/>
          </w:tcPr>
          <w:p>
            <w:pPr>
              <w:spacing w:after="0" w:line="201" w:lineRule="exact"/>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ind w:left="68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10500" w:type="dxa"/>
            <w:vAlign w:val="bottom"/>
            <w:gridSpan w:val="4"/>
          </w:tcPr>
          <w:p>
            <w:pPr>
              <w:spacing w:after="0"/>
              <w:rPr>
                <w:sz w:val="20"/>
                <w:szCs w:val="20"/>
                <w:color w:val="auto"/>
              </w:rPr>
            </w:pPr>
            <w:r>
              <w:rPr>
                <w:rFonts w:ascii="Arial" w:cs="Arial" w:eastAsia="Arial" w:hAnsi="Arial"/>
                <w:sz w:val="18"/>
                <w:szCs w:val="18"/>
                <w:color w:val="auto"/>
              </w:rPr>
              <w:t>CITIZENSHIP OR PLACE OF ORGANIZATION:  Pennsylvania</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2320" w:type="dxa"/>
            <w:vAlign w:val="bottom"/>
          </w:tcPr>
          <w:p>
            <w:pPr>
              <w:spacing w:after="0"/>
              <w:rPr>
                <w:sz w:val="20"/>
                <w:szCs w:val="20"/>
                <w:color w:val="auto"/>
              </w:rPr>
            </w:pPr>
            <w:r>
              <w:rPr>
                <w:rFonts w:ascii="Arial" w:cs="Arial" w:eastAsia="Arial" w:hAnsi="Arial"/>
                <w:sz w:val="18"/>
                <w:szCs w:val="18"/>
                <w:color w:val="auto"/>
              </w:rPr>
              <w:t>SOLE VOTING POWER:</w:t>
            </w:r>
          </w:p>
        </w:tc>
        <w:tc>
          <w:tcPr>
            <w:tcW w:w="7020" w:type="dxa"/>
            <w:vAlign w:val="bottom"/>
          </w:tcPr>
          <w:p>
            <w:pPr>
              <w:ind w:left="400"/>
              <w:spacing w:after="0"/>
              <w:rPr>
                <w:sz w:val="20"/>
                <w:szCs w:val="20"/>
                <w:color w:val="auto"/>
              </w:rPr>
            </w:pPr>
            <w:r>
              <w:rPr>
                <w:rFonts w:ascii="Arial" w:cs="Arial" w:eastAsia="Arial" w:hAnsi="Arial"/>
                <w:sz w:val="18"/>
                <w:szCs w:val="18"/>
                <w:color w:val="auto"/>
              </w:rPr>
              <w:t>6,466,938 (see Item 5)</w:t>
            </w:r>
          </w:p>
        </w:tc>
        <w:tc>
          <w:tcPr>
            <w:tcW w:w="0" w:type="dxa"/>
            <w:vAlign w:val="bottom"/>
          </w:tcPr>
          <w:p>
            <w:pPr>
              <w:spacing w:after="0"/>
              <w:rPr>
                <w:sz w:val="1"/>
                <w:szCs w:val="1"/>
                <w:color w:val="auto"/>
              </w:rPr>
            </w:pPr>
          </w:p>
        </w:tc>
      </w:tr>
      <w:tr>
        <w:trPr>
          <w:trHeight w:val="116"/>
        </w:trPr>
        <w:tc>
          <w:tcPr>
            <w:tcW w:w="142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3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4"/>
              </w:rPr>
              <w:t>SHARES</w:t>
            </w:r>
          </w:p>
        </w:tc>
        <w:tc>
          <w:tcPr>
            <w:tcW w:w="66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7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20" w:type="dxa"/>
            <w:vAlign w:val="bottom"/>
            <w:tcBorders>
              <w:right w:val="single" w:sz="8" w:color="auto"/>
            </w:tcBorders>
            <w:gridSpan w:val="2"/>
            <w:vMerge w:val="continue"/>
          </w:tcPr>
          <w:p>
            <w:pPr>
              <w:spacing w:after="0"/>
              <w:rPr>
                <w:sz w:val="9"/>
                <w:szCs w:val="9"/>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23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7020" w:type="dxa"/>
            <w:vAlign w:val="bottom"/>
            <w:vMerge w:val="restart"/>
          </w:tcPr>
          <w:p>
            <w:pPr>
              <w:ind w:left="400"/>
              <w:spacing w:after="0"/>
              <w:rPr>
                <w:sz w:val="20"/>
                <w:szCs w:val="20"/>
                <w:color w:val="auto"/>
              </w:rPr>
            </w:pPr>
            <w:r>
              <w:rPr>
                <w:rFonts w:ascii="Arial" w:cs="Arial" w:eastAsia="Arial" w:hAnsi="Arial"/>
                <w:sz w:val="18"/>
                <w:szCs w:val="18"/>
                <w:color w:val="auto"/>
              </w:rPr>
              <w:t>0 (see Item 5)</w:t>
            </w:r>
          </w:p>
        </w:tc>
        <w:tc>
          <w:tcPr>
            <w:tcW w:w="0" w:type="dxa"/>
            <w:vAlign w:val="bottom"/>
          </w:tcPr>
          <w:p>
            <w:pPr>
              <w:spacing w:after="0"/>
              <w:rPr>
                <w:sz w:val="1"/>
                <w:szCs w:val="1"/>
                <w:color w:val="auto"/>
              </w:rPr>
            </w:pPr>
          </w:p>
        </w:tc>
      </w:tr>
      <w:tr>
        <w:trPr>
          <w:trHeight w:val="127"/>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vMerge w:val="continue"/>
          </w:tcPr>
          <w:p>
            <w:pPr>
              <w:spacing w:after="0"/>
              <w:rPr>
                <w:sz w:val="11"/>
                <w:szCs w:val="11"/>
                <w:color w:val="auto"/>
              </w:rPr>
            </w:pPr>
          </w:p>
        </w:tc>
        <w:tc>
          <w:tcPr>
            <w:tcW w:w="2320" w:type="dxa"/>
            <w:vAlign w:val="bottom"/>
            <w:vMerge w:val="continue"/>
          </w:tcPr>
          <w:p>
            <w:pPr>
              <w:spacing w:after="0"/>
              <w:rPr>
                <w:sz w:val="11"/>
                <w:szCs w:val="11"/>
                <w:color w:val="auto"/>
              </w:rPr>
            </w:pPr>
          </w:p>
        </w:tc>
        <w:tc>
          <w:tcPr>
            <w:tcW w:w="7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7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60" w:type="dxa"/>
            <w:vAlign w:val="bottom"/>
            <w:tcBorders>
              <w:bottom w:val="single" w:sz="8" w:color="auto"/>
              <w:right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b w:val="1"/>
                <w:bCs w:val="1"/>
                <w:color w:val="auto"/>
                <w:w w:val="99"/>
              </w:rPr>
              <w:t>9</w:t>
            </w:r>
          </w:p>
        </w:tc>
        <w:tc>
          <w:tcPr>
            <w:tcW w:w="2320" w:type="dxa"/>
            <w:vAlign w:val="bottom"/>
            <w:vMerge w:val="restart"/>
          </w:tcPr>
          <w:p>
            <w:pPr>
              <w:spacing w:after="0" w:line="201" w:lineRule="exact"/>
              <w:rPr>
                <w:sz w:val="20"/>
                <w:szCs w:val="20"/>
                <w:color w:val="auto"/>
              </w:rPr>
            </w:pPr>
            <w:r>
              <w:rPr>
                <w:rFonts w:ascii="Arial" w:cs="Arial" w:eastAsia="Arial" w:hAnsi="Arial"/>
                <w:sz w:val="18"/>
                <w:szCs w:val="18"/>
                <w:color w:val="auto"/>
              </w:rPr>
              <w:t>SOLE DISPOSITIVE</w:t>
            </w:r>
          </w:p>
        </w:tc>
        <w:tc>
          <w:tcPr>
            <w:tcW w:w="7020" w:type="dxa"/>
            <w:vAlign w:val="bottom"/>
            <w:vMerge w:val="restart"/>
          </w:tcPr>
          <w:p>
            <w:pPr>
              <w:ind w:left="400"/>
              <w:spacing w:after="0" w:line="201" w:lineRule="exact"/>
              <w:rPr>
                <w:sz w:val="20"/>
                <w:szCs w:val="20"/>
                <w:color w:val="auto"/>
              </w:rPr>
            </w:pPr>
            <w:r>
              <w:rPr>
                <w:rFonts w:ascii="Arial" w:cs="Arial" w:eastAsia="Arial" w:hAnsi="Arial"/>
                <w:sz w:val="18"/>
                <w:szCs w:val="18"/>
                <w:color w:val="auto"/>
              </w:rPr>
              <w:t>6,466,938 (see Item 5)</w:t>
            </w:r>
          </w:p>
        </w:tc>
        <w:tc>
          <w:tcPr>
            <w:tcW w:w="0" w:type="dxa"/>
            <w:vAlign w:val="bottom"/>
          </w:tcPr>
          <w:p>
            <w:pPr>
              <w:spacing w:after="0"/>
              <w:rPr>
                <w:sz w:val="1"/>
                <w:szCs w:val="1"/>
                <w:color w:val="auto"/>
              </w:rPr>
            </w:pPr>
          </w:p>
        </w:tc>
      </w:tr>
      <w:tr>
        <w:trPr>
          <w:trHeight w:val="122"/>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EACH</w:t>
            </w:r>
          </w:p>
        </w:tc>
        <w:tc>
          <w:tcPr>
            <w:tcW w:w="660" w:type="dxa"/>
            <w:vAlign w:val="bottom"/>
            <w:tcBorders>
              <w:right w:val="single" w:sz="8" w:color="auto"/>
            </w:tcBorders>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7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20" w:type="dxa"/>
            <w:vAlign w:val="bottom"/>
            <w:tcBorders>
              <w:right w:val="single" w:sz="8" w:color="auto"/>
            </w:tcBorders>
            <w:gridSpan w:val="2"/>
            <w:vMerge w:val="continue"/>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2320" w:type="dxa"/>
            <w:vAlign w:val="bottom"/>
            <w:vMerge w:val="restart"/>
          </w:tcPr>
          <w:p>
            <w:pPr>
              <w:spacing w:after="0"/>
              <w:rPr>
                <w:sz w:val="20"/>
                <w:szCs w:val="20"/>
                <w:color w:val="auto"/>
              </w:rPr>
            </w:pPr>
            <w:r>
              <w:rPr>
                <w:rFonts w:ascii="Arial" w:cs="Arial" w:eastAsia="Arial" w:hAnsi="Arial"/>
                <w:sz w:val="18"/>
                <w:szCs w:val="18"/>
                <w:color w:val="auto"/>
              </w:rPr>
              <w:t>POWER:</w:t>
            </w:r>
          </w:p>
        </w:tc>
        <w:tc>
          <w:tcPr>
            <w:tcW w:w="7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66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tcBorders>
            <w:vMerge w:val="continue"/>
          </w:tcPr>
          <w:p>
            <w:pPr>
              <w:spacing w:after="0"/>
              <w:rPr>
                <w:sz w:val="12"/>
                <w:szCs w:val="12"/>
                <w:color w:val="auto"/>
              </w:rPr>
            </w:pPr>
          </w:p>
        </w:tc>
        <w:tc>
          <w:tcPr>
            <w:tcW w:w="7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b w:val="1"/>
                <w:bCs w:val="1"/>
                <w:color w:val="auto"/>
                <w:w w:val="89"/>
              </w:rPr>
              <w:t>10</w:t>
            </w:r>
          </w:p>
        </w:tc>
        <w:tc>
          <w:tcPr>
            <w:tcW w:w="2320" w:type="dxa"/>
            <w:vAlign w:val="bottom"/>
            <w:vMerge w:val="restart"/>
          </w:tcPr>
          <w:p>
            <w:pPr>
              <w:spacing w:after="0" w:line="201" w:lineRule="exact"/>
              <w:rPr>
                <w:sz w:val="20"/>
                <w:szCs w:val="20"/>
                <w:color w:val="auto"/>
              </w:rPr>
            </w:pPr>
            <w:r>
              <w:rPr>
                <w:rFonts w:ascii="Arial" w:cs="Arial" w:eastAsia="Arial" w:hAnsi="Arial"/>
                <w:sz w:val="18"/>
                <w:szCs w:val="18"/>
                <w:color w:val="auto"/>
              </w:rPr>
              <w:t>SHARED DISPOSITIVE</w:t>
            </w:r>
          </w:p>
        </w:tc>
        <w:tc>
          <w:tcPr>
            <w:tcW w:w="7020" w:type="dxa"/>
            <w:vAlign w:val="bottom"/>
            <w:vMerge w:val="restart"/>
          </w:tcPr>
          <w:p>
            <w:pPr>
              <w:ind w:left="400"/>
              <w:spacing w:after="0" w:line="201" w:lineRule="exact"/>
              <w:rPr>
                <w:sz w:val="20"/>
                <w:szCs w:val="20"/>
                <w:color w:val="auto"/>
              </w:rPr>
            </w:pPr>
            <w:r>
              <w:rPr>
                <w:rFonts w:ascii="Arial" w:cs="Arial" w:eastAsia="Arial" w:hAnsi="Arial"/>
                <w:sz w:val="18"/>
                <w:szCs w:val="18"/>
                <w:color w:val="auto"/>
              </w:rPr>
              <w:t>0 (see Item 5)</w:t>
            </w: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60" w:type="dxa"/>
            <w:vAlign w:val="bottom"/>
            <w:tcBorders>
              <w:right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7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320" w:type="dxa"/>
            <w:vAlign w:val="bottom"/>
            <w:vMerge w:val="restart"/>
          </w:tcPr>
          <w:p>
            <w:pPr>
              <w:spacing w:after="0"/>
              <w:rPr>
                <w:sz w:val="20"/>
                <w:szCs w:val="20"/>
                <w:color w:val="auto"/>
              </w:rPr>
            </w:pPr>
            <w:r>
              <w:rPr>
                <w:rFonts w:ascii="Arial" w:cs="Arial" w:eastAsia="Arial" w:hAnsi="Arial"/>
                <w:sz w:val="18"/>
                <w:szCs w:val="18"/>
                <w:color w:val="auto"/>
              </w:rPr>
              <w:t>POWER:</w:t>
            </w:r>
          </w:p>
        </w:tc>
        <w:tc>
          <w:tcPr>
            <w:tcW w:w="7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2320" w:type="dxa"/>
            <w:vAlign w:val="bottom"/>
            <w:tcBorders>
              <w:bottom w:val="single" w:sz="8" w:color="auto"/>
            </w:tcBorders>
            <w:vMerge w:val="continue"/>
          </w:tcPr>
          <w:p>
            <w:pPr>
              <w:spacing w:after="0"/>
              <w:rPr>
                <w:sz w:val="13"/>
                <w:szCs w:val="13"/>
                <w:color w:val="auto"/>
              </w:rPr>
            </w:pPr>
          </w:p>
        </w:tc>
        <w:tc>
          <w:tcPr>
            <w:tcW w:w="7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1050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REPORTING PERSON: 6,466,938 (see Item 5)</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right w:val="single" w:sz="8" w:color="auto"/>
            </w:tcBorders>
          </w:tcPr>
          <w:p>
            <w:pPr>
              <w:spacing w:after="0"/>
              <w:rPr>
                <w:sz w:val="17"/>
                <w:szCs w:val="17"/>
                <w:color w:val="auto"/>
              </w:rPr>
            </w:pPr>
          </w:p>
        </w:tc>
        <w:tc>
          <w:tcPr>
            <w:tcW w:w="10500" w:type="dxa"/>
            <w:vAlign w:val="bottom"/>
            <w:tcBorders>
              <w:bottom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12</w:t>
            </w:r>
          </w:p>
        </w:tc>
        <w:tc>
          <w:tcPr>
            <w:tcW w:w="10500" w:type="dxa"/>
            <w:vAlign w:val="bottom"/>
            <w:gridSpan w:val="4"/>
          </w:tcPr>
          <w:p>
            <w:pPr>
              <w:spacing w:after="0" w:line="201" w:lineRule="exact"/>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ind w:left="68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1050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 19.7% (see Item 5)</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right w:val="single" w:sz="8" w:color="auto"/>
            </w:tcBorders>
          </w:tcPr>
          <w:p>
            <w:pPr>
              <w:spacing w:after="0"/>
              <w:rPr>
                <w:sz w:val="17"/>
                <w:szCs w:val="17"/>
                <w:color w:val="auto"/>
              </w:rPr>
            </w:pPr>
          </w:p>
        </w:tc>
        <w:tc>
          <w:tcPr>
            <w:tcW w:w="3480" w:type="dxa"/>
            <w:vAlign w:val="bottom"/>
            <w:tcBorders>
              <w:bottom w:val="single" w:sz="8" w:color="auto"/>
            </w:tcBorders>
            <w:gridSpan w:val="3"/>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348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7020" w:type="dxa"/>
            <w:vAlign w:val="bottom"/>
          </w:tcPr>
          <w:p>
            <w:pPr>
              <w:ind w:left="16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9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7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92047K-10-7</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13D</w:t>
            </w:r>
          </w:p>
        </w:tc>
        <w:tc>
          <w:tcPr>
            <w:tcW w:w="4420" w:type="dxa"/>
            <w:vAlign w:val="bottom"/>
            <w:tcBorders>
              <w:top w:val="single" w:sz="8" w:color="auto"/>
              <w:bottom w:val="single" w:sz="8" w:color="auto"/>
              <w:right w:val="single" w:sz="8" w:color="auto"/>
            </w:tcBorders>
          </w:tcPr>
          <w:p>
            <w:pPr>
              <w:ind w:left="1960"/>
              <w:spacing w:after="0"/>
              <w:rPr>
                <w:sz w:val="20"/>
                <w:szCs w:val="20"/>
                <w:color w:val="auto"/>
              </w:rPr>
            </w:pPr>
            <w:r>
              <w:rPr>
                <w:rFonts w:ascii="Arial" w:cs="Arial" w:eastAsia="Arial" w:hAnsi="Arial"/>
                <w:sz w:val="18"/>
                <w:szCs w:val="18"/>
                <w:color w:val="auto"/>
              </w:rPr>
              <w:t>Page 3</w:t>
            </w:r>
          </w:p>
        </w:tc>
      </w:tr>
      <w:tr>
        <w:trPr>
          <w:trHeight w:val="270"/>
        </w:trPr>
        <w:tc>
          <w:tcPr>
            <w:tcW w:w="90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2"/>
          </w:tcPr>
          <w:p>
            <w:pPr>
              <w:spacing w:after="0"/>
              <w:rPr>
                <w:sz w:val="23"/>
                <w:szCs w:val="23"/>
                <w:color w:val="auto"/>
              </w:rPr>
            </w:pPr>
          </w:p>
        </w:tc>
        <w:tc>
          <w:tcPr>
            <w:tcW w:w="4420" w:type="dxa"/>
            <w:vAlign w:val="bottom"/>
            <w:tcBorders>
              <w:bottom w:val="single" w:sz="8" w:color="auto"/>
            </w:tcBorders>
          </w:tcPr>
          <w:p>
            <w:pPr>
              <w:spacing w:after="0"/>
              <w:rPr>
                <w:sz w:val="23"/>
                <w:szCs w:val="23"/>
                <w:color w:val="auto"/>
              </w:rPr>
            </w:pPr>
          </w:p>
        </w:tc>
      </w:tr>
      <w:tr>
        <w:trPr>
          <w:trHeight w:val="214"/>
        </w:trPr>
        <w:tc>
          <w:tcPr>
            <w:tcW w:w="90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w:t>
            </w:r>
          </w:p>
        </w:tc>
        <w:tc>
          <w:tcPr>
            <w:tcW w:w="3500" w:type="dxa"/>
            <w:vAlign w:val="bottom"/>
          </w:tcPr>
          <w:p>
            <w:pPr>
              <w:spacing w:after="0"/>
              <w:rPr>
                <w:sz w:val="20"/>
                <w:szCs w:val="20"/>
                <w:color w:val="auto"/>
              </w:rPr>
            </w:pPr>
            <w:r>
              <w:rPr>
                <w:rFonts w:ascii="Arial" w:cs="Arial" w:eastAsia="Arial" w:hAnsi="Arial"/>
                <w:sz w:val="18"/>
                <w:szCs w:val="18"/>
                <w:color w:val="auto"/>
              </w:rPr>
              <w:t>NAMES OF REPORTING PERSONS:</w:t>
            </w:r>
          </w:p>
        </w:tc>
        <w:tc>
          <w:tcPr>
            <w:tcW w:w="2580" w:type="dxa"/>
            <w:vAlign w:val="bottom"/>
            <w:gridSpan w:val="2"/>
          </w:tcPr>
          <w:p>
            <w:pPr>
              <w:ind w:left="640"/>
              <w:spacing w:after="0"/>
              <w:rPr>
                <w:sz w:val="20"/>
                <w:szCs w:val="20"/>
                <w:color w:val="auto"/>
              </w:rPr>
            </w:pPr>
            <w:r>
              <w:rPr>
                <w:rFonts w:ascii="Arial" w:cs="Arial" w:eastAsia="Arial" w:hAnsi="Arial"/>
                <w:sz w:val="18"/>
                <w:szCs w:val="18"/>
                <w:color w:val="auto"/>
              </w:rPr>
              <w:t>NBCUniversal, LLC</w:t>
            </w:r>
          </w:p>
        </w:tc>
        <w:tc>
          <w:tcPr>
            <w:tcW w:w="4420" w:type="dxa"/>
            <w:vAlign w:val="bottom"/>
          </w:tcPr>
          <w:p>
            <w:pPr>
              <w:spacing w:after="0"/>
              <w:rPr>
                <w:sz w:val="18"/>
                <w:szCs w:val="18"/>
                <w:color w:val="auto"/>
              </w:rPr>
            </w:pPr>
          </w:p>
        </w:tc>
      </w:tr>
      <w:tr>
        <w:trPr>
          <w:trHeight w:val="208"/>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-16510</wp:posOffset>
            </wp:positionV>
            <wp:extent cx="17145" cy="1475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 cy="1475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7145" cy="3790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379031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-307975</wp:posOffset>
            </wp:positionV>
            <wp:extent cx="17145" cy="4098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 cy="4098925"/>
                    </a:xfrm>
                    <a:prstGeom prst="rect">
                      <a:avLst/>
                    </a:prstGeom>
                    <a:noFill/>
                  </pic:spPr>
                </pic:pic>
              </a:graphicData>
            </a:graphic>
          </wp:anchor>
        </w:drawing>
      </w:r>
    </w:p>
    <w:p>
      <w:pPr>
        <w:ind w:left="920" w:hanging="498"/>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MEMBER(a)  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OF A GROUP:</w:t>
            </w:r>
          </w:p>
        </w:tc>
        <w:tc>
          <w:tcPr>
            <w:tcW w:w="2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356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3560" w:type="dxa"/>
            <w:vAlign w:val="bottom"/>
            <w:gridSpan w:val="3"/>
          </w:tcPr>
          <w:p>
            <w:pPr>
              <w:spacing w:after="0"/>
              <w:rPr>
                <w:sz w:val="20"/>
                <w:szCs w:val="20"/>
                <w:color w:val="auto"/>
              </w:rPr>
            </w:pPr>
            <w:r>
              <w:rPr>
                <w:rFonts w:ascii="Arial" w:cs="Arial" w:eastAsia="Arial" w:hAnsi="Arial"/>
                <w:sz w:val="18"/>
                <w:szCs w:val="18"/>
                <w:color w:val="auto"/>
              </w:rPr>
              <w:t>SOURCE OF FUNDS:</w:t>
            </w:r>
          </w:p>
        </w:tc>
        <w:tc>
          <w:tcPr>
            <w:tcW w:w="240" w:type="dxa"/>
            <w:vAlign w:val="bottom"/>
          </w:tcPr>
          <w:p>
            <w:pPr>
              <w:spacing w:after="0"/>
              <w:rPr>
                <w:sz w:val="20"/>
                <w:szCs w:val="20"/>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34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5</w:t>
            </w:r>
          </w:p>
        </w:tc>
        <w:tc>
          <w:tcPr>
            <w:tcW w:w="10500" w:type="dxa"/>
            <w:vAlign w:val="bottom"/>
            <w:gridSpan w:val="5"/>
          </w:tcPr>
          <w:p>
            <w:pPr>
              <w:spacing w:after="0" w:line="201" w:lineRule="exact"/>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65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3800" w:type="dxa"/>
            <w:vAlign w:val="bottom"/>
            <w:gridSpan w:val="4"/>
          </w:tcPr>
          <w:p>
            <w:pPr>
              <w:spacing w:after="0"/>
              <w:rPr>
                <w:sz w:val="20"/>
                <w:szCs w:val="20"/>
                <w:color w:val="auto"/>
              </w:rPr>
            </w:pPr>
            <w:r>
              <w:rPr>
                <w:rFonts w:ascii="Arial" w:cs="Arial" w:eastAsia="Arial" w:hAnsi="Arial"/>
                <w:sz w:val="18"/>
                <w:szCs w:val="18"/>
                <w:color w:val="auto"/>
                <w:w w:val="98"/>
              </w:rPr>
              <w:t>CITIZENSHIP OR PLACE OF ORGANIZATION:</w:t>
            </w:r>
          </w:p>
        </w:tc>
        <w:tc>
          <w:tcPr>
            <w:tcW w:w="6700" w:type="dxa"/>
            <w:vAlign w:val="bottom"/>
          </w:tcPr>
          <w:p>
            <w:pPr>
              <w:ind w:left="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2400" w:type="dxa"/>
            <w:vAlign w:val="bottom"/>
          </w:tcPr>
          <w:p>
            <w:pPr>
              <w:spacing w:after="0"/>
              <w:rPr>
                <w:sz w:val="20"/>
                <w:szCs w:val="20"/>
                <w:color w:val="auto"/>
              </w:rPr>
            </w:pPr>
            <w:r>
              <w:rPr>
                <w:rFonts w:ascii="Arial" w:cs="Arial" w:eastAsia="Arial" w:hAnsi="Arial"/>
                <w:sz w:val="18"/>
                <w:szCs w:val="18"/>
                <w:color w:val="auto"/>
              </w:rPr>
              <w:t>SOLE VOTING POWER:</w:t>
            </w:r>
          </w:p>
        </w:tc>
        <w:tc>
          <w:tcPr>
            <w:tcW w:w="2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6,466,938 (see Item 5)</w:t>
            </w:r>
          </w:p>
        </w:tc>
        <w:tc>
          <w:tcPr>
            <w:tcW w:w="0" w:type="dxa"/>
            <w:vAlign w:val="bottom"/>
          </w:tcPr>
          <w:p>
            <w:pPr>
              <w:spacing w:after="0"/>
              <w:rPr>
                <w:sz w:val="1"/>
                <w:szCs w:val="1"/>
                <w:color w:val="auto"/>
              </w:rPr>
            </w:pPr>
          </w:p>
        </w:tc>
      </w:tr>
      <w:tr>
        <w:trPr>
          <w:trHeight w:val="116"/>
        </w:trPr>
        <w:tc>
          <w:tcPr>
            <w:tcW w:w="142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4"/>
              </w:rPr>
              <w:t>SHARES</w:t>
            </w:r>
          </w:p>
        </w:tc>
        <w:tc>
          <w:tcPr>
            <w:tcW w:w="6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20" w:type="dxa"/>
            <w:vAlign w:val="bottom"/>
            <w:tcBorders>
              <w:right w:val="single" w:sz="8" w:color="auto"/>
            </w:tcBorders>
            <w:gridSpan w:val="2"/>
            <w:vMerge w:val="continue"/>
          </w:tcPr>
          <w:p>
            <w:pPr>
              <w:spacing w:after="0"/>
              <w:rPr>
                <w:sz w:val="9"/>
                <w:szCs w:val="9"/>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24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40" w:type="dxa"/>
            <w:vAlign w:val="bottom"/>
          </w:tcPr>
          <w:p>
            <w:pPr>
              <w:spacing w:after="0"/>
              <w:rPr>
                <w:sz w:val="9"/>
                <w:szCs w:val="9"/>
                <w:color w:val="auto"/>
              </w:rPr>
            </w:pPr>
          </w:p>
        </w:tc>
        <w:tc>
          <w:tcPr>
            <w:tcW w:w="6700" w:type="dxa"/>
            <w:vAlign w:val="bottom"/>
            <w:vMerge w:val="restart"/>
          </w:tcPr>
          <w:p>
            <w:pPr>
              <w:ind w:left="80"/>
              <w:spacing w:after="0"/>
              <w:rPr>
                <w:sz w:val="20"/>
                <w:szCs w:val="20"/>
                <w:color w:val="auto"/>
              </w:rPr>
            </w:pPr>
            <w:r>
              <w:rPr>
                <w:rFonts w:ascii="Arial" w:cs="Arial" w:eastAsia="Arial" w:hAnsi="Arial"/>
                <w:sz w:val="18"/>
                <w:szCs w:val="18"/>
                <w:color w:val="auto"/>
              </w:rPr>
              <w:t>0 (see Item 5)</w:t>
            </w:r>
          </w:p>
        </w:tc>
        <w:tc>
          <w:tcPr>
            <w:tcW w:w="0" w:type="dxa"/>
            <w:vAlign w:val="bottom"/>
          </w:tcPr>
          <w:p>
            <w:pPr>
              <w:spacing w:after="0"/>
              <w:rPr>
                <w:sz w:val="1"/>
                <w:szCs w:val="1"/>
                <w:color w:val="auto"/>
              </w:rPr>
            </w:pPr>
          </w:p>
        </w:tc>
      </w:tr>
      <w:tr>
        <w:trPr>
          <w:trHeight w:val="127"/>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6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2400" w:type="dxa"/>
            <w:vAlign w:val="bottom"/>
            <w:vMerge w:val="restart"/>
          </w:tcPr>
          <w:p>
            <w:pPr>
              <w:spacing w:after="0"/>
              <w:rPr>
                <w:sz w:val="20"/>
                <w:szCs w:val="20"/>
                <w:color w:val="auto"/>
              </w:rPr>
            </w:pPr>
            <w:r>
              <w:rPr>
                <w:rFonts w:ascii="Arial" w:cs="Arial" w:eastAsia="Arial" w:hAnsi="Arial"/>
                <w:sz w:val="18"/>
                <w:szCs w:val="18"/>
                <w:color w:val="auto"/>
                <w:w w:val="97"/>
              </w:rPr>
              <w:t>SOLE DISPOSITIVE POWER:</w:t>
            </w:r>
          </w:p>
        </w:tc>
        <w:tc>
          <w:tcPr>
            <w:tcW w:w="240" w:type="dxa"/>
            <w:vAlign w:val="bottom"/>
          </w:tcPr>
          <w:p>
            <w:pPr>
              <w:spacing w:after="0"/>
              <w:rPr>
                <w:sz w:val="6"/>
                <w:szCs w:val="6"/>
                <w:color w:val="auto"/>
              </w:rPr>
            </w:pPr>
          </w:p>
        </w:tc>
        <w:tc>
          <w:tcPr>
            <w:tcW w:w="6700" w:type="dxa"/>
            <w:vAlign w:val="bottom"/>
            <w:vMerge w:val="restart"/>
          </w:tcPr>
          <w:p>
            <w:pPr>
              <w:ind w:left="80"/>
              <w:spacing w:after="0"/>
              <w:rPr>
                <w:sz w:val="20"/>
                <w:szCs w:val="20"/>
                <w:color w:val="auto"/>
              </w:rPr>
            </w:pPr>
            <w:r>
              <w:rPr>
                <w:rFonts w:ascii="Arial" w:cs="Arial" w:eastAsia="Arial" w:hAnsi="Arial"/>
                <w:sz w:val="18"/>
                <w:szCs w:val="18"/>
                <w:color w:val="auto"/>
              </w:rPr>
              <w:t>6,466,938 (see Item 5)</w:t>
            </w:r>
          </w:p>
        </w:tc>
        <w:tc>
          <w:tcPr>
            <w:tcW w:w="0" w:type="dxa"/>
            <w:vAlign w:val="bottom"/>
          </w:tcPr>
          <w:p>
            <w:pPr>
              <w:spacing w:after="0"/>
              <w:rPr>
                <w:sz w:val="1"/>
                <w:szCs w:val="1"/>
                <w:color w:val="auto"/>
              </w:rPr>
            </w:pPr>
          </w:p>
        </w:tc>
      </w:tr>
      <w:tr>
        <w:trPr>
          <w:trHeight w:val="154"/>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EACH</w:t>
            </w:r>
          </w:p>
        </w:tc>
        <w:tc>
          <w:tcPr>
            <w:tcW w:w="660" w:type="dxa"/>
            <w:vAlign w:val="bottom"/>
            <w:tcBorders>
              <w:right w:val="single" w:sz="8" w:color="auto"/>
            </w:tcBorders>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42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66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2640" w:type="dxa"/>
            <w:vAlign w:val="bottom"/>
            <w:gridSpan w:val="2"/>
            <w:vMerge w:val="restart"/>
          </w:tcPr>
          <w:p>
            <w:pPr>
              <w:spacing w:after="0"/>
              <w:rPr>
                <w:sz w:val="20"/>
                <w:szCs w:val="20"/>
                <w:color w:val="auto"/>
              </w:rPr>
            </w:pPr>
            <w:r>
              <w:rPr>
                <w:rFonts w:ascii="Arial" w:cs="Arial" w:eastAsia="Arial" w:hAnsi="Arial"/>
                <w:sz w:val="18"/>
                <w:szCs w:val="18"/>
                <w:color w:val="auto"/>
                <w:w w:val="96"/>
              </w:rPr>
              <w:t>SHARED DISPOSITIVE POWER:</w:t>
            </w:r>
          </w:p>
        </w:tc>
        <w:tc>
          <w:tcPr>
            <w:tcW w:w="6700" w:type="dxa"/>
            <w:vAlign w:val="bottom"/>
            <w:vMerge w:val="restart"/>
          </w:tcPr>
          <w:p>
            <w:pPr>
              <w:ind w:left="80"/>
              <w:spacing w:after="0"/>
              <w:rPr>
                <w:sz w:val="20"/>
                <w:szCs w:val="20"/>
                <w:color w:val="auto"/>
              </w:rPr>
            </w:pPr>
            <w:r>
              <w:rPr>
                <w:rFonts w:ascii="Arial" w:cs="Arial" w:eastAsia="Arial" w:hAnsi="Arial"/>
                <w:sz w:val="18"/>
                <w:szCs w:val="18"/>
                <w:color w:val="auto"/>
              </w:rPr>
              <w:t>0 (see Item 5)</w:t>
            </w:r>
          </w:p>
        </w:tc>
        <w:tc>
          <w:tcPr>
            <w:tcW w:w="0" w:type="dxa"/>
            <w:vAlign w:val="bottom"/>
          </w:tcPr>
          <w:p>
            <w:pPr>
              <w:spacing w:after="0"/>
              <w:rPr>
                <w:sz w:val="1"/>
                <w:szCs w:val="1"/>
                <w:color w:val="auto"/>
              </w:rPr>
            </w:pPr>
          </w:p>
        </w:tc>
      </w:tr>
      <w:tr>
        <w:trPr>
          <w:trHeight w:val="176"/>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60" w:type="dxa"/>
            <w:vAlign w:val="bottom"/>
            <w:tcBorders>
              <w:right w:val="single" w:sz="8" w:color="auto"/>
            </w:tcBorders>
            <w:vMerge w:val="continue"/>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93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105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REPORTING PERSON: 6,466,938 (see Item 5)</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right w:val="single" w:sz="8" w:color="auto"/>
            </w:tcBorders>
          </w:tcPr>
          <w:p>
            <w:pPr>
              <w:spacing w:after="0"/>
              <w:rPr>
                <w:sz w:val="17"/>
                <w:szCs w:val="17"/>
                <w:color w:val="auto"/>
              </w:rPr>
            </w:pPr>
          </w:p>
        </w:tc>
        <w:tc>
          <w:tcPr>
            <w:tcW w:w="10500" w:type="dxa"/>
            <w:vAlign w:val="bottom"/>
            <w:tcBorders>
              <w:bottom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12</w:t>
            </w:r>
          </w:p>
        </w:tc>
        <w:tc>
          <w:tcPr>
            <w:tcW w:w="10500" w:type="dxa"/>
            <w:vAlign w:val="bottom"/>
            <w:gridSpan w:val="5"/>
          </w:tcPr>
          <w:p>
            <w:pPr>
              <w:spacing w:after="0" w:line="201" w:lineRule="exact"/>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65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105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(11): 19.7% (see Item 5)</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right w:val="single" w:sz="8" w:color="auto"/>
            </w:tcBorders>
          </w:tcPr>
          <w:p>
            <w:pPr>
              <w:spacing w:after="0"/>
              <w:rPr>
                <w:sz w:val="17"/>
                <w:szCs w:val="17"/>
                <w:color w:val="auto"/>
              </w:rPr>
            </w:pPr>
          </w:p>
        </w:tc>
        <w:tc>
          <w:tcPr>
            <w:tcW w:w="3560" w:type="dxa"/>
            <w:vAlign w:val="bottom"/>
            <w:tcBorders>
              <w:bottom w:val="single" w:sz="8" w:color="auto"/>
            </w:tcBorders>
            <w:gridSpan w:val="3"/>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356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9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92047K-10-7</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15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13D</w:t>
            </w:r>
          </w:p>
        </w:tc>
        <w:tc>
          <w:tcPr>
            <w:tcW w:w="1020" w:type="dxa"/>
            <w:vAlign w:val="bottom"/>
            <w:tcBorders>
              <w:top w:val="single" w:sz="8" w:color="auto"/>
              <w:bottom w:val="single" w:sz="8" w:color="auto"/>
            </w:tcBorders>
          </w:tcPr>
          <w:p>
            <w:pPr>
              <w:spacing w:after="0"/>
              <w:rPr>
                <w:sz w:val="21"/>
                <w:szCs w:val="21"/>
                <w:color w:val="auto"/>
              </w:rPr>
            </w:pPr>
          </w:p>
        </w:tc>
        <w:tc>
          <w:tcPr>
            <w:tcW w:w="340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Page 4</w:t>
            </w:r>
          </w:p>
        </w:tc>
      </w:tr>
      <w:tr>
        <w:trPr>
          <w:trHeight w:val="270"/>
        </w:trPr>
        <w:tc>
          <w:tcPr>
            <w:tcW w:w="90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gridSpan w:val="3"/>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r>
        <w:trPr>
          <w:trHeight w:val="214"/>
        </w:trPr>
        <w:tc>
          <w:tcPr>
            <w:tcW w:w="90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w:t>
            </w:r>
          </w:p>
        </w:tc>
        <w:tc>
          <w:tcPr>
            <w:tcW w:w="3500" w:type="dxa"/>
            <w:vAlign w:val="bottom"/>
          </w:tcPr>
          <w:p>
            <w:pPr>
              <w:spacing w:after="0"/>
              <w:rPr>
                <w:sz w:val="20"/>
                <w:szCs w:val="20"/>
                <w:color w:val="auto"/>
              </w:rPr>
            </w:pPr>
            <w:r>
              <w:rPr>
                <w:rFonts w:ascii="Arial" w:cs="Arial" w:eastAsia="Arial" w:hAnsi="Arial"/>
                <w:sz w:val="18"/>
                <w:szCs w:val="18"/>
                <w:color w:val="auto"/>
              </w:rPr>
              <w:t>NAMES OF REPORTING PERSONS:</w:t>
            </w:r>
          </w:p>
        </w:tc>
        <w:tc>
          <w:tcPr>
            <w:tcW w:w="3600" w:type="dxa"/>
            <w:vAlign w:val="bottom"/>
            <w:gridSpan w:val="3"/>
          </w:tcPr>
          <w:p>
            <w:pPr>
              <w:ind w:left="640"/>
              <w:spacing w:after="0"/>
              <w:rPr>
                <w:sz w:val="20"/>
                <w:szCs w:val="20"/>
                <w:color w:val="auto"/>
              </w:rPr>
            </w:pPr>
            <w:r>
              <w:rPr>
                <w:rFonts w:ascii="Arial" w:cs="Arial" w:eastAsia="Arial" w:hAnsi="Arial"/>
                <w:sz w:val="18"/>
                <w:szCs w:val="18"/>
                <w:color w:val="auto"/>
              </w:rPr>
              <w:t>NBCUniversal Media, LLC</w:t>
            </w:r>
          </w:p>
        </w:tc>
        <w:tc>
          <w:tcPr>
            <w:tcW w:w="3400" w:type="dxa"/>
            <w:vAlign w:val="bottom"/>
          </w:tcPr>
          <w:p>
            <w:pPr>
              <w:spacing w:after="0"/>
              <w:rPr>
                <w:sz w:val="18"/>
                <w:szCs w:val="18"/>
                <w:color w:val="auto"/>
              </w:rPr>
            </w:pPr>
          </w:p>
        </w:tc>
      </w:tr>
      <w:tr>
        <w:trPr>
          <w:trHeight w:val="208"/>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-16510</wp:posOffset>
            </wp:positionV>
            <wp:extent cx="17145" cy="1475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 cy="1475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7145" cy="3790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379031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-307975</wp:posOffset>
            </wp:positionV>
            <wp:extent cx="17145" cy="4098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4098925"/>
                    </a:xfrm>
                    <a:prstGeom prst="rect">
                      <a:avLst/>
                    </a:prstGeom>
                    <a:noFill/>
                  </pic:spPr>
                </pic:pic>
              </a:graphicData>
            </a:graphic>
          </wp:anchor>
        </w:drawing>
      </w:r>
    </w:p>
    <w:p>
      <w:pPr>
        <w:ind w:left="920" w:hanging="498"/>
        <w:spacing w:after="0"/>
        <w:tabs>
          <w:tab w:leader="none" w:pos="9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MEMBER(a)  o</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OF A GROUP:</w:t>
            </w:r>
          </w:p>
        </w:tc>
        <w:tc>
          <w:tcPr>
            <w:tcW w:w="2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356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3560" w:type="dxa"/>
            <w:vAlign w:val="bottom"/>
            <w:gridSpan w:val="3"/>
          </w:tcPr>
          <w:p>
            <w:pPr>
              <w:spacing w:after="0"/>
              <w:rPr>
                <w:sz w:val="20"/>
                <w:szCs w:val="20"/>
                <w:color w:val="auto"/>
              </w:rPr>
            </w:pPr>
            <w:r>
              <w:rPr>
                <w:rFonts w:ascii="Arial" w:cs="Arial" w:eastAsia="Arial" w:hAnsi="Arial"/>
                <w:sz w:val="18"/>
                <w:szCs w:val="18"/>
                <w:color w:val="auto"/>
              </w:rPr>
              <w:t>SOURCE OF FUNDS:</w:t>
            </w:r>
          </w:p>
        </w:tc>
        <w:tc>
          <w:tcPr>
            <w:tcW w:w="240" w:type="dxa"/>
            <w:vAlign w:val="bottom"/>
          </w:tcPr>
          <w:p>
            <w:pPr>
              <w:spacing w:after="0"/>
              <w:rPr>
                <w:sz w:val="20"/>
                <w:szCs w:val="20"/>
                <w:color w:val="auto"/>
              </w:rPr>
            </w:pPr>
          </w:p>
        </w:tc>
        <w:tc>
          <w:tcPr>
            <w:tcW w:w="6700" w:type="dxa"/>
            <w:vAlign w:val="bottom"/>
          </w:tcPr>
          <w:p>
            <w:pPr>
              <w:ind w:left="4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34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5</w:t>
            </w:r>
          </w:p>
        </w:tc>
        <w:tc>
          <w:tcPr>
            <w:tcW w:w="10500" w:type="dxa"/>
            <w:vAlign w:val="bottom"/>
            <w:gridSpan w:val="5"/>
          </w:tcPr>
          <w:p>
            <w:pPr>
              <w:spacing w:after="0" w:line="201" w:lineRule="exact"/>
              <w:rPr>
                <w:sz w:val="20"/>
                <w:szCs w:val="20"/>
                <w:color w:val="auto"/>
              </w:rPr>
            </w:pPr>
            <w:r>
              <w:rPr>
                <w:rFonts w:ascii="Arial" w:cs="Arial" w:eastAsia="Arial" w:hAnsi="Arial"/>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65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3800" w:type="dxa"/>
            <w:vAlign w:val="bottom"/>
            <w:gridSpan w:val="4"/>
          </w:tcPr>
          <w:p>
            <w:pPr>
              <w:spacing w:after="0"/>
              <w:rPr>
                <w:sz w:val="20"/>
                <w:szCs w:val="20"/>
                <w:color w:val="auto"/>
              </w:rPr>
            </w:pPr>
            <w:r>
              <w:rPr>
                <w:rFonts w:ascii="Arial" w:cs="Arial" w:eastAsia="Arial" w:hAnsi="Arial"/>
                <w:sz w:val="18"/>
                <w:szCs w:val="18"/>
                <w:color w:val="auto"/>
                <w:w w:val="98"/>
              </w:rPr>
              <w:t>CITIZENSHIP OR PLACE OF ORGANIZATION:</w:t>
            </w:r>
          </w:p>
        </w:tc>
        <w:tc>
          <w:tcPr>
            <w:tcW w:w="6700" w:type="dxa"/>
            <w:vAlign w:val="bottom"/>
          </w:tcPr>
          <w:p>
            <w:pPr>
              <w:ind w:left="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2400" w:type="dxa"/>
            <w:vAlign w:val="bottom"/>
          </w:tcPr>
          <w:p>
            <w:pPr>
              <w:spacing w:after="0"/>
              <w:rPr>
                <w:sz w:val="20"/>
                <w:szCs w:val="20"/>
                <w:color w:val="auto"/>
              </w:rPr>
            </w:pPr>
            <w:r>
              <w:rPr>
                <w:rFonts w:ascii="Arial" w:cs="Arial" w:eastAsia="Arial" w:hAnsi="Arial"/>
                <w:sz w:val="18"/>
                <w:szCs w:val="18"/>
                <w:color w:val="auto"/>
              </w:rPr>
              <w:t>SOLE VOTING POWER:</w:t>
            </w:r>
          </w:p>
        </w:tc>
        <w:tc>
          <w:tcPr>
            <w:tcW w:w="240" w:type="dxa"/>
            <w:vAlign w:val="bottom"/>
          </w:tcPr>
          <w:p>
            <w:pPr>
              <w:spacing w:after="0"/>
              <w:rPr>
                <w:sz w:val="20"/>
                <w:szCs w:val="20"/>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6,466,938 (see Item 5)</w:t>
            </w:r>
          </w:p>
        </w:tc>
        <w:tc>
          <w:tcPr>
            <w:tcW w:w="0" w:type="dxa"/>
            <w:vAlign w:val="bottom"/>
          </w:tcPr>
          <w:p>
            <w:pPr>
              <w:spacing w:after="0"/>
              <w:rPr>
                <w:sz w:val="1"/>
                <w:szCs w:val="1"/>
                <w:color w:val="auto"/>
              </w:rPr>
            </w:pPr>
          </w:p>
        </w:tc>
      </w:tr>
      <w:tr>
        <w:trPr>
          <w:trHeight w:val="116"/>
        </w:trPr>
        <w:tc>
          <w:tcPr>
            <w:tcW w:w="142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4"/>
              </w:rPr>
              <w:t>SHARES</w:t>
            </w:r>
          </w:p>
        </w:tc>
        <w:tc>
          <w:tcPr>
            <w:tcW w:w="660" w:type="dxa"/>
            <w:vAlign w:val="bottom"/>
            <w:tcBorders>
              <w:bottom w:val="single" w:sz="8" w:color="auto"/>
              <w:right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20" w:type="dxa"/>
            <w:vAlign w:val="bottom"/>
            <w:tcBorders>
              <w:right w:val="single" w:sz="8" w:color="auto"/>
            </w:tcBorders>
            <w:gridSpan w:val="2"/>
            <w:vMerge w:val="continue"/>
          </w:tcPr>
          <w:p>
            <w:pPr>
              <w:spacing w:after="0"/>
              <w:rPr>
                <w:sz w:val="9"/>
                <w:szCs w:val="9"/>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24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40" w:type="dxa"/>
            <w:vAlign w:val="bottom"/>
          </w:tcPr>
          <w:p>
            <w:pPr>
              <w:spacing w:after="0"/>
              <w:rPr>
                <w:sz w:val="9"/>
                <w:szCs w:val="9"/>
                <w:color w:val="auto"/>
              </w:rPr>
            </w:pPr>
          </w:p>
        </w:tc>
        <w:tc>
          <w:tcPr>
            <w:tcW w:w="6700" w:type="dxa"/>
            <w:vAlign w:val="bottom"/>
            <w:vMerge w:val="restart"/>
          </w:tcPr>
          <w:p>
            <w:pPr>
              <w:ind w:left="80"/>
              <w:spacing w:after="0"/>
              <w:rPr>
                <w:sz w:val="20"/>
                <w:szCs w:val="20"/>
                <w:color w:val="auto"/>
              </w:rPr>
            </w:pPr>
            <w:r>
              <w:rPr>
                <w:rFonts w:ascii="Arial" w:cs="Arial" w:eastAsia="Arial" w:hAnsi="Arial"/>
                <w:sz w:val="18"/>
                <w:szCs w:val="18"/>
                <w:color w:val="auto"/>
              </w:rPr>
              <w:t>0 (see Item 5)</w:t>
            </w:r>
          </w:p>
        </w:tc>
        <w:tc>
          <w:tcPr>
            <w:tcW w:w="0" w:type="dxa"/>
            <w:vAlign w:val="bottom"/>
          </w:tcPr>
          <w:p>
            <w:pPr>
              <w:spacing w:after="0"/>
              <w:rPr>
                <w:sz w:val="1"/>
                <w:szCs w:val="1"/>
                <w:color w:val="auto"/>
              </w:rPr>
            </w:pPr>
          </w:p>
        </w:tc>
      </w:tr>
      <w:tr>
        <w:trPr>
          <w:trHeight w:val="127"/>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66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2400" w:type="dxa"/>
            <w:vAlign w:val="bottom"/>
            <w:vMerge w:val="restart"/>
          </w:tcPr>
          <w:p>
            <w:pPr>
              <w:spacing w:after="0"/>
              <w:rPr>
                <w:sz w:val="20"/>
                <w:szCs w:val="20"/>
                <w:color w:val="auto"/>
              </w:rPr>
            </w:pPr>
            <w:r>
              <w:rPr>
                <w:rFonts w:ascii="Arial" w:cs="Arial" w:eastAsia="Arial" w:hAnsi="Arial"/>
                <w:sz w:val="18"/>
                <w:szCs w:val="18"/>
                <w:color w:val="auto"/>
                <w:w w:val="97"/>
              </w:rPr>
              <w:t>SOLE DISPOSITIVE POWER:</w:t>
            </w:r>
          </w:p>
        </w:tc>
        <w:tc>
          <w:tcPr>
            <w:tcW w:w="240" w:type="dxa"/>
            <w:vAlign w:val="bottom"/>
          </w:tcPr>
          <w:p>
            <w:pPr>
              <w:spacing w:after="0"/>
              <w:rPr>
                <w:sz w:val="6"/>
                <w:szCs w:val="6"/>
                <w:color w:val="auto"/>
              </w:rPr>
            </w:pPr>
          </w:p>
        </w:tc>
        <w:tc>
          <w:tcPr>
            <w:tcW w:w="6700" w:type="dxa"/>
            <w:vAlign w:val="bottom"/>
            <w:vMerge w:val="restart"/>
          </w:tcPr>
          <w:p>
            <w:pPr>
              <w:ind w:left="80"/>
              <w:spacing w:after="0"/>
              <w:rPr>
                <w:sz w:val="20"/>
                <w:szCs w:val="20"/>
                <w:color w:val="auto"/>
              </w:rPr>
            </w:pPr>
            <w:r>
              <w:rPr>
                <w:rFonts w:ascii="Arial" w:cs="Arial" w:eastAsia="Arial" w:hAnsi="Arial"/>
                <w:sz w:val="18"/>
                <w:szCs w:val="18"/>
                <w:color w:val="auto"/>
              </w:rPr>
              <w:t>6,466,938 (see Item 5)</w:t>
            </w:r>
          </w:p>
        </w:tc>
        <w:tc>
          <w:tcPr>
            <w:tcW w:w="0" w:type="dxa"/>
            <w:vAlign w:val="bottom"/>
          </w:tcPr>
          <w:p>
            <w:pPr>
              <w:spacing w:after="0"/>
              <w:rPr>
                <w:sz w:val="1"/>
                <w:szCs w:val="1"/>
                <w:color w:val="auto"/>
              </w:rPr>
            </w:pPr>
          </w:p>
        </w:tc>
      </w:tr>
      <w:tr>
        <w:trPr>
          <w:trHeight w:val="154"/>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EACH</w:t>
            </w:r>
          </w:p>
        </w:tc>
        <w:tc>
          <w:tcPr>
            <w:tcW w:w="660" w:type="dxa"/>
            <w:vAlign w:val="bottom"/>
            <w:tcBorders>
              <w:right w:val="single" w:sz="8" w:color="auto"/>
            </w:tcBorders>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42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66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2640" w:type="dxa"/>
            <w:vAlign w:val="bottom"/>
            <w:gridSpan w:val="2"/>
            <w:vMerge w:val="restart"/>
          </w:tcPr>
          <w:p>
            <w:pPr>
              <w:spacing w:after="0"/>
              <w:rPr>
                <w:sz w:val="20"/>
                <w:szCs w:val="20"/>
                <w:color w:val="auto"/>
              </w:rPr>
            </w:pPr>
            <w:r>
              <w:rPr>
                <w:rFonts w:ascii="Arial" w:cs="Arial" w:eastAsia="Arial" w:hAnsi="Arial"/>
                <w:sz w:val="18"/>
                <w:szCs w:val="18"/>
                <w:color w:val="auto"/>
                <w:w w:val="96"/>
              </w:rPr>
              <w:t>SHARED DISPOSITIVE POWER:</w:t>
            </w:r>
          </w:p>
        </w:tc>
        <w:tc>
          <w:tcPr>
            <w:tcW w:w="6700" w:type="dxa"/>
            <w:vAlign w:val="bottom"/>
            <w:vMerge w:val="restart"/>
          </w:tcPr>
          <w:p>
            <w:pPr>
              <w:ind w:left="80"/>
              <w:spacing w:after="0"/>
              <w:rPr>
                <w:sz w:val="20"/>
                <w:szCs w:val="20"/>
                <w:color w:val="auto"/>
              </w:rPr>
            </w:pPr>
            <w:r>
              <w:rPr>
                <w:rFonts w:ascii="Arial" w:cs="Arial" w:eastAsia="Arial" w:hAnsi="Arial"/>
                <w:sz w:val="18"/>
                <w:szCs w:val="18"/>
                <w:color w:val="auto"/>
              </w:rPr>
              <w:t>0 (see Item 5)</w:t>
            </w:r>
          </w:p>
        </w:tc>
        <w:tc>
          <w:tcPr>
            <w:tcW w:w="0" w:type="dxa"/>
            <w:vAlign w:val="bottom"/>
          </w:tcPr>
          <w:p>
            <w:pPr>
              <w:spacing w:after="0"/>
              <w:rPr>
                <w:sz w:val="1"/>
                <w:szCs w:val="1"/>
                <w:color w:val="auto"/>
              </w:rPr>
            </w:pPr>
          </w:p>
        </w:tc>
      </w:tr>
      <w:tr>
        <w:trPr>
          <w:trHeight w:val="176"/>
        </w:trPr>
        <w:tc>
          <w:tcPr>
            <w:tcW w:w="14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660" w:type="dxa"/>
            <w:vAlign w:val="bottom"/>
            <w:tcBorders>
              <w:right w:val="single" w:sz="8" w:color="auto"/>
            </w:tcBorders>
            <w:vMerge w:val="continue"/>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2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934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1050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REPORTING PERSON: 6,466,938 (see Item 5)</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right w:val="single" w:sz="8" w:color="auto"/>
            </w:tcBorders>
          </w:tcPr>
          <w:p>
            <w:pPr>
              <w:spacing w:after="0"/>
              <w:rPr>
                <w:sz w:val="17"/>
                <w:szCs w:val="17"/>
                <w:color w:val="auto"/>
              </w:rPr>
            </w:pPr>
          </w:p>
        </w:tc>
        <w:tc>
          <w:tcPr>
            <w:tcW w:w="10500" w:type="dxa"/>
            <w:vAlign w:val="bottom"/>
            <w:tcBorders>
              <w:bottom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12</w:t>
            </w:r>
          </w:p>
        </w:tc>
        <w:tc>
          <w:tcPr>
            <w:tcW w:w="10500" w:type="dxa"/>
            <w:vAlign w:val="bottom"/>
            <w:gridSpan w:val="5"/>
          </w:tcPr>
          <w:p>
            <w:pPr>
              <w:spacing w:after="0" w:line="201" w:lineRule="exact"/>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ind w:left="64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4"/>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1050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(11): 19.7% (see Item 5)</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right w:val="single" w:sz="8" w:color="auto"/>
            </w:tcBorders>
          </w:tcPr>
          <w:p>
            <w:pPr>
              <w:spacing w:after="0"/>
              <w:rPr>
                <w:sz w:val="17"/>
                <w:szCs w:val="17"/>
                <w:color w:val="auto"/>
              </w:rPr>
            </w:pPr>
          </w:p>
        </w:tc>
        <w:tc>
          <w:tcPr>
            <w:tcW w:w="3560" w:type="dxa"/>
            <w:vAlign w:val="bottom"/>
            <w:tcBorders>
              <w:bottom w:val="single" w:sz="8" w:color="auto"/>
            </w:tcBorders>
            <w:gridSpan w:val="3"/>
          </w:tcPr>
          <w:p>
            <w:pPr>
              <w:spacing w:after="0"/>
              <w:rPr>
                <w:sz w:val="17"/>
                <w:szCs w:val="17"/>
                <w:color w:val="auto"/>
              </w:rPr>
            </w:pPr>
          </w:p>
        </w:tc>
        <w:tc>
          <w:tcPr>
            <w:tcW w:w="694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356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694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05"/>
        </w:trPr>
        <w:tc>
          <w:tcPr>
            <w:tcW w:w="9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9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 w:name="page5"/>
    <w:bookmarkEnd w:id="4"/>
    <w:p>
      <w:pPr>
        <w:ind w:right="20" w:firstLine="324"/>
        <w:spacing w:after="0" w:line="264" w:lineRule="auto"/>
        <w:rPr>
          <w:sz w:val="20"/>
          <w:szCs w:val="20"/>
          <w:color w:val="auto"/>
        </w:rPr>
      </w:pPr>
      <w:r>
        <w:rPr>
          <w:rFonts w:ascii="Arial" w:cs="Arial" w:eastAsia="Arial" w:hAnsi="Arial"/>
          <w:sz w:val="18"/>
          <w:szCs w:val="18"/>
          <w:color w:val="auto"/>
        </w:rPr>
        <w:t>This Schedule 13D is being filed while the Reporting Persons (as defined below) are in the process of verifying information required herein from their respective directors and executive officers. If the Reporting Persons obtain information concerning such individuals that would cause a material change in the disclosure contained herein, an amendment to this statement will be filed that will disclose such change.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class of equity securities to which this statement relates is the Common Stock, $0.01 par value per share (the “Shares”), of ValueVision Media, Inc., a Minnesota corporation (the “Issuer”). The principal executive offices of the Issuer are located at 6740 Shady Oak Road, Eden Prairie, Minnesota 55344.</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statement is filed by Comcast Corporation (“Comcast”), for and on behalf of itself, NBCUniversal, LLC (“NBCUniversal Holdings”) and NBCUniversal Media, LLC (“NBCUniversal” and together with Comcast and NBCUniversal Holdings, the “Reporting Persons”). NBCUniversal (f/k/a NBC Universal, Inc.) is a wholly owned subsidiary of NBCUniversal Holdings, which is owned 51% by Comcast (through wholly owned subsidiaries) and 49% by General Electric Company together with its subsidiaries (“GE”).</w:t>
      </w:r>
    </w:p>
    <w:p>
      <w:pPr>
        <w:spacing w:after="0" w:line="21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principal business office of Comcast is located at One Comcast Center, Philadelphia, Pennsylvania 19103-2838. The principal business offices of NBCUniversal and NBCUniversal Holdings are located at 30 Rockefeller Plaza, New York, New York 10112. The Reporting Persons are principally involved in the operation of cable systems and the development, production and distribution of entertainment, news, sports and other content for global audiences.</w:t>
      </w:r>
    </w:p>
    <w:p>
      <w:pPr>
        <w:spacing w:after="0" w:line="21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name, residence or business address, present principal occupation or employment and citizenship of each director and executive officer of the Reporting Persons are set forth on Schedule A to this Statement. None of the Reporting Persons, nor, to the best knowledge of the Reporting Persons, any person named in Schedule A to this Statement has, during the last five years, been convicted of a criminal proceeding (excluding traffic violations or similar misdemeanors) or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Shares were acquired as part of Comcast’s acquisition of control of the business of NBCUniversal on January 28, 2011. Comcast now controls and owns 51% of NBCUniversal Holdings, and GE owns the remaining 49%.</w:t>
      </w:r>
    </w:p>
    <w:p>
      <w:pPr>
        <w:spacing w:after="0" w:line="19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Further details of the transaction involving NBCUniversal are set forth in the Current Report on Form 8-K filed by Comcast on January 31, 2011 (SEC File No. 001-32871).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right="20" w:firstLine="332"/>
        <w:spacing w:after="0" w:line="273" w:lineRule="auto"/>
        <w:tabs>
          <w:tab w:leader="none" w:pos="79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responses of the Reporting Persons to Rows (11) through (13) of the cover pages of this Schedule 13D are incorporated herein by reference. As of February 7, 2011, NBCUniversal had sole beneficial ownership of an aggregate of 6,466,938 shares of Common Stock composed of (i) 6,452,194 shares of outstanding Common Stock and (ii) 14,744 shares of Common Stock issuable upon exercise of warrants issued on November 11, 2002 pursuant to a Distribution and Marketing Agreement dated March 8, 1999 (“New Performance Warrants”). For purposes of this Item 5 hereof and the cover pages of this Schedule 13D, the shares of Common Stock to be issued by the Issuer to NBCUniversal on May 15, 2011, pursuant to Amendment No. 2 to Trademark License Agreement, are not reflected in the beneficial ownership of Common Stock of the Reporting Persons.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5" w:name="page6"/>
    <w:bookmarkEnd w:id="5"/>
    <w:p>
      <w:pPr>
        <w:ind w:firstLine="324"/>
        <w:spacing w:after="0" w:line="302" w:lineRule="auto"/>
        <w:rPr>
          <w:sz w:val="20"/>
          <w:szCs w:val="20"/>
          <w:color w:val="auto"/>
        </w:rPr>
      </w:pPr>
      <w:r>
        <w:rPr>
          <w:rFonts w:ascii="Arial" w:cs="Arial" w:eastAsia="Arial" w:hAnsi="Arial"/>
          <w:sz w:val="16"/>
          <w:szCs w:val="16"/>
          <w:color w:val="auto"/>
        </w:rPr>
        <w:t>Accordingly, as of February 7, 2011, NBCUniversal beneficially owned in the aggregate 6,466,938 shares of Common Stock, representing approximately 19.7% of the shares of Common Stock outstanding determined in accordance with Rule 13d-3(d)(1)(i) under the Exchange Act (based on the number of shares outstanding as of December 7, 2010, as reported in the Issuer’s Form 10-Q for the quarterly period ended October 30, 2010, and filed on December 9, 2010 (32,796,859 shares), plus the shares issuable to the relevant Reporting Person upon exercise of the warrants described above).</w:t>
      </w:r>
    </w:p>
    <w:p>
      <w:pPr>
        <w:spacing w:after="0" w:line="18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Except as disclosed in this Item 5(a), none of the Reporting Persons, nor, to the best of their knowledge, any of their directors or executive officers, beneficially owns any shares of Common Stock.</w:t>
      </w:r>
    </w:p>
    <w:p>
      <w:pPr>
        <w:spacing w:after="0" w:line="197" w:lineRule="exact"/>
        <w:rPr>
          <w:sz w:val="20"/>
          <w:szCs w:val="20"/>
          <w:color w:val="auto"/>
        </w:rPr>
      </w:pPr>
    </w:p>
    <w:p>
      <w:pPr>
        <w:ind w:right="700" w:firstLine="332"/>
        <w:spacing w:after="0" w:line="277" w:lineRule="auto"/>
        <w:tabs>
          <w:tab w:leader="none" w:pos="80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responses of the Reporting Persons to (i) Rows (7) through (10) of the cover pages of this Schedule 13D and (ii) Item 5(a) hereof are incorporated herein by reference.</w:t>
      </w:r>
    </w:p>
    <w:p>
      <w:pPr>
        <w:spacing w:after="0" w:line="19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of Common Stock which they may be deemed to beneficially own.</w:t>
      </w:r>
    </w:p>
    <w:p>
      <w:pPr>
        <w:spacing w:after="0" w:line="208" w:lineRule="exact"/>
        <w:rPr>
          <w:sz w:val="20"/>
          <w:szCs w:val="20"/>
          <w:color w:val="auto"/>
        </w:rPr>
      </w:pPr>
    </w:p>
    <w:p>
      <w:pPr>
        <w:ind w:right="160" w:firstLine="332"/>
        <w:spacing w:after="0" w:line="342" w:lineRule="auto"/>
        <w:tabs>
          <w:tab w:leader="none" w:pos="794"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 of the Reporting Persons, nor, to the best of their knowledge, any of their directors or executive officers, has effected any transaction in the Common Stock during the past 60 days. On November 11, 2010, New Performance Warrants in respect of 7,371 shares of Common Stock expired.</w:t>
      </w:r>
    </w:p>
    <w:p>
      <w:pPr>
        <w:spacing w:after="0" w:line="150" w:lineRule="exact"/>
        <w:rPr>
          <w:rFonts w:ascii="Arial" w:cs="Arial" w:eastAsia="Arial" w:hAnsi="Arial"/>
          <w:sz w:val="16"/>
          <w:szCs w:val="16"/>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800" w:hanging="46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hereby incorporated by reference:</w:t>
      </w:r>
    </w:p>
    <w:p>
      <w:pPr>
        <w:spacing w:after="0" w:line="252" w:lineRule="exact"/>
        <w:rPr>
          <w:sz w:val="20"/>
          <w:szCs w:val="20"/>
          <w:color w:val="auto"/>
        </w:rPr>
      </w:pPr>
    </w:p>
    <w:p>
      <w:pPr>
        <w:ind w:left="980" w:right="520" w:hanging="31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Schedule 13D filed by GE Capital Equity Investments, Inc., National Broadcasting Company, Inc. and others with respect to ValueVision Media, Inc. on April 26, 1999 (SEC File No. 005-41757)</w:t>
      </w:r>
    </w:p>
    <w:p>
      <w:pPr>
        <w:spacing w:after="0" w:line="197" w:lineRule="exact"/>
        <w:rPr>
          <w:rFonts w:ascii="Arial" w:cs="Arial" w:eastAsia="Arial" w:hAnsi="Arial"/>
          <w:sz w:val="18"/>
          <w:szCs w:val="18"/>
          <w:color w:val="auto"/>
        </w:rPr>
      </w:pPr>
    </w:p>
    <w:p>
      <w:pPr>
        <w:ind w:left="980" w:right="80" w:hanging="31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No. 1 to Schedule 13D filed by GE Capital Equity Investments, Inc., National Broadcasting Company, Inc. and others with respect to ValueVision Media, Inc. on June 3, 1999 (SEC File No. 005-41757)</w:t>
      </w:r>
    </w:p>
    <w:p>
      <w:pPr>
        <w:spacing w:after="0" w:line="197" w:lineRule="exact"/>
        <w:rPr>
          <w:rFonts w:ascii="Arial" w:cs="Arial" w:eastAsia="Arial" w:hAnsi="Arial"/>
          <w:sz w:val="18"/>
          <w:szCs w:val="18"/>
          <w:color w:val="auto"/>
        </w:rPr>
      </w:pPr>
    </w:p>
    <w:p>
      <w:pPr>
        <w:ind w:left="980" w:right="80" w:hanging="31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No. 2 to Schedule 13D filed by GE Capital Equity Investments, Inc., National Broadcasting Company, Inc. and others with respect to ValueVision Media, Inc. on July 7, 1999 (SEC File No. 005-41757)</w:t>
      </w:r>
    </w:p>
    <w:p>
      <w:pPr>
        <w:spacing w:after="0" w:line="197" w:lineRule="exact"/>
        <w:rPr>
          <w:rFonts w:ascii="Arial" w:cs="Arial" w:eastAsia="Arial" w:hAnsi="Arial"/>
          <w:sz w:val="18"/>
          <w:szCs w:val="18"/>
          <w:color w:val="auto"/>
        </w:rPr>
      </w:pPr>
    </w:p>
    <w:p>
      <w:pPr>
        <w:ind w:left="980" w:right="80" w:hanging="31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No. 3 to Schedule 13D filed by GE Capital Equity Investments, Inc., National Broadcasting Company, Inc. and others with respect to ValueVision Media, Inc. on November 29, 2000 (SEC File No. 005-41757)</w:t>
      </w:r>
    </w:p>
    <w:p>
      <w:pPr>
        <w:spacing w:after="0" w:line="197" w:lineRule="exact"/>
        <w:rPr>
          <w:rFonts w:ascii="Arial" w:cs="Arial" w:eastAsia="Arial" w:hAnsi="Arial"/>
          <w:sz w:val="18"/>
          <w:szCs w:val="18"/>
          <w:color w:val="auto"/>
        </w:rPr>
      </w:pPr>
    </w:p>
    <w:p>
      <w:pPr>
        <w:ind w:left="980" w:right="80" w:hanging="31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No. 4 to Schedule 13D filed by GE Capital Equity Investments, Inc., National Broadcasting Company, Inc. and others with respect to ValueVision Media, Inc. on March 15, 2002 (SEC File No. 005-41757)</w:t>
      </w:r>
    </w:p>
    <w:p>
      <w:pPr>
        <w:spacing w:after="0" w:line="197" w:lineRule="exact"/>
        <w:rPr>
          <w:rFonts w:ascii="Arial" w:cs="Arial" w:eastAsia="Arial" w:hAnsi="Arial"/>
          <w:sz w:val="18"/>
          <w:szCs w:val="18"/>
          <w:color w:val="auto"/>
        </w:rPr>
      </w:pPr>
    </w:p>
    <w:p>
      <w:pPr>
        <w:ind w:left="980" w:right="80" w:hanging="31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No. 5 to Schedule 13D filed by GE Capital Equity Investments, Inc., National Broadcasting Company, Inc. and others with respect to ValueVision Media, Inc. on February 18, 2003 (SEC File No. 005-41757)</w:t>
      </w:r>
    </w:p>
    <w:p>
      <w:pPr>
        <w:spacing w:after="0" w:line="197" w:lineRule="exact"/>
        <w:rPr>
          <w:rFonts w:ascii="Arial" w:cs="Arial" w:eastAsia="Arial" w:hAnsi="Arial"/>
          <w:sz w:val="18"/>
          <w:szCs w:val="18"/>
          <w:color w:val="auto"/>
        </w:rPr>
      </w:pPr>
    </w:p>
    <w:p>
      <w:pPr>
        <w:ind w:left="980" w:right="200" w:hanging="31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No. 6 to Schedule 13D filed by GE Capital Equity Investments, Inc., NBC Universal, Inc. and others with respect to ValueVision Media, Inc. on August 31, 2004 (SEC File No. 005-41757)</w:t>
      </w:r>
    </w:p>
    <w:p>
      <w:pPr>
        <w:spacing w:after="0" w:line="197" w:lineRule="exact"/>
        <w:rPr>
          <w:rFonts w:ascii="Arial" w:cs="Arial" w:eastAsia="Arial" w:hAnsi="Arial"/>
          <w:sz w:val="18"/>
          <w:szCs w:val="18"/>
          <w:color w:val="auto"/>
        </w:rPr>
      </w:pPr>
    </w:p>
    <w:p>
      <w:pPr>
        <w:ind w:left="980" w:right="200" w:hanging="31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No. 7 to Schedule 13D filed by GE Capital Equity Investments, Inc., NBC Universal, Inc. and others with respect to ValueVision Media, Inc. on February 15, 2005 (SEC File No. 005-41757)</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 w:name="page7"/>
    <w:bookmarkEnd w:id="6"/>
    <w:p>
      <w:pPr>
        <w:ind w:left="980" w:right="100" w:hanging="31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No. 8 to Schedule 13D filed by GE Capital Equity Investments, Inc., NBC Universal, Inc. and others with respect to ValueVision Media, Inc. on July 12, 2005 (SEC File No. 005-41757)</w:t>
      </w:r>
    </w:p>
    <w:p>
      <w:pPr>
        <w:spacing w:after="0" w:line="197" w:lineRule="exact"/>
        <w:rPr>
          <w:rFonts w:ascii="Arial" w:cs="Arial" w:eastAsia="Arial" w:hAnsi="Arial"/>
          <w:sz w:val="18"/>
          <w:szCs w:val="18"/>
          <w:color w:val="auto"/>
        </w:rPr>
      </w:pPr>
    </w:p>
    <w:p>
      <w:pPr>
        <w:ind w:left="980" w:right="100" w:hanging="40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No. 9 to Schedule 13D filed by GE Capital Equity Investments, Inc., NBC Universal, Inc. and others with respect to ValueVision Media, Inc. on September 9, 2005 (SEC File No. 005-41757)</w:t>
      </w:r>
    </w:p>
    <w:p>
      <w:pPr>
        <w:spacing w:after="0" w:line="197" w:lineRule="exact"/>
        <w:rPr>
          <w:rFonts w:ascii="Arial" w:cs="Arial" w:eastAsia="Arial" w:hAnsi="Arial"/>
          <w:sz w:val="18"/>
          <w:szCs w:val="18"/>
          <w:color w:val="auto"/>
        </w:rPr>
      </w:pPr>
    </w:p>
    <w:p>
      <w:pPr>
        <w:ind w:left="980" w:hanging="39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No. 10 to Schedule 13D filed by GE Capital Equity Investments, Inc., NBC Universal, Inc. and others with respect to ValueVision Media, Inc. on November 15, 2005 (SEC File No. 005-41757)</w:t>
      </w:r>
    </w:p>
    <w:p>
      <w:pPr>
        <w:spacing w:after="0" w:line="197" w:lineRule="exact"/>
        <w:rPr>
          <w:rFonts w:ascii="Arial" w:cs="Arial" w:eastAsia="Arial" w:hAnsi="Arial"/>
          <w:sz w:val="18"/>
          <w:szCs w:val="18"/>
          <w:color w:val="auto"/>
        </w:rPr>
      </w:pPr>
    </w:p>
    <w:p>
      <w:pPr>
        <w:ind w:left="980" w:right="20" w:hanging="40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No. 11 to Schedule 13D filed by GE Capital Equity Investments, Inc., NBC Universal, Inc. and others with respect to ValueVision Media, Inc. on June 28, 2006 (SEC File No. 005-41757)</w:t>
      </w:r>
    </w:p>
    <w:p>
      <w:pPr>
        <w:spacing w:after="0" w:line="197" w:lineRule="exact"/>
        <w:rPr>
          <w:rFonts w:ascii="Arial" w:cs="Arial" w:eastAsia="Arial" w:hAnsi="Arial"/>
          <w:sz w:val="18"/>
          <w:szCs w:val="18"/>
          <w:color w:val="auto"/>
        </w:rPr>
      </w:pPr>
    </w:p>
    <w:p>
      <w:pPr>
        <w:ind w:left="980" w:hanging="40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No. 12 to Schedule 13D filed by GE Capital Equity Investments, Inc., NBC Universal, Inc. and others with respect to ValueVision Media, Inc. on April 13, 2007 (SEC File No. 005-41757)</w:t>
      </w:r>
    </w:p>
    <w:p>
      <w:pPr>
        <w:spacing w:after="0" w:line="197" w:lineRule="exact"/>
        <w:rPr>
          <w:rFonts w:ascii="Arial" w:cs="Arial" w:eastAsia="Arial" w:hAnsi="Arial"/>
          <w:sz w:val="18"/>
          <w:szCs w:val="18"/>
          <w:color w:val="auto"/>
        </w:rPr>
      </w:pPr>
    </w:p>
    <w:p>
      <w:pPr>
        <w:ind w:left="980" w:hanging="40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No. 13 to Schedule 13D filed by GE Capital Equity Investments, Inc., NBC Universal, Inc. and others with respect to ValueVision Media, Inc. on November 17, 2008 (SEC File No. 005-41757)</w:t>
      </w:r>
    </w:p>
    <w:p>
      <w:pPr>
        <w:spacing w:after="0" w:line="197" w:lineRule="exact"/>
        <w:rPr>
          <w:rFonts w:ascii="Arial" w:cs="Arial" w:eastAsia="Arial" w:hAnsi="Arial"/>
          <w:sz w:val="18"/>
          <w:szCs w:val="18"/>
          <w:color w:val="auto"/>
        </w:rPr>
      </w:pPr>
    </w:p>
    <w:p>
      <w:pPr>
        <w:ind w:left="980" w:hanging="40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No. 14 to Schedule 13D filed by GE Capital Equity Investments, Inc., NBC Universal, Inc. and others with respect to ValueVision Media, Inc. on March 2, 2009 (SEC File No. 005-41757)</w:t>
      </w:r>
    </w:p>
    <w:p>
      <w:pPr>
        <w:spacing w:after="0" w:line="197" w:lineRule="exact"/>
        <w:rPr>
          <w:rFonts w:ascii="Arial" w:cs="Arial" w:eastAsia="Arial" w:hAnsi="Arial"/>
          <w:sz w:val="18"/>
          <w:szCs w:val="18"/>
          <w:color w:val="auto"/>
        </w:rPr>
      </w:pPr>
    </w:p>
    <w:p>
      <w:pPr>
        <w:ind w:left="980" w:hanging="40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No. 15 to Schedule 13D filed by GE Capital Equity Investments, Inc., NBC Universal, Inc. and others with respect to ValueVision Media, Inc. on May 19, 2010 (SEC File No. 005-41757)</w:t>
      </w:r>
    </w:p>
    <w:p>
      <w:pPr>
        <w:spacing w:after="0" w:line="197" w:lineRule="exact"/>
        <w:rPr>
          <w:rFonts w:ascii="Arial" w:cs="Arial" w:eastAsia="Arial" w:hAnsi="Arial"/>
          <w:sz w:val="18"/>
          <w:szCs w:val="18"/>
          <w:color w:val="auto"/>
        </w:rPr>
      </w:pPr>
    </w:p>
    <w:p>
      <w:pPr>
        <w:ind w:left="980" w:hanging="40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No. 16 to Schedule 13D filed by GE Capital Equity Investments, Inc., NBC Universal, Inc. and others with respect to ValueVision Media, Inc. on November 24, 2010 (SEC File No. 005-41757)</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Items 3 and 4 of this Schedule 13D are incorporated herein by reference.</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connection with Comcast’s acquisition of control of NBCUniversal, GE agreed that, for so long as GE is entitled to appoint two directors to the board of directors of the Issuer, NBCUniversal will be entitled to retain a board seat provided that NBCUniversal beneficially owns at least 5% of the adjusted outstanding common stock of the Issuer. Further, GE agreed to obtain the consent of NBCUniversal prior to consenting to the Issuer’s adoption of any shareholders rights plan or certain other actions that would impede or restrict the ability of NBCUniversal to acquire or dispose of shares of voting stock or taking any action that would result in NBCUniversal being deemed to be in violation of 47 CFR 73.3555.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2011</w:t>
      </w:r>
    </w:p>
    <w:p>
      <w:pPr>
        <w:spacing w:after="0" w:line="200" w:lineRule="exact"/>
        <w:rPr>
          <w:sz w:val="20"/>
          <w:szCs w:val="20"/>
          <w:color w:val="auto"/>
        </w:rPr>
      </w:pPr>
    </w:p>
    <w:p>
      <w:pPr>
        <w:spacing w:after="0" w:line="29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Pr>
          <w:p>
            <w:pPr>
              <w:ind w:left="52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19"/>
                <w:szCs w:val="19"/>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R. Block</w:t>
            </w:r>
          </w:p>
        </w:tc>
        <w:tc>
          <w:tcPr>
            <w:tcW w:w="560" w:type="dxa"/>
            <w:vAlign w:val="bottom"/>
          </w:tcPr>
          <w:p>
            <w:pPr>
              <w:spacing w:after="0"/>
              <w:rPr>
                <w:sz w:val="19"/>
                <w:szCs w:val="19"/>
                <w:color w:val="auto"/>
              </w:rPr>
            </w:pPr>
          </w:p>
        </w:tc>
      </w:tr>
      <w:tr>
        <w:trPr>
          <w:trHeight w:val="202"/>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60" w:type="dxa"/>
            <w:vAlign w:val="bottom"/>
          </w:tcPr>
          <w:p>
            <w:pPr>
              <w:ind w:left="100"/>
              <w:spacing w:after="0" w:line="201" w:lineRule="exact"/>
              <w:rPr>
                <w:sz w:val="20"/>
                <w:szCs w:val="20"/>
                <w:color w:val="auto"/>
              </w:rPr>
            </w:pPr>
            <w:r>
              <w:rPr>
                <w:rFonts w:ascii="Arial" w:cs="Arial" w:eastAsia="Arial" w:hAnsi="Arial"/>
                <w:sz w:val="18"/>
                <w:szCs w:val="18"/>
                <w:color w:val="auto"/>
              </w:rPr>
              <w:t>Arthur R. Block</w:t>
            </w:r>
          </w:p>
        </w:tc>
        <w:tc>
          <w:tcPr>
            <w:tcW w:w="560" w:type="dxa"/>
            <w:vAlign w:val="bottom"/>
          </w:tcPr>
          <w:p>
            <w:pPr>
              <w:spacing w:after="0"/>
              <w:rPr>
                <w:sz w:val="17"/>
                <w:szCs w:val="17"/>
                <w:color w:val="auto"/>
              </w:rPr>
            </w:pPr>
          </w:p>
        </w:tc>
      </w:tr>
      <w:tr>
        <w:trPr>
          <w:trHeight w:val="230"/>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00"/>
              <w:spacing w:after="0"/>
              <w:rPr>
                <w:sz w:val="20"/>
                <w:szCs w:val="20"/>
                <w:color w:val="auto"/>
              </w:rPr>
            </w:pPr>
            <w:r>
              <w:rPr>
                <w:rFonts w:ascii="Arial" w:cs="Arial" w:eastAsia="Arial" w:hAnsi="Arial"/>
                <w:sz w:val="18"/>
                <w:szCs w:val="18"/>
                <w:color w:val="auto"/>
                <w:w w:val="99"/>
              </w:rPr>
              <w:t>Senior Vice President, General Counsel and Secretary</w:t>
            </w:r>
          </w:p>
        </w:tc>
        <w:tc>
          <w:tcPr>
            <w:tcW w:w="560" w:type="dxa"/>
            <w:vAlign w:val="bottom"/>
          </w:tcPr>
          <w:p>
            <w:pPr>
              <w:spacing w:after="0"/>
              <w:rPr>
                <w:sz w:val="20"/>
                <w:szCs w:val="20"/>
                <w:color w:val="auto"/>
              </w:rPr>
            </w:pPr>
          </w:p>
        </w:tc>
      </w:tr>
      <w:tr>
        <w:trPr>
          <w:trHeight w:val="688"/>
        </w:trPr>
        <w:tc>
          <w:tcPr>
            <w:tcW w:w="10860" w:type="dxa"/>
            <w:vAlign w:val="bottom"/>
            <w:gridSpan w:val="4"/>
          </w:tcPr>
          <w:p>
            <w:pPr>
              <w:ind w:left="5260"/>
              <w:spacing w:after="0"/>
              <w:rPr>
                <w:sz w:val="20"/>
                <w:szCs w:val="20"/>
                <w:color w:val="auto"/>
              </w:rPr>
            </w:pPr>
            <w:r>
              <w:rPr>
                <w:rFonts w:ascii="Arial" w:cs="Arial" w:eastAsia="Arial" w:hAnsi="Arial"/>
                <w:sz w:val="18"/>
                <w:szCs w:val="18"/>
                <w:b w:val="1"/>
                <w:bCs w:val="1"/>
                <w:color w:val="auto"/>
              </w:rPr>
              <w:t>NBCUNIVERSAL, LLC</w:t>
            </w:r>
          </w:p>
        </w:tc>
        <w:tc>
          <w:tcPr>
            <w:tcW w:w="560" w:type="dxa"/>
            <w:vAlign w:val="bottom"/>
          </w:tcPr>
          <w:p>
            <w:pPr>
              <w:spacing w:after="0"/>
              <w:rPr>
                <w:sz w:val="24"/>
                <w:szCs w:val="24"/>
                <w:color w:val="auto"/>
              </w:rPr>
            </w:pPr>
          </w:p>
        </w:tc>
      </w:tr>
      <w:tr>
        <w:trPr>
          <w:trHeight w:val="237"/>
        </w:trPr>
        <w:tc>
          <w:tcPr>
            <w:tcW w:w="5600" w:type="dxa"/>
            <w:vAlign w:val="bottom"/>
          </w:tcPr>
          <w:p>
            <w:pPr>
              <w:ind w:left="52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0"/>
                <w:szCs w:val="20"/>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R. Block</w:t>
            </w:r>
          </w:p>
        </w:tc>
        <w:tc>
          <w:tcPr>
            <w:tcW w:w="560" w:type="dxa"/>
            <w:vAlign w:val="bottom"/>
          </w:tcPr>
          <w:p>
            <w:pPr>
              <w:spacing w:after="0"/>
              <w:rPr>
                <w:sz w:val="20"/>
                <w:szCs w:val="20"/>
                <w:color w:val="auto"/>
              </w:rPr>
            </w:pPr>
          </w:p>
        </w:tc>
      </w:tr>
      <w:tr>
        <w:trPr>
          <w:trHeight w:val="202"/>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60" w:type="dxa"/>
            <w:vAlign w:val="bottom"/>
          </w:tcPr>
          <w:p>
            <w:pPr>
              <w:ind w:left="100"/>
              <w:spacing w:after="0" w:line="201" w:lineRule="exact"/>
              <w:rPr>
                <w:sz w:val="20"/>
                <w:szCs w:val="20"/>
                <w:color w:val="auto"/>
              </w:rPr>
            </w:pPr>
            <w:r>
              <w:rPr>
                <w:rFonts w:ascii="Arial" w:cs="Arial" w:eastAsia="Arial" w:hAnsi="Arial"/>
                <w:sz w:val="18"/>
                <w:szCs w:val="18"/>
                <w:color w:val="auto"/>
              </w:rPr>
              <w:t>Arthur R. Block</w:t>
            </w:r>
          </w:p>
        </w:tc>
        <w:tc>
          <w:tcPr>
            <w:tcW w:w="560" w:type="dxa"/>
            <w:vAlign w:val="bottom"/>
          </w:tcPr>
          <w:p>
            <w:pPr>
              <w:spacing w:after="0"/>
              <w:rPr>
                <w:sz w:val="17"/>
                <w:szCs w:val="17"/>
                <w:color w:val="auto"/>
              </w:rPr>
            </w:pPr>
          </w:p>
        </w:tc>
      </w:tr>
      <w:tr>
        <w:trPr>
          <w:trHeight w:val="230"/>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00"/>
              <w:spacing w:after="0"/>
              <w:rPr>
                <w:sz w:val="20"/>
                <w:szCs w:val="20"/>
                <w:color w:val="auto"/>
              </w:rPr>
            </w:pPr>
            <w:r>
              <w:rPr>
                <w:rFonts w:ascii="Arial" w:cs="Arial" w:eastAsia="Arial" w:hAnsi="Arial"/>
                <w:sz w:val="18"/>
                <w:szCs w:val="18"/>
                <w:color w:val="auto"/>
              </w:rPr>
              <w:t>Senior Vice President</w:t>
            </w:r>
          </w:p>
        </w:tc>
        <w:tc>
          <w:tcPr>
            <w:tcW w:w="560" w:type="dxa"/>
            <w:vAlign w:val="bottom"/>
          </w:tcPr>
          <w:p>
            <w:pPr>
              <w:spacing w:after="0"/>
              <w:rPr>
                <w:sz w:val="20"/>
                <w:szCs w:val="20"/>
                <w:color w:val="auto"/>
              </w:rPr>
            </w:pPr>
          </w:p>
        </w:tc>
      </w:tr>
      <w:tr>
        <w:trPr>
          <w:trHeight w:val="688"/>
        </w:trPr>
        <w:tc>
          <w:tcPr>
            <w:tcW w:w="10860" w:type="dxa"/>
            <w:vAlign w:val="bottom"/>
            <w:gridSpan w:val="4"/>
          </w:tcPr>
          <w:p>
            <w:pPr>
              <w:ind w:left="5260"/>
              <w:spacing w:after="0"/>
              <w:rPr>
                <w:sz w:val="20"/>
                <w:szCs w:val="20"/>
                <w:color w:val="auto"/>
              </w:rPr>
            </w:pPr>
            <w:r>
              <w:rPr>
                <w:rFonts w:ascii="Arial" w:cs="Arial" w:eastAsia="Arial" w:hAnsi="Arial"/>
                <w:sz w:val="18"/>
                <w:szCs w:val="18"/>
                <w:b w:val="1"/>
                <w:bCs w:val="1"/>
                <w:color w:val="auto"/>
              </w:rPr>
              <w:t>NBCUNIVERSAL MEDIA, LLC</w:t>
            </w:r>
          </w:p>
        </w:tc>
        <w:tc>
          <w:tcPr>
            <w:tcW w:w="560" w:type="dxa"/>
            <w:vAlign w:val="bottom"/>
          </w:tcPr>
          <w:p>
            <w:pPr>
              <w:spacing w:after="0"/>
              <w:rPr>
                <w:sz w:val="24"/>
                <w:szCs w:val="24"/>
                <w:color w:val="auto"/>
              </w:rPr>
            </w:pPr>
          </w:p>
        </w:tc>
      </w:tr>
      <w:tr>
        <w:trPr>
          <w:trHeight w:val="237"/>
        </w:trPr>
        <w:tc>
          <w:tcPr>
            <w:tcW w:w="5600" w:type="dxa"/>
            <w:vAlign w:val="bottom"/>
          </w:tcPr>
          <w:p>
            <w:pPr>
              <w:ind w:left="52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0"/>
                <w:szCs w:val="20"/>
                <w:color w:val="auto"/>
              </w:rPr>
            </w:pP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R. Block</w:t>
            </w:r>
          </w:p>
        </w:tc>
        <w:tc>
          <w:tcPr>
            <w:tcW w:w="560" w:type="dxa"/>
            <w:vAlign w:val="bottom"/>
          </w:tcPr>
          <w:p>
            <w:pPr>
              <w:spacing w:after="0"/>
              <w:rPr>
                <w:sz w:val="20"/>
                <w:szCs w:val="20"/>
                <w:color w:val="auto"/>
              </w:rPr>
            </w:pPr>
          </w:p>
        </w:tc>
      </w:tr>
      <w:tr>
        <w:trPr>
          <w:trHeight w:val="202"/>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60" w:type="dxa"/>
            <w:vAlign w:val="bottom"/>
          </w:tcPr>
          <w:p>
            <w:pPr>
              <w:ind w:left="100"/>
              <w:spacing w:after="0" w:line="201" w:lineRule="exact"/>
              <w:rPr>
                <w:sz w:val="20"/>
                <w:szCs w:val="20"/>
                <w:color w:val="auto"/>
              </w:rPr>
            </w:pPr>
            <w:r>
              <w:rPr>
                <w:rFonts w:ascii="Arial" w:cs="Arial" w:eastAsia="Arial" w:hAnsi="Arial"/>
                <w:sz w:val="18"/>
                <w:szCs w:val="18"/>
                <w:color w:val="auto"/>
              </w:rPr>
              <w:t>Arthur R. Block</w:t>
            </w:r>
          </w:p>
        </w:tc>
        <w:tc>
          <w:tcPr>
            <w:tcW w:w="560" w:type="dxa"/>
            <w:vAlign w:val="bottom"/>
          </w:tcPr>
          <w:p>
            <w:pPr>
              <w:spacing w:after="0"/>
              <w:rPr>
                <w:sz w:val="17"/>
                <w:szCs w:val="17"/>
                <w:color w:val="auto"/>
              </w:rPr>
            </w:pPr>
          </w:p>
        </w:tc>
      </w:tr>
      <w:tr>
        <w:trPr>
          <w:trHeight w:val="230"/>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00"/>
              <w:spacing w:after="0"/>
              <w:rPr>
                <w:sz w:val="20"/>
                <w:szCs w:val="20"/>
                <w:color w:val="auto"/>
              </w:rPr>
            </w:pPr>
            <w:r>
              <w:rPr>
                <w:rFonts w:ascii="Arial" w:cs="Arial" w:eastAsia="Arial" w:hAnsi="Arial"/>
                <w:sz w:val="18"/>
                <w:szCs w:val="18"/>
                <w:color w:val="auto"/>
              </w:rPr>
              <w:t>Senior Vice President</w:t>
            </w:r>
          </w:p>
        </w:tc>
        <w:tc>
          <w:tcPr>
            <w:tcW w:w="560" w:type="dxa"/>
            <w:vAlign w:val="bottom"/>
          </w:tcPr>
          <w:p>
            <w:pPr>
              <w:spacing w:after="0"/>
              <w:rPr>
                <w:sz w:val="20"/>
                <w:szCs w:val="20"/>
                <w:color w:val="auto"/>
              </w:rPr>
            </w:pPr>
          </w:p>
        </w:tc>
      </w:tr>
      <w:tr>
        <w:trPr>
          <w:trHeight w:val="608"/>
        </w:trPr>
        <w:tc>
          <w:tcPr>
            <w:tcW w:w="5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5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SCHEDULE A-1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COMCAST CORPORATION</w:t>
      </w:r>
    </w:p>
    <w:p>
      <w:pPr>
        <w:spacing w:after="0" w:line="256"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color w:val="auto"/>
        </w:rPr>
        <w:t>The name, business address, title, present principal occupation or employment of each of the directors and executive officers of Comcast Corporation (“Comcast”) are set forth below. If no business address is given, the director’s or officer’s business address is One Comcast Center, Philadelphia, Pennsylvania 19103-2838. All of the persons listed below are citizens of the United States of America.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1780"/>
              <w:spacing w:after="0"/>
              <w:rPr>
                <w:sz w:val="20"/>
                <w:szCs w:val="20"/>
                <w:color w:val="auto"/>
              </w:rPr>
            </w:pPr>
            <w:r>
              <w:rPr>
                <w:rFonts w:ascii="Arial" w:cs="Arial" w:eastAsia="Arial" w:hAnsi="Arial"/>
                <w:sz w:val="18"/>
                <w:szCs w:val="18"/>
                <w:b w:val="1"/>
                <w:bCs w:val="1"/>
                <w:color w:val="auto"/>
              </w:rPr>
              <w:t>Present Principal Occupation Including Name and</w:t>
            </w:r>
          </w:p>
        </w:tc>
      </w:tr>
      <w:tr>
        <w:trPr>
          <w:trHeight w:val="241"/>
        </w:trPr>
        <w:tc>
          <w:tcPr>
            <w:tcW w:w="20" w:type="dxa"/>
            <w:vAlign w:val="bottom"/>
          </w:tcPr>
          <w:p>
            <w:pPr>
              <w:spacing w:after="0"/>
              <w:rPr>
                <w:sz w:val="20"/>
                <w:szCs w:val="20"/>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Name and Business Address</w:t>
            </w:r>
          </w:p>
        </w:tc>
        <w:tc>
          <w:tcPr>
            <w:tcW w:w="100" w:type="dxa"/>
            <w:vAlign w:val="bottom"/>
          </w:tcPr>
          <w:p>
            <w:pPr>
              <w:spacing w:after="0"/>
              <w:rPr>
                <w:sz w:val="20"/>
                <w:szCs w:val="20"/>
                <w:color w:val="auto"/>
              </w:rPr>
            </w:pPr>
          </w:p>
        </w:tc>
        <w:tc>
          <w:tcPr>
            <w:tcW w:w="742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Address of Employer</w:t>
            </w: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i w:val="1"/>
                <w:iCs w:val="1"/>
                <w:color w:val="auto"/>
              </w:rPr>
              <w:t>Directors</w:t>
            </w:r>
          </w:p>
        </w:tc>
        <w:tc>
          <w:tcPr>
            <w:tcW w:w="100" w:type="dxa"/>
            <w:vAlign w:val="bottom"/>
          </w:tcPr>
          <w:p>
            <w:pPr>
              <w:spacing w:after="0"/>
              <w:rPr>
                <w:sz w:val="17"/>
                <w:szCs w:val="17"/>
                <w:color w:val="auto"/>
              </w:rPr>
            </w:pPr>
          </w:p>
        </w:tc>
        <w:tc>
          <w:tcPr>
            <w:tcW w:w="7420" w:type="dxa"/>
            <w:vAlign w:val="bottom"/>
          </w:tcPr>
          <w:p>
            <w:pPr>
              <w:spacing w:after="0"/>
              <w:rPr>
                <w:sz w:val="17"/>
                <w:szCs w:val="17"/>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 Decker Anstrom</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Former Director and President and Chief Operating Officer, Landmark Communications, Inc.</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Kenneth J. Bacon</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6"/>
              </w:rPr>
              <w:t>Executive Vice President of Housing and Community Development and Senior Vice President of</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Multifamily Investment, Fannie Mae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Emeritus, Duane Morris LLP</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Edward D. Breen</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and Chief Executive Officer, Tyco International Ltd.</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Julian A. Brodsky</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Non-Executive Vice Chairman, Comcast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Joseph J. Collins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Aegis, LLC</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 Michael Cook</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 International Flavors &amp; Fragrances, Inc. and Trustee, Scripps Research Institute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Gerald L. Hassell</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President, The Bank of New York Mellon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Executive Officer, Pepsi-Cola &amp; National Brand Beverages, Ltd.</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 Comcast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Ralph J. Roberts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Founder and Chairman Emeritus, Comcast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President, Rockefeller Foundation</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Michael I. Sovern</w:t>
            </w:r>
          </w:p>
        </w:tc>
        <w:tc>
          <w:tcPr>
            <w:tcW w:w="10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Sotheby’s</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1780"/>
              <w:spacing w:after="0"/>
              <w:rPr>
                <w:sz w:val="20"/>
                <w:szCs w:val="20"/>
                <w:color w:val="auto"/>
              </w:rPr>
            </w:pPr>
            <w:r>
              <w:rPr>
                <w:rFonts w:ascii="Arial" w:cs="Arial" w:eastAsia="Arial" w:hAnsi="Arial"/>
                <w:sz w:val="18"/>
                <w:szCs w:val="18"/>
                <w:b w:val="1"/>
                <w:bCs w:val="1"/>
                <w:color w:val="auto"/>
              </w:rPr>
              <w:t>Present Principal Occupation Including Name and</w:t>
            </w:r>
          </w:p>
        </w:tc>
      </w:tr>
      <w:tr>
        <w:trPr>
          <w:trHeight w:val="241"/>
        </w:trPr>
        <w:tc>
          <w:tcPr>
            <w:tcW w:w="20" w:type="dxa"/>
            <w:vAlign w:val="bottom"/>
          </w:tcPr>
          <w:p>
            <w:pPr>
              <w:spacing w:after="0"/>
              <w:rPr>
                <w:sz w:val="20"/>
                <w:szCs w:val="20"/>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Name and Business Address</w:t>
            </w:r>
          </w:p>
        </w:tc>
        <w:tc>
          <w:tcPr>
            <w:tcW w:w="100" w:type="dxa"/>
            <w:vAlign w:val="bottom"/>
          </w:tcPr>
          <w:p>
            <w:pPr>
              <w:spacing w:after="0"/>
              <w:rPr>
                <w:sz w:val="20"/>
                <w:szCs w:val="20"/>
                <w:color w:val="auto"/>
              </w:rPr>
            </w:pPr>
          </w:p>
        </w:tc>
        <w:tc>
          <w:tcPr>
            <w:tcW w:w="742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Address of Employer</w:t>
            </w: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i w:val="1"/>
                <w:iCs w:val="1"/>
                <w:color w:val="auto"/>
              </w:rPr>
              <w:t>Executive Officers</w:t>
            </w:r>
          </w:p>
        </w:tc>
        <w:tc>
          <w:tcPr>
            <w:tcW w:w="100" w:type="dxa"/>
            <w:vAlign w:val="bottom"/>
          </w:tcPr>
          <w:p>
            <w:pPr>
              <w:spacing w:after="0"/>
              <w:rPr>
                <w:sz w:val="17"/>
                <w:szCs w:val="17"/>
                <w:color w:val="auto"/>
              </w:rPr>
            </w:pPr>
          </w:p>
        </w:tc>
        <w:tc>
          <w:tcPr>
            <w:tcW w:w="7420" w:type="dxa"/>
            <w:vAlign w:val="bottom"/>
          </w:tcPr>
          <w:p>
            <w:pPr>
              <w:spacing w:after="0"/>
              <w:rPr>
                <w:sz w:val="17"/>
                <w:szCs w:val="17"/>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 Comcast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Michael J. Angelakis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Comcast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Arthur R. Block</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General Counsel and Secretary, Comcast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6"/>
              </w:rPr>
              <w:t>President and Chief Executive Officer, NBCUniversal Media, LLC and Executive Vice President,</w:t>
            </w: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3"/>
              </w:rPr>
              <w:t>30 Rockefeller Plaza, New York, New York 10112</w:t>
            </w:r>
          </w:p>
        </w:tc>
        <w:tc>
          <w:tcPr>
            <w:tcW w:w="10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Comcast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Comcast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Lawrence J. Salva</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 Comcast</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Neil Smit</w:t>
            </w:r>
          </w:p>
        </w:tc>
        <w:tc>
          <w:tcPr>
            <w:tcW w:w="10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President, Comcast Cable Communications and Executive Vice President, Comcast</w:t>
            </w:r>
          </w:p>
        </w:tc>
      </w:tr>
      <w:tr>
        <w:trPr>
          <w:trHeight w:val="60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520" w:type="dxa"/>
            <w:vAlign w:val="bottom"/>
            <w:gridSpan w:val="2"/>
          </w:tcPr>
          <w:p>
            <w:pPr>
              <w:jc w:val="right"/>
              <w:ind w:right="5570"/>
              <w:spacing w:after="0"/>
              <w:rPr>
                <w:sz w:val="20"/>
                <w:szCs w:val="20"/>
                <w:color w:val="auto"/>
              </w:rPr>
            </w:pPr>
            <w:r>
              <w:rPr>
                <w:rFonts w:ascii="Arial" w:cs="Arial" w:eastAsia="Arial" w:hAnsi="Arial"/>
                <w:sz w:val="18"/>
                <w:szCs w:val="18"/>
                <w:color w:val="auto"/>
              </w:rPr>
              <w:t>9</w:t>
            </w: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SCHEDULE A-2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NBCUNIVERSAL, LLC</w:t>
      </w:r>
    </w:p>
    <w:p>
      <w:pPr>
        <w:spacing w:after="0" w:line="25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name, business address, title, present principal occupation or employment of each of the directors and executive officers of NBCUniversal, LLC, are set forth below. If no business address is given, the director’s or officer’s business address is One Comcast Center, Philadelphia, Pennsylvania 19103-2838. All of the persons listed below are citizens of the United States of America.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1780"/>
              <w:spacing w:after="0"/>
              <w:rPr>
                <w:sz w:val="20"/>
                <w:szCs w:val="20"/>
                <w:color w:val="auto"/>
              </w:rPr>
            </w:pPr>
            <w:r>
              <w:rPr>
                <w:rFonts w:ascii="Arial" w:cs="Arial" w:eastAsia="Arial" w:hAnsi="Arial"/>
                <w:sz w:val="18"/>
                <w:szCs w:val="18"/>
                <w:b w:val="1"/>
                <w:bCs w:val="1"/>
                <w:color w:val="auto"/>
              </w:rPr>
              <w:t>Present Principal Occupation Including Name and</w:t>
            </w:r>
          </w:p>
        </w:tc>
      </w:tr>
      <w:tr>
        <w:trPr>
          <w:trHeight w:val="241"/>
        </w:trPr>
        <w:tc>
          <w:tcPr>
            <w:tcW w:w="20" w:type="dxa"/>
            <w:vAlign w:val="bottom"/>
          </w:tcPr>
          <w:p>
            <w:pPr>
              <w:spacing w:after="0"/>
              <w:rPr>
                <w:sz w:val="20"/>
                <w:szCs w:val="20"/>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Name and Business Address</w:t>
            </w:r>
          </w:p>
        </w:tc>
        <w:tc>
          <w:tcPr>
            <w:tcW w:w="100" w:type="dxa"/>
            <w:vAlign w:val="bottom"/>
          </w:tcPr>
          <w:p>
            <w:pPr>
              <w:spacing w:after="0"/>
              <w:rPr>
                <w:sz w:val="20"/>
                <w:szCs w:val="20"/>
                <w:color w:val="auto"/>
              </w:rPr>
            </w:pPr>
          </w:p>
        </w:tc>
        <w:tc>
          <w:tcPr>
            <w:tcW w:w="742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Address of Employer</w:t>
            </w: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i w:val="1"/>
                <w:iCs w:val="1"/>
                <w:color w:val="auto"/>
              </w:rPr>
              <w:t>Directors</w:t>
            </w:r>
          </w:p>
        </w:tc>
        <w:tc>
          <w:tcPr>
            <w:tcW w:w="100" w:type="dxa"/>
            <w:vAlign w:val="bottom"/>
          </w:tcPr>
          <w:p>
            <w:pPr>
              <w:spacing w:after="0"/>
              <w:rPr>
                <w:sz w:val="17"/>
                <w:szCs w:val="17"/>
                <w:color w:val="auto"/>
              </w:rPr>
            </w:pPr>
          </w:p>
        </w:tc>
        <w:tc>
          <w:tcPr>
            <w:tcW w:w="7420" w:type="dxa"/>
            <w:vAlign w:val="bottom"/>
          </w:tcPr>
          <w:p>
            <w:pPr>
              <w:spacing w:after="0"/>
              <w:rPr>
                <w:sz w:val="17"/>
                <w:szCs w:val="17"/>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Michael J. Angelakis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6"/>
              </w:rPr>
              <w:t>President and Chief Executive Officer, NBCUniversal Media, LLC and Executive Vice President,</w:t>
            </w: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3"/>
              </w:rPr>
              <w:t>30 Rockefeller Plaza, New York, New York 10112</w:t>
            </w:r>
          </w:p>
        </w:tc>
        <w:tc>
          <w:tcPr>
            <w:tcW w:w="10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Jeffrey Immelt</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and CEO, General Electric Company</w:t>
            </w: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2"/>
              </w:rPr>
              <w:t>General Electric Company, 3135 Easton Turnpike,</w:t>
            </w: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Fairfield, Connecticut 06828-0001</w:t>
            </w: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 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Keith Sherin</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Chairman and CFO, General Electric Company</w:t>
            </w: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2"/>
              </w:rPr>
              <w:t>General Electric Company, 3135 Easton Turnpike,</w:t>
            </w: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Fairfield, Connecticut 06828-0001</w:t>
            </w:r>
          </w:p>
        </w:tc>
        <w:tc>
          <w:tcPr>
            <w:tcW w:w="100" w:type="dxa"/>
            <w:vAlign w:val="bottom"/>
          </w:tcPr>
          <w:p>
            <w:pPr>
              <w:spacing w:after="0"/>
              <w:rPr>
                <w:sz w:val="20"/>
                <w:szCs w:val="20"/>
                <w:color w:val="auto"/>
              </w:rPr>
            </w:pPr>
          </w:p>
        </w:tc>
        <w:tc>
          <w:tcPr>
            <w:tcW w:w="742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1780"/>
              <w:spacing w:after="0"/>
              <w:rPr>
                <w:sz w:val="20"/>
                <w:szCs w:val="20"/>
                <w:color w:val="auto"/>
              </w:rPr>
            </w:pPr>
            <w:r>
              <w:rPr>
                <w:rFonts w:ascii="Arial" w:cs="Arial" w:eastAsia="Arial" w:hAnsi="Arial"/>
                <w:sz w:val="18"/>
                <w:szCs w:val="18"/>
                <w:b w:val="1"/>
                <w:bCs w:val="1"/>
                <w:color w:val="auto"/>
              </w:rPr>
              <w:t>Present Principal Occupation Including Name and</w:t>
            </w:r>
          </w:p>
        </w:tc>
      </w:tr>
      <w:tr>
        <w:trPr>
          <w:trHeight w:val="241"/>
        </w:trPr>
        <w:tc>
          <w:tcPr>
            <w:tcW w:w="20" w:type="dxa"/>
            <w:vAlign w:val="bottom"/>
          </w:tcPr>
          <w:p>
            <w:pPr>
              <w:spacing w:after="0"/>
              <w:rPr>
                <w:sz w:val="20"/>
                <w:szCs w:val="20"/>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Name and Business Address</w:t>
            </w:r>
          </w:p>
        </w:tc>
        <w:tc>
          <w:tcPr>
            <w:tcW w:w="100" w:type="dxa"/>
            <w:vAlign w:val="bottom"/>
          </w:tcPr>
          <w:p>
            <w:pPr>
              <w:spacing w:after="0"/>
              <w:rPr>
                <w:sz w:val="20"/>
                <w:szCs w:val="20"/>
                <w:color w:val="auto"/>
              </w:rPr>
            </w:pPr>
          </w:p>
        </w:tc>
        <w:tc>
          <w:tcPr>
            <w:tcW w:w="742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Address of Employer</w:t>
            </w: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i w:val="1"/>
                <w:iCs w:val="1"/>
                <w:color w:val="auto"/>
              </w:rPr>
              <w:t>Executive Officers</w:t>
            </w:r>
          </w:p>
        </w:tc>
        <w:tc>
          <w:tcPr>
            <w:tcW w:w="100" w:type="dxa"/>
            <w:vAlign w:val="bottom"/>
          </w:tcPr>
          <w:p>
            <w:pPr>
              <w:spacing w:after="0"/>
              <w:rPr>
                <w:sz w:val="17"/>
                <w:szCs w:val="17"/>
                <w:color w:val="auto"/>
              </w:rPr>
            </w:pPr>
          </w:p>
        </w:tc>
        <w:tc>
          <w:tcPr>
            <w:tcW w:w="7420" w:type="dxa"/>
            <w:vAlign w:val="bottom"/>
          </w:tcPr>
          <w:p>
            <w:pPr>
              <w:spacing w:after="0"/>
              <w:rPr>
                <w:sz w:val="17"/>
                <w:szCs w:val="17"/>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 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Michael J. Angelakis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Arthur R. Block</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General Counsel and Secretary, 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6"/>
              </w:rPr>
              <w:t>President and Chief Executive Officer, NBCUniversal Media, LLC and Executive Vice President,</w:t>
            </w: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3"/>
              </w:rPr>
              <w:t>30 Rockefeller Plaza, New York, New York 10112</w:t>
            </w:r>
          </w:p>
        </w:tc>
        <w:tc>
          <w:tcPr>
            <w:tcW w:w="10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Comcast Corporation</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Lawrence J. Salva</w:t>
            </w:r>
          </w:p>
        </w:tc>
        <w:tc>
          <w:tcPr>
            <w:tcW w:w="10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 Comcast Corporation</w:t>
            </w:r>
          </w:p>
        </w:tc>
      </w:tr>
      <w:tr>
        <w:trPr>
          <w:trHeight w:val="60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520" w:type="dxa"/>
            <w:vAlign w:val="bottom"/>
            <w:gridSpan w:val="2"/>
          </w:tcPr>
          <w:p>
            <w:pPr>
              <w:jc w:val="right"/>
              <w:ind w:right="5530"/>
              <w:spacing w:after="0"/>
              <w:rPr>
                <w:sz w:val="20"/>
                <w:szCs w:val="20"/>
                <w:color w:val="auto"/>
              </w:rPr>
            </w:pPr>
            <w:r>
              <w:rPr>
                <w:rFonts w:ascii="Arial" w:cs="Arial" w:eastAsia="Arial" w:hAnsi="Arial"/>
                <w:sz w:val="18"/>
                <w:szCs w:val="18"/>
                <w:color w:val="auto"/>
              </w:rPr>
              <w:t>10</w:t>
            </w: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SCHEDULE A-3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NBCUNIVERSAL MEDIA, LLC</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name, business address, title, present principal occupation or employment of each of the directors and executive officers of NBCUniversal Media, LLC (“NBCUniversal”), are set forth below. If no business address is given, the director’s or officer’s business address is One Comcast Center, Philadelphia, Pennsylvania 19103-2838. All of the persons listed below are citizens of the United States of America.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b w:val="1"/>
                <w:bCs w:val="1"/>
                <w:color w:val="auto"/>
                <w:w w:val="90"/>
              </w:rPr>
              <w:t>Present Principal Occupation Including Name and</w:t>
            </w:r>
          </w:p>
        </w:tc>
      </w:tr>
      <w:tr>
        <w:trPr>
          <w:trHeight w:val="241"/>
        </w:trPr>
        <w:tc>
          <w:tcPr>
            <w:tcW w:w="20" w:type="dxa"/>
            <w:vAlign w:val="bottom"/>
          </w:tcPr>
          <w:p>
            <w:pPr>
              <w:spacing w:after="0"/>
              <w:rPr>
                <w:sz w:val="20"/>
                <w:szCs w:val="20"/>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Name and Business Address</w:t>
            </w:r>
          </w:p>
        </w:tc>
        <w:tc>
          <w:tcPr>
            <w:tcW w:w="100" w:type="dxa"/>
            <w:vAlign w:val="bottom"/>
          </w:tcPr>
          <w:p>
            <w:pPr>
              <w:spacing w:after="0"/>
              <w:rPr>
                <w:sz w:val="20"/>
                <w:szCs w:val="20"/>
                <w:color w:val="auto"/>
              </w:rPr>
            </w:pPr>
          </w:p>
        </w:tc>
        <w:tc>
          <w:tcPr>
            <w:tcW w:w="7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Address of Employer</w:t>
            </w: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i w:val="1"/>
                <w:iCs w:val="1"/>
                <w:color w:val="auto"/>
              </w:rPr>
              <w:t>Directors</w:t>
            </w:r>
          </w:p>
        </w:tc>
        <w:tc>
          <w:tcPr>
            <w:tcW w:w="100" w:type="dxa"/>
            <w:vAlign w:val="bottom"/>
          </w:tcPr>
          <w:p>
            <w:pPr>
              <w:spacing w:after="0"/>
              <w:rPr>
                <w:sz w:val="17"/>
                <w:szCs w:val="17"/>
                <w:color w:val="auto"/>
              </w:rPr>
            </w:pPr>
          </w:p>
        </w:tc>
        <w:tc>
          <w:tcPr>
            <w:tcW w:w="7420" w:type="dxa"/>
            <w:vAlign w:val="bottom"/>
          </w:tcPr>
          <w:p>
            <w:pPr>
              <w:spacing w:after="0"/>
              <w:rPr>
                <w:sz w:val="17"/>
                <w:szCs w:val="17"/>
                <w:color w:val="auto"/>
              </w:rPr>
            </w:pPr>
          </w:p>
        </w:tc>
      </w:tr>
      <w:tr>
        <w:trPr>
          <w:trHeight w:val="329"/>
        </w:trPr>
        <w:tc>
          <w:tcPr>
            <w:tcW w:w="3900" w:type="dxa"/>
            <w:vAlign w:val="bottom"/>
            <w:gridSpan w:val="2"/>
          </w:tcPr>
          <w:p>
            <w:pPr>
              <w:spacing w:after="0"/>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10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N/A</w:t>
            </w:r>
          </w:p>
        </w:tc>
      </w:tr>
      <w:tr>
        <w:trPr>
          <w:trHeight w:val="58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Arial" w:cs="Arial" w:eastAsia="Arial" w:hAnsi="Arial"/>
                <w:sz w:val="18"/>
                <w:szCs w:val="18"/>
                <w:b w:val="1"/>
                <w:bCs w:val="1"/>
                <w:color w:val="auto"/>
                <w:w w:val="90"/>
              </w:rPr>
              <w:t>Present Principal Occupation Including Name and</w:t>
            </w:r>
          </w:p>
        </w:tc>
      </w:tr>
      <w:tr>
        <w:trPr>
          <w:trHeight w:val="241"/>
        </w:trPr>
        <w:tc>
          <w:tcPr>
            <w:tcW w:w="20" w:type="dxa"/>
            <w:vAlign w:val="bottom"/>
          </w:tcPr>
          <w:p>
            <w:pPr>
              <w:spacing w:after="0"/>
              <w:rPr>
                <w:sz w:val="20"/>
                <w:szCs w:val="20"/>
                <w:color w:val="auto"/>
              </w:rPr>
            </w:pPr>
          </w:p>
        </w:tc>
        <w:tc>
          <w:tcPr>
            <w:tcW w:w="38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Name and Business Address</w:t>
            </w:r>
          </w:p>
        </w:tc>
        <w:tc>
          <w:tcPr>
            <w:tcW w:w="100" w:type="dxa"/>
            <w:vAlign w:val="bottom"/>
          </w:tcPr>
          <w:p>
            <w:pPr>
              <w:spacing w:after="0"/>
              <w:rPr>
                <w:sz w:val="20"/>
                <w:szCs w:val="20"/>
                <w:color w:val="auto"/>
              </w:rPr>
            </w:pPr>
          </w:p>
        </w:tc>
        <w:tc>
          <w:tcPr>
            <w:tcW w:w="7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Address of Employer</w:t>
            </w: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i w:val="1"/>
                <w:iCs w:val="1"/>
                <w:color w:val="auto"/>
              </w:rPr>
              <w:t>Executive Officers</w:t>
            </w:r>
          </w:p>
        </w:tc>
        <w:tc>
          <w:tcPr>
            <w:tcW w:w="100" w:type="dxa"/>
            <w:vAlign w:val="bottom"/>
          </w:tcPr>
          <w:p>
            <w:pPr>
              <w:spacing w:after="0"/>
              <w:rPr>
                <w:sz w:val="17"/>
                <w:szCs w:val="17"/>
                <w:color w:val="auto"/>
              </w:rPr>
            </w:pPr>
          </w:p>
        </w:tc>
        <w:tc>
          <w:tcPr>
            <w:tcW w:w="7420" w:type="dxa"/>
            <w:vAlign w:val="bottom"/>
          </w:tcPr>
          <w:p>
            <w:pPr>
              <w:spacing w:after="0"/>
              <w:rPr>
                <w:sz w:val="17"/>
                <w:szCs w:val="17"/>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 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Michael J. Angelakis</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 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Arthur R. Block</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General Counsel and Secretary, Comcast 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9"/>
              </w:rPr>
              <w:t>President and Chief Executive Officer, NBCUniversal and Executive Vice President, Comcast</w:t>
            </w: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w w:val="93"/>
              </w:rPr>
              <w:t>30 Rockefeller Plaza, New York, New York 10112</w:t>
            </w:r>
          </w:p>
        </w:tc>
        <w:tc>
          <w:tcPr>
            <w:tcW w:w="10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Corporation</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Comcast Corporation</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Lawrence J. Salva</w:t>
            </w:r>
          </w:p>
        </w:tc>
        <w:tc>
          <w:tcPr>
            <w:tcW w:w="10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 Comcast Corporation</w:t>
            </w:r>
          </w:p>
        </w:tc>
      </w:tr>
      <w:tr>
        <w:trPr>
          <w:trHeight w:val="632"/>
        </w:trPr>
        <w:tc>
          <w:tcPr>
            <w:tcW w:w="3900" w:type="dxa"/>
            <w:vAlign w:val="bottom"/>
            <w:gridSpan w:val="2"/>
          </w:tcPr>
          <w:p>
            <w:pPr>
              <w:spacing w:after="0"/>
              <w:rPr>
                <w:sz w:val="20"/>
                <w:szCs w:val="20"/>
                <w:color w:val="auto"/>
              </w:rPr>
            </w:pPr>
            <w:r>
              <w:rPr>
                <w:rFonts w:ascii="Arial" w:cs="Arial" w:eastAsia="Arial" w:hAnsi="Arial"/>
                <w:sz w:val="13"/>
                <w:szCs w:val="13"/>
                <w:color w:val="auto"/>
              </w:rPr>
              <w:t>___________________</w:t>
            </w:r>
          </w:p>
        </w:tc>
        <w:tc>
          <w:tcPr>
            <w:tcW w:w="100" w:type="dxa"/>
            <w:vAlign w:val="bottom"/>
          </w:tcPr>
          <w:p>
            <w:pPr>
              <w:spacing w:after="0"/>
              <w:rPr>
                <w:sz w:val="24"/>
                <w:szCs w:val="24"/>
                <w:color w:val="auto"/>
              </w:rPr>
            </w:pPr>
          </w:p>
        </w:tc>
        <w:tc>
          <w:tcPr>
            <w:tcW w:w="7420" w:type="dxa"/>
            <w:vAlign w:val="bottom"/>
          </w:tcPr>
          <w:p>
            <w:pPr>
              <w:spacing w:after="0"/>
              <w:rPr>
                <w:sz w:val="24"/>
                <w:szCs w:val="24"/>
                <w:color w:val="auto"/>
              </w:rPr>
            </w:pPr>
          </w:p>
        </w:tc>
      </w:tr>
    </w:tbl>
    <w:p>
      <w:pPr>
        <w:ind w:left="160" w:hanging="152"/>
        <w:spacing w:after="0" w:line="193" w:lineRule="auto"/>
        <w:tabs>
          <w:tab w:leader="none" w:pos="1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NBCUniversal does not have a board of directors, but is managed by NBCUniversal, LLC as its sole member.</w:t>
      </w:r>
    </w:p>
    <w:p>
      <w:pPr>
        <w:spacing w:after="0" w:line="200" w:lineRule="exact"/>
        <w:rPr>
          <w:rFonts w:ascii="Arial" w:cs="Arial" w:eastAsia="Arial" w:hAnsi="Arial"/>
          <w:sz w:val="25"/>
          <w:szCs w:val="25"/>
          <w:color w:val="auto"/>
          <w:vertAlign w:val="superscript"/>
        </w:rPr>
      </w:pPr>
    </w:p>
    <w:p>
      <w:pPr>
        <w:spacing w:after="0" w:line="200" w:lineRule="exact"/>
        <w:rPr>
          <w:rFonts w:ascii="Arial" w:cs="Arial" w:eastAsia="Arial" w:hAnsi="Arial"/>
          <w:sz w:val="25"/>
          <w:szCs w:val="25"/>
          <w:color w:val="auto"/>
          <w:vertAlign w:val="superscript"/>
        </w:rPr>
      </w:pPr>
    </w:p>
    <w:p>
      <w:pPr>
        <w:spacing w:after="0" w:line="315" w:lineRule="exact"/>
        <w:rPr>
          <w:rFonts w:ascii="Arial" w:cs="Arial" w:eastAsia="Arial" w:hAnsi="Arial"/>
          <w:sz w:val="25"/>
          <w:szCs w:val="25"/>
          <w:color w:val="auto"/>
          <w:vertAlign w:val="superscript"/>
        </w:rPr>
      </w:pPr>
    </w:p>
    <w:p>
      <w:pPr>
        <w:ind w:left="5620"/>
        <w:spacing w:after="0"/>
        <w:rPr>
          <w:rFonts w:ascii="Arial" w:cs="Arial" w:eastAsia="Arial" w:hAnsi="Arial"/>
          <w:sz w:val="25"/>
          <w:szCs w:val="25"/>
          <w:color w:val="auto"/>
          <w:vertAlign w:val="superscript"/>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2019-12-16T12:08:28Z</dcterms:created>
  <dcterms:modified xsi:type="dcterms:W3CDTF">2019-12-16T12:08:28Z</dcterms:modified>
</cp:coreProperties>
</file>