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460" w:type="dxa"/>
            <w:vAlign w:val="bottom"/>
          </w:tcPr>
          <w:p>
            <w:pPr>
              <w:spacing w:after="0"/>
              <w:rPr>
                <w:sz w:val="20"/>
                <w:szCs w:val="20"/>
                <w:color w:val="auto"/>
              </w:rPr>
            </w:pPr>
          </w:p>
        </w:tc>
        <w:tc>
          <w:tcPr>
            <w:tcW w:w="7200" w:type="dxa"/>
            <w:vAlign w:val="bottom"/>
          </w:tcPr>
          <w:p>
            <w:pPr>
              <w:jc w:val="center"/>
              <w:ind w:right="216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October 27, 2022</w:t>
            </w:r>
          </w:p>
        </w:tc>
      </w:tr>
      <w:tr>
        <w:trPr>
          <w:trHeight w:val="45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60" w:type="dxa"/>
            <w:vAlign w:val="bottom"/>
          </w:tcPr>
          <w:p>
            <w:pPr>
              <w:spacing w:after="0"/>
              <w:rPr>
                <w:sz w:val="12"/>
                <w:szCs w:val="12"/>
                <w:color w:val="auto"/>
              </w:rPr>
            </w:pPr>
          </w:p>
        </w:tc>
        <w:tc>
          <w:tcPr>
            <w:tcW w:w="7200" w:type="dxa"/>
            <w:vAlign w:val="bottom"/>
          </w:tcPr>
          <w:p>
            <w:pPr>
              <w:jc w:val="center"/>
              <w:ind w:right="220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83"/>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92"/>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 File Number)</w:t>
            </w:r>
          </w:p>
        </w:tc>
        <w:tc>
          <w:tcPr>
            <w:tcW w:w="7200" w:type="dxa"/>
            <w:vAlign w:val="bottom"/>
          </w:tcPr>
          <w:p>
            <w:pPr>
              <w:jc w:val="center"/>
              <w:ind w:left="512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9.455% Guaranteed Notes due 2022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CMCSA/22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67"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2022, Comcast Corporation (“Comcast”) issued a press release reporting the results of its operations for the three and nine months ended September 30, 2022.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October 27, 2022.</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27, 2022</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6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254635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3rd QUARTER 2022 RESULTS</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PHILADELPHIA - October 27, 2022… Comcast Corporation (NASDAQ: CMCSA) today reported results for the quarter ended September 30, 2022.</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 proud of the company and our strong financial results this quarter. We delivered solid growth in adjusted EBITDA and adjusted EPS,</w:t>
      </w:r>
      <w:r>
        <w:rPr>
          <w:rFonts w:ascii="Arial" w:cs="Arial" w:eastAsia="Arial" w:hAnsi="Arial"/>
          <w:sz w:val="18"/>
          <w:szCs w:val="18"/>
          <w:color w:val="auto"/>
        </w:rPr>
        <w:t xml:space="preserve"> </w:t>
      </w:r>
      <w:r>
        <w:rPr>
          <w:rFonts w:ascii="Arial" w:cs="Arial" w:eastAsia="Arial" w:hAnsi="Arial"/>
          <w:sz w:val="18"/>
          <w:szCs w:val="18"/>
          <w:i w:val="1"/>
          <w:iCs w:val="1"/>
          <w:color w:val="auto"/>
        </w:rPr>
        <w:t>generated significant free cash flow, invested in our businesses’ future and returned a record amount of capital to our shareholders. This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performance is a testament to our consistent strategic focus on innovation and our team’s ability to execute at the highest level in any environment. In Cable, we grew adjusted EBITDA by more than 5% and achieved our highest adjusted EBITDA margin on record despite a challenging competitive environment. At NBCUniversal, robust demand from guests at our Theme Parks and from viewers of our iconic content fueled nearly 25% growth in adjusted EBITDA. And, at Sky, our team continues to prudently manage through a difficult and rapidly changing macroeconomic and geopolitical period in the U.K. and Europe. Together, our company is a leader in very large and profitable markets. Despite the challenges that may lie ahead, we are in an enviable strategic and financial position, and our future remains bright,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commented Brian L. Roberts, Chairman and Chief Executive Officer of Comcast Corporation.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42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right w:val="single" w:sz="8" w:color="D9D9D6"/>
            </w:tcBorders>
            <w:shd w:val="clear" w:color="auto" w:fill="D9D9D6"/>
          </w:tcPr>
          <w:p>
            <w:pPr>
              <w:spacing w:after="0"/>
              <w:rPr>
                <w:sz w:val="17"/>
                <w:szCs w:val="17"/>
                <w:color w:val="auto"/>
              </w:rPr>
            </w:pPr>
          </w:p>
        </w:tc>
        <w:tc>
          <w:tcPr>
            <w:tcW w:w="8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44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right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4660" w:type="dxa"/>
            <w:vAlign w:val="bottom"/>
            <w:tcBorders>
              <w:bottom w:val="single" w:sz="8" w:color="D9D9D6"/>
            </w:tcBorders>
            <w:shd w:val="clear" w:color="auto" w:fill="D9D9D6"/>
          </w:tcPr>
          <w:p>
            <w:pPr>
              <w:spacing w:after="0"/>
              <w:rPr>
                <w:sz w:val="14"/>
                <w:szCs w:val="14"/>
                <w:color w:val="auto"/>
              </w:rPr>
            </w:pPr>
          </w:p>
        </w:tc>
        <w:tc>
          <w:tcPr>
            <w:tcW w:w="60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right w:val="single" w:sz="8" w:color="D9D9D6"/>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760" w:type="dxa"/>
            <w:vAlign w:val="bottom"/>
            <w:tcBorders>
              <w:bottom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3rd Quarter</w:t>
            </w:r>
          </w:p>
        </w:tc>
        <w:tc>
          <w:tcPr>
            <w:tcW w:w="58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280" w:type="dxa"/>
            <w:vAlign w:val="bottom"/>
            <w:tcBorders>
              <w:bottom w:val="single" w:sz="8" w:color="D9D9D6"/>
              <w:right w:val="single" w:sz="8" w:color="828282"/>
            </w:tcBorders>
            <w:shd w:val="clear" w:color="auto" w:fill="D9D9D6"/>
          </w:tcPr>
          <w:p>
            <w:pPr>
              <w:spacing w:after="0"/>
              <w:rPr>
                <w:sz w:val="14"/>
                <w:szCs w:val="14"/>
                <w:color w:val="auto"/>
              </w:rPr>
            </w:pPr>
          </w:p>
        </w:tc>
        <w:tc>
          <w:tcPr>
            <w:tcW w:w="84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80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w w:val="99"/>
              </w:rPr>
              <w:t>Year to Date</w:t>
            </w:r>
          </w:p>
        </w:tc>
        <w:tc>
          <w:tcPr>
            <w:tcW w:w="26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500" w:type="dxa"/>
            <w:vAlign w:val="bottom"/>
            <w:tcBorders>
              <w:bottom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r>
      <w:tr>
        <w:trPr>
          <w:trHeight w:val="183"/>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b w:val="1"/>
                <w:bCs w:val="1"/>
                <w:color w:val="auto"/>
              </w:rPr>
              <w:t>Consolidated Results</w:t>
            </w:r>
          </w:p>
        </w:tc>
        <w:tc>
          <w:tcPr>
            <w:tcW w:w="9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9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360" w:type="dxa"/>
            <w:vAlign w:val="bottom"/>
            <w:tcBorders>
              <w:right w:val="single" w:sz="8" w:color="828282"/>
            </w:tcBorders>
            <w:gridSpan w:val="4"/>
            <w:shd w:val="clear" w:color="auto" w:fill="D9D9D6"/>
          </w:tcPr>
          <w:p>
            <w:pPr>
              <w:ind w:left="580"/>
              <w:spacing w:after="0"/>
              <w:rPr>
                <w:sz w:val="20"/>
                <w:szCs w:val="20"/>
                <w:color w:val="auto"/>
              </w:rPr>
            </w:pPr>
            <w:r>
              <w:rPr>
                <w:rFonts w:ascii="Arial" w:cs="Arial" w:eastAsia="Arial" w:hAnsi="Arial"/>
                <w:sz w:val="14"/>
                <w:szCs w:val="14"/>
                <w:color w:val="auto"/>
              </w:rPr>
              <w:t>Change</w:t>
            </w:r>
          </w:p>
        </w:tc>
        <w:tc>
          <w:tcPr>
            <w:tcW w:w="1340" w:type="dxa"/>
            <w:vAlign w:val="bottom"/>
            <w:gridSpan w:val="3"/>
            <w:shd w:val="clear" w:color="auto" w:fill="D9D9D6"/>
          </w:tcPr>
          <w:p>
            <w:pPr>
              <w:jc w:val="right"/>
              <w:ind w:right="180"/>
              <w:spacing w:after="0"/>
              <w:rPr>
                <w:sz w:val="20"/>
                <w:szCs w:val="20"/>
                <w:color w:val="auto"/>
              </w:rPr>
            </w:pPr>
            <w:r>
              <w:rPr>
                <w:rFonts w:ascii="Arial" w:cs="Arial" w:eastAsia="Arial" w:hAnsi="Arial"/>
                <w:sz w:val="14"/>
                <w:szCs w:val="14"/>
                <w:color w:val="auto"/>
              </w:rPr>
              <w:t>2022</w:t>
            </w:r>
          </w:p>
        </w:tc>
        <w:tc>
          <w:tcPr>
            <w:tcW w:w="80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2021</w:t>
            </w:r>
          </w:p>
        </w:tc>
        <w:tc>
          <w:tcPr>
            <w:tcW w:w="2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6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Change</w:t>
            </w:r>
          </w:p>
        </w:tc>
      </w:tr>
      <w:tr>
        <w:trPr>
          <w:trHeight w:val="20"/>
        </w:trPr>
        <w:tc>
          <w:tcPr>
            <w:tcW w:w="4660" w:type="dxa"/>
            <w:vAlign w:val="bottom"/>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828282"/>
            </w:tcBorders>
            <w:shd w:val="clear" w:color="auto" w:fill="D9D9D6"/>
          </w:tcPr>
          <w:p>
            <w:pPr>
              <w:spacing w:after="0" w:line="20" w:lineRule="exact"/>
              <w:rPr>
                <w:sz w:val="1"/>
                <w:szCs w:val="1"/>
                <w:color w:val="auto"/>
              </w:rPr>
            </w:pPr>
          </w:p>
        </w:tc>
        <w:tc>
          <w:tcPr>
            <w:tcW w:w="84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60" w:type="dxa"/>
            <w:vAlign w:val="bottom"/>
            <w:tcBorders>
              <w:right w:val="single" w:sz="8" w:color="D9D9D6"/>
            </w:tcBorders>
            <w:shd w:val="clear" w:color="auto" w:fill="000000"/>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309"/>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Revenue</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$29,849</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$30,298</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(1.5 %)</w:t>
            </w:r>
          </w:p>
        </w:tc>
        <w:tc>
          <w:tcPr>
            <w:tcW w:w="280" w:type="dxa"/>
            <w:vAlign w:val="bottom"/>
            <w:tcBorders>
              <w:right w:val="single" w:sz="8" w:color="828282"/>
            </w:tcBorders>
            <w:shd w:val="clear" w:color="auto" w:fill="D9D9D6"/>
          </w:tcPr>
          <w:p>
            <w:pPr>
              <w:spacing w:after="0"/>
              <w:rPr>
                <w:sz w:val="24"/>
                <w:szCs w:val="24"/>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$90,874</w:t>
            </w:r>
          </w:p>
        </w:tc>
        <w:tc>
          <w:tcPr>
            <w:tcW w:w="180" w:type="dxa"/>
            <w:vAlign w:val="bottom"/>
            <w:shd w:val="clear" w:color="auto" w:fill="D9D9D6"/>
          </w:tcPr>
          <w:p>
            <w:pPr>
              <w:spacing w:after="0"/>
              <w:rPr>
                <w:sz w:val="24"/>
                <w:szCs w:val="24"/>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$86,049</w:t>
            </w:r>
          </w:p>
        </w:tc>
        <w:tc>
          <w:tcPr>
            <w:tcW w:w="260" w:type="dxa"/>
            <w:vAlign w:val="bottom"/>
            <w:shd w:val="clear" w:color="auto" w:fill="D9D9D6"/>
          </w:tcPr>
          <w:p>
            <w:pPr>
              <w:spacing w:after="0"/>
              <w:rPr>
                <w:sz w:val="24"/>
                <w:szCs w:val="24"/>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5.6 %</w:t>
            </w:r>
          </w:p>
        </w:tc>
        <w:tc>
          <w:tcPr>
            <w:tcW w:w="120" w:type="dxa"/>
            <w:vAlign w:val="bottom"/>
            <w:shd w:val="clear" w:color="auto" w:fill="D9D9D6"/>
          </w:tcPr>
          <w:p>
            <w:pPr>
              <w:spacing w:after="0"/>
              <w:rPr>
                <w:sz w:val="24"/>
                <w:szCs w:val="24"/>
                <w:color w:val="auto"/>
              </w:rPr>
            </w:pPr>
          </w:p>
        </w:tc>
      </w:tr>
      <w:tr>
        <w:trPr>
          <w:trHeight w:val="203"/>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Net Income (loss) Attributable to Comcast</w:t>
            </w:r>
          </w:p>
        </w:tc>
        <w:tc>
          <w:tcPr>
            <w:tcW w:w="94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($4,598)</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$4,035</w:t>
            </w:r>
          </w:p>
        </w:tc>
        <w:tc>
          <w:tcPr>
            <w:tcW w:w="580" w:type="dxa"/>
            <w:vAlign w:val="bottom"/>
            <w:shd w:val="clear" w:color="auto" w:fill="D9D9D6"/>
          </w:tcPr>
          <w:p>
            <w:pPr>
              <w:spacing w:after="0"/>
              <w:rPr>
                <w:sz w:val="17"/>
                <w:szCs w:val="17"/>
                <w:color w:val="auto"/>
              </w:rPr>
            </w:pPr>
          </w:p>
        </w:tc>
        <w:tc>
          <w:tcPr>
            <w:tcW w:w="780" w:type="dxa"/>
            <w:vAlign w:val="bottom"/>
            <w:tcBorders>
              <w:right w:val="single" w:sz="8" w:color="828282"/>
            </w:tcBorders>
            <w:gridSpan w:val="3"/>
            <w:shd w:val="clear" w:color="auto" w:fill="D9D9D6"/>
          </w:tcPr>
          <w:p>
            <w:pPr>
              <w:jc w:val="center"/>
              <w:spacing w:after="0"/>
              <w:rPr>
                <w:sz w:val="20"/>
                <w:szCs w:val="20"/>
                <w:color w:val="auto"/>
              </w:rPr>
            </w:pPr>
            <w:r>
              <w:rPr>
                <w:rFonts w:ascii="Arial" w:cs="Arial" w:eastAsia="Arial" w:hAnsi="Arial"/>
                <w:sz w:val="14"/>
                <w:szCs w:val="14"/>
                <w:color w:val="auto"/>
              </w:rPr>
              <w:t>NM</w:t>
            </w: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$2,347</w:t>
            </w:r>
          </w:p>
        </w:tc>
        <w:tc>
          <w:tcPr>
            <w:tcW w:w="180" w:type="dxa"/>
            <w:vAlign w:val="bottom"/>
            <w:shd w:val="clear" w:color="auto" w:fill="D9D9D6"/>
          </w:tcPr>
          <w:p>
            <w:pPr>
              <w:spacing w:after="0"/>
              <w:rPr>
                <w:sz w:val="17"/>
                <w:szCs w:val="17"/>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$11,102</w:t>
            </w:r>
          </w:p>
        </w:tc>
        <w:tc>
          <w:tcPr>
            <w:tcW w:w="26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(78.9 %)</w:t>
            </w:r>
          </w:p>
        </w:tc>
        <w:tc>
          <w:tcPr>
            <w:tcW w:w="120" w:type="dxa"/>
            <w:vAlign w:val="bottom"/>
            <w:shd w:val="clear" w:color="auto" w:fill="D9D9D6"/>
          </w:tcPr>
          <w:p>
            <w:pPr>
              <w:spacing w:after="0"/>
              <w:rPr>
                <w:sz w:val="17"/>
                <w:szCs w:val="17"/>
                <w:color w:val="auto"/>
              </w:rPr>
            </w:pPr>
          </w:p>
        </w:tc>
      </w:tr>
      <w:tr>
        <w:trPr>
          <w:trHeight w:val="211"/>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$4,220</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$4,038</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4.5 %</w:t>
            </w:r>
          </w:p>
        </w:tc>
        <w:tc>
          <w:tcPr>
            <w:tcW w:w="280" w:type="dxa"/>
            <w:vAlign w:val="bottom"/>
            <w:tcBorders>
              <w:right w:val="single" w:sz="8" w:color="828282"/>
            </w:tcBorders>
            <w:shd w:val="clear" w:color="auto" w:fill="D9D9D6"/>
          </w:tcPr>
          <w:p>
            <w:pPr>
              <w:spacing w:after="0"/>
              <w:rPr>
                <w:sz w:val="18"/>
                <w:szCs w:val="18"/>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$12,626</w:t>
            </w:r>
          </w:p>
        </w:tc>
        <w:tc>
          <w:tcPr>
            <w:tcW w:w="180" w:type="dxa"/>
            <w:vAlign w:val="bottom"/>
            <w:shd w:val="clear" w:color="auto" w:fill="D9D9D6"/>
          </w:tcPr>
          <w:p>
            <w:pPr>
              <w:spacing w:after="0"/>
              <w:rPr>
                <w:sz w:val="18"/>
                <w:szCs w:val="18"/>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$11,511</w:t>
            </w:r>
          </w:p>
        </w:tc>
        <w:tc>
          <w:tcPr>
            <w:tcW w:w="260" w:type="dxa"/>
            <w:vAlign w:val="bottom"/>
            <w:shd w:val="clear" w:color="auto" w:fill="D9D9D6"/>
          </w:tcPr>
          <w:p>
            <w:pPr>
              <w:spacing w:after="0"/>
              <w:rPr>
                <w:sz w:val="18"/>
                <w:szCs w:val="18"/>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9.7 %</w:t>
            </w:r>
          </w:p>
        </w:tc>
        <w:tc>
          <w:tcPr>
            <w:tcW w:w="120" w:type="dxa"/>
            <w:vAlign w:val="bottom"/>
            <w:shd w:val="clear" w:color="auto" w:fill="D9D9D6"/>
          </w:tcPr>
          <w:p>
            <w:pPr>
              <w:spacing w:after="0"/>
              <w:rPr>
                <w:sz w:val="18"/>
                <w:szCs w:val="18"/>
                <w:color w:val="auto"/>
              </w:rPr>
            </w:pPr>
          </w:p>
        </w:tc>
      </w:tr>
      <w:tr>
        <w:trPr>
          <w:trHeight w:val="203"/>
        </w:trPr>
        <w:tc>
          <w:tcPr>
            <w:tcW w:w="466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$9,482</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$8,957</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5.9 %</w:t>
            </w:r>
          </w:p>
        </w:tc>
        <w:tc>
          <w:tcPr>
            <w:tcW w:w="280" w:type="dxa"/>
            <w:vAlign w:val="bottom"/>
            <w:tcBorders>
              <w:right w:val="single" w:sz="8" w:color="828282"/>
            </w:tcBorders>
            <w:shd w:val="clear" w:color="auto" w:fill="D9D9D6"/>
          </w:tcPr>
          <w:p>
            <w:pPr>
              <w:spacing w:after="0"/>
              <w:rPr>
                <w:sz w:val="17"/>
                <w:szCs w:val="17"/>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$28,459</w:t>
            </w:r>
          </w:p>
        </w:tc>
        <w:tc>
          <w:tcPr>
            <w:tcW w:w="180" w:type="dxa"/>
            <w:vAlign w:val="bottom"/>
            <w:shd w:val="clear" w:color="auto" w:fill="D9D9D6"/>
          </w:tcPr>
          <w:p>
            <w:pPr>
              <w:spacing w:after="0"/>
              <w:rPr>
                <w:sz w:val="17"/>
                <w:szCs w:val="17"/>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$26,297</w:t>
            </w:r>
          </w:p>
        </w:tc>
        <w:tc>
          <w:tcPr>
            <w:tcW w:w="26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8.2 %</w:t>
            </w:r>
          </w:p>
        </w:tc>
        <w:tc>
          <w:tcPr>
            <w:tcW w:w="120" w:type="dxa"/>
            <w:vAlign w:val="bottom"/>
            <w:shd w:val="clear" w:color="auto" w:fill="D9D9D6"/>
          </w:tcPr>
          <w:p>
            <w:pPr>
              <w:spacing w:after="0"/>
              <w:rPr>
                <w:sz w:val="17"/>
                <w:szCs w:val="17"/>
                <w:color w:val="auto"/>
              </w:rPr>
            </w:pPr>
          </w:p>
        </w:tc>
      </w:tr>
      <w:tr>
        <w:trPr>
          <w:trHeight w:val="203"/>
        </w:trPr>
        <w:tc>
          <w:tcPr>
            <w:tcW w:w="466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Earnings (loss) per Share</w:t>
            </w:r>
            <w:r>
              <w:rPr>
                <w:rFonts w:ascii="Arial" w:cs="Arial" w:eastAsia="Arial" w:hAnsi="Arial"/>
                <w:sz w:val="18"/>
                <w:szCs w:val="18"/>
                <w:color w:val="auto"/>
                <w:vertAlign w:val="superscript"/>
              </w:rPr>
              <w:t>3</w:t>
            </w:r>
          </w:p>
        </w:tc>
        <w:tc>
          <w:tcPr>
            <w:tcW w:w="94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($1.05)</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$0.86</w:t>
            </w:r>
          </w:p>
        </w:tc>
        <w:tc>
          <w:tcPr>
            <w:tcW w:w="580" w:type="dxa"/>
            <w:vAlign w:val="bottom"/>
            <w:shd w:val="clear" w:color="auto" w:fill="D9D9D6"/>
          </w:tcPr>
          <w:p>
            <w:pPr>
              <w:spacing w:after="0"/>
              <w:rPr>
                <w:sz w:val="17"/>
                <w:szCs w:val="17"/>
                <w:color w:val="auto"/>
              </w:rPr>
            </w:pPr>
          </w:p>
        </w:tc>
        <w:tc>
          <w:tcPr>
            <w:tcW w:w="780" w:type="dxa"/>
            <w:vAlign w:val="bottom"/>
            <w:tcBorders>
              <w:right w:val="single" w:sz="8" w:color="828282"/>
            </w:tcBorders>
            <w:gridSpan w:val="3"/>
            <w:shd w:val="clear" w:color="auto" w:fill="D9D9D6"/>
          </w:tcPr>
          <w:p>
            <w:pPr>
              <w:jc w:val="center"/>
              <w:spacing w:after="0"/>
              <w:rPr>
                <w:sz w:val="20"/>
                <w:szCs w:val="20"/>
                <w:color w:val="auto"/>
              </w:rPr>
            </w:pPr>
            <w:r>
              <w:rPr>
                <w:rFonts w:ascii="Arial" w:cs="Arial" w:eastAsia="Arial" w:hAnsi="Arial"/>
                <w:sz w:val="14"/>
                <w:szCs w:val="14"/>
                <w:color w:val="auto"/>
              </w:rPr>
              <w:t>NM</w:t>
            </w: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$0.52</w:t>
            </w:r>
          </w:p>
        </w:tc>
        <w:tc>
          <w:tcPr>
            <w:tcW w:w="180" w:type="dxa"/>
            <w:vAlign w:val="bottom"/>
            <w:shd w:val="clear" w:color="auto" w:fill="D9D9D6"/>
          </w:tcPr>
          <w:p>
            <w:pPr>
              <w:spacing w:after="0"/>
              <w:rPr>
                <w:sz w:val="17"/>
                <w:szCs w:val="17"/>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$2.38</w:t>
            </w:r>
          </w:p>
        </w:tc>
        <w:tc>
          <w:tcPr>
            <w:tcW w:w="26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(78.2 %)</w:t>
            </w:r>
          </w:p>
        </w:tc>
        <w:tc>
          <w:tcPr>
            <w:tcW w:w="120" w:type="dxa"/>
            <w:vAlign w:val="bottom"/>
            <w:shd w:val="clear" w:color="auto" w:fill="D9D9D6"/>
          </w:tcPr>
          <w:p>
            <w:pPr>
              <w:spacing w:after="0"/>
              <w:rPr>
                <w:sz w:val="17"/>
                <w:szCs w:val="17"/>
                <w:color w:val="auto"/>
              </w:rPr>
            </w:pPr>
          </w:p>
        </w:tc>
      </w:tr>
      <w:tr>
        <w:trPr>
          <w:trHeight w:val="203"/>
        </w:trPr>
        <w:tc>
          <w:tcPr>
            <w:tcW w:w="466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$0.96</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$0.87</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10.3</w:t>
            </w:r>
          </w:p>
        </w:tc>
        <w:tc>
          <w:tcPr>
            <w:tcW w:w="180" w:type="dxa"/>
            <w:vAlign w:val="bottom"/>
            <w:shd w:val="clear" w:color="auto" w:fill="D9D9D6"/>
          </w:tcPr>
          <w:p>
            <w:pPr>
              <w:jc w:val="center"/>
              <w:spacing w:after="0"/>
              <w:rPr>
                <w:sz w:val="20"/>
                <w:szCs w:val="20"/>
                <w:color w:val="auto"/>
              </w:rPr>
            </w:pPr>
            <w:r>
              <w:rPr>
                <w:rFonts w:ascii="Arial" w:cs="Arial" w:eastAsia="Arial" w:hAnsi="Arial"/>
                <w:sz w:val="14"/>
                <w:szCs w:val="14"/>
                <w:color w:val="auto"/>
                <w:w w:val="96"/>
              </w:rPr>
              <w:t>%</w:t>
            </w:r>
          </w:p>
        </w:tc>
        <w:tc>
          <w:tcPr>
            <w:tcW w:w="280" w:type="dxa"/>
            <w:vAlign w:val="bottom"/>
            <w:tcBorders>
              <w:right w:val="single" w:sz="8" w:color="828282"/>
            </w:tcBorders>
            <w:shd w:val="clear" w:color="auto" w:fill="D9D9D6"/>
          </w:tcPr>
          <w:p>
            <w:pPr>
              <w:spacing w:after="0"/>
              <w:rPr>
                <w:sz w:val="17"/>
                <w:szCs w:val="17"/>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$2.82</w:t>
            </w:r>
          </w:p>
        </w:tc>
        <w:tc>
          <w:tcPr>
            <w:tcW w:w="180" w:type="dxa"/>
            <w:vAlign w:val="bottom"/>
            <w:shd w:val="clear" w:color="auto" w:fill="D9D9D6"/>
          </w:tcPr>
          <w:p>
            <w:pPr>
              <w:spacing w:after="0"/>
              <w:rPr>
                <w:sz w:val="17"/>
                <w:szCs w:val="17"/>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$2.47</w:t>
            </w:r>
          </w:p>
        </w:tc>
        <w:tc>
          <w:tcPr>
            <w:tcW w:w="26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14.2 %</w:t>
            </w:r>
          </w:p>
        </w:tc>
        <w:tc>
          <w:tcPr>
            <w:tcW w:w="120" w:type="dxa"/>
            <w:vAlign w:val="bottom"/>
            <w:shd w:val="clear" w:color="auto" w:fill="D9D9D6"/>
          </w:tcPr>
          <w:p>
            <w:pPr>
              <w:spacing w:after="0"/>
              <w:rPr>
                <w:sz w:val="17"/>
                <w:szCs w:val="17"/>
                <w:color w:val="auto"/>
              </w:rPr>
            </w:pPr>
          </w:p>
        </w:tc>
      </w:tr>
      <w:tr>
        <w:trPr>
          <w:trHeight w:val="194"/>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$6,947</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$6,100</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13.9</w:t>
            </w:r>
          </w:p>
        </w:tc>
        <w:tc>
          <w:tcPr>
            <w:tcW w:w="180" w:type="dxa"/>
            <w:vAlign w:val="bottom"/>
            <w:shd w:val="clear" w:color="auto" w:fill="D9D9D6"/>
          </w:tcPr>
          <w:p>
            <w:pPr>
              <w:jc w:val="center"/>
              <w:spacing w:after="0"/>
              <w:rPr>
                <w:sz w:val="20"/>
                <w:szCs w:val="20"/>
                <w:color w:val="auto"/>
              </w:rPr>
            </w:pPr>
            <w:r>
              <w:rPr>
                <w:rFonts w:ascii="Arial" w:cs="Arial" w:eastAsia="Arial" w:hAnsi="Arial"/>
                <w:sz w:val="14"/>
                <w:szCs w:val="14"/>
                <w:color w:val="auto"/>
                <w:w w:val="96"/>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$20,530</w:t>
            </w:r>
          </w:p>
        </w:tc>
        <w:tc>
          <w:tcPr>
            <w:tcW w:w="180" w:type="dxa"/>
            <w:vAlign w:val="bottom"/>
            <w:shd w:val="clear" w:color="auto" w:fill="D9D9D6"/>
          </w:tcPr>
          <w:p>
            <w:pPr>
              <w:spacing w:after="0"/>
              <w:rPr>
                <w:sz w:val="16"/>
                <w:szCs w:val="16"/>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$21,457</w:t>
            </w:r>
          </w:p>
        </w:tc>
        <w:tc>
          <w:tcPr>
            <w:tcW w:w="26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(4.3 %)</w:t>
            </w:r>
          </w:p>
        </w:tc>
        <w:tc>
          <w:tcPr>
            <w:tcW w:w="120" w:type="dxa"/>
            <w:vAlign w:val="bottom"/>
            <w:shd w:val="clear" w:color="auto" w:fill="D9D9D6"/>
          </w:tcPr>
          <w:p>
            <w:pPr>
              <w:spacing w:after="0"/>
              <w:rPr>
                <w:sz w:val="16"/>
                <w:szCs w:val="16"/>
                <w:color w:val="auto"/>
              </w:rPr>
            </w:pPr>
          </w:p>
        </w:tc>
      </w:tr>
      <w:tr>
        <w:trPr>
          <w:trHeight w:val="211"/>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$3,387</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$3,234</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4.7</w:t>
            </w:r>
          </w:p>
        </w:tc>
        <w:tc>
          <w:tcPr>
            <w:tcW w:w="180" w:type="dxa"/>
            <w:vAlign w:val="bottom"/>
            <w:shd w:val="clear" w:color="auto" w:fill="D9D9D6"/>
          </w:tcPr>
          <w:p>
            <w:pPr>
              <w:jc w:val="center"/>
              <w:spacing w:after="0"/>
              <w:rPr>
                <w:sz w:val="20"/>
                <w:szCs w:val="20"/>
                <w:color w:val="auto"/>
              </w:rPr>
            </w:pPr>
            <w:r>
              <w:rPr>
                <w:rFonts w:ascii="Arial" w:cs="Arial" w:eastAsia="Arial" w:hAnsi="Arial"/>
                <w:sz w:val="14"/>
                <w:szCs w:val="14"/>
                <w:color w:val="auto"/>
                <w:w w:val="96"/>
              </w:rPr>
              <w:t>%</w:t>
            </w:r>
          </w:p>
        </w:tc>
        <w:tc>
          <w:tcPr>
            <w:tcW w:w="280" w:type="dxa"/>
            <w:vAlign w:val="bottom"/>
            <w:tcBorders>
              <w:right w:val="single" w:sz="8" w:color="828282"/>
            </w:tcBorders>
            <w:shd w:val="clear" w:color="auto" w:fill="D9D9D6"/>
          </w:tcPr>
          <w:p>
            <w:pPr>
              <w:spacing w:after="0"/>
              <w:rPr>
                <w:sz w:val="18"/>
                <w:szCs w:val="18"/>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$11,316</w:t>
            </w:r>
          </w:p>
        </w:tc>
        <w:tc>
          <w:tcPr>
            <w:tcW w:w="180" w:type="dxa"/>
            <w:vAlign w:val="bottom"/>
            <w:shd w:val="clear" w:color="auto" w:fill="D9D9D6"/>
          </w:tcPr>
          <w:p>
            <w:pPr>
              <w:spacing w:after="0"/>
              <w:rPr>
                <w:sz w:val="18"/>
                <w:szCs w:val="18"/>
                <w:color w:val="auto"/>
              </w:rPr>
            </w:pPr>
          </w:p>
        </w:tc>
        <w:tc>
          <w:tcPr>
            <w:tcW w:w="8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$13,305</w:t>
            </w:r>
          </w:p>
        </w:tc>
        <w:tc>
          <w:tcPr>
            <w:tcW w:w="260" w:type="dxa"/>
            <w:vAlign w:val="bottom"/>
            <w:shd w:val="clear" w:color="auto" w:fill="D9D9D6"/>
          </w:tcPr>
          <w:p>
            <w:pPr>
              <w:spacing w:after="0"/>
              <w:rPr>
                <w:sz w:val="18"/>
                <w:szCs w:val="18"/>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(14.9 %)</w:t>
            </w:r>
          </w:p>
        </w:tc>
        <w:tc>
          <w:tcPr>
            <w:tcW w:w="120" w:type="dxa"/>
            <w:vAlign w:val="bottom"/>
            <w:shd w:val="clear" w:color="auto" w:fill="D9D9D6"/>
          </w:tcPr>
          <w:p>
            <w:pPr>
              <w:spacing w:after="0"/>
              <w:rPr>
                <w:sz w:val="18"/>
                <w:szCs w:val="18"/>
                <w:color w:val="auto"/>
              </w:rPr>
            </w:pPr>
          </w:p>
        </w:tc>
      </w:tr>
      <w:tr>
        <w:trPr>
          <w:trHeight w:val="202"/>
        </w:trPr>
        <w:tc>
          <w:tcPr>
            <w:tcW w:w="4660" w:type="dxa"/>
            <w:vAlign w:val="bottom"/>
            <w:shd w:val="clear" w:color="auto" w:fill="D9D9D6"/>
          </w:tcPr>
          <w:p>
            <w:pPr>
              <w:ind w:left="120"/>
              <w:spacing w:after="0"/>
              <w:rPr>
                <w:sz w:val="20"/>
                <w:szCs w:val="20"/>
                <w:color w:val="auto"/>
              </w:rPr>
            </w:pPr>
            <w:r>
              <w:rPr>
                <w:rFonts w:ascii="Arial" w:cs="Arial" w:eastAsia="Arial" w:hAnsi="Arial"/>
                <w:sz w:val="14"/>
                <w:szCs w:val="14"/>
                <w:color w:val="auto"/>
              </w:rPr>
              <w:t>NM=comparison not meaningful.</w:t>
            </w:r>
          </w:p>
        </w:tc>
        <w:tc>
          <w:tcPr>
            <w:tcW w:w="60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80" w:type="dxa"/>
            <w:vAlign w:val="bottom"/>
            <w:tcBorders>
              <w:right w:val="single" w:sz="8" w:color="D9D9D6"/>
            </w:tcBorders>
            <w:shd w:val="clear" w:color="auto" w:fill="D9D9D6"/>
          </w:tcPr>
          <w:p>
            <w:pPr>
              <w:spacing w:after="0"/>
              <w:rPr>
                <w:sz w:val="17"/>
                <w:szCs w:val="17"/>
                <w:color w:val="auto"/>
              </w:rPr>
            </w:pPr>
          </w:p>
        </w:tc>
        <w:tc>
          <w:tcPr>
            <w:tcW w:w="8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440" w:type="dxa"/>
            <w:vAlign w:val="bottom"/>
            <w:shd w:val="clear" w:color="auto" w:fill="D9D9D6"/>
          </w:tcPr>
          <w:p>
            <w:pPr>
              <w:spacing w:after="0"/>
              <w:rPr>
                <w:sz w:val="17"/>
                <w:szCs w:val="17"/>
                <w:color w:val="auto"/>
              </w:rPr>
            </w:pPr>
          </w:p>
        </w:tc>
        <w:tc>
          <w:tcPr>
            <w:tcW w:w="360" w:type="dxa"/>
            <w:vAlign w:val="bottom"/>
            <w:tcBorders>
              <w:right w:val="single" w:sz="8" w:color="D9D9D6"/>
            </w:tcBorders>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72"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3rd Quarter 2022 Highlights:</w:t>
      </w:r>
    </w:p>
    <w:p>
      <w:pPr>
        <w:spacing w:after="0" w:line="40"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5.9% to $9.5 Billion; Generated Free Cash Flow of $3.4 Billion</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$4.7 Billion to Shareholders Through a Combination of $1.2 Billion in Dividend Payments and $3.5 Billion in Share Repurchases</w:t>
      </w:r>
    </w:p>
    <w:p>
      <w:pPr>
        <w:ind w:left="340" w:hanging="332"/>
        <w:spacing w:after="0" w:line="25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5.4% and Adjusted EBITDA per Customer Relationship Increased 4.0%; Adjusted EBITDA Margin Increased 120 Basis Points to 45.1%, Its Highest on Record</w:t>
      </w:r>
    </w:p>
    <w:p>
      <w:pPr>
        <w:ind w:left="340" w:right="20" w:hanging="332"/>
        <w:spacing w:after="0" w:line="24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Relationships of 34.4 Million and Total Broadband Customers of 32.2 Million Were Consistent with the Prior Quarter and Increased 0.9% and 1.5%, Respectively, Compared to the Prior Year Period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Wireless Customer Line Net Additions Were 333,000, the Best Quarterly Result on Record</w:t>
      </w:r>
    </w:p>
    <w:p>
      <w:pPr>
        <w:spacing w:after="0" w:line="13"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Started Rolling Out Multi-Gig Broadband Speeds in Markets Across the U.S. and Announced the Launch of Even Faster, Multi-Gig Symmetrical Speeds Beginning in 2023</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Adjusted EBITDA Increased 24.6% to $1.7 Billion, Including Peacock Losses</w:t>
      </w:r>
    </w:p>
    <w:p>
      <w:pPr>
        <w:spacing w:after="0" w:line="26"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Paid Subscribers in the U.S. Surpassed 15 Million; Increased Nearly 70% Year to Date</w:t>
      </w:r>
    </w:p>
    <w:p>
      <w:pPr>
        <w:spacing w:after="0" w:line="31" w:lineRule="exact"/>
        <w:rPr>
          <w:rFonts w:ascii="Arial" w:cs="Arial" w:eastAsia="Arial" w:hAnsi="Arial"/>
          <w:sz w:val="18"/>
          <w:szCs w:val="18"/>
          <w:color w:val="auto"/>
        </w:rPr>
      </w:pPr>
    </w:p>
    <w:p>
      <w:pPr>
        <w:ind w:left="340" w:right="2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Studios Adjusted EBITDA Increased $358 Million to $537 Million, Driven by the Successful Theatrical Performance of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Dominion </w:t>
      </w:r>
      <w:r>
        <w:rPr>
          <w:rFonts w:ascii="Arial" w:cs="Arial" w:eastAsia="Arial" w:hAnsi="Arial"/>
          <w:sz w:val="18"/>
          <w:szCs w:val="18"/>
          <w:color w:val="auto"/>
        </w:rPr>
        <w:t>and</w:t>
      </w:r>
      <w:r>
        <w:rPr>
          <w:rFonts w:ascii="Arial" w:cs="Arial" w:eastAsia="Arial" w:hAnsi="Arial"/>
          <w:sz w:val="18"/>
          <w:szCs w:val="18"/>
          <w:i w:val="1"/>
          <w:iCs w:val="1"/>
          <w:color w:val="auto"/>
        </w:rPr>
        <w:t xml:space="preserve"> Minions: The Rise of Gru</w:t>
      </w:r>
    </w:p>
    <w:p>
      <w:pPr>
        <w:ind w:left="340" w:hanging="332"/>
        <w:spacing w:after="0" w:line="26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Theme Parks Adjusted EBITDA Increased 88.6% to $819 Million, Its Highest Adjusted EBITDA on Record, Reflecting Growth at Each Park Compared to the Prior Year Period</w:t>
      </w:r>
    </w:p>
    <w:p>
      <w:pPr>
        <w:spacing w:after="0" w:line="1" w:lineRule="exact"/>
        <w:rPr>
          <w:rFonts w:ascii="Arial" w:cs="Arial" w:eastAsia="Arial" w:hAnsi="Arial"/>
          <w:sz w:val="18"/>
          <w:szCs w:val="18"/>
          <w:color w:val="auto"/>
        </w:rPr>
      </w:pPr>
    </w:p>
    <w:p>
      <w:pPr>
        <w:ind w:left="340" w:right="20" w:hanging="332"/>
        <w:spacing w:after="0" w:line="28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Sky Revenue Decreased 14.7% to $4.3 Billion; On a Constant Currency Basis, Revenue Was Consistent with the Prior Year Period. Adjusted EBITDA in the Third Quarter Reflected the Timing of Sporting Events and the Corresponding Programming Amortization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ind w:left="340" w:hanging="332"/>
        <w:spacing w:after="0" w:line="237" w:lineRule="auto"/>
        <w:tabs>
          <w:tab w:leader="none" w:pos="335"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SkyShowtime, the Previously Announced Joint Venture with Paramount Global, Launched in September, Bringing its Premium Offering of Exclusive and Iconic Entertainment to Millions of Homes in Europe Outside of Sky's Territories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third quarter of 2022 decreased 1.5% to $29.8 billion.</w:t>
      </w:r>
      <w:r>
        <w:rPr>
          <w:rFonts w:ascii="Arial" w:cs="Arial" w:eastAsia="Arial" w:hAnsi="Arial"/>
          <w:sz w:val="18"/>
          <w:szCs w:val="18"/>
          <w:b w:val="1"/>
          <w:bCs w:val="1"/>
          <w:i w:val="1"/>
          <w:iCs w:val="1"/>
          <w:color w:val="auto"/>
        </w:rPr>
        <w:t xml:space="preserve"> Net Income (loss) Attributable to Comcast </w:t>
      </w:r>
      <w:r>
        <w:rPr>
          <w:rFonts w:ascii="Arial" w:cs="Arial" w:eastAsia="Arial" w:hAnsi="Arial"/>
          <w:sz w:val="18"/>
          <w:szCs w:val="18"/>
          <w:color w:val="auto"/>
        </w:rPr>
        <w:t>was $(4.6)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compared to $4.0 billion in the prior year period.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increased 4.5% to $4.2 billion.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5.9% to $9.5 billion.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third quarter of 2022 we recorded noncash impairment charges related to goodwill and intangible assets in our Sky segment totaling $8.6 billion. The impairments primarily reflected an increased discount rate and reduced estimated future cash flows as a result of macroeconomic conditions in Sky's territories, are recorded in "Goodwill and long-lived asset impairments" in the Condensed Consolidated Statement of Income and are excluded from Adjusted Net Income and Adjusted Earnings per Share.</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nine months ended September 30, 2022, revenue increased 5.6% to $90.9 billion. Net income attributable to Comcast decreased 78.9% to $2.3 billion. Adjusted Net Income increased 9.7% to $12.6 billion. Adjusted EBITDA increased 8.2% to $28.5 billion.</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Earnings (loss) per Share (EPS) </w:t>
      </w:r>
      <w:r>
        <w:rPr>
          <w:rFonts w:ascii="Arial" w:cs="Arial" w:eastAsia="Arial" w:hAnsi="Arial"/>
          <w:sz w:val="18"/>
          <w:szCs w:val="18"/>
          <w:color w:val="auto"/>
        </w:rPr>
        <w:t>for the third quarter of 2022 was ($1.05), compared to $0.86 in the prior year period.</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10.3% to $0.96.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2022, EPS decreased 78.2% to $0.52. Adjusted EPS increased 14.2% to $2.82.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30.3% to $2.8 billion in the third quarter of 2022. Cable Communications’ capital expenditures increased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20.8% to $2.0 billion. NBCUniversal’s capital expenditures increased $385 million to $614 million. Sky's capital expenditures decreased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39.8% to $96 million.</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2022, capital expenditures increased 14.9% to $7.1 billion. Cable Communications' capital expenditures increased 9.0% to $5.2 billion. NBCUniversal's capital expenditures increased $799 million to $1.4 billion. Sky's capital expenditures decreased 39.3% to $373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$6.9 billion in the third quarter of 2022.</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$3.4 billion.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2022, net cash provided by operating activities was $20.5 billion. Free cash flow was $11.3 billion.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In September 2022, Comcast announced that its Board of Directors increased its share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authorization to a total of $20.0 billion, effective as of September 13, 2022, and that the authorization does not have an expiration date. As of September 30, 2022, Comcast had $19.5 billion available under its share repurchase authorization.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third quarter of 2022, Comcast paid dividends totaling $1.2 billion and repurchased 92.3 million of its common shares for $3.5 billion, resulting in a total return of capital to shareholders of $4.7 billion, compared to $2.7 billion in the prior year period.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2022, Comcast paid dividends totaling $3.6 billion and repurchased 225.7 million of its common shares for $9.5 billion, resulting in a total return of capital to shareholders of $13.1 billion, compared to $5.4 billion in 2021.</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620"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0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64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8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66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120" w:type="dxa"/>
            <w:vAlign w:val="bottom"/>
            <w:shd w:val="clear" w:color="auto" w:fill="D9D9D6"/>
          </w:tcPr>
          <w:p>
            <w:pPr>
              <w:spacing w:after="0"/>
              <w:rPr>
                <w:sz w:val="14"/>
                <w:szCs w:val="14"/>
                <w:color w:val="auto"/>
              </w:rPr>
            </w:pPr>
          </w:p>
        </w:tc>
        <w:tc>
          <w:tcPr>
            <w:tcW w:w="4000" w:type="dxa"/>
            <w:vAlign w:val="bottom"/>
            <w:shd w:val="clear" w:color="auto" w:fill="D9D9D6"/>
          </w:tcPr>
          <w:p>
            <w:pPr>
              <w:spacing w:after="0"/>
              <w:rPr>
                <w:sz w:val="14"/>
                <w:szCs w:val="14"/>
                <w:color w:val="auto"/>
              </w:rPr>
            </w:pPr>
          </w:p>
        </w:tc>
        <w:tc>
          <w:tcPr>
            <w:tcW w:w="7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98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3rd Quarter</w:t>
            </w: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80" w:type="dxa"/>
            <w:vAlign w:val="bottom"/>
            <w:tcBorders>
              <w:right w:val="single" w:sz="8" w:color="97999B"/>
            </w:tcBorders>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8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140" w:type="dxa"/>
            <w:vAlign w:val="bottom"/>
            <w:gridSpan w:val="5"/>
            <w:shd w:val="clear" w:color="auto" w:fill="D9D9D6"/>
          </w:tcPr>
          <w:p>
            <w:pPr>
              <w:jc w:val="right"/>
              <w:ind w:right="220"/>
              <w:spacing w:after="0"/>
              <w:rPr>
                <w:sz w:val="20"/>
                <w:szCs w:val="20"/>
                <w:color w:val="auto"/>
              </w:rPr>
            </w:pPr>
            <w:r>
              <w:rPr>
                <w:rFonts w:ascii="Arial" w:cs="Arial" w:eastAsia="Arial" w:hAnsi="Arial"/>
                <w:sz w:val="14"/>
                <w:szCs w:val="14"/>
                <w:color w:val="auto"/>
              </w:rPr>
              <w:t>Year to Date</w:t>
            </w: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000" w:type="dxa"/>
            <w:vAlign w:val="bottom"/>
            <w:shd w:val="clear" w:color="auto" w:fill="D9D9D6"/>
          </w:tcPr>
          <w:p>
            <w:pPr>
              <w:spacing w:after="0" w:line="20" w:lineRule="exact"/>
              <w:rPr>
                <w:sz w:val="1"/>
                <w:szCs w:val="1"/>
                <w:color w:val="auto"/>
              </w:rPr>
            </w:pPr>
          </w:p>
        </w:tc>
        <w:tc>
          <w:tcPr>
            <w:tcW w:w="7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80" w:type="dxa"/>
            <w:vAlign w:val="bottom"/>
            <w:tcBorders>
              <w:right w:val="single" w:sz="8" w:color="97999B"/>
            </w:tcBorders>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000" w:type="dxa"/>
            <w:vAlign w:val="bottom"/>
            <w:shd w:val="clear" w:color="auto" w:fill="D9D9D6"/>
          </w:tcPr>
          <w:p>
            <w:pPr>
              <w:spacing w:after="0"/>
              <w:rPr>
                <w:sz w:val="15"/>
                <w:szCs w:val="15"/>
                <w:color w:val="auto"/>
              </w:rPr>
            </w:pP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D9D9D6"/>
          </w:tcPr>
          <w:p>
            <w:pPr>
              <w:spacing w:after="0"/>
              <w:rPr>
                <w:sz w:val="15"/>
                <w:szCs w:val="15"/>
                <w:color w:val="auto"/>
              </w:rPr>
            </w:pPr>
          </w:p>
        </w:tc>
        <w:tc>
          <w:tcPr>
            <w:tcW w:w="9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540" w:type="dxa"/>
            <w:vAlign w:val="bottom"/>
            <w:shd w:val="clear" w:color="auto" w:fill="D9D9D6"/>
          </w:tcPr>
          <w:p>
            <w:pPr>
              <w:spacing w:after="0"/>
              <w:rPr>
                <w:sz w:val="15"/>
                <w:szCs w:val="15"/>
                <w:color w:val="auto"/>
              </w:rPr>
            </w:pPr>
          </w:p>
        </w:tc>
        <w:tc>
          <w:tcPr>
            <w:tcW w:w="52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Change</w:t>
            </w:r>
          </w:p>
        </w:tc>
        <w:tc>
          <w:tcPr>
            <w:tcW w:w="180" w:type="dxa"/>
            <w:vAlign w:val="bottom"/>
            <w:tcBorders>
              <w:right w:val="single" w:sz="8" w:color="97999B"/>
            </w:tcBorders>
            <w:shd w:val="clear" w:color="auto" w:fill="D9D9D6"/>
          </w:tcPr>
          <w:p>
            <w:pPr>
              <w:spacing w:after="0"/>
              <w:rPr>
                <w:sz w:val="15"/>
                <w:szCs w:val="15"/>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180" w:type="dxa"/>
            <w:vAlign w:val="bottom"/>
            <w:gridSpan w:val="5"/>
            <w:shd w:val="clear" w:color="auto" w:fill="D9D9D6"/>
          </w:tcPr>
          <w:p>
            <w:pPr>
              <w:ind w:left="54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400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7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64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right w:val="single" w:sz="8" w:color="97999B"/>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8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66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Broadband</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$6,135</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$5,801</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$18,292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$17,118</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6.9 %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Video</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5,255</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5,499</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16,214</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16,676</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(2.8 %)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Voice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745</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851</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2,293</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2,592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(11.5 %)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Wireless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789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603</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30.8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2,188</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1,672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30.9 %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Business Services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2,436</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2,227</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7,256</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6,597</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756</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705</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2,174</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2,002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8.6 %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40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423</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427</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(0.9</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right w:val="single" w:sz="8" w:color="97999B"/>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1,263</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1,265</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(0.2</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$16,539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$16,115</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2.6</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$49,680</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$47,922</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3.7</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9"/>
        </w:trPr>
        <w:tc>
          <w:tcPr>
            <w:tcW w:w="120" w:type="dxa"/>
            <w:vAlign w:val="bottom"/>
            <w:shd w:val="clear" w:color="auto" w:fill="D9D9D6"/>
          </w:tcPr>
          <w:p>
            <w:pPr>
              <w:spacing w:after="0"/>
              <w:rPr>
                <w:sz w:val="24"/>
                <w:szCs w:val="24"/>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$7,452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$7,069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5.4 %</w:t>
            </w:r>
          </w:p>
        </w:tc>
        <w:tc>
          <w:tcPr>
            <w:tcW w:w="20" w:type="dxa"/>
            <w:vAlign w:val="bottom"/>
            <w:shd w:val="clear" w:color="auto" w:fill="D9D9D6"/>
          </w:tcPr>
          <w:p>
            <w:pPr>
              <w:spacing w:after="0"/>
              <w:rPr>
                <w:sz w:val="24"/>
                <w:szCs w:val="24"/>
                <w:color w:val="auto"/>
              </w:rPr>
            </w:pPr>
          </w:p>
        </w:tc>
        <w:tc>
          <w:tcPr>
            <w:tcW w:w="18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$22,172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$20,972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5.7 %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6"/>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45.1 %</w:t>
            </w:r>
          </w:p>
        </w:tc>
        <w:tc>
          <w:tcPr>
            <w:tcW w:w="20" w:type="dxa"/>
            <w:vAlign w:val="bottom"/>
            <w:shd w:val="clear" w:color="auto" w:fill="D9D9D6"/>
          </w:tcPr>
          <w:p>
            <w:pPr>
              <w:spacing w:after="0"/>
              <w:rPr>
                <w:sz w:val="17"/>
                <w:szCs w:val="17"/>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43.9 %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44.6 %</w:t>
            </w:r>
          </w:p>
        </w:tc>
        <w:tc>
          <w:tcPr>
            <w:tcW w:w="20" w:type="dxa"/>
            <w:vAlign w:val="bottom"/>
            <w:shd w:val="clear" w:color="auto" w:fill="D9D9D6"/>
          </w:tcPr>
          <w:p>
            <w:pPr>
              <w:spacing w:after="0"/>
              <w:rPr>
                <w:sz w:val="17"/>
                <w:szCs w:val="17"/>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43.8 %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25"/>
        </w:trPr>
        <w:tc>
          <w:tcPr>
            <w:tcW w:w="120" w:type="dxa"/>
            <w:vAlign w:val="bottom"/>
            <w:shd w:val="clear" w:color="auto" w:fill="D9D9D6"/>
          </w:tcPr>
          <w:p>
            <w:pPr>
              <w:spacing w:after="0"/>
              <w:rPr>
                <w:sz w:val="24"/>
                <w:szCs w:val="24"/>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$1,673</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20.8 %</w:t>
            </w:r>
          </w:p>
        </w:tc>
        <w:tc>
          <w:tcPr>
            <w:tcW w:w="20" w:type="dxa"/>
            <w:vAlign w:val="bottom"/>
            <w:shd w:val="clear" w:color="auto" w:fill="D9D9D6"/>
          </w:tcPr>
          <w:p>
            <w:pPr>
              <w:spacing w:after="0"/>
              <w:rPr>
                <w:sz w:val="24"/>
                <w:szCs w:val="24"/>
                <w:color w:val="auto"/>
              </w:rPr>
            </w:pPr>
          </w:p>
        </w:tc>
        <w:tc>
          <w:tcPr>
            <w:tcW w:w="18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$5,164</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$4,739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9.0 %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4"/>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Percent of Cable Communications Revenue</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12.2 %</w:t>
            </w:r>
          </w:p>
        </w:tc>
        <w:tc>
          <w:tcPr>
            <w:tcW w:w="20" w:type="dxa"/>
            <w:vAlign w:val="bottom"/>
            <w:shd w:val="clear" w:color="auto" w:fill="D9D9D6"/>
          </w:tcPr>
          <w:p>
            <w:pPr>
              <w:spacing w:after="0"/>
              <w:rPr>
                <w:sz w:val="17"/>
                <w:szCs w:val="17"/>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10.4 %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10.4 %</w:t>
            </w:r>
          </w:p>
        </w:tc>
        <w:tc>
          <w:tcPr>
            <w:tcW w:w="20" w:type="dxa"/>
            <w:vAlign w:val="bottom"/>
            <w:shd w:val="clear" w:color="auto" w:fill="D9D9D6"/>
          </w:tcPr>
          <w:p>
            <w:pPr>
              <w:spacing w:after="0"/>
              <w:rPr>
                <w:sz w:val="17"/>
                <w:szCs w:val="17"/>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9.9 %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95"/>
        </w:trPr>
        <w:tc>
          <w:tcPr>
            <w:tcW w:w="120" w:type="dxa"/>
            <w:vAlign w:val="bottom"/>
            <w:shd w:val="clear" w:color="auto" w:fill="D9D9D6"/>
          </w:tcPr>
          <w:p>
            <w:pPr>
              <w:spacing w:after="0"/>
              <w:rPr>
                <w:sz w:val="8"/>
                <w:szCs w:val="8"/>
                <w:color w:val="auto"/>
              </w:rPr>
            </w:pPr>
          </w:p>
        </w:tc>
        <w:tc>
          <w:tcPr>
            <w:tcW w:w="4000" w:type="dxa"/>
            <w:vAlign w:val="bottom"/>
            <w:shd w:val="clear" w:color="auto" w:fill="D9D9D6"/>
          </w:tcPr>
          <w:p>
            <w:pPr>
              <w:spacing w:after="0"/>
              <w:rPr>
                <w:sz w:val="8"/>
                <w:szCs w:val="8"/>
                <w:color w:val="auto"/>
              </w:rPr>
            </w:pPr>
          </w:p>
        </w:tc>
        <w:tc>
          <w:tcPr>
            <w:tcW w:w="78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640" w:type="dxa"/>
            <w:vAlign w:val="bottom"/>
            <w:shd w:val="clear" w:color="auto" w:fill="D9D9D6"/>
          </w:tcPr>
          <w:p>
            <w:pPr>
              <w:spacing w:after="0"/>
              <w:rPr>
                <w:sz w:val="8"/>
                <w:szCs w:val="8"/>
                <w:color w:val="auto"/>
              </w:rPr>
            </w:pPr>
          </w:p>
        </w:tc>
        <w:tc>
          <w:tcPr>
            <w:tcW w:w="100" w:type="dxa"/>
            <w:vAlign w:val="bottom"/>
            <w:shd w:val="clear" w:color="auto" w:fill="D9D9D6"/>
          </w:tcPr>
          <w:p>
            <w:pPr>
              <w:spacing w:after="0"/>
              <w:rPr>
                <w:sz w:val="8"/>
                <w:szCs w:val="8"/>
                <w:color w:val="auto"/>
              </w:rPr>
            </w:pPr>
          </w:p>
        </w:tc>
        <w:tc>
          <w:tcPr>
            <w:tcW w:w="2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80" w:type="dxa"/>
            <w:vAlign w:val="bottom"/>
            <w:tcBorders>
              <w:right w:val="single" w:sz="8" w:color="D9D9D6"/>
            </w:tcBorders>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66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r>
    </w:tbl>
    <w:p>
      <w:pPr>
        <w:spacing w:after="0" w:line="30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2.6% to $16.5 billion in the third quarter of 2022, driven by increases in broadband,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wireless and advertising revenue, partially offset by decreases in video and voice revenue. Broadband revenue increased 5.7% due to an increase in average rates and an increase in the number of residential broadband customers compared to the prior year period.</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Business services revenue increased 9.4% due to an increase in average rates, an increase in the number of customers receiving our services and from a recent acquisition. Wireless revenue increased 30.8% due to an increase in the number of customer lines and an increase in device sales. Advertising revenue increased 7.2%, primarily driven by an increase in political advertising. Excluding political</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revenue, advertising revenue decreased by 5.8%, reflecting the previously announced transition of our Xumo streaming service from Cable Communications to a joint venture reported in Corporate and Other and lower local and national advertising revenue, partially offset by higher revenue from our advanced advertising businesses. Video revenue decreased 4.4%, reflecting a decrease in the number of residential video customers, partially offset by an increase in average rates. Voice revenue decreased 12.5%, primarily reflecting a decrease in the number of</w:t>
      </w:r>
    </w:p>
    <w:p>
      <w:pPr>
        <w:spacing w:after="0"/>
        <w:rPr>
          <w:sz w:val="20"/>
          <w:szCs w:val="20"/>
          <w:color w:val="auto"/>
        </w:rPr>
      </w:pPr>
      <w:r>
        <w:rPr>
          <w:rFonts w:ascii="Arial" w:cs="Arial" w:eastAsia="Arial" w:hAnsi="Arial"/>
          <w:sz w:val="18"/>
          <w:szCs w:val="18"/>
          <w:color w:val="auto"/>
        </w:rPr>
        <w:t>residential voice customers. Other revenue was consistent with the prior year period.</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2022, Cable revenue increased 3.7% to $49.7 billion, driven by growth in broadband, business services, wireless and advertising revenue, partially offset by a decrease in video and voice revenue. Other revenue was consistent with 2021.</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decreased by 21,000 to 34.4 million in the third quarter of 2022.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26,000 and business customer relationships increased by 5,000. Total broadband customer net additions were 14,000, total video customer net losses were 561,000 and total voice customer net losses were 316,000. In addition, Cable Communications added 333,000 wireless lines in the quarter.</w:t>
      </w:r>
    </w:p>
    <w:p>
      <w:pPr>
        <w:spacing w:after="0" w:line="1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For the nine months ended September 30, 2022, total customer relationships increased by 145,000. Residential customer relationships increased by 121,000 and business customer relationships increased by 25,000. Total broadband customer net additions were 277,000, total video customer net losses were 1.6 million and total voice customer net losses were 884,000. In addition, Cable Communications added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968,000 wireless lines in the current period.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57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6"/>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34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380" w:type="dxa"/>
            <w:vAlign w:val="bottom"/>
            <w:tcBorders>
              <w:right w:val="single" w:sz="8" w:color="D9D9D6"/>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40" w:type="dxa"/>
            <w:vAlign w:val="bottom"/>
            <w:tcBorders>
              <w:right w:val="single" w:sz="8" w:color="D9D9D6"/>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182"/>
        </w:trPr>
        <w:tc>
          <w:tcPr>
            <w:tcW w:w="100" w:type="dxa"/>
            <w:vAlign w:val="bottom"/>
            <w:shd w:val="clear" w:color="auto" w:fill="D9D9D6"/>
          </w:tcPr>
          <w:p>
            <w:pPr>
              <w:spacing w:after="0"/>
              <w:rPr>
                <w:sz w:val="15"/>
                <w:szCs w:val="15"/>
                <w:color w:val="auto"/>
              </w:rPr>
            </w:pPr>
          </w:p>
        </w:tc>
        <w:tc>
          <w:tcPr>
            <w:tcW w:w="474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4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2620" w:type="dxa"/>
            <w:vAlign w:val="bottom"/>
            <w:gridSpan w:val="9"/>
            <w:shd w:val="clear" w:color="auto" w:fill="D9D9D6"/>
          </w:tcPr>
          <w:p>
            <w:pPr>
              <w:jc w:val="right"/>
              <w:ind w:right="740"/>
              <w:spacing w:after="0"/>
              <w:rPr>
                <w:sz w:val="20"/>
                <w:szCs w:val="20"/>
                <w:color w:val="auto"/>
              </w:rPr>
            </w:pPr>
            <w:r>
              <w:rPr>
                <w:rFonts w:ascii="Arial" w:cs="Arial" w:eastAsia="Arial" w:hAnsi="Arial"/>
                <w:sz w:val="14"/>
                <w:szCs w:val="14"/>
                <w:color w:val="auto"/>
              </w:rPr>
              <w:t>Net Additions / (Losses)</w:t>
            </w:r>
          </w:p>
        </w:tc>
        <w:tc>
          <w:tcPr>
            <w:tcW w:w="1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r>
      <w:tr>
        <w:trPr>
          <w:trHeight w:val="21"/>
        </w:trPr>
        <w:tc>
          <w:tcPr>
            <w:tcW w:w="100" w:type="dxa"/>
            <w:vAlign w:val="bottom"/>
            <w:tcBorders>
              <w:bottom w:val="single" w:sz="8" w:color="D9D9D6"/>
            </w:tcBorders>
            <w:shd w:val="clear" w:color="auto" w:fill="D9D9D6"/>
          </w:tcPr>
          <w:p>
            <w:pPr>
              <w:spacing w:after="0" w:line="20" w:lineRule="exact"/>
              <w:rPr>
                <w:sz w:val="1"/>
                <w:szCs w:val="1"/>
                <w:color w:val="auto"/>
              </w:rPr>
            </w:pPr>
          </w:p>
        </w:tc>
        <w:tc>
          <w:tcPr>
            <w:tcW w:w="4740" w:type="dxa"/>
            <w:vAlign w:val="bottom"/>
            <w:tcBorders>
              <w:bottom w:val="single" w:sz="8" w:color="D9D9D6"/>
            </w:tcBorders>
            <w:shd w:val="clear" w:color="auto" w:fill="D9D9D6"/>
          </w:tcPr>
          <w:p>
            <w:pPr>
              <w:spacing w:after="0" w:line="20" w:lineRule="exact"/>
              <w:rPr>
                <w:sz w:val="1"/>
                <w:szCs w:val="1"/>
                <w:color w:val="auto"/>
              </w:rPr>
            </w:pPr>
          </w:p>
        </w:tc>
        <w:tc>
          <w:tcPr>
            <w:tcW w:w="520" w:type="dxa"/>
            <w:vAlign w:val="bottom"/>
            <w:tcBorders>
              <w:bottom w:val="single" w:sz="8" w:color="D9D9D6"/>
            </w:tcBorders>
            <w:shd w:val="clear" w:color="auto" w:fill="D9D9D6"/>
          </w:tcPr>
          <w:p>
            <w:pPr>
              <w:spacing w:after="0" w:line="20" w:lineRule="exact"/>
              <w:rPr>
                <w:sz w:val="1"/>
                <w:szCs w:val="1"/>
                <w:color w:val="auto"/>
              </w:rPr>
            </w:pPr>
          </w:p>
        </w:tc>
        <w:tc>
          <w:tcPr>
            <w:tcW w:w="36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520" w:type="dxa"/>
            <w:vAlign w:val="bottom"/>
            <w:tcBorders>
              <w:bottom w:val="single" w:sz="8" w:color="D9D9D6"/>
            </w:tcBorders>
            <w:shd w:val="clear" w:color="auto" w:fill="D9D9D6"/>
          </w:tcPr>
          <w:p>
            <w:pPr>
              <w:spacing w:after="0" w:line="20" w:lineRule="exact"/>
              <w:rPr>
                <w:sz w:val="1"/>
                <w:szCs w:val="1"/>
                <w:color w:val="auto"/>
              </w:rPr>
            </w:pPr>
          </w:p>
        </w:tc>
        <w:tc>
          <w:tcPr>
            <w:tcW w:w="34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520" w:type="dxa"/>
            <w:vAlign w:val="bottom"/>
            <w:tcBorders>
              <w:bottom w:val="single" w:sz="8" w:color="D9D9D6"/>
            </w:tcBorders>
            <w:shd w:val="clear" w:color="auto" w:fill="D9D9D6"/>
          </w:tcPr>
          <w:p>
            <w:pPr>
              <w:spacing w:after="0" w:line="20" w:lineRule="exact"/>
              <w:rPr>
                <w:sz w:val="1"/>
                <w:szCs w:val="1"/>
                <w:color w:val="auto"/>
              </w:rPr>
            </w:pPr>
          </w:p>
        </w:tc>
        <w:tc>
          <w:tcPr>
            <w:tcW w:w="52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380" w:type="dxa"/>
            <w:vAlign w:val="bottom"/>
            <w:tcBorders>
              <w:bottom w:val="single" w:sz="8" w:color="D9D9D6"/>
              <w:right w:val="single" w:sz="8" w:color="auto"/>
            </w:tcBorders>
            <w:shd w:val="clear" w:color="auto" w:fill="D9D9D6"/>
          </w:tcPr>
          <w:p>
            <w:pPr>
              <w:spacing w:after="0" w:line="20" w:lineRule="exact"/>
              <w:rPr>
                <w:sz w:val="1"/>
                <w:szCs w:val="1"/>
                <w:color w:val="auto"/>
              </w:rPr>
            </w:pPr>
          </w:p>
        </w:tc>
        <w:tc>
          <w:tcPr>
            <w:tcW w:w="180" w:type="dxa"/>
            <w:vAlign w:val="bottom"/>
            <w:tcBorders>
              <w:bottom w:val="single" w:sz="8" w:color="D9D9D6"/>
            </w:tcBorders>
            <w:shd w:val="clear" w:color="auto" w:fill="000000"/>
          </w:tcPr>
          <w:p>
            <w:pPr>
              <w:spacing w:after="0" w:line="20" w:lineRule="exact"/>
              <w:rPr>
                <w:sz w:val="1"/>
                <w:szCs w:val="1"/>
                <w:color w:val="auto"/>
              </w:rPr>
            </w:pPr>
          </w:p>
        </w:tc>
        <w:tc>
          <w:tcPr>
            <w:tcW w:w="320" w:type="dxa"/>
            <w:vAlign w:val="bottom"/>
            <w:tcBorders>
              <w:bottom w:val="single" w:sz="8" w:color="D9D9D6"/>
            </w:tcBorders>
            <w:shd w:val="clear" w:color="auto" w:fill="000000"/>
          </w:tcPr>
          <w:p>
            <w:pPr>
              <w:spacing w:after="0" w:line="20" w:lineRule="exact"/>
              <w:rPr>
                <w:sz w:val="1"/>
                <w:szCs w:val="1"/>
                <w:color w:val="auto"/>
              </w:rPr>
            </w:pPr>
          </w:p>
        </w:tc>
        <w:tc>
          <w:tcPr>
            <w:tcW w:w="20" w:type="dxa"/>
            <w:vAlign w:val="bottom"/>
            <w:tcBorders>
              <w:bottom w:val="single" w:sz="8" w:color="D9D9D6"/>
            </w:tcBorders>
            <w:shd w:val="clear" w:color="auto" w:fill="000000"/>
          </w:tcPr>
          <w:p>
            <w:pPr>
              <w:spacing w:after="0" w:line="20" w:lineRule="exact"/>
              <w:rPr>
                <w:sz w:val="1"/>
                <w:szCs w:val="1"/>
                <w:color w:val="auto"/>
              </w:rPr>
            </w:pPr>
          </w:p>
        </w:tc>
        <w:tc>
          <w:tcPr>
            <w:tcW w:w="240" w:type="dxa"/>
            <w:vAlign w:val="bottom"/>
            <w:tcBorders>
              <w:bottom w:val="single" w:sz="8" w:color="D9D9D6"/>
              <w:right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D9D9D6"/>
            </w:tcBorders>
            <w:shd w:val="clear" w:color="auto" w:fill="000000"/>
          </w:tcPr>
          <w:p>
            <w:pPr>
              <w:spacing w:after="0" w:line="20" w:lineRule="exact"/>
              <w:rPr>
                <w:sz w:val="1"/>
                <w:szCs w:val="1"/>
                <w:color w:val="auto"/>
              </w:rPr>
            </w:pPr>
          </w:p>
        </w:tc>
        <w:tc>
          <w:tcPr>
            <w:tcW w:w="560" w:type="dxa"/>
            <w:vAlign w:val="bottom"/>
            <w:tcBorders>
              <w:bottom w:val="single" w:sz="8" w:color="D9D9D6"/>
              <w:right w:val="single" w:sz="8" w:color="auto"/>
            </w:tcBorders>
            <w:shd w:val="clear" w:color="auto" w:fill="000000"/>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420" w:type="dxa"/>
            <w:vAlign w:val="bottom"/>
            <w:tcBorders>
              <w:bottom w:val="single" w:sz="8" w:color="D9D9D6"/>
            </w:tcBorders>
            <w:shd w:val="clear" w:color="auto" w:fill="D9D9D6"/>
          </w:tcPr>
          <w:p>
            <w:pPr>
              <w:spacing w:after="0" w:line="20" w:lineRule="exact"/>
              <w:rPr>
                <w:sz w:val="1"/>
                <w:szCs w:val="1"/>
                <w:color w:val="auto"/>
              </w:rPr>
            </w:pPr>
          </w:p>
        </w:tc>
        <w:tc>
          <w:tcPr>
            <w:tcW w:w="160" w:type="dxa"/>
            <w:vAlign w:val="bottom"/>
            <w:tcBorders>
              <w:bottom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100" w:type="dxa"/>
            <w:vAlign w:val="bottom"/>
            <w:tcBorders>
              <w:bottom w:val="single" w:sz="8" w:color="D9D9D6"/>
            </w:tcBorders>
            <w:shd w:val="clear" w:color="auto" w:fill="D9D9D6"/>
          </w:tcPr>
          <w:p>
            <w:pPr>
              <w:spacing w:after="0" w:line="20" w:lineRule="exact"/>
              <w:rPr>
                <w:sz w:val="1"/>
                <w:szCs w:val="1"/>
                <w:color w:val="auto"/>
              </w:rPr>
            </w:pPr>
          </w:p>
        </w:tc>
      </w:tr>
      <w:tr>
        <w:trPr>
          <w:trHeight w:val="162"/>
        </w:trPr>
        <w:tc>
          <w:tcPr>
            <w:tcW w:w="100" w:type="dxa"/>
            <w:vAlign w:val="bottom"/>
            <w:tcBorders>
              <w:bottom w:val="single" w:sz="8" w:color="D9D9D6"/>
            </w:tcBorders>
            <w:shd w:val="clear" w:color="auto" w:fill="D9D9D6"/>
          </w:tcPr>
          <w:p>
            <w:pPr>
              <w:spacing w:after="0"/>
              <w:rPr>
                <w:sz w:val="14"/>
                <w:szCs w:val="14"/>
                <w:color w:val="auto"/>
              </w:rPr>
            </w:pPr>
          </w:p>
        </w:tc>
        <w:tc>
          <w:tcPr>
            <w:tcW w:w="4740" w:type="dxa"/>
            <w:vAlign w:val="bottom"/>
            <w:tcBorders>
              <w:bottom w:val="single" w:sz="8" w:color="D9D9D6"/>
            </w:tcBorders>
            <w:shd w:val="clear" w:color="auto" w:fill="D9D9D6"/>
          </w:tcPr>
          <w:p>
            <w:pPr>
              <w:spacing w:after="0"/>
              <w:rPr>
                <w:sz w:val="14"/>
                <w:szCs w:val="14"/>
                <w:color w:val="auto"/>
              </w:rPr>
            </w:pPr>
          </w:p>
        </w:tc>
        <w:tc>
          <w:tcPr>
            <w:tcW w:w="520" w:type="dxa"/>
            <w:vAlign w:val="bottom"/>
            <w:tcBorders>
              <w:bottom w:val="single" w:sz="8" w:color="D9D9D6"/>
            </w:tcBorders>
            <w:shd w:val="clear" w:color="auto" w:fill="D9D9D6"/>
          </w:tcPr>
          <w:p>
            <w:pPr>
              <w:spacing w:after="0"/>
              <w:rPr>
                <w:sz w:val="14"/>
                <w:szCs w:val="14"/>
                <w:color w:val="auto"/>
              </w:rPr>
            </w:pPr>
          </w:p>
        </w:tc>
        <w:tc>
          <w:tcPr>
            <w:tcW w:w="36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52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520" w:type="dxa"/>
            <w:vAlign w:val="bottom"/>
            <w:tcBorders>
              <w:bottom w:val="single" w:sz="8" w:color="D9D9D6"/>
            </w:tcBorders>
            <w:shd w:val="clear" w:color="auto" w:fill="D9D9D6"/>
          </w:tcPr>
          <w:p>
            <w:pPr>
              <w:spacing w:after="0"/>
              <w:rPr>
                <w:sz w:val="14"/>
                <w:szCs w:val="14"/>
                <w:color w:val="auto"/>
              </w:rPr>
            </w:pPr>
          </w:p>
        </w:tc>
        <w:tc>
          <w:tcPr>
            <w:tcW w:w="520" w:type="dxa"/>
            <w:vAlign w:val="bottom"/>
            <w:tcBorders>
              <w:bottom w:val="single" w:sz="8" w:color="D9D9D6"/>
            </w:tcBorders>
            <w:shd w:val="clear" w:color="auto" w:fill="D9D9D6"/>
          </w:tcPr>
          <w:p>
            <w:pPr>
              <w:spacing w:after="0"/>
              <w:rPr>
                <w:sz w:val="14"/>
                <w:szCs w:val="14"/>
                <w:color w:val="auto"/>
              </w:rPr>
            </w:pPr>
          </w:p>
        </w:tc>
        <w:tc>
          <w:tcPr>
            <w:tcW w:w="740" w:type="dxa"/>
            <w:vAlign w:val="bottom"/>
            <w:tcBorders>
              <w:bottom w:val="single" w:sz="8" w:color="auto"/>
              <w:right w:val="single" w:sz="8" w:color="D9D9D6"/>
            </w:tcBorders>
            <w:gridSpan w:val="4"/>
            <w:shd w:val="clear" w:color="auto" w:fill="D9D9D6"/>
          </w:tcPr>
          <w:p>
            <w:pPr>
              <w:spacing w:after="0"/>
              <w:rPr>
                <w:sz w:val="20"/>
                <w:szCs w:val="20"/>
                <w:color w:val="auto"/>
              </w:rPr>
            </w:pPr>
            <w:r>
              <w:rPr>
                <w:rFonts w:ascii="Arial" w:cs="Arial" w:eastAsia="Arial" w:hAnsi="Arial"/>
                <w:sz w:val="14"/>
                <w:szCs w:val="14"/>
                <w:color w:val="auto"/>
                <w:w w:val="97"/>
              </w:rPr>
              <w:t>3rd Quarter</w:t>
            </w:r>
          </w:p>
        </w:tc>
        <w:tc>
          <w:tcPr>
            <w:tcW w:w="520" w:type="dxa"/>
            <w:vAlign w:val="bottom"/>
            <w:tcBorders>
              <w:bottom w:val="single" w:sz="8" w:color="D9D9D6"/>
            </w:tcBorders>
            <w:gridSpan w:val="3"/>
            <w:shd w:val="clear" w:color="auto" w:fill="D9D9D6"/>
          </w:tcPr>
          <w:p>
            <w:pPr>
              <w:spacing w:after="0"/>
              <w:rPr>
                <w:sz w:val="14"/>
                <w:szCs w:val="14"/>
                <w:color w:val="auto"/>
              </w:rPr>
            </w:pPr>
          </w:p>
        </w:tc>
        <w:tc>
          <w:tcPr>
            <w:tcW w:w="240" w:type="dxa"/>
            <w:vAlign w:val="bottom"/>
            <w:tcBorders>
              <w:bottom w:val="single" w:sz="8" w:color="D9D9D6"/>
              <w:right w:val="single" w:sz="8" w:color="97999B"/>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560" w:type="dxa"/>
            <w:vAlign w:val="bottom"/>
            <w:tcBorders>
              <w:bottom w:val="single" w:sz="8" w:color="D9D9D6"/>
              <w:right w:val="single" w:sz="8" w:color="D9D9D6"/>
            </w:tcBorders>
            <w:shd w:val="clear" w:color="auto" w:fill="D9D9D6"/>
          </w:tcPr>
          <w:p>
            <w:pPr>
              <w:spacing w:after="0"/>
              <w:rPr>
                <w:sz w:val="14"/>
                <w:szCs w:val="14"/>
                <w:color w:val="auto"/>
              </w:rPr>
            </w:pPr>
          </w:p>
        </w:tc>
        <w:tc>
          <w:tcPr>
            <w:tcW w:w="7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w w:val="91"/>
              </w:rPr>
              <w:t>Year to Date</w:t>
            </w:r>
          </w:p>
        </w:tc>
        <w:tc>
          <w:tcPr>
            <w:tcW w:w="16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100" w:type="dxa"/>
            <w:vAlign w:val="bottom"/>
            <w:tcBorders>
              <w:bottom w:val="single" w:sz="8" w:color="D9D9D6"/>
            </w:tcBorders>
            <w:shd w:val="clear" w:color="auto" w:fill="D9D9D6"/>
          </w:tcPr>
          <w:p>
            <w:pPr>
              <w:spacing w:after="0"/>
              <w:rPr>
                <w:sz w:val="14"/>
                <w:szCs w:val="14"/>
                <w:color w:val="auto"/>
              </w:rPr>
            </w:pPr>
          </w:p>
        </w:tc>
      </w:tr>
      <w:tr>
        <w:trPr>
          <w:trHeight w:val="183"/>
        </w:trPr>
        <w:tc>
          <w:tcPr>
            <w:tcW w:w="100" w:type="dxa"/>
            <w:vAlign w:val="bottom"/>
            <w:shd w:val="clear" w:color="auto" w:fill="D9D9D6"/>
          </w:tcPr>
          <w:p>
            <w:pPr>
              <w:spacing w:after="0"/>
              <w:rPr>
                <w:sz w:val="15"/>
                <w:szCs w:val="15"/>
                <w:color w:val="auto"/>
              </w:rPr>
            </w:pPr>
          </w:p>
        </w:tc>
        <w:tc>
          <w:tcPr>
            <w:tcW w:w="4740" w:type="dxa"/>
            <w:vAlign w:val="bottom"/>
            <w:shd w:val="clear" w:color="auto" w:fill="D9D9D6"/>
          </w:tcPr>
          <w:p>
            <w:pPr>
              <w:spacing w:after="0"/>
              <w:rPr>
                <w:sz w:val="15"/>
                <w:szCs w:val="15"/>
                <w:color w:val="auto"/>
              </w:rPr>
            </w:pPr>
          </w:p>
        </w:tc>
        <w:tc>
          <w:tcPr>
            <w:tcW w:w="900" w:type="dxa"/>
            <w:vAlign w:val="bottom"/>
            <w:gridSpan w:val="3"/>
            <w:shd w:val="clear" w:color="auto" w:fill="D9D9D6"/>
          </w:tcPr>
          <w:p>
            <w:pPr>
              <w:ind w:left="520"/>
              <w:spacing w:after="0"/>
              <w:rPr>
                <w:sz w:val="20"/>
                <w:szCs w:val="20"/>
                <w:color w:val="auto"/>
              </w:rPr>
            </w:pPr>
            <w:r>
              <w:rPr>
                <w:rFonts w:ascii="Arial" w:cs="Arial" w:eastAsia="Arial" w:hAnsi="Arial"/>
                <w:sz w:val="14"/>
                <w:szCs w:val="14"/>
                <w:color w:val="auto"/>
              </w:rPr>
              <w:t>3Q22</w:t>
            </w:r>
          </w:p>
        </w:tc>
        <w:tc>
          <w:tcPr>
            <w:tcW w:w="880" w:type="dxa"/>
            <w:vAlign w:val="bottom"/>
            <w:gridSpan w:val="3"/>
            <w:shd w:val="clear" w:color="auto" w:fill="D9D9D6"/>
          </w:tcPr>
          <w:p>
            <w:pPr>
              <w:ind w:left="520"/>
              <w:spacing w:after="0"/>
              <w:rPr>
                <w:sz w:val="20"/>
                <w:szCs w:val="20"/>
                <w:color w:val="auto"/>
              </w:rPr>
            </w:pPr>
            <w:r>
              <w:rPr>
                <w:rFonts w:ascii="Arial" w:cs="Arial" w:eastAsia="Arial" w:hAnsi="Arial"/>
                <w:sz w:val="14"/>
                <w:szCs w:val="14"/>
                <w:color w:val="auto"/>
                <w:w w:val="99"/>
              </w:rPr>
              <w:t>3Q21</w:t>
            </w:r>
          </w:p>
        </w:tc>
        <w:tc>
          <w:tcPr>
            <w:tcW w:w="14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9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240" w:type="dxa"/>
            <w:vAlign w:val="bottom"/>
            <w:tcBorders>
              <w:right w:val="single" w:sz="8" w:color="97999B"/>
            </w:tcBorders>
            <w:shd w:val="clear" w:color="auto" w:fill="D9D9D6"/>
          </w:tcPr>
          <w:p>
            <w:pPr>
              <w:spacing w:after="0"/>
              <w:rPr>
                <w:sz w:val="15"/>
                <w:szCs w:val="15"/>
                <w:color w:val="auto"/>
              </w:rPr>
            </w:pPr>
          </w:p>
        </w:tc>
        <w:tc>
          <w:tcPr>
            <w:tcW w:w="1480" w:type="dxa"/>
            <w:vAlign w:val="bottom"/>
            <w:gridSpan w:val="4"/>
            <w:shd w:val="clear" w:color="auto" w:fill="D9D9D6"/>
          </w:tcPr>
          <w:p>
            <w:pPr>
              <w:jc w:val="right"/>
              <w:ind w:right="420"/>
              <w:spacing w:after="0"/>
              <w:rPr>
                <w:sz w:val="20"/>
                <w:szCs w:val="20"/>
                <w:color w:val="auto"/>
              </w:rPr>
            </w:pPr>
            <w:r>
              <w:rPr>
                <w:rFonts w:ascii="Arial" w:cs="Arial" w:eastAsia="Arial" w:hAnsi="Arial"/>
                <w:sz w:val="14"/>
                <w:szCs w:val="14"/>
                <w:color w:val="auto"/>
              </w:rPr>
              <w:t>2022</w:t>
            </w:r>
          </w:p>
        </w:tc>
        <w:tc>
          <w:tcPr>
            <w:tcW w:w="5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D9D9D6"/>
          </w:tcPr>
          <w:p>
            <w:pPr>
              <w:spacing w:after="0"/>
              <w:rPr>
                <w:sz w:val="15"/>
                <w:szCs w:val="15"/>
                <w:color w:val="auto"/>
              </w:rPr>
            </w:pPr>
          </w:p>
        </w:tc>
      </w:tr>
      <w:tr>
        <w:trPr>
          <w:trHeight w:val="221"/>
        </w:trPr>
        <w:tc>
          <w:tcPr>
            <w:tcW w:w="100" w:type="dxa"/>
            <w:vAlign w:val="bottom"/>
            <w:tcBorders>
              <w:top w:val="single" w:sz="8" w:color="D9D9D6"/>
            </w:tcBorders>
            <w:shd w:val="clear" w:color="auto" w:fill="D9D9D6"/>
          </w:tcPr>
          <w:p>
            <w:pPr>
              <w:spacing w:after="0"/>
              <w:rPr>
                <w:sz w:val="19"/>
                <w:szCs w:val="19"/>
                <w:color w:val="auto"/>
              </w:rPr>
            </w:pPr>
          </w:p>
        </w:tc>
        <w:tc>
          <w:tcPr>
            <w:tcW w:w="47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right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right w:val="single" w:sz="8" w:color="97999B"/>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560" w:type="dxa"/>
            <w:vAlign w:val="bottom"/>
            <w:tcBorders>
              <w:top w:val="single" w:sz="8" w:color="D9D9D6"/>
              <w:right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r>
      <w:tr>
        <w:trPr>
          <w:trHeight w:val="197"/>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 Relationships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31,849</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31,576</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237</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121</w:t>
            </w:r>
          </w:p>
        </w:tc>
        <w:tc>
          <w:tcPr>
            <w:tcW w:w="420" w:type="dxa"/>
            <w:vAlign w:val="bottom"/>
            <w:shd w:val="clear" w:color="auto" w:fill="D9D9D6"/>
          </w:tcPr>
          <w:p>
            <w:pPr>
              <w:spacing w:after="0"/>
              <w:rPr>
                <w:sz w:val="17"/>
                <w:szCs w:val="17"/>
                <w:color w:val="auto"/>
              </w:rPr>
            </w:pPr>
          </w:p>
        </w:tc>
        <w:tc>
          <w:tcPr>
            <w:tcW w:w="4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884</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Customer Relationships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2,514</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2,473</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25</w:t>
            </w:r>
          </w:p>
        </w:tc>
        <w:tc>
          <w:tcPr>
            <w:tcW w:w="420" w:type="dxa"/>
            <w:vAlign w:val="bottom"/>
            <w:tcBorders>
              <w:bottom w:val="single" w:sz="8" w:color="auto"/>
            </w:tcBorders>
            <w:shd w:val="clear" w:color="auto" w:fill="D9D9D6"/>
          </w:tcPr>
          <w:p>
            <w:pPr>
              <w:spacing w:after="0"/>
              <w:rPr>
                <w:sz w:val="17"/>
                <w:szCs w:val="17"/>
                <w:color w:val="auto"/>
              </w:rPr>
            </w:pPr>
          </w:p>
        </w:tc>
        <w:tc>
          <w:tcPr>
            <w:tcW w:w="4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46</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34,363</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34,048</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(21)</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255</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145</w:t>
            </w:r>
          </w:p>
        </w:tc>
        <w:tc>
          <w:tcPr>
            <w:tcW w:w="420" w:type="dxa"/>
            <w:vAlign w:val="bottom"/>
            <w:shd w:val="clear" w:color="auto" w:fill="D9D9D6"/>
          </w:tcPr>
          <w:p>
            <w:pPr>
              <w:spacing w:after="0"/>
              <w:rPr>
                <w:sz w:val="17"/>
                <w:szCs w:val="17"/>
                <w:color w:val="auto"/>
              </w:rPr>
            </w:pPr>
          </w:p>
        </w:tc>
        <w:tc>
          <w:tcPr>
            <w:tcW w:w="4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930</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8"/>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80" w:type="dxa"/>
            <w:vAlign w:val="bottom"/>
            <w:tcBorders>
              <w:right w:val="single" w:sz="8" w:color="D9D9D6"/>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197"/>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One Product Residential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15,463</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13,959</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340</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481</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1,133</w:t>
            </w:r>
          </w:p>
        </w:tc>
        <w:tc>
          <w:tcPr>
            <w:tcW w:w="420" w:type="dxa"/>
            <w:vAlign w:val="bottom"/>
            <w:shd w:val="clear" w:color="auto" w:fill="D9D9D6"/>
          </w:tcPr>
          <w:p>
            <w:pPr>
              <w:spacing w:after="0"/>
              <w:rPr>
                <w:sz w:val="17"/>
                <w:szCs w:val="17"/>
                <w:color w:val="auto"/>
              </w:rPr>
            </w:pPr>
          </w:p>
        </w:tc>
        <w:tc>
          <w:tcPr>
            <w:tcW w:w="4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1,551</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203"/>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Two Product Residential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8,204</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8,473</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(77)</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(89)</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(202)</w:t>
            </w:r>
          </w:p>
        </w:tc>
        <w:tc>
          <w:tcPr>
            <w:tcW w:w="420" w:type="dxa"/>
            <w:vAlign w:val="bottom"/>
            <w:shd w:val="clear" w:color="auto" w:fill="D9D9D6"/>
          </w:tcPr>
          <w:p>
            <w:pPr>
              <w:spacing w:after="0"/>
              <w:rPr>
                <w:sz w:val="17"/>
                <w:szCs w:val="17"/>
                <w:color w:val="auto"/>
              </w:rPr>
            </w:pPr>
          </w:p>
        </w:tc>
        <w:tc>
          <w:tcPr>
            <w:tcW w:w="4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(261)</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203"/>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Three or More Product Residential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8,182</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9,144</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(289)</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(156)</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(810)</w:t>
            </w:r>
          </w:p>
        </w:tc>
        <w:tc>
          <w:tcPr>
            <w:tcW w:w="420" w:type="dxa"/>
            <w:vAlign w:val="bottom"/>
            <w:shd w:val="clear" w:color="auto" w:fill="D9D9D6"/>
          </w:tcPr>
          <w:p>
            <w:pPr>
              <w:spacing w:after="0"/>
              <w:rPr>
                <w:sz w:val="17"/>
                <w:szCs w:val="17"/>
                <w:color w:val="auto"/>
              </w:rPr>
            </w:pPr>
          </w:p>
        </w:tc>
        <w:tc>
          <w:tcPr>
            <w:tcW w:w="4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(406)</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8"/>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Broadband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29,835</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29,389</w:t>
            </w: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10</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281</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253</w:t>
            </w:r>
          </w:p>
        </w:tc>
        <w:tc>
          <w:tcPr>
            <w:tcW w:w="420" w:type="dxa"/>
            <w:vAlign w:val="bottom"/>
            <w:shd w:val="clear" w:color="auto" w:fill="D9D9D6"/>
          </w:tcPr>
          <w:p>
            <w:pPr>
              <w:spacing w:after="0"/>
              <w:rPr>
                <w:sz w:val="24"/>
                <w:szCs w:val="24"/>
                <w:color w:val="auto"/>
              </w:rPr>
            </w:pPr>
          </w:p>
        </w:tc>
        <w:tc>
          <w:tcPr>
            <w:tcW w:w="4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1,063</w:t>
            </w: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Broadband Customers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2,342</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2,300</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19</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w:t>
            </w:r>
          </w:p>
        </w:tc>
        <w:tc>
          <w:tcPr>
            <w:tcW w:w="420" w:type="dxa"/>
            <w:vAlign w:val="bottom"/>
            <w:tcBorders>
              <w:bottom w:val="single" w:sz="8" w:color="auto"/>
            </w:tcBorders>
            <w:shd w:val="clear" w:color="auto" w:fill="D9D9D6"/>
          </w:tcPr>
          <w:p>
            <w:pPr>
              <w:spacing w:after="0"/>
              <w:rPr>
                <w:sz w:val="17"/>
                <w:szCs w:val="17"/>
                <w:color w:val="auto"/>
              </w:rPr>
            </w:pPr>
          </w:p>
        </w:tc>
        <w:tc>
          <w:tcPr>
            <w:tcW w:w="4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52</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1"/>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Broadband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32,177</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31,688</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300</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277</w:t>
            </w:r>
          </w:p>
        </w:tc>
        <w:tc>
          <w:tcPr>
            <w:tcW w:w="420" w:type="dxa"/>
            <w:vAlign w:val="bottom"/>
            <w:shd w:val="clear" w:color="auto" w:fill="D9D9D6"/>
          </w:tcPr>
          <w:p>
            <w:pPr>
              <w:spacing w:after="0"/>
              <w:rPr>
                <w:sz w:val="17"/>
                <w:szCs w:val="17"/>
                <w:color w:val="auto"/>
              </w:rPr>
            </w:pPr>
          </w:p>
        </w:tc>
        <w:tc>
          <w:tcPr>
            <w:tcW w:w="4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1,115</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3"/>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Video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15,973</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17,844</w:t>
            </w: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(540)</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(382)</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(1,522)</w:t>
            </w:r>
          </w:p>
        </w:tc>
        <w:tc>
          <w:tcPr>
            <w:tcW w:w="420" w:type="dxa"/>
            <w:vAlign w:val="bottom"/>
            <w:shd w:val="clear" w:color="auto" w:fill="D9D9D6"/>
          </w:tcPr>
          <w:p>
            <w:pPr>
              <w:spacing w:after="0"/>
              <w:rPr>
                <w:sz w:val="24"/>
                <w:szCs w:val="24"/>
                <w:color w:val="auto"/>
              </w:rPr>
            </w:pPr>
          </w:p>
        </w:tc>
        <w:tc>
          <w:tcPr>
            <w:tcW w:w="4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(1,149)</w:t>
            </w: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Video Customers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609</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705</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(21)</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(26)</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(72)</w:t>
            </w:r>
          </w:p>
        </w:tc>
        <w:tc>
          <w:tcPr>
            <w:tcW w:w="420" w:type="dxa"/>
            <w:vAlign w:val="bottom"/>
            <w:tcBorders>
              <w:bottom w:val="single" w:sz="8" w:color="auto"/>
            </w:tcBorders>
            <w:shd w:val="clear" w:color="auto" w:fill="D9D9D6"/>
          </w:tcPr>
          <w:p>
            <w:pPr>
              <w:spacing w:after="0"/>
              <w:rPr>
                <w:sz w:val="17"/>
                <w:szCs w:val="17"/>
                <w:color w:val="auto"/>
              </w:rPr>
            </w:pPr>
          </w:p>
        </w:tc>
        <w:tc>
          <w:tcPr>
            <w:tcW w:w="48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(147)</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16,582</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18,549</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(561)</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(408)</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(1,594)</w:t>
            </w:r>
          </w:p>
        </w:tc>
        <w:tc>
          <w:tcPr>
            <w:tcW w:w="420" w:type="dxa"/>
            <w:vAlign w:val="bottom"/>
            <w:shd w:val="clear" w:color="auto" w:fill="D9D9D6"/>
          </w:tcPr>
          <w:p>
            <w:pPr>
              <w:spacing w:after="0"/>
              <w:rPr>
                <w:sz w:val="17"/>
                <w:szCs w:val="17"/>
                <w:color w:val="auto"/>
              </w:rPr>
            </w:pPr>
          </w:p>
        </w:tc>
        <w:tc>
          <w:tcPr>
            <w:tcW w:w="4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w w:val="99"/>
              </w:rPr>
              <w:t>(1,297)</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3"/>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Voice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8,190</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9,245</w:t>
            </w: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(307)</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(167)</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(872)</w:t>
            </w:r>
          </w:p>
        </w:tc>
        <w:tc>
          <w:tcPr>
            <w:tcW w:w="420" w:type="dxa"/>
            <w:vAlign w:val="bottom"/>
            <w:shd w:val="clear" w:color="auto" w:fill="D9D9D6"/>
          </w:tcPr>
          <w:p>
            <w:pPr>
              <w:spacing w:after="0"/>
              <w:rPr>
                <w:sz w:val="24"/>
                <w:szCs w:val="24"/>
                <w:color w:val="auto"/>
              </w:rPr>
            </w:pPr>
          </w:p>
        </w:tc>
        <w:tc>
          <w:tcPr>
            <w:tcW w:w="4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(400)</w:t>
            </w: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Voice Customers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1,380</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1,384</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(11)</w:t>
            </w:r>
          </w:p>
        </w:tc>
        <w:tc>
          <w:tcPr>
            <w:tcW w:w="420" w:type="dxa"/>
            <w:vAlign w:val="bottom"/>
            <w:tcBorders>
              <w:bottom w:val="single" w:sz="8" w:color="auto"/>
            </w:tcBorders>
            <w:shd w:val="clear" w:color="auto" w:fill="D9D9D6"/>
          </w:tcPr>
          <w:p>
            <w:pPr>
              <w:spacing w:after="0"/>
              <w:rPr>
                <w:sz w:val="17"/>
                <w:szCs w:val="17"/>
                <w:color w:val="auto"/>
              </w:rPr>
            </w:pPr>
          </w:p>
        </w:tc>
        <w:tc>
          <w:tcPr>
            <w:tcW w:w="4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9,570</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10,630</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(316)</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(158)</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(884)</w:t>
            </w:r>
          </w:p>
        </w:tc>
        <w:tc>
          <w:tcPr>
            <w:tcW w:w="420" w:type="dxa"/>
            <w:vAlign w:val="bottom"/>
            <w:shd w:val="clear" w:color="auto" w:fill="D9D9D6"/>
          </w:tcPr>
          <w:p>
            <w:pPr>
              <w:spacing w:after="0"/>
              <w:rPr>
                <w:sz w:val="17"/>
                <w:szCs w:val="17"/>
                <w:color w:val="auto"/>
              </w:rPr>
            </w:pPr>
          </w:p>
        </w:tc>
        <w:tc>
          <w:tcPr>
            <w:tcW w:w="4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(372)</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55"/>
        </w:trPr>
        <w:tc>
          <w:tcPr>
            <w:tcW w:w="100" w:type="dxa"/>
            <w:vAlign w:val="bottom"/>
            <w:tcBorders>
              <w:bottom w:val="single" w:sz="8" w:color="D9D9D6"/>
            </w:tcBorders>
            <w:shd w:val="clear" w:color="auto" w:fill="D9D9D6"/>
          </w:tcPr>
          <w:p>
            <w:pPr>
              <w:spacing w:after="0"/>
              <w:rPr>
                <w:sz w:val="24"/>
                <w:szCs w:val="24"/>
                <w:color w:val="auto"/>
              </w:rPr>
            </w:pPr>
          </w:p>
        </w:tc>
        <w:tc>
          <w:tcPr>
            <w:tcW w:w="4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Total Wireless Lines</w:t>
            </w:r>
          </w:p>
        </w:tc>
        <w:tc>
          <w:tcPr>
            <w:tcW w:w="88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4,948</w:t>
            </w:r>
          </w:p>
        </w:tc>
        <w:tc>
          <w:tcPr>
            <w:tcW w:w="2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3,668</w:t>
            </w:r>
          </w:p>
        </w:tc>
        <w:tc>
          <w:tcPr>
            <w:tcW w:w="20" w:type="dxa"/>
            <w:vAlign w:val="bottom"/>
            <w:tcBorders>
              <w:bottom w:val="single" w:sz="8" w:color="D9D9D6"/>
            </w:tcBorders>
            <w:shd w:val="clear" w:color="auto" w:fill="D9D9D6"/>
          </w:tcPr>
          <w:p>
            <w:pPr>
              <w:spacing w:after="0"/>
              <w:rPr>
                <w:sz w:val="24"/>
                <w:szCs w:val="24"/>
                <w:color w:val="auto"/>
              </w:rPr>
            </w:pPr>
          </w:p>
        </w:tc>
        <w:tc>
          <w:tcPr>
            <w:tcW w:w="52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333</w:t>
            </w:r>
          </w:p>
        </w:tc>
        <w:tc>
          <w:tcPr>
            <w:tcW w:w="2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285</w:t>
            </w:r>
          </w:p>
        </w:tc>
        <w:tc>
          <w:tcPr>
            <w:tcW w:w="2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18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968</w:t>
            </w:r>
          </w:p>
        </w:tc>
        <w:tc>
          <w:tcPr>
            <w:tcW w:w="420" w:type="dxa"/>
            <w:vAlign w:val="bottom"/>
            <w:tcBorders>
              <w:bottom w:val="single" w:sz="8" w:color="D9D9D6"/>
            </w:tcBorders>
            <w:shd w:val="clear" w:color="auto" w:fill="D9D9D6"/>
          </w:tcPr>
          <w:p>
            <w:pPr>
              <w:spacing w:after="0"/>
              <w:rPr>
                <w:sz w:val="24"/>
                <w:szCs w:val="24"/>
                <w:color w:val="auto"/>
              </w:rPr>
            </w:pPr>
          </w:p>
        </w:tc>
        <w:tc>
          <w:tcPr>
            <w:tcW w:w="48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842</w:t>
            </w:r>
          </w:p>
        </w:tc>
        <w:tc>
          <w:tcPr>
            <w:tcW w:w="20" w:type="dxa"/>
            <w:vAlign w:val="bottom"/>
            <w:tcBorders>
              <w:bottom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5.4% to $7.5 billion in the third quarter of 2022, primarily reflecting higher revenue.</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Operating expenses were consistent with the prior year period. Programming expenses decreased 2.8%, primarily reflecting a decline in the number of video subscribers, partially offset by contractual rate increases. Non-programming expenses increased 2.5%, primarily reflecting higher other expenses and technical and product support expenses, partially offset by lower advertising, marketing and promotion expenses and franchise and regulatory fees. Adjusted EBITDA per customer relationship increased 4.0%, and Adjusted EBITDA margin was 45.1%</w:t>
      </w:r>
    </w:p>
    <w:p>
      <w:pPr>
        <w:spacing w:after="0"/>
        <w:rPr>
          <w:sz w:val="20"/>
          <w:szCs w:val="20"/>
          <w:color w:val="auto"/>
        </w:rPr>
      </w:pPr>
      <w:r>
        <w:rPr>
          <w:rFonts w:ascii="Arial" w:cs="Arial" w:eastAsia="Arial" w:hAnsi="Arial"/>
          <w:sz w:val="18"/>
          <w:szCs w:val="18"/>
          <w:color w:val="auto"/>
        </w:rPr>
        <w:t>compared to 43.9% in the prior year period.</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2022, Adjusted EBITDA for Cable Communications increased 5.7% to $22.2 billion, reflecting higher revenue, partially offset by a 2.1% increase in operating expenses. Programming expenses decreased 1.8%, primarily reflecting a decline in the number of video subscribers, partially offset by contractual rate increases. Non-programming expenses increased 4.7%. For the nine months ended September 30, 2022, Adjusted EBITDA per customer relationship increased 3.5%, and Adjusted EBITDA margin was 44.6% compared to 43.8% in 2021.</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increased 20.8% to $2.0 billion in the third quarter of 2022, reflecting increased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line extensions, customer premise equipment, scalable infrastructure and support capital. Cable capital expenditures represented 12.2% of Cable revenue in the third quarter of 2022 compared to 10.4% in the prior year period.</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2022, Cable capital expenditures increased 9.0% to $5.2 billion, reflecting increased investment in line extensions, scalable infrastructure, support capital and customer premise equipment. Cable capital expenditures represented 10.4% of Cable revenue compared to 9.9% in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62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49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40" w:type="dxa"/>
            <w:vAlign w:val="bottom"/>
            <w:tcBorders>
              <w:right w:val="single" w:sz="8" w:color="D9D9D6"/>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494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100" w:type="dxa"/>
            <w:vAlign w:val="bottom"/>
            <w:gridSpan w:val="5"/>
            <w:shd w:val="clear" w:color="auto" w:fill="D9D9D6"/>
          </w:tcPr>
          <w:p>
            <w:pPr>
              <w:ind w:left="160"/>
              <w:spacing w:after="0"/>
              <w:rPr>
                <w:sz w:val="20"/>
                <w:szCs w:val="20"/>
                <w:color w:val="auto"/>
              </w:rPr>
            </w:pPr>
            <w:r>
              <w:rPr>
                <w:rFonts w:ascii="Arial" w:cs="Arial" w:eastAsia="Arial" w:hAnsi="Arial"/>
                <w:sz w:val="14"/>
                <w:szCs w:val="14"/>
                <w:color w:val="auto"/>
              </w:rPr>
              <w:t>3rd Quarter</w:t>
            </w:r>
          </w:p>
        </w:tc>
        <w:tc>
          <w:tcPr>
            <w:tcW w:w="30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240" w:type="dxa"/>
            <w:vAlign w:val="bottom"/>
            <w:shd w:val="clear" w:color="auto" w:fill="D9D9D6"/>
          </w:tcPr>
          <w:p>
            <w:pPr>
              <w:spacing w:after="0"/>
              <w:rPr>
                <w:sz w:val="15"/>
                <w:szCs w:val="15"/>
                <w:color w:val="auto"/>
              </w:rPr>
            </w:pPr>
          </w:p>
        </w:tc>
        <w:tc>
          <w:tcPr>
            <w:tcW w:w="5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102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Year to Date</w:t>
            </w:r>
          </w:p>
        </w:tc>
        <w:tc>
          <w:tcPr>
            <w:tcW w:w="2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4940" w:type="dxa"/>
            <w:vAlign w:val="bottom"/>
            <w:tcBorders>
              <w:top w:val="single" w:sz="8" w:color="D9D9D6"/>
            </w:tcBorders>
            <w:shd w:val="clear" w:color="auto" w:fill="D9D9D6"/>
          </w:tcPr>
          <w:p>
            <w:pPr>
              <w:spacing w:after="0"/>
              <w:rPr>
                <w:sz w:val="15"/>
                <w:szCs w:val="15"/>
                <w:color w:val="auto"/>
              </w:rPr>
            </w:pPr>
          </w:p>
        </w:tc>
        <w:tc>
          <w:tcPr>
            <w:tcW w:w="86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60" w:type="dxa"/>
            <w:vAlign w:val="bottom"/>
            <w:tcBorders>
              <w:top w:val="single" w:sz="8" w:color="D9D9D6"/>
            </w:tcBorders>
            <w:shd w:val="clear" w:color="auto" w:fill="D9D9D6"/>
          </w:tcPr>
          <w:p>
            <w:pPr>
              <w:spacing w:after="0"/>
              <w:rPr>
                <w:sz w:val="15"/>
                <w:szCs w:val="15"/>
                <w:color w:val="auto"/>
              </w:rPr>
            </w:pPr>
          </w:p>
        </w:tc>
        <w:tc>
          <w:tcPr>
            <w:tcW w:w="740" w:type="dxa"/>
            <w:vAlign w:val="bottom"/>
            <w:tcBorders>
              <w:top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2021</w:t>
            </w:r>
          </w:p>
        </w:tc>
        <w:tc>
          <w:tcPr>
            <w:tcW w:w="200" w:type="dxa"/>
            <w:vAlign w:val="bottom"/>
            <w:tcBorders>
              <w:top w:val="single" w:sz="8" w:color="D9D9D6"/>
            </w:tcBorders>
            <w:shd w:val="clear" w:color="auto" w:fill="D9D9D6"/>
          </w:tcPr>
          <w:p>
            <w:pPr>
              <w:spacing w:after="0"/>
              <w:rPr>
                <w:sz w:val="15"/>
                <w:szCs w:val="15"/>
                <w:color w:val="auto"/>
              </w:rPr>
            </w:pPr>
          </w:p>
        </w:tc>
        <w:tc>
          <w:tcPr>
            <w:tcW w:w="30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w w:val="97"/>
              </w:rPr>
              <w:t>Change</w:t>
            </w:r>
          </w:p>
        </w:tc>
        <w:tc>
          <w:tcPr>
            <w:tcW w:w="240" w:type="dxa"/>
            <w:vAlign w:val="bottom"/>
            <w:tcBorders>
              <w:top w:val="single" w:sz="8" w:color="D9D9D6"/>
              <w:right w:val="single" w:sz="8" w:color="97999B"/>
            </w:tcBorders>
            <w:shd w:val="clear" w:color="auto" w:fill="D9D9D6"/>
          </w:tcPr>
          <w:p>
            <w:pPr>
              <w:spacing w:after="0"/>
              <w:rPr>
                <w:sz w:val="15"/>
                <w:szCs w:val="15"/>
                <w:color w:val="auto"/>
              </w:rPr>
            </w:pPr>
          </w:p>
        </w:tc>
        <w:tc>
          <w:tcPr>
            <w:tcW w:w="1100" w:type="dxa"/>
            <w:vAlign w:val="bottom"/>
            <w:tcBorders>
              <w:top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2022</w:t>
            </w:r>
          </w:p>
        </w:tc>
        <w:tc>
          <w:tcPr>
            <w:tcW w:w="140" w:type="dxa"/>
            <w:vAlign w:val="bottom"/>
            <w:tcBorders>
              <w:top w:val="single" w:sz="8" w:color="D9D9D6"/>
            </w:tcBorders>
            <w:shd w:val="clear" w:color="auto" w:fill="D9D9D6"/>
          </w:tcPr>
          <w:p>
            <w:pPr>
              <w:spacing w:after="0"/>
              <w:rPr>
                <w:sz w:val="15"/>
                <w:szCs w:val="15"/>
                <w:color w:val="auto"/>
              </w:rPr>
            </w:pPr>
          </w:p>
        </w:tc>
        <w:tc>
          <w:tcPr>
            <w:tcW w:w="800" w:type="dxa"/>
            <w:vAlign w:val="bottom"/>
            <w:tcBorders>
              <w:top w:val="single" w:sz="8" w:color="auto"/>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2021</w:t>
            </w:r>
          </w:p>
        </w:tc>
        <w:tc>
          <w:tcPr>
            <w:tcW w:w="220" w:type="dxa"/>
            <w:vAlign w:val="bottom"/>
            <w:tcBorders>
              <w:top w:val="single" w:sz="8" w:color="D9D9D6"/>
            </w:tcBorders>
            <w:shd w:val="clear" w:color="auto" w:fill="D9D9D6"/>
          </w:tcPr>
          <w:p>
            <w:pPr>
              <w:spacing w:after="0"/>
              <w:rPr>
                <w:sz w:val="15"/>
                <w:szCs w:val="15"/>
                <w:color w:val="auto"/>
              </w:rPr>
            </w:pPr>
          </w:p>
        </w:tc>
        <w:tc>
          <w:tcPr>
            <w:tcW w:w="900" w:type="dxa"/>
            <w:vAlign w:val="bottom"/>
            <w:tcBorders>
              <w:top w:val="single" w:sz="8" w:color="D9D9D6"/>
            </w:tcBorders>
            <w:gridSpan w:val="5"/>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49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5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right w:val="single" w:sz="8" w:color="97999B"/>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4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$5,230</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$6,770</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(22.7 %)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$17,427</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$16,955</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2.8 %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10"/>
        </w:trPr>
        <w:tc>
          <w:tcPr>
            <w:tcW w:w="120" w:type="dxa"/>
            <w:vAlign w:val="bottom"/>
            <w:shd w:val="clear" w:color="auto" w:fill="D9D9D6"/>
          </w:tcPr>
          <w:p>
            <w:pPr>
              <w:spacing w:after="0"/>
              <w:rPr>
                <w:sz w:val="18"/>
                <w:szCs w:val="18"/>
                <w:color w:val="auto"/>
              </w:rPr>
            </w:pPr>
          </w:p>
        </w:tc>
        <w:tc>
          <w:tcPr>
            <w:tcW w:w="4940" w:type="dxa"/>
            <w:vAlign w:val="bottom"/>
            <w:shd w:val="clear" w:color="auto" w:fill="D9D9D6"/>
          </w:tcPr>
          <w:p>
            <w:pPr>
              <w:ind w:left="220"/>
              <w:spacing w:after="0"/>
              <w:rPr>
                <w:sz w:val="20"/>
                <w:szCs w:val="20"/>
                <w:color w:val="auto"/>
              </w:rPr>
            </w:pPr>
            <w:r>
              <w:rPr>
                <w:rFonts w:ascii="Arial" w:cs="Arial" w:eastAsia="Arial" w:hAnsi="Arial"/>
                <w:sz w:val="14"/>
                <w:szCs w:val="14"/>
                <w:i w:val="1"/>
                <w:iCs w:val="1"/>
                <w:color w:val="auto"/>
              </w:rPr>
              <w:t>Excluding Olympics and Super Bowl</w:t>
            </w:r>
            <w:r>
              <w:rPr>
                <w:rFonts w:ascii="Arial" w:cs="Arial" w:eastAsia="Arial" w:hAnsi="Arial"/>
                <w:sz w:val="18"/>
                <w:szCs w:val="18"/>
                <w:i w:val="1"/>
                <w:iCs w:val="1"/>
                <w:color w:val="auto"/>
                <w:vertAlign w:val="superscript"/>
              </w:rPr>
              <w:t>5</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$5,230</w:t>
            </w:r>
          </w:p>
        </w:tc>
        <w:tc>
          <w:tcPr>
            <w:tcW w:w="20" w:type="dxa"/>
            <w:vAlign w:val="bottom"/>
            <w:shd w:val="clear" w:color="auto" w:fill="D9D9D6"/>
          </w:tcPr>
          <w:p>
            <w:pPr>
              <w:spacing w:after="0"/>
              <w:rPr>
                <w:sz w:val="18"/>
                <w:szCs w:val="18"/>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$5,011</w:t>
            </w:r>
          </w:p>
        </w:tc>
        <w:tc>
          <w:tcPr>
            <w:tcW w:w="40" w:type="dxa"/>
            <w:vAlign w:val="bottom"/>
            <w:shd w:val="clear" w:color="auto" w:fill="D9D9D6"/>
          </w:tcPr>
          <w:p>
            <w:pPr>
              <w:spacing w:after="0"/>
              <w:rPr>
                <w:sz w:val="18"/>
                <w:szCs w:val="18"/>
                <w:color w:val="auto"/>
              </w:rPr>
            </w:pPr>
          </w:p>
        </w:tc>
        <w:tc>
          <w:tcPr>
            <w:tcW w:w="200" w:type="dxa"/>
            <w:vAlign w:val="bottom"/>
            <w:shd w:val="clear" w:color="auto" w:fill="D9D9D6"/>
          </w:tcPr>
          <w:p>
            <w:pPr>
              <w:spacing w:after="0"/>
              <w:rPr>
                <w:sz w:val="18"/>
                <w:szCs w:val="18"/>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4.4 %</w:t>
            </w:r>
          </w:p>
        </w:tc>
        <w:tc>
          <w:tcPr>
            <w:tcW w:w="20" w:type="dxa"/>
            <w:vAlign w:val="bottom"/>
            <w:shd w:val="clear" w:color="auto" w:fill="D9D9D6"/>
          </w:tcPr>
          <w:p>
            <w:pPr>
              <w:spacing w:after="0"/>
              <w:rPr>
                <w:sz w:val="18"/>
                <w:szCs w:val="18"/>
                <w:color w:val="auto"/>
              </w:rPr>
            </w:pPr>
          </w:p>
        </w:tc>
        <w:tc>
          <w:tcPr>
            <w:tcW w:w="240" w:type="dxa"/>
            <w:vAlign w:val="bottom"/>
            <w:tcBorders>
              <w:right w:val="single" w:sz="8" w:color="97999B"/>
            </w:tcBorders>
            <w:shd w:val="clear" w:color="auto" w:fill="D9D9D6"/>
          </w:tcPr>
          <w:p>
            <w:pPr>
              <w:spacing w:after="0"/>
              <w:rPr>
                <w:sz w:val="18"/>
                <w:szCs w:val="18"/>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$15,945</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$15,195</w:t>
            </w:r>
          </w:p>
        </w:tc>
        <w:tc>
          <w:tcPr>
            <w:tcW w:w="80" w:type="dxa"/>
            <w:vAlign w:val="bottom"/>
            <w:shd w:val="clear" w:color="auto" w:fill="D9D9D6"/>
          </w:tcPr>
          <w:p>
            <w:pPr>
              <w:spacing w:after="0"/>
              <w:rPr>
                <w:sz w:val="18"/>
                <w:szCs w:val="18"/>
                <w:color w:val="auto"/>
              </w:rPr>
            </w:pPr>
          </w:p>
        </w:tc>
        <w:tc>
          <w:tcPr>
            <w:tcW w:w="220" w:type="dxa"/>
            <w:vAlign w:val="bottom"/>
            <w:shd w:val="clear" w:color="auto" w:fill="D9D9D6"/>
          </w:tcPr>
          <w:p>
            <w:pPr>
              <w:spacing w:after="0"/>
              <w:rPr>
                <w:sz w:val="18"/>
                <w:szCs w:val="18"/>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4.9 %</w:t>
            </w:r>
          </w:p>
        </w:tc>
        <w:tc>
          <w:tcPr>
            <w:tcW w:w="2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r>
      <w:tr>
        <w:trPr>
          <w:trHeight w:val="195"/>
        </w:trPr>
        <w:tc>
          <w:tcPr>
            <w:tcW w:w="120" w:type="dxa"/>
            <w:vAlign w:val="bottom"/>
            <w:shd w:val="clear" w:color="auto" w:fill="D9D9D6"/>
          </w:tcPr>
          <w:p>
            <w:pPr>
              <w:spacing w:after="0"/>
              <w:rPr>
                <w:sz w:val="16"/>
                <w:szCs w:val="16"/>
                <w:color w:val="auto"/>
              </w:rPr>
            </w:pPr>
          </w:p>
        </w:tc>
        <w:tc>
          <w:tcPr>
            <w:tcW w:w="4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3,163</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2,407</w:t>
            </w:r>
          </w:p>
        </w:tc>
        <w:tc>
          <w:tcPr>
            <w:tcW w:w="4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31.4 %</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8,885</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7,027</w:t>
            </w:r>
          </w:p>
        </w:tc>
        <w:tc>
          <w:tcPr>
            <w:tcW w:w="8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26.4 %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2"/>
        </w:trPr>
        <w:tc>
          <w:tcPr>
            <w:tcW w:w="120" w:type="dxa"/>
            <w:vAlign w:val="bottom"/>
            <w:shd w:val="clear" w:color="auto" w:fill="D9D9D6"/>
          </w:tcPr>
          <w:p>
            <w:pPr>
              <w:spacing w:after="0"/>
              <w:rPr>
                <w:sz w:val="17"/>
                <w:szCs w:val="17"/>
                <w:color w:val="auto"/>
              </w:rPr>
            </w:pPr>
          </w:p>
        </w:tc>
        <w:tc>
          <w:tcPr>
            <w:tcW w:w="4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2,064</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1,449</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42.4 %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5,428</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3,163</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71.6 %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22</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28</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(22.1</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46</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65</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(30.1 %)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49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(909)</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(654)</w:t>
            </w:r>
          </w:p>
        </w:tc>
        <w:tc>
          <w:tcPr>
            <w:tcW w:w="40" w:type="dxa"/>
            <w:vAlign w:val="bottom"/>
            <w:tcBorders>
              <w:bottom w:val="single" w:sz="8" w:color="auto"/>
            </w:tcBorders>
            <w:shd w:val="clear" w:color="auto" w:fill="D9D9D6"/>
          </w:tcPr>
          <w:p>
            <w:pPr>
              <w:spacing w:after="0"/>
              <w:rPr>
                <w:sz w:val="17"/>
                <w:szCs w:val="17"/>
                <w:color w:val="auto"/>
              </w:rPr>
            </w:pPr>
          </w:p>
        </w:tc>
        <w:tc>
          <w:tcPr>
            <w:tcW w:w="200" w:type="dxa"/>
            <w:vAlign w:val="bottom"/>
            <w:tcBorders>
              <w:bottom w:val="single" w:sz="8" w:color="auto"/>
            </w:tcBorders>
            <w:shd w:val="clear" w:color="auto" w:fill="D9D9D6"/>
          </w:tcPr>
          <w:p>
            <w:pPr>
              <w:spacing w:after="0"/>
              <w:rPr>
                <w:sz w:val="17"/>
                <w:szCs w:val="17"/>
                <w:color w:val="auto"/>
              </w:rPr>
            </w:pPr>
          </w:p>
        </w:tc>
        <w:tc>
          <w:tcPr>
            <w:tcW w:w="6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(38.9</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(2,474)</w:t>
            </w: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(2,230)</w:t>
            </w:r>
          </w:p>
        </w:tc>
        <w:tc>
          <w:tcPr>
            <w:tcW w:w="80" w:type="dxa"/>
            <w:vAlign w:val="bottom"/>
            <w:tcBorders>
              <w:bottom w:val="single" w:sz="8" w:color="auto"/>
            </w:tcBorders>
            <w:shd w:val="clear" w:color="auto" w:fill="D9D9D6"/>
          </w:tcPr>
          <w:p>
            <w:pPr>
              <w:spacing w:after="0"/>
              <w:rPr>
                <w:sz w:val="17"/>
                <w:szCs w:val="17"/>
                <w:color w:val="auto"/>
              </w:rPr>
            </w:pPr>
          </w:p>
        </w:tc>
        <w:tc>
          <w:tcPr>
            <w:tcW w:w="220" w:type="dxa"/>
            <w:vAlign w:val="bottom"/>
            <w:tcBorders>
              <w:bottom w:val="single" w:sz="8" w:color="auto"/>
            </w:tcBorders>
            <w:shd w:val="clear" w:color="auto" w:fill="D9D9D6"/>
          </w:tcPr>
          <w:p>
            <w:pPr>
              <w:spacing w:after="0"/>
              <w:rPr>
                <w:sz w:val="17"/>
                <w:szCs w:val="17"/>
                <w:color w:val="auto"/>
              </w:rPr>
            </w:pPr>
          </w:p>
        </w:tc>
        <w:tc>
          <w:tcPr>
            <w:tcW w:w="7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(10.9 %)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4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$9,570</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$10,001</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(4.3</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$29,311</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$24,981</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17.3 %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4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4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$583</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$997</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(41.5 %)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$3,080</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$3,847</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537</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179</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199.6 %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783</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833</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819</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434</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88.6 %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1,902</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593</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640" w:type="dxa"/>
            <w:vAlign w:val="bottom"/>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NM</w:t>
            </w:r>
          </w:p>
        </w:tc>
      </w:tr>
      <w:tr>
        <w:trPr>
          <w:trHeight w:val="203"/>
        </w:trPr>
        <w:tc>
          <w:tcPr>
            <w:tcW w:w="120" w:type="dxa"/>
            <w:vAlign w:val="bottom"/>
            <w:shd w:val="clear" w:color="auto" w:fill="D9D9D6"/>
          </w:tcPr>
          <w:p>
            <w:pPr>
              <w:spacing w:after="0"/>
              <w:rPr>
                <w:sz w:val="17"/>
                <w:szCs w:val="17"/>
                <w:color w:val="auto"/>
              </w:rPr>
            </w:pPr>
          </w:p>
        </w:tc>
        <w:tc>
          <w:tcPr>
            <w:tcW w:w="4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(199)</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(248)</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19.8 %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(528)</w:t>
            </w: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(643)</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7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49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(59)</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(12)</w:t>
            </w:r>
          </w:p>
        </w:tc>
        <w:tc>
          <w:tcPr>
            <w:tcW w:w="40" w:type="dxa"/>
            <w:vAlign w:val="bottom"/>
            <w:tcBorders>
              <w:bottom w:val="single" w:sz="8" w:color="auto"/>
            </w:tcBorders>
            <w:shd w:val="clear" w:color="auto" w:fill="D9D9D6"/>
          </w:tcPr>
          <w:p>
            <w:pPr>
              <w:spacing w:after="0"/>
              <w:rPr>
                <w:sz w:val="17"/>
                <w:szCs w:val="17"/>
                <w:color w:val="auto"/>
              </w:rPr>
            </w:pPr>
          </w:p>
        </w:tc>
        <w:tc>
          <w:tcPr>
            <w:tcW w:w="200" w:type="dxa"/>
            <w:vAlign w:val="bottom"/>
            <w:tcBorders>
              <w:bottom w:val="single" w:sz="8" w:color="auto"/>
            </w:tcBorders>
            <w:shd w:val="clear" w:color="auto" w:fill="D9D9D6"/>
          </w:tcPr>
          <w:p>
            <w:pPr>
              <w:spacing w:after="0"/>
              <w:rPr>
                <w:sz w:val="17"/>
                <w:szCs w:val="17"/>
                <w:color w:val="auto"/>
              </w:rPr>
            </w:pPr>
          </w:p>
        </w:tc>
        <w:tc>
          <w:tcPr>
            <w:tcW w:w="30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(98)</w:t>
            </w: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(238)</w:t>
            </w:r>
          </w:p>
        </w:tc>
        <w:tc>
          <w:tcPr>
            <w:tcW w:w="80" w:type="dxa"/>
            <w:vAlign w:val="bottom"/>
            <w:tcBorders>
              <w:bottom w:val="single" w:sz="8" w:color="auto"/>
            </w:tcBorders>
            <w:shd w:val="clear" w:color="auto" w:fill="D9D9D6"/>
          </w:tcPr>
          <w:p>
            <w:pPr>
              <w:spacing w:after="0"/>
              <w:rPr>
                <w:sz w:val="17"/>
                <w:szCs w:val="17"/>
                <w:color w:val="auto"/>
              </w:rPr>
            </w:pPr>
          </w:p>
        </w:tc>
        <w:tc>
          <w:tcPr>
            <w:tcW w:w="220" w:type="dxa"/>
            <w:vAlign w:val="bottom"/>
            <w:tcBorders>
              <w:bottom w:val="single" w:sz="8" w:color="auto"/>
            </w:tcBorders>
            <w:shd w:val="clear" w:color="auto" w:fill="D9D9D6"/>
          </w:tcPr>
          <w:p>
            <w:pPr>
              <w:spacing w:after="0"/>
              <w:rPr>
                <w:sz w:val="17"/>
                <w:szCs w:val="17"/>
                <w:color w:val="auto"/>
              </w:rPr>
            </w:pPr>
          </w:p>
        </w:tc>
        <w:tc>
          <w:tcPr>
            <w:tcW w:w="5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58.6</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$1,681</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$1,349</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24.6 %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$5,138</w:t>
            </w: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$4,392</w:t>
            </w:r>
          </w:p>
        </w:tc>
        <w:tc>
          <w:tcPr>
            <w:tcW w:w="8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17.0</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4"/>
        </w:trPr>
        <w:tc>
          <w:tcPr>
            <w:tcW w:w="120" w:type="dxa"/>
            <w:vAlign w:val="bottom"/>
            <w:shd w:val="clear" w:color="auto" w:fill="D9D9D6"/>
          </w:tcPr>
          <w:p>
            <w:pPr>
              <w:spacing w:after="0"/>
              <w:rPr>
                <w:sz w:val="16"/>
                <w:szCs w:val="16"/>
                <w:color w:val="auto"/>
              </w:rPr>
            </w:pPr>
          </w:p>
        </w:tc>
        <w:tc>
          <w:tcPr>
            <w:tcW w:w="49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40" w:type="dxa"/>
            <w:vAlign w:val="bottom"/>
            <w:tcBorders>
              <w:right w:val="single" w:sz="8" w:color="D9D9D6"/>
            </w:tcBorders>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4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62"/>
        </w:trPr>
        <w:tc>
          <w:tcPr>
            <w:tcW w:w="120" w:type="dxa"/>
            <w:vAlign w:val="bottom"/>
            <w:shd w:val="clear" w:color="auto" w:fill="D9D9D6"/>
          </w:tcPr>
          <w:p>
            <w:pPr>
              <w:spacing w:after="0"/>
              <w:rPr>
                <w:sz w:val="5"/>
                <w:szCs w:val="5"/>
                <w:color w:val="auto"/>
              </w:rPr>
            </w:pPr>
          </w:p>
        </w:tc>
        <w:tc>
          <w:tcPr>
            <w:tcW w:w="4940" w:type="dxa"/>
            <w:vAlign w:val="bottom"/>
            <w:shd w:val="clear" w:color="auto" w:fill="D9D9D6"/>
          </w:tcPr>
          <w:p>
            <w:pPr>
              <w:spacing w:after="0"/>
              <w:rPr>
                <w:sz w:val="5"/>
                <w:szCs w:val="5"/>
                <w:color w:val="auto"/>
              </w:rPr>
            </w:pPr>
          </w:p>
        </w:tc>
        <w:tc>
          <w:tcPr>
            <w:tcW w:w="52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3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4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30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240" w:type="dxa"/>
            <w:vAlign w:val="bottom"/>
            <w:tcBorders>
              <w:right w:val="single" w:sz="8" w:color="D9D9D6"/>
            </w:tcBorders>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40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2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20" w:type="dxa"/>
            <w:vAlign w:val="bottom"/>
            <w:shd w:val="clear" w:color="auto" w:fill="D9D9D6"/>
          </w:tcPr>
          <w:p>
            <w:pPr>
              <w:spacing w:after="0"/>
              <w:rPr>
                <w:sz w:val="5"/>
                <w:szCs w:val="5"/>
                <w:color w:val="auto"/>
              </w:rPr>
            </w:pPr>
          </w:p>
        </w:tc>
      </w:tr>
    </w:tbl>
    <w:p>
      <w:pPr>
        <w:spacing w:after="0" w:line="31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4.3% to $9.6 billion in the third quarter of 2022. The prior year period included an incremental $1.8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from the Tokyo Olympics included in the Media segment.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24.6% to $1.7 billion.</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2022, NBCUniversal revenue increased 17.3% to $29.3 billion. The current year period included $1.5 billion of incremental revenue from the Beijing Olympics and the NFL's Super Bowl in the Media segment, while 2021 included $1.8 billion of incremental revenue from the Tokyo Olympics in the Media segment. Adjusted EBITDA increased 17.0% to $5.1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Media revenue decreased 22.7% to $5.2 billion in the third quarter of 2022, due to lower advertising revenue and distribution revenue, reflecting the comparison to the Tokyo Olympics in the prior year period. Excluding $1.8 billion of incremental revenue from the Tokyo Olympics in the prior year period, Media revenue increased 4.4%. Advertising revenue decreased 35.1%, primarily due to the Tokyo Olympics in the prior year period, partially offset by an increase in Peacock advertising revenue. Distribution revenue decreased 13.7%, reflecting the Tokyo Olympics in the prior year period and a decline in subscribers at our networks, partially offset by an increase in subscribers at Peacock and contractual rate increases. Adjusted EBITDA decreased 41.5% to $583 million in the third quarter of 2022, reflecting lower revenue, which more than offset lower operating expenses. The decrease in operating expenses was primarily due to lower programming and production costs, reflecting lower sports programming costs associated with the Tokyo Olympics in the prior year period, partially offset by higher costs at Peacock. Media results include $506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$614 million related to Peacock, compared to $230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$520 million in the prior year period.</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nine months ended September 30, 2022, revenue from the Media segment increased 2.8% to $17.4 billion, primarily due to higher distribution revenue. Excluding $1.5 billion of incremental revenue from the Beijing Olympics and the NFL's Super Bowl in the current year period and $1.8 billion of incremental revenue from the Tokyo Olympics in 2021, Media revenue increased 4.9%. Adjusted EBITDA decreased 20.0% to $3.1 billion, reflecting higher operating expenses, which more than offset higher revenue. The increase in operating expenses was due to higher programming and production expenses, other operating and administrative expenses and advertising, marketing and promotion expenses. Media results include $1.4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$1.5 billion related to Peacock, compared to $443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$1.2 billion in 2021.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Studios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Studios revenue increased 31.4% to $3.2 billion in the third quarter of 2022, primarily reflecting higher theatrical and content licensing revenue. Theatrical revenue increased $366 million to $ 673 million, primarily due to the successful performance of recent releases, </w:t>
      </w:r>
      <w:r>
        <w:rPr>
          <w:rFonts w:ascii="Arial" w:cs="Arial" w:eastAsia="Arial" w:hAnsi="Arial"/>
          <w:sz w:val="18"/>
          <w:szCs w:val="18"/>
          <w:i w:val="1"/>
          <w:iCs w:val="1"/>
          <w:color w:val="auto"/>
        </w:rPr>
        <w:t>Jurassic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World: Dominion </w:t>
      </w:r>
      <w:r>
        <w:rPr>
          <w:rFonts w:ascii="Arial" w:cs="Arial" w:eastAsia="Arial" w:hAnsi="Arial"/>
          <w:sz w:val="18"/>
          <w:szCs w:val="18"/>
          <w:color w:val="auto"/>
        </w:rPr>
        <w:t>and</w:t>
      </w:r>
      <w:r>
        <w:rPr>
          <w:rFonts w:ascii="Arial" w:cs="Arial" w:eastAsia="Arial" w:hAnsi="Arial"/>
          <w:sz w:val="18"/>
          <w:szCs w:val="18"/>
          <w:i w:val="1"/>
          <w:iCs w:val="1"/>
          <w:color w:val="auto"/>
        </w:rPr>
        <w:t xml:space="preserve"> Minions: The Rise of Gru</w:t>
      </w:r>
      <w:r>
        <w:rPr>
          <w:rFonts w:ascii="Arial" w:cs="Arial" w:eastAsia="Arial" w:hAnsi="Arial"/>
          <w:sz w:val="18"/>
          <w:szCs w:val="18"/>
          <w:color w:val="auto"/>
        </w:rPr>
        <w:t>. Content licensing revenue increased 16.8%, primarily due to the timing of when content was</w:t>
      </w:r>
      <w:r>
        <w:rPr>
          <w:rFonts w:ascii="Arial" w:cs="Arial" w:eastAsia="Arial" w:hAnsi="Arial"/>
          <w:sz w:val="18"/>
          <w:szCs w:val="18"/>
          <w:i w:val="1"/>
          <w:iCs w:val="1"/>
          <w:color w:val="auto"/>
        </w:rPr>
        <w:t xml:space="preserve"> </w:t>
      </w:r>
      <w:r>
        <w:rPr>
          <w:rFonts w:ascii="Arial" w:cs="Arial" w:eastAsia="Arial" w:hAnsi="Arial"/>
          <w:sz w:val="18"/>
          <w:szCs w:val="18"/>
          <w:color w:val="auto"/>
        </w:rPr>
        <w:t>made available by our television and film studios under licensing agreements, including additional sales of content as production levels returned to normal. Adjusted EBITDA increased $358 million to $537 million in the third quarter of 2022, reflecting higher revenue, which more than offset higher operating expenses. The increase in operating expenses was driven by higher programming and production expenses, reflecting higher amortization of film and television production costs in the current year period.</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2022, revenue from the Studios segment increased 26.4% to $8.9 billion, primarily reflecting higher content licensing revenue and theatrical revenue. Adjusted EBITDA decreased 6.0% to $783 million, reflecting higher operating expenses, which more than offset higher revenue. The increase in operating expenses was primarily driven by higher programming and production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Theme Parks revenue increased 42.4% to $2.1 billion in the third quarter of 2022, reflecting increased attendance and guest spending at our parks in the U.S. and Japan compared to the prior year period, and an increase from the operations of Universal Beijing Resort, which opened in September 2021. Theme Parks Adjusted EBITDA increased 88.6% to $819 million in the third quarter of 2022, reflecting higher revenue, partially offset by higher operating expenses. The prior year period included pre-opening costs related to Universal Beijing Resort.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2022, revenue from the Theme Parks segment increased 71.6% to $5.4 billion, primarily reflecting improved operating conditions compared to 2021, when each of our theme parks in the U.S. and Japan was either operating at limited capacity or closed during certain periods as a result of COVID-19, as well as the operations of Universal Beijing Resort, which opened in September 2021. Adjusted EBITDA increased $1.3 billion to $1.9 billion, reflecting higher revenue, partially offset by higher operating expenses.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NBCUniversal Headquarters and Other includes overhead, personnel costs and costs associated with corporate initiatives. Headquarters and Other Adjusted EBITDA loss in the third quarter of 2022 was $199 million, compared to a loss of $248 million in the prior year period.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2022, Headquarters and Other Adjusted EBITDA loss was $528 million, compared to a loss of $643 million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Amounts represent eliminations of transactions between our NBCUniversal segments, which are affected by the timing of recognition of content licenses between our Studios and Media segments. Revenue eliminations in the third quarter of 2022 were $909 million, compared to $654 million in the prior year period, and Adjusted EBITDA eliminations were a loss of $59 million, compared to a loss of $12 million in the prior year period.</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2022, revenue eliminations were $2.5 billion, compared to $2.2 billion in 2021. Adjusted EBITDA eliminations were $98 million, compared to $238 million in 2021. The year-over-year change was primarily driven by the licensing of content by the Studios segment to Peacock in the Media segment.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28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4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140" w:type="dxa"/>
            <w:vAlign w:val="bottom"/>
            <w:tcBorders>
              <w:right w:val="single" w:sz="8" w:color="D9D9D6"/>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 w:type="dxa"/>
            <w:vAlign w:val="bottom"/>
            <w:shd w:val="clear" w:color="auto" w:fill="D9D9D6"/>
          </w:tcPr>
          <w:p>
            <w:pPr>
              <w:spacing w:after="0"/>
              <w:rPr>
                <w:sz w:val="17"/>
                <w:szCs w:val="17"/>
                <w:color w:val="auto"/>
              </w:rPr>
            </w:pPr>
          </w:p>
        </w:tc>
        <w:tc>
          <w:tcPr>
            <w:tcW w:w="286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240" w:type="dxa"/>
            <w:vAlign w:val="bottom"/>
            <w:gridSpan w:val="7"/>
            <w:shd w:val="clear" w:color="auto" w:fill="D9D9D6"/>
          </w:tcPr>
          <w:p>
            <w:pPr>
              <w:spacing w:after="0"/>
              <w:rPr>
                <w:sz w:val="20"/>
                <w:szCs w:val="20"/>
                <w:color w:val="auto"/>
              </w:rPr>
            </w:pPr>
            <w:r>
              <w:rPr>
                <w:rFonts w:ascii="Arial" w:cs="Arial" w:eastAsia="Arial" w:hAnsi="Arial"/>
                <w:sz w:val="14"/>
                <w:szCs w:val="14"/>
                <w:color w:val="auto"/>
              </w:rPr>
              <w:t>3rd Quarter</w:t>
            </w:r>
          </w:p>
        </w:tc>
        <w:tc>
          <w:tcPr>
            <w:tcW w:w="5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140" w:type="dxa"/>
            <w:vAlign w:val="bottom"/>
            <w:tcBorders>
              <w:right w:val="single" w:sz="8" w:color="929292"/>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1540" w:type="dxa"/>
            <w:vAlign w:val="bottom"/>
            <w:gridSpan w:val="6"/>
            <w:shd w:val="clear" w:color="auto" w:fill="D9D9D6"/>
          </w:tcPr>
          <w:p>
            <w:pPr>
              <w:spacing w:after="0"/>
              <w:rPr>
                <w:sz w:val="20"/>
                <w:szCs w:val="20"/>
                <w:color w:val="auto"/>
              </w:rPr>
            </w:pPr>
            <w:r>
              <w:rPr>
                <w:rFonts w:ascii="Arial" w:cs="Arial" w:eastAsia="Arial" w:hAnsi="Arial"/>
                <w:sz w:val="14"/>
                <w:szCs w:val="14"/>
                <w:color w:val="auto"/>
              </w:rPr>
              <w:t>Year to Date</w:t>
            </w:r>
          </w:p>
        </w:tc>
        <w:tc>
          <w:tcPr>
            <w:tcW w:w="28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0" w:type="dxa"/>
            <w:vAlign w:val="bottom"/>
            <w:tcBorders>
              <w:top w:val="single" w:sz="8" w:color="D9D9D6"/>
            </w:tcBorders>
            <w:shd w:val="clear" w:color="auto" w:fill="D9D9D6"/>
          </w:tcPr>
          <w:p>
            <w:pPr>
              <w:spacing w:after="0"/>
              <w:rPr>
                <w:sz w:val="19"/>
                <w:szCs w:val="19"/>
                <w:color w:val="auto"/>
              </w:rPr>
            </w:pPr>
          </w:p>
        </w:tc>
        <w:tc>
          <w:tcPr>
            <w:tcW w:w="286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4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060" w:type="dxa"/>
            <w:vAlign w:val="bottom"/>
            <w:tcBorders>
              <w:top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40" w:type="dxa"/>
            <w:vAlign w:val="bottom"/>
            <w:tcBorders>
              <w:top w:val="single" w:sz="8" w:color="D9D9D6"/>
              <w:right w:val="single" w:sz="8" w:color="929292"/>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2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980" w:type="dxa"/>
            <w:vAlign w:val="bottom"/>
            <w:tcBorders>
              <w:top w:val="single" w:sz="8" w:color="D9D9D6"/>
            </w:tcBorders>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4"/>
        </w:trPr>
        <w:tc>
          <w:tcPr>
            <w:tcW w:w="120" w:type="dxa"/>
            <w:vAlign w:val="bottom"/>
            <w:shd w:val="clear" w:color="auto" w:fill="D9D9D6"/>
          </w:tcPr>
          <w:p>
            <w:pPr>
              <w:spacing w:after="0"/>
              <w:rPr>
                <w:sz w:val="12"/>
                <w:szCs w:val="12"/>
                <w:color w:val="auto"/>
              </w:rPr>
            </w:pPr>
          </w:p>
        </w:tc>
        <w:tc>
          <w:tcPr>
            <w:tcW w:w="2860" w:type="dxa"/>
            <w:vAlign w:val="bottom"/>
            <w:shd w:val="clear" w:color="auto" w:fill="D9D9D6"/>
          </w:tcPr>
          <w:p>
            <w:pPr>
              <w:spacing w:after="0"/>
              <w:rPr>
                <w:sz w:val="12"/>
                <w:szCs w:val="12"/>
                <w:color w:val="auto"/>
              </w:rPr>
            </w:pPr>
          </w:p>
        </w:tc>
        <w:tc>
          <w:tcPr>
            <w:tcW w:w="92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9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980" w:type="dxa"/>
            <w:vAlign w:val="bottom"/>
            <w:gridSpan w:val="5"/>
            <w:vMerge w:val="restart"/>
            <w:shd w:val="clear" w:color="auto" w:fill="D9D9D6"/>
          </w:tcPr>
          <w:p>
            <w:pPr>
              <w:ind w:left="460"/>
              <w:spacing w:after="0"/>
              <w:rPr>
                <w:sz w:val="20"/>
                <w:szCs w:val="20"/>
                <w:color w:val="auto"/>
              </w:rPr>
            </w:pPr>
            <w:r>
              <w:rPr>
                <w:rFonts w:ascii="Arial" w:cs="Arial" w:eastAsia="Arial" w:hAnsi="Arial"/>
                <w:sz w:val="14"/>
                <w:szCs w:val="14"/>
                <w:color w:val="auto"/>
              </w:rPr>
              <w:t>Change</w:t>
            </w:r>
          </w:p>
        </w:tc>
        <w:tc>
          <w:tcPr>
            <w:tcW w:w="1060" w:type="dxa"/>
            <w:vAlign w:val="bottom"/>
            <w:gridSpan w:val="4"/>
            <w:shd w:val="clear" w:color="auto" w:fill="D9D9D6"/>
          </w:tcPr>
          <w:p>
            <w:pPr>
              <w:jc w:val="right"/>
              <w:ind w:right="60"/>
              <w:spacing w:after="0" w:line="145" w:lineRule="exact"/>
              <w:rPr>
                <w:sz w:val="20"/>
                <w:szCs w:val="20"/>
                <w:color w:val="auto"/>
              </w:rPr>
            </w:pPr>
            <w:r>
              <w:rPr>
                <w:rFonts w:ascii="Arial" w:cs="Arial" w:eastAsia="Arial" w:hAnsi="Arial"/>
                <w:sz w:val="14"/>
                <w:szCs w:val="14"/>
                <w:color w:val="auto"/>
              </w:rPr>
              <w:t>Currency</w:t>
            </w:r>
          </w:p>
        </w:tc>
        <w:tc>
          <w:tcPr>
            <w:tcW w:w="140" w:type="dxa"/>
            <w:vAlign w:val="bottom"/>
            <w:tcBorders>
              <w:right w:val="single" w:sz="8" w:color="929292"/>
            </w:tcBorders>
            <w:shd w:val="clear" w:color="auto" w:fill="D9D9D6"/>
          </w:tcPr>
          <w:p>
            <w:pPr>
              <w:spacing w:after="0"/>
              <w:rPr>
                <w:sz w:val="12"/>
                <w:szCs w:val="12"/>
                <w:color w:val="auto"/>
              </w:rPr>
            </w:pPr>
          </w:p>
        </w:tc>
        <w:tc>
          <w:tcPr>
            <w:tcW w:w="1300" w:type="dxa"/>
            <w:vAlign w:val="bottom"/>
            <w:gridSpan w:val="4"/>
            <w:vMerge w:val="restart"/>
            <w:shd w:val="clear" w:color="auto" w:fill="D9D9D6"/>
          </w:tcPr>
          <w:p>
            <w:pPr>
              <w:jc w:val="right"/>
              <w:ind w:right="240"/>
              <w:spacing w:after="0"/>
              <w:rPr>
                <w:sz w:val="20"/>
                <w:szCs w:val="20"/>
                <w:color w:val="auto"/>
              </w:rPr>
            </w:pPr>
            <w:r>
              <w:rPr>
                <w:rFonts w:ascii="Arial" w:cs="Arial" w:eastAsia="Arial" w:hAnsi="Arial"/>
                <w:sz w:val="14"/>
                <w:szCs w:val="14"/>
                <w:color w:val="auto"/>
              </w:rPr>
              <w:t>2022</w:t>
            </w:r>
          </w:p>
        </w:tc>
        <w:tc>
          <w:tcPr>
            <w:tcW w:w="960" w:type="dxa"/>
            <w:vAlign w:val="bottom"/>
            <w:gridSpan w:val="3"/>
            <w:vMerge w:val="restart"/>
            <w:shd w:val="clear" w:color="auto" w:fill="D9D9D6"/>
          </w:tcPr>
          <w:p>
            <w:pPr>
              <w:jc w:val="right"/>
              <w:ind w:right="220"/>
              <w:spacing w:after="0"/>
              <w:rPr>
                <w:sz w:val="20"/>
                <w:szCs w:val="20"/>
                <w:color w:val="auto"/>
              </w:rPr>
            </w:pPr>
            <w:r>
              <w:rPr>
                <w:rFonts w:ascii="Arial" w:cs="Arial" w:eastAsia="Arial" w:hAnsi="Arial"/>
                <w:sz w:val="14"/>
                <w:szCs w:val="14"/>
                <w:color w:val="auto"/>
              </w:rPr>
              <w:t>2021</w:t>
            </w:r>
          </w:p>
        </w:tc>
        <w:tc>
          <w:tcPr>
            <w:tcW w:w="26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72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980" w:type="dxa"/>
            <w:vAlign w:val="bottom"/>
            <w:gridSpan w:val="4"/>
            <w:shd w:val="clear" w:color="auto" w:fill="D9D9D6"/>
          </w:tcPr>
          <w:p>
            <w:pPr>
              <w:jc w:val="right"/>
              <w:ind w:right="180"/>
              <w:spacing w:after="0" w:line="14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8"/>
        </w:trPr>
        <w:tc>
          <w:tcPr>
            <w:tcW w:w="120" w:type="dxa"/>
            <w:vAlign w:val="bottom"/>
            <w:shd w:val="clear" w:color="auto" w:fill="D9D9D6"/>
          </w:tcPr>
          <w:p>
            <w:pPr>
              <w:spacing w:after="0"/>
              <w:rPr>
                <w:sz w:val="12"/>
                <w:szCs w:val="12"/>
                <w:color w:val="auto"/>
              </w:rPr>
            </w:pPr>
          </w:p>
        </w:tc>
        <w:tc>
          <w:tcPr>
            <w:tcW w:w="2860" w:type="dxa"/>
            <w:vAlign w:val="bottom"/>
            <w:shd w:val="clear" w:color="auto" w:fill="D9D9D6"/>
          </w:tcPr>
          <w:p>
            <w:pPr>
              <w:spacing w:after="0"/>
              <w:rPr>
                <w:sz w:val="12"/>
                <w:szCs w:val="12"/>
                <w:color w:val="auto"/>
              </w:rPr>
            </w:pPr>
          </w:p>
        </w:tc>
        <w:tc>
          <w:tcPr>
            <w:tcW w:w="920" w:type="dxa"/>
            <w:vAlign w:val="bottom"/>
            <w:gridSpan w:val="3"/>
            <w:vMerge w:val="continue"/>
            <w:shd w:val="clear" w:color="auto" w:fill="D9D9D6"/>
          </w:tcPr>
          <w:p>
            <w:pPr>
              <w:spacing w:after="0"/>
              <w:rPr>
                <w:sz w:val="12"/>
                <w:szCs w:val="12"/>
                <w:color w:val="auto"/>
              </w:rPr>
            </w:pPr>
          </w:p>
        </w:tc>
        <w:tc>
          <w:tcPr>
            <w:tcW w:w="920" w:type="dxa"/>
            <w:vAlign w:val="bottom"/>
            <w:gridSpan w:val="4"/>
            <w:vMerge w:val="continue"/>
            <w:shd w:val="clear" w:color="auto" w:fill="D9D9D6"/>
          </w:tcPr>
          <w:p>
            <w:pPr>
              <w:spacing w:after="0"/>
              <w:rPr>
                <w:sz w:val="12"/>
                <w:szCs w:val="12"/>
                <w:color w:val="auto"/>
              </w:rPr>
            </w:pPr>
          </w:p>
        </w:tc>
        <w:tc>
          <w:tcPr>
            <w:tcW w:w="980" w:type="dxa"/>
            <w:vAlign w:val="bottom"/>
            <w:gridSpan w:val="5"/>
            <w:vMerge w:val="continue"/>
            <w:shd w:val="clear" w:color="auto" w:fill="D9D9D6"/>
          </w:tcPr>
          <w:p>
            <w:pPr>
              <w:spacing w:after="0"/>
              <w:rPr>
                <w:sz w:val="12"/>
                <w:szCs w:val="12"/>
                <w:color w:val="auto"/>
              </w:rPr>
            </w:pPr>
          </w:p>
        </w:tc>
        <w:tc>
          <w:tcPr>
            <w:tcW w:w="1060" w:type="dxa"/>
            <w:vAlign w:val="bottom"/>
            <w:gridSpan w:val="4"/>
            <w:shd w:val="clear" w:color="auto" w:fill="D9D9D6"/>
          </w:tcPr>
          <w:p>
            <w:pPr>
              <w:jc w:val="right"/>
              <w:ind w:right="20"/>
              <w:spacing w:after="0" w:line="149"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u w:val="single" w:color="auto"/>
                <w:color w:val="auto"/>
              </w:rPr>
              <w:t>7</w:t>
            </w:r>
          </w:p>
        </w:tc>
        <w:tc>
          <w:tcPr>
            <w:tcW w:w="140" w:type="dxa"/>
            <w:vAlign w:val="bottom"/>
            <w:tcBorders>
              <w:right w:val="single" w:sz="8" w:color="929292"/>
            </w:tcBorders>
            <w:shd w:val="clear" w:color="auto" w:fill="D9D9D6"/>
          </w:tcPr>
          <w:p>
            <w:pPr>
              <w:spacing w:after="0"/>
              <w:rPr>
                <w:sz w:val="12"/>
                <w:szCs w:val="12"/>
                <w:color w:val="auto"/>
              </w:rPr>
            </w:pPr>
          </w:p>
        </w:tc>
        <w:tc>
          <w:tcPr>
            <w:tcW w:w="1300" w:type="dxa"/>
            <w:vAlign w:val="bottom"/>
            <w:gridSpan w:val="4"/>
            <w:vMerge w:val="continue"/>
            <w:shd w:val="clear" w:color="auto" w:fill="D9D9D6"/>
          </w:tcPr>
          <w:p>
            <w:pPr>
              <w:spacing w:after="0"/>
              <w:rPr>
                <w:sz w:val="12"/>
                <w:szCs w:val="12"/>
                <w:color w:val="auto"/>
              </w:rPr>
            </w:pPr>
          </w:p>
        </w:tc>
        <w:tc>
          <w:tcPr>
            <w:tcW w:w="960" w:type="dxa"/>
            <w:vAlign w:val="bottom"/>
            <w:gridSpan w:val="3"/>
            <w:vMerge w:val="continue"/>
            <w:shd w:val="clear" w:color="auto" w:fill="D9D9D6"/>
          </w:tcPr>
          <w:p>
            <w:pPr>
              <w:spacing w:after="0"/>
              <w:rPr>
                <w:sz w:val="12"/>
                <w:szCs w:val="12"/>
                <w:color w:val="auto"/>
              </w:rPr>
            </w:pPr>
          </w:p>
        </w:tc>
        <w:tc>
          <w:tcPr>
            <w:tcW w:w="26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720" w:type="dxa"/>
            <w:vAlign w:val="bottom"/>
            <w:gridSpan w:val="2"/>
            <w:vMerge w:val="continue"/>
            <w:shd w:val="clear" w:color="auto" w:fill="D9D9D6"/>
          </w:tcPr>
          <w:p>
            <w:pPr>
              <w:spacing w:after="0"/>
              <w:rPr>
                <w:sz w:val="12"/>
                <w:szCs w:val="12"/>
                <w:color w:val="auto"/>
              </w:rPr>
            </w:pPr>
          </w:p>
        </w:tc>
        <w:tc>
          <w:tcPr>
            <w:tcW w:w="280" w:type="dxa"/>
            <w:vAlign w:val="bottom"/>
            <w:shd w:val="clear" w:color="auto" w:fill="D9D9D6"/>
          </w:tcPr>
          <w:p>
            <w:pPr>
              <w:spacing w:after="0"/>
              <w:rPr>
                <w:sz w:val="12"/>
                <w:szCs w:val="12"/>
                <w:color w:val="auto"/>
              </w:rPr>
            </w:pPr>
          </w:p>
        </w:tc>
        <w:tc>
          <w:tcPr>
            <w:tcW w:w="700" w:type="dxa"/>
            <w:vAlign w:val="bottom"/>
            <w:gridSpan w:val="3"/>
            <w:shd w:val="clear" w:color="auto" w:fill="D9D9D6"/>
          </w:tcPr>
          <w:p>
            <w:pPr>
              <w:spacing w:after="0" w:line="149"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u w:val="single" w:color="auto"/>
                <w:color w:val="auto"/>
              </w:rPr>
              <w:t>7</w:t>
            </w:r>
          </w:p>
        </w:tc>
        <w:tc>
          <w:tcPr>
            <w:tcW w:w="0" w:type="dxa"/>
            <w:vAlign w:val="bottom"/>
          </w:tcPr>
          <w:p>
            <w:pPr>
              <w:spacing w:after="0"/>
              <w:rPr>
                <w:sz w:val="1"/>
                <w:szCs w:val="1"/>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28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5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80" w:type="dxa"/>
            <w:vAlign w:val="bottom"/>
            <w:tcBorders>
              <w:top w:val="single" w:sz="8" w:color="auto"/>
            </w:tcBorders>
            <w:shd w:val="clear" w:color="auto" w:fill="D9D9D6"/>
          </w:tcPr>
          <w:p>
            <w:pPr>
              <w:spacing w:after="0"/>
              <w:rPr>
                <w:sz w:val="19"/>
                <w:szCs w:val="19"/>
                <w:color w:val="auto"/>
              </w:rPr>
            </w:pPr>
          </w:p>
        </w:tc>
        <w:tc>
          <w:tcPr>
            <w:tcW w:w="2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46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30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140" w:type="dxa"/>
            <w:vAlign w:val="bottom"/>
            <w:tcBorders>
              <w:top w:val="single" w:sz="8" w:color="auto"/>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right w:val="single" w:sz="8" w:color="929292"/>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D9D9D6"/>
          </w:tcPr>
          <w:p>
            <w:pPr>
              <w:spacing w:after="0"/>
              <w:rPr>
                <w:sz w:val="17"/>
                <w:szCs w:val="17"/>
                <w:color w:val="auto"/>
              </w:rPr>
            </w:pPr>
          </w:p>
        </w:tc>
        <w:tc>
          <w:tcPr>
            <w:tcW w:w="28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Direct-to-Consumer</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$3,510</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$4,127</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(15.0</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(0.4 %)</w:t>
            </w:r>
          </w:p>
        </w:tc>
        <w:tc>
          <w:tcPr>
            <w:tcW w:w="140" w:type="dxa"/>
            <w:vAlign w:val="bottom"/>
            <w:tcBorders>
              <w:right w:val="single" w:sz="8" w:color="929292"/>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$11,073</w:t>
            </w:r>
          </w:p>
        </w:tc>
        <w:tc>
          <w:tcPr>
            <w:tcW w:w="96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$12,415</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(10.8 %)</w:t>
            </w:r>
          </w:p>
        </w:tc>
        <w:tc>
          <w:tcPr>
            <w:tcW w:w="2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28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273</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300</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(9.1</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6.4 %</w:t>
            </w:r>
          </w:p>
        </w:tc>
        <w:tc>
          <w:tcPr>
            <w:tcW w:w="60" w:type="dxa"/>
            <w:vAlign w:val="bottom"/>
            <w:shd w:val="clear" w:color="auto" w:fill="D9D9D6"/>
          </w:tcPr>
          <w:p>
            <w:pPr>
              <w:spacing w:after="0"/>
              <w:rPr>
                <w:sz w:val="17"/>
                <w:szCs w:val="17"/>
                <w:color w:val="auto"/>
              </w:rPr>
            </w:pPr>
          </w:p>
        </w:tc>
        <w:tc>
          <w:tcPr>
            <w:tcW w:w="140" w:type="dxa"/>
            <w:vAlign w:val="bottom"/>
            <w:tcBorders>
              <w:right w:val="single" w:sz="8" w:color="929292"/>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833</w:t>
            </w:r>
          </w:p>
        </w:tc>
        <w:tc>
          <w:tcPr>
            <w:tcW w:w="96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1,013</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(17.8 %)</w:t>
            </w:r>
          </w:p>
        </w:tc>
        <w:tc>
          <w:tcPr>
            <w:tcW w:w="2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(9.3 %)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28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9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471</w:t>
            </w:r>
          </w:p>
        </w:tc>
        <w:tc>
          <w:tcPr>
            <w:tcW w:w="9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561</w:t>
            </w:r>
          </w:p>
        </w:tc>
        <w:tc>
          <w:tcPr>
            <w:tcW w:w="7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(15.9</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(1.6</w:t>
            </w:r>
          </w:p>
        </w:tc>
        <w:tc>
          <w:tcPr>
            <w:tcW w:w="20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3"/>
              </w:rPr>
              <w:t>%)</w:t>
            </w:r>
          </w:p>
        </w:tc>
        <w:tc>
          <w:tcPr>
            <w:tcW w:w="140" w:type="dxa"/>
            <w:vAlign w:val="bottom"/>
            <w:tcBorders>
              <w:bottom w:val="single" w:sz="8" w:color="D9D9D6"/>
              <w:right w:val="single" w:sz="8" w:color="929292"/>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1200" w:type="dxa"/>
            <w:vAlign w:val="bottom"/>
            <w:tcBorders>
              <w:bottom w:val="single" w:sz="8" w:color="auto"/>
            </w:tcBorders>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1,623</w:t>
            </w:r>
          </w:p>
        </w:tc>
        <w:tc>
          <w:tcPr>
            <w:tcW w:w="960" w:type="dxa"/>
            <w:vAlign w:val="bottom"/>
            <w:tcBorders>
              <w:bottom w:val="single" w:sz="8" w:color="auto"/>
            </w:tcBorders>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1,777</w:t>
            </w:r>
          </w:p>
        </w:tc>
        <w:tc>
          <w:tcPr>
            <w:tcW w:w="7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(8.7 %)</w:t>
            </w:r>
          </w:p>
        </w:tc>
        <w:tc>
          <w:tcPr>
            <w:tcW w:w="220" w:type="dxa"/>
            <w:vAlign w:val="bottom"/>
            <w:tcBorders>
              <w:bottom w:val="single" w:sz="8" w:color="auto"/>
            </w:tcBorders>
            <w:shd w:val="clear" w:color="auto" w:fill="D9D9D6"/>
          </w:tcPr>
          <w:p>
            <w:pPr>
              <w:spacing w:after="0"/>
              <w:rPr>
                <w:sz w:val="17"/>
                <w:szCs w:val="17"/>
                <w:color w:val="auto"/>
              </w:rPr>
            </w:pPr>
          </w:p>
        </w:tc>
        <w:tc>
          <w:tcPr>
            <w:tcW w:w="7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1.1 %</w:t>
            </w:r>
          </w:p>
        </w:tc>
        <w:tc>
          <w:tcPr>
            <w:tcW w:w="8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D9D9D6"/>
          </w:tcPr>
          <w:p>
            <w:pPr>
              <w:spacing w:after="0"/>
              <w:rPr>
                <w:sz w:val="17"/>
                <w:szCs w:val="17"/>
                <w:color w:val="auto"/>
              </w:rPr>
            </w:pPr>
          </w:p>
        </w:tc>
        <w:tc>
          <w:tcPr>
            <w:tcW w:w="28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$4,253</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$4,988</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(14.7</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(0.2</w:t>
            </w:r>
          </w:p>
        </w:tc>
        <w:tc>
          <w:tcPr>
            <w:tcW w:w="2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right w:val="single" w:sz="8" w:color="929292"/>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$13,529</w:t>
            </w:r>
          </w:p>
        </w:tc>
        <w:tc>
          <w:tcPr>
            <w:tcW w:w="96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$15,205</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(11.0 %)</w:t>
            </w:r>
          </w:p>
        </w:tc>
        <w:tc>
          <w:tcPr>
            <w:tcW w:w="2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20" w:type="dxa"/>
            <w:vAlign w:val="bottom"/>
            <w:shd w:val="clear" w:color="auto" w:fill="D9D9D6"/>
          </w:tcPr>
          <w:p>
            <w:pPr>
              <w:spacing w:after="0"/>
              <w:rPr>
                <w:sz w:val="24"/>
                <w:szCs w:val="24"/>
                <w:color w:val="auto"/>
              </w:rPr>
            </w:pPr>
          </w:p>
        </w:tc>
        <w:tc>
          <w:tcPr>
            <w:tcW w:w="28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$3,553</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$4,016</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(11.5 %)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3.5 %</w:t>
            </w:r>
          </w:p>
        </w:tc>
        <w:tc>
          <w:tcPr>
            <w:tcW w:w="60" w:type="dxa"/>
            <w:vAlign w:val="bottom"/>
            <w:shd w:val="clear" w:color="auto" w:fill="D9D9D6"/>
          </w:tcPr>
          <w:p>
            <w:pPr>
              <w:spacing w:after="0"/>
              <w:rPr>
                <w:sz w:val="24"/>
                <w:szCs w:val="24"/>
                <w:color w:val="auto"/>
              </w:rPr>
            </w:pPr>
          </w:p>
        </w:tc>
        <w:tc>
          <w:tcPr>
            <w:tcW w:w="140" w:type="dxa"/>
            <w:vAlign w:val="bottom"/>
            <w:tcBorders>
              <w:right w:val="single" w:sz="8" w:color="929292"/>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$11,344</w:t>
            </w:r>
          </w:p>
        </w:tc>
        <w:tc>
          <w:tcPr>
            <w:tcW w:w="96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$13,310</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(14.8 %)</w:t>
            </w:r>
          </w:p>
        </w:tc>
        <w:tc>
          <w:tcPr>
            <w:tcW w:w="2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(5.6 %)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shd w:val="clear" w:color="auto" w:fill="D9D9D6"/>
          </w:tcPr>
          <w:p>
            <w:pPr>
              <w:spacing w:after="0"/>
              <w:rPr>
                <w:sz w:val="24"/>
                <w:szCs w:val="24"/>
                <w:color w:val="auto"/>
              </w:rPr>
            </w:pPr>
          </w:p>
        </w:tc>
        <w:tc>
          <w:tcPr>
            <w:tcW w:w="28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$701</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$971</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(27.9 %)</w:t>
            </w:r>
          </w:p>
        </w:tc>
        <w:tc>
          <w:tcPr>
            <w:tcW w:w="20" w:type="dxa"/>
            <w:vAlign w:val="bottom"/>
            <w:shd w:val="clear" w:color="auto" w:fill="D9D9D6"/>
          </w:tcPr>
          <w:p>
            <w:pPr>
              <w:spacing w:after="0"/>
              <w:rPr>
                <w:sz w:val="24"/>
                <w:szCs w:val="24"/>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(15.5 %)</w:t>
            </w:r>
          </w:p>
        </w:tc>
        <w:tc>
          <w:tcPr>
            <w:tcW w:w="140" w:type="dxa"/>
            <w:vAlign w:val="bottom"/>
            <w:tcBorders>
              <w:right w:val="single" w:sz="8" w:color="929292"/>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$2,185</w:t>
            </w:r>
          </w:p>
        </w:tc>
        <w:tc>
          <w:tcPr>
            <w:tcW w:w="96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$1,895</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15.3 %</w:t>
            </w:r>
          </w:p>
        </w:tc>
        <w:tc>
          <w:tcPr>
            <w:tcW w:w="22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28.7 %</w:t>
            </w: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D9D9D6"/>
          </w:tcPr>
          <w:p>
            <w:pPr>
              <w:spacing w:after="0"/>
              <w:rPr>
                <w:sz w:val="17"/>
                <w:szCs w:val="17"/>
                <w:color w:val="auto"/>
              </w:rPr>
            </w:pPr>
          </w:p>
        </w:tc>
        <w:tc>
          <w:tcPr>
            <w:tcW w:w="286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16.5 %</w:t>
            </w:r>
          </w:p>
        </w:tc>
        <w:tc>
          <w:tcPr>
            <w:tcW w:w="20" w:type="dxa"/>
            <w:vAlign w:val="bottom"/>
            <w:shd w:val="clear" w:color="auto" w:fill="D9D9D6"/>
          </w:tcPr>
          <w:p>
            <w:pPr>
              <w:spacing w:after="0"/>
              <w:rPr>
                <w:sz w:val="17"/>
                <w:szCs w:val="17"/>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19.5 %</w:t>
            </w:r>
          </w:p>
        </w:tc>
        <w:tc>
          <w:tcPr>
            <w:tcW w:w="20" w:type="dxa"/>
            <w:vAlign w:val="bottom"/>
            <w:shd w:val="clear" w:color="auto" w:fill="D9D9D6"/>
          </w:tcPr>
          <w:p>
            <w:pPr>
              <w:spacing w:after="0"/>
              <w:rPr>
                <w:sz w:val="17"/>
                <w:szCs w:val="17"/>
                <w:color w:val="auto"/>
              </w:rPr>
            </w:pPr>
          </w:p>
        </w:tc>
        <w:tc>
          <w:tcPr>
            <w:tcW w:w="4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140" w:type="dxa"/>
            <w:vAlign w:val="bottom"/>
            <w:tcBorders>
              <w:right w:val="single" w:sz="8" w:color="929292"/>
            </w:tcBorders>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16.2 %</w:t>
            </w:r>
          </w:p>
        </w:tc>
        <w:tc>
          <w:tcPr>
            <w:tcW w:w="240" w:type="dxa"/>
            <w:vAlign w:val="bottom"/>
            <w:shd w:val="clear" w:color="auto" w:fill="D9D9D6"/>
          </w:tcPr>
          <w:p>
            <w:pPr>
              <w:spacing w:after="0"/>
              <w:rPr>
                <w:sz w:val="17"/>
                <w:szCs w:val="17"/>
                <w:color w:val="auto"/>
              </w:rPr>
            </w:pP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12.5 %</w:t>
            </w:r>
          </w:p>
        </w:tc>
        <w:tc>
          <w:tcPr>
            <w:tcW w:w="220" w:type="dxa"/>
            <w:vAlign w:val="bottom"/>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D9D9D6"/>
          </w:tcPr>
          <w:p>
            <w:pPr>
              <w:spacing w:after="0"/>
              <w:rPr>
                <w:sz w:val="5"/>
                <w:szCs w:val="5"/>
                <w:color w:val="auto"/>
              </w:rPr>
            </w:pPr>
          </w:p>
        </w:tc>
        <w:tc>
          <w:tcPr>
            <w:tcW w:w="2860" w:type="dxa"/>
            <w:vAlign w:val="bottom"/>
            <w:shd w:val="clear" w:color="auto" w:fill="D9D9D6"/>
          </w:tcPr>
          <w:p>
            <w:pPr>
              <w:spacing w:after="0"/>
              <w:rPr>
                <w:sz w:val="5"/>
                <w:szCs w:val="5"/>
                <w:color w:val="auto"/>
              </w:rPr>
            </w:pPr>
          </w:p>
        </w:tc>
        <w:tc>
          <w:tcPr>
            <w:tcW w:w="5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8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6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30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60" w:type="dxa"/>
            <w:vAlign w:val="bottom"/>
            <w:shd w:val="clear" w:color="auto" w:fill="D9D9D6"/>
          </w:tcPr>
          <w:p>
            <w:pPr>
              <w:spacing w:after="0"/>
              <w:rPr>
                <w:sz w:val="5"/>
                <w:szCs w:val="5"/>
                <w:color w:val="auto"/>
              </w:rPr>
            </w:pPr>
          </w:p>
        </w:tc>
        <w:tc>
          <w:tcPr>
            <w:tcW w:w="140" w:type="dxa"/>
            <w:vAlign w:val="bottom"/>
            <w:tcBorders>
              <w:right w:val="single" w:sz="8" w:color="929292"/>
            </w:tcBorders>
            <w:shd w:val="clear" w:color="auto" w:fill="D9D9D6"/>
          </w:tcPr>
          <w:p>
            <w:pPr>
              <w:spacing w:after="0"/>
              <w:rPr>
                <w:sz w:val="5"/>
                <w:szCs w:val="5"/>
                <w:color w:val="auto"/>
              </w:rPr>
            </w:pPr>
          </w:p>
        </w:tc>
        <w:tc>
          <w:tcPr>
            <w:tcW w:w="10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42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26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28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2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Sky decreased 14.7% to $4.3 billion in the third quarter of 2022. Excluding the impact of currency, revenue was consistent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Direct-to-consumer revenue of $3.5 billion was consistent with the prior year period, reflecting increased revenue in the U.K., driven by higher broadband and mobile revenue, offset by decreased revenue in Italy and Germany. Advertising revenue decreased 1.6% to $471 million, reflecting lower revenue in Italy and consistent revenue in the U.K. and Germany. Content revenue increased 6.4% to $273 million, primarily due to the timing of licensing our content to other platforms.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2022, Sky revenue decreased 11.0% to $13.5 billion. Excluding the impact of currency, revenue decreased 1.4%, reflecting lower direct-to-consumer revenue and content revenue, partially offset by higher advertising revenue.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320,000 to 23.0 million in the third quarter of 2022, driven by streaming customer net additions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result of the timing of unique content and the early start of the football season. For the nine months ended September 30, 2022, total customer relationships decreased by 41,000.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shd w:val="clear" w:color="auto" w:fill="D9D9D6"/>
          </w:tcPr>
          <w:p>
            <w:pPr>
              <w:ind w:left="140"/>
              <w:spacing w:after="0"/>
              <w:rPr>
                <w:sz w:val="20"/>
                <w:szCs w:val="20"/>
                <w:color w:val="auto"/>
              </w:rPr>
            </w:pPr>
            <w:r>
              <w:rPr>
                <w:rFonts w:ascii="Arial" w:cs="Arial" w:eastAsia="Arial" w:hAnsi="Arial"/>
                <w:sz w:val="11"/>
                <w:szCs w:val="11"/>
                <w:i w:val="1"/>
                <w:iCs w:val="1"/>
                <w:color w:val="auto"/>
              </w:rPr>
              <w:t>(in thousands)</w:t>
            </w:r>
          </w:p>
        </w:tc>
        <w:tc>
          <w:tcPr>
            <w:tcW w:w="66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64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40" w:type="dxa"/>
            <w:vAlign w:val="bottom"/>
            <w:tcBorders>
              <w:right w:val="single" w:sz="8" w:color="D9D9D6"/>
            </w:tcBorders>
            <w:shd w:val="clear" w:color="auto" w:fill="D9D9D6"/>
          </w:tcPr>
          <w:p>
            <w:pPr>
              <w:spacing w:after="0"/>
              <w:rPr>
                <w:sz w:val="17"/>
                <w:szCs w:val="17"/>
                <w:color w:val="auto"/>
              </w:rPr>
            </w:pPr>
          </w:p>
        </w:tc>
        <w:tc>
          <w:tcPr>
            <w:tcW w:w="680" w:type="dxa"/>
            <w:vAlign w:val="bottom"/>
            <w:shd w:val="clear" w:color="auto" w:fill="D9D9D6"/>
          </w:tcPr>
          <w:p>
            <w:pPr>
              <w:spacing w:after="0"/>
              <w:rPr>
                <w:sz w:val="17"/>
                <w:szCs w:val="17"/>
                <w:color w:val="auto"/>
              </w:rPr>
            </w:pPr>
          </w:p>
        </w:tc>
        <w:tc>
          <w:tcPr>
            <w:tcW w:w="10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r>
      <w:tr>
        <w:trPr>
          <w:trHeight w:val="203"/>
        </w:trPr>
        <w:tc>
          <w:tcPr>
            <w:tcW w:w="3900" w:type="dxa"/>
            <w:vAlign w:val="bottom"/>
            <w:shd w:val="clear" w:color="auto" w:fill="D9D9D6"/>
          </w:tcPr>
          <w:p>
            <w:pPr>
              <w:spacing w:after="0"/>
              <w:rPr>
                <w:sz w:val="17"/>
                <w:szCs w:val="17"/>
                <w:color w:val="auto"/>
              </w:rPr>
            </w:pPr>
          </w:p>
        </w:tc>
        <w:tc>
          <w:tcPr>
            <w:tcW w:w="660" w:type="dxa"/>
            <w:vAlign w:val="bottom"/>
            <w:tcBorders>
              <w:right w:val="single" w:sz="8" w:color="D9D9D6"/>
            </w:tcBorders>
            <w:shd w:val="clear" w:color="auto" w:fill="D9D9D6"/>
          </w:tcPr>
          <w:p>
            <w:pPr>
              <w:spacing w:after="0"/>
              <w:rPr>
                <w:sz w:val="17"/>
                <w:szCs w:val="17"/>
                <w:color w:val="auto"/>
              </w:rPr>
            </w:pPr>
          </w:p>
        </w:tc>
        <w:tc>
          <w:tcPr>
            <w:tcW w:w="76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Customers</w:t>
            </w:r>
          </w:p>
        </w:tc>
        <w:tc>
          <w:tcPr>
            <w:tcW w:w="2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64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1620" w:type="dxa"/>
            <w:vAlign w:val="bottom"/>
            <w:tcBorders>
              <w:right w:val="single" w:sz="8" w:color="D9D9D6"/>
            </w:tcBorders>
            <w:gridSpan w:val="5"/>
            <w:shd w:val="clear" w:color="auto" w:fill="D9D9D6"/>
          </w:tcPr>
          <w:p>
            <w:pPr>
              <w:spacing w:after="0"/>
              <w:rPr>
                <w:sz w:val="20"/>
                <w:szCs w:val="20"/>
                <w:color w:val="auto"/>
              </w:rPr>
            </w:pPr>
            <w:r>
              <w:rPr>
                <w:rFonts w:ascii="Arial" w:cs="Arial" w:eastAsia="Arial" w:hAnsi="Arial"/>
                <w:sz w:val="14"/>
                <w:szCs w:val="14"/>
                <w:color w:val="auto"/>
              </w:rPr>
              <w:t>Net Additions / (Losses)</w:t>
            </w:r>
          </w:p>
        </w:tc>
        <w:tc>
          <w:tcPr>
            <w:tcW w:w="32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r>
      <w:tr>
        <w:trPr>
          <w:trHeight w:val="162"/>
        </w:trPr>
        <w:tc>
          <w:tcPr>
            <w:tcW w:w="3900" w:type="dxa"/>
            <w:vAlign w:val="bottom"/>
            <w:tcBorders>
              <w:top w:val="single" w:sz="8" w:color="D9D9D6"/>
            </w:tcBorders>
            <w:shd w:val="clear" w:color="auto" w:fill="D9D9D6"/>
          </w:tcPr>
          <w:p>
            <w:pPr>
              <w:spacing w:after="0"/>
              <w:rPr>
                <w:sz w:val="14"/>
                <w:szCs w:val="14"/>
                <w:color w:val="auto"/>
              </w:rPr>
            </w:pPr>
          </w:p>
        </w:tc>
        <w:tc>
          <w:tcPr>
            <w:tcW w:w="660" w:type="dxa"/>
            <w:vAlign w:val="bottom"/>
            <w:tcBorders>
              <w:top w:val="single" w:sz="8" w:color="D9D9D6"/>
              <w:right w:val="single" w:sz="8" w:color="D9D9D6"/>
            </w:tcBorders>
            <w:shd w:val="clear" w:color="auto" w:fill="D9D9D6"/>
          </w:tcPr>
          <w:p>
            <w:pPr>
              <w:spacing w:after="0"/>
              <w:rPr>
                <w:sz w:val="14"/>
                <w:szCs w:val="14"/>
                <w:color w:val="auto"/>
              </w:rPr>
            </w:pPr>
          </w:p>
        </w:tc>
        <w:tc>
          <w:tcPr>
            <w:tcW w:w="320" w:type="dxa"/>
            <w:vAlign w:val="bottom"/>
            <w:tcBorders>
              <w:top w:val="single" w:sz="8" w:color="auto"/>
            </w:tcBorders>
            <w:shd w:val="clear" w:color="auto" w:fill="D9D9D6"/>
          </w:tcPr>
          <w:p>
            <w:pPr>
              <w:spacing w:after="0"/>
              <w:rPr>
                <w:sz w:val="14"/>
                <w:szCs w:val="14"/>
                <w:color w:val="auto"/>
              </w:rPr>
            </w:pPr>
          </w:p>
        </w:tc>
        <w:tc>
          <w:tcPr>
            <w:tcW w:w="360" w:type="dxa"/>
            <w:vAlign w:val="bottom"/>
            <w:tcBorders>
              <w:top w:val="single" w:sz="8" w:color="auto"/>
            </w:tcBorders>
            <w:shd w:val="clear" w:color="auto" w:fill="D9D9D6"/>
          </w:tcPr>
          <w:p>
            <w:pPr>
              <w:spacing w:after="0"/>
              <w:rPr>
                <w:sz w:val="14"/>
                <w:szCs w:val="14"/>
                <w:color w:val="auto"/>
              </w:rPr>
            </w:pPr>
          </w:p>
        </w:tc>
        <w:tc>
          <w:tcPr>
            <w:tcW w:w="80" w:type="dxa"/>
            <w:vAlign w:val="bottom"/>
            <w:tcBorders>
              <w:top w:val="single" w:sz="8" w:color="D9D9D6"/>
            </w:tcBorders>
            <w:shd w:val="clear" w:color="auto" w:fill="D9D9D6"/>
          </w:tcPr>
          <w:p>
            <w:pPr>
              <w:spacing w:after="0"/>
              <w:rPr>
                <w:sz w:val="14"/>
                <w:szCs w:val="14"/>
                <w:color w:val="auto"/>
              </w:rPr>
            </w:pPr>
          </w:p>
        </w:tc>
        <w:tc>
          <w:tcPr>
            <w:tcW w:w="200" w:type="dxa"/>
            <w:vAlign w:val="bottom"/>
            <w:tcBorders>
              <w:top w:val="single" w:sz="8" w:color="D9D9D6"/>
            </w:tcBorders>
            <w:shd w:val="clear" w:color="auto" w:fill="D9D9D6"/>
          </w:tcPr>
          <w:p>
            <w:pPr>
              <w:spacing w:after="0"/>
              <w:rPr>
                <w:sz w:val="14"/>
                <w:szCs w:val="14"/>
                <w:color w:val="auto"/>
              </w:rPr>
            </w:pPr>
          </w:p>
        </w:tc>
        <w:tc>
          <w:tcPr>
            <w:tcW w:w="360" w:type="dxa"/>
            <w:vAlign w:val="bottom"/>
            <w:tcBorders>
              <w:top w:val="single" w:sz="8" w:color="D9D9D6"/>
            </w:tcBorders>
            <w:shd w:val="clear" w:color="auto" w:fill="D9D9D6"/>
          </w:tcPr>
          <w:p>
            <w:pPr>
              <w:spacing w:after="0"/>
              <w:rPr>
                <w:sz w:val="14"/>
                <w:szCs w:val="14"/>
                <w:color w:val="auto"/>
              </w:rPr>
            </w:pPr>
          </w:p>
        </w:tc>
        <w:tc>
          <w:tcPr>
            <w:tcW w:w="1640" w:type="dxa"/>
            <w:vAlign w:val="bottom"/>
            <w:tcBorders>
              <w:top w:val="single" w:sz="8" w:color="D9D9D6"/>
              <w:right w:val="single" w:sz="8" w:color="D9D9D6"/>
            </w:tcBorders>
            <w:shd w:val="clear" w:color="auto" w:fill="D9D9D6"/>
          </w:tcPr>
          <w:p>
            <w:pPr>
              <w:spacing w:after="0"/>
              <w:rPr>
                <w:sz w:val="14"/>
                <w:szCs w:val="14"/>
                <w:color w:val="auto"/>
              </w:rPr>
            </w:pPr>
          </w:p>
        </w:tc>
        <w:tc>
          <w:tcPr>
            <w:tcW w:w="72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w w:val="97"/>
              </w:rPr>
              <w:t>3rd Quarter</w:t>
            </w:r>
          </w:p>
        </w:tc>
        <w:tc>
          <w:tcPr>
            <w:tcW w:w="280" w:type="dxa"/>
            <w:vAlign w:val="bottom"/>
            <w:tcBorders>
              <w:top w:val="single" w:sz="8" w:color="auto"/>
            </w:tcBorders>
            <w:shd w:val="clear" w:color="auto" w:fill="D9D9D6"/>
          </w:tcPr>
          <w:p>
            <w:pPr>
              <w:spacing w:after="0"/>
              <w:rPr>
                <w:sz w:val="14"/>
                <w:szCs w:val="14"/>
                <w:color w:val="auto"/>
              </w:rPr>
            </w:pPr>
          </w:p>
        </w:tc>
        <w:tc>
          <w:tcPr>
            <w:tcW w:w="320" w:type="dxa"/>
            <w:vAlign w:val="bottom"/>
            <w:tcBorders>
              <w:top w:val="single" w:sz="8" w:color="auto"/>
            </w:tcBorders>
            <w:shd w:val="clear" w:color="auto" w:fill="D9D9D6"/>
          </w:tcPr>
          <w:p>
            <w:pPr>
              <w:spacing w:after="0"/>
              <w:rPr>
                <w:sz w:val="14"/>
                <w:szCs w:val="14"/>
                <w:color w:val="auto"/>
              </w:rPr>
            </w:pPr>
          </w:p>
        </w:tc>
        <w:tc>
          <w:tcPr>
            <w:tcW w:w="240" w:type="dxa"/>
            <w:vAlign w:val="bottom"/>
            <w:tcBorders>
              <w:top w:val="single" w:sz="8" w:color="auto"/>
              <w:right w:val="single" w:sz="8" w:color="97999B"/>
            </w:tcBorders>
            <w:shd w:val="clear" w:color="auto" w:fill="D9D9D6"/>
          </w:tcPr>
          <w:p>
            <w:pPr>
              <w:spacing w:after="0"/>
              <w:rPr>
                <w:sz w:val="14"/>
                <w:szCs w:val="14"/>
                <w:color w:val="auto"/>
              </w:rPr>
            </w:pPr>
          </w:p>
        </w:tc>
        <w:tc>
          <w:tcPr>
            <w:tcW w:w="680" w:type="dxa"/>
            <w:vAlign w:val="bottom"/>
            <w:tcBorders>
              <w:top w:val="single" w:sz="8" w:color="auto"/>
            </w:tcBorders>
            <w:shd w:val="clear" w:color="auto" w:fill="D9D9D6"/>
          </w:tcPr>
          <w:p>
            <w:pPr>
              <w:spacing w:after="0"/>
              <w:rPr>
                <w:sz w:val="14"/>
                <w:szCs w:val="14"/>
                <w:color w:val="auto"/>
              </w:rPr>
            </w:pPr>
          </w:p>
        </w:tc>
        <w:tc>
          <w:tcPr>
            <w:tcW w:w="100" w:type="dxa"/>
            <w:vAlign w:val="bottom"/>
            <w:tcBorders>
              <w:top w:val="single" w:sz="8" w:color="D9D9D6"/>
              <w:right w:val="single" w:sz="8" w:color="D9D9D6"/>
            </w:tcBorders>
            <w:shd w:val="clear" w:color="auto" w:fill="D9D9D6"/>
          </w:tcPr>
          <w:p>
            <w:pPr>
              <w:spacing w:after="0"/>
              <w:rPr>
                <w:sz w:val="14"/>
                <w:szCs w:val="14"/>
                <w:color w:val="auto"/>
              </w:rPr>
            </w:pPr>
          </w:p>
        </w:tc>
        <w:tc>
          <w:tcPr>
            <w:tcW w:w="820" w:type="dxa"/>
            <w:vAlign w:val="bottom"/>
            <w:tcBorders>
              <w:top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rPr>
              <w:t>Year to Date</w:t>
            </w:r>
          </w:p>
        </w:tc>
        <w:tc>
          <w:tcPr>
            <w:tcW w:w="100" w:type="dxa"/>
            <w:vAlign w:val="bottom"/>
            <w:tcBorders>
              <w:top w:val="single" w:sz="8" w:color="D9D9D6"/>
            </w:tcBorders>
            <w:shd w:val="clear" w:color="auto" w:fill="D9D9D6"/>
          </w:tcPr>
          <w:p>
            <w:pPr>
              <w:spacing w:after="0"/>
              <w:rPr>
                <w:sz w:val="14"/>
                <w:szCs w:val="14"/>
                <w:color w:val="auto"/>
              </w:rPr>
            </w:pPr>
          </w:p>
        </w:tc>
        <w:tc>
          <w:tcPr>
            <w:tcW w:w="320" w:type="dxa"/>
            <w:vAlign w:val="bottom"/>
            <w:tcBorders>
              <w:top w:val="single" w:sz="8" w:color="D9D9D6"/>
            </w:tcBorders>
            <w:shd w:val="clear" w:color="auto" w:fill="D9D9D6"/>
          </w:tcPr>
          <w:p>
            <w:pPr>
              <w:spacing w:after="0"/>
              <w:rPr>
                <w:sz w:val="14"/>
                <w:szCs w:val="14"/>
                <w:color w:val="auto"/>
              </w:rPr>
            </w:pPr>
          </w:p>
        </w:tc>
        <w:tc>
          <w:tcPr>
            <w:tcW w:w="140" w:type="dxa"/>
            <w:vAlign w:val="bottom"/>
            <w:tcBorders>
              <w:top w:val="single" w:sz="8" w:color="D9D9D6"/>
            </w:tcBorders>
            <w:shd w:val="clear" w:color="auto" w:fill="D9D9D6"/>
          </w:tcPr>
          <w:p>
            <w:pPr>
              <w:spacing w:after="0"/>
              <w:rPr>
                <w:sz w:val="14"/>
                <w:szCs w:val="14"/>
                <w:color w:val="auto"/>
              </w:rPr>
            </w:pPr>
          </w:p>
        </w:tc>
      </w:tr>
      <w:tr>
        <w:trPr>
          <w:trHeight w:val="182"/>
        </w:trPr>
        <w:tc>
          <w:tcPr>
            <w:tcW w:w="3900" w:type="dxa"/>
            <w:vAlign w:val="bottom"/>
            <w:tcBorders>
              <w:top w:val="single" w:sz="8" w:color="D9D9D6"/>
            </w:tcBorders>
            <w:shd w:val="clear" w:color="auto" w:fill="D9D9D6"/>
          </w:tcPr>
          <w:p>
            <w:pPr>
              <w:spacing w:after="0"/>
              <w:rPr>
                <w:sz w:val="15"/>
                <w:szCs w:val="15"/>
                <w:color w:val="auto"/>
              </w:rPr>
            </w:pPr>
          </w:p>
        </w:tc>
        <w:tc>
          <w:tcPr>
            <w:tcW w:w="660" w:type="dxa"/>
            <w:vAlign w:val="bottom"/>
            <w:tcBorders>
              <w:top w:val="single" w:sz="8" w:color="D9D9D6"/>
              <w:right w:val="single" w:sz="8" w:color="D9D9D6"/>
            </w:tcBorders>
            <w:shd w:val="clear" w:color="auto" w:fill="D9D9D6"/>
          </w:tcPr>
          <w:p>
            <w:pPr>
              <w:spacing w:after="0"/>
              <w:rPr>
                <w:sz w:val="15"/>
                <w:szCs w:val="15"/>
                <w:color w:val="auto"/>
              </w:rPr>
            </w:pPr>
          </w:p>
        </w:tc>
        <w:tc>
          <w:tcPr>
            <w:tcW w:w="320" w:type="dxa"/>
            <w:vAlign w:val="bottom"/>
            <w:tcBorders>
              <w:top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87"/>
              </w:rPr>
              <w:t>3Q22</w:t>
            </w:r>
          </w:p>
        </w:tc>
        <w:tc>
          <w:tcPr>
            <w:tcW w:w="360" w:type="dxa"/>
            <w:vAlign w:val="bottom"/>
            <w:tcBorders>
              <w:top w:val="single" w:sz="8" w:color="D9D9D6"/>
            </w:tcBorders>
            <w:shd w:val="clear" w:color="auto" w:fill="D9D9D6"/>
          </w:tcPr>
          <w:p>
            <w:pPr>
              <w:spacing w:after="0"/>
              <w:rPr>
                <w:sz w:val="15"/>
                <w:szCs w:val="15"/>
                <w:color w:val="auto"/>
              </w:rPr>
            </w:pPr>
          </w:p>
        </w:tc>
        <w:tc>
          <w:tcPr>
            <w:tcW w:w="80" w:type="dxa"/>
            <w:vAlign w:val="bottom"/>
            <w:tcBorders>
              <w:top w:val="single" w:sz="8" w:color="D9D9D6"/>
            </w:tcBorders>
            <w:shd w:val="clear" w:color="auto" w:fill="D9D9D6"/>
          </w:tcPr>
          <w:p>
            <w:pPr>
              <w:spacing w:after="0"/>
              <w:rPr>
                <w:sz w:val="15"/>
                <w:szCs w:val="15"/>
                <w:color w:val="auto"/>
              </w:rPr>
            </w:pPr>
          </w:p>
        </w:tc>
        <w:tc>
          <w:tcPr>
            <w:tcW w:w="20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9"/>
              </w:rPr>
              <w:t>3Q21</w:t>
            </w:r>
          </w:p>
        </w:tc>
        <w:tc>
          <w:tcPr>
            <w:tcW w:w="1640" w:type="dxa"/>
            <w:vAlign w:val="bottom"/>
            <w:tcBorders>
              <w:top w:val="single" w:sz="8" w:color="D9D9D6"/>
              <w:right w:val="single" w:sz="8" w:color="D9D9D6"/>
            </w:tcBorders>
            <w:shd w:val="clear" w:color="auto" w:fill="D9D9D6"/>
          </w:tcPr>
          <w:p>
            <w:pPr>
              <w:spacing w:after="0"/>
              <w:rPr>
                <w:sz w:val="15"/>
                <w:szCs w:val="15"/>
                <w:color w:val="auto"/>
              </w:rPr>
            </w:pPr>
          </w:p>
        </w:tc>
        <w:tc>
          <w:tcPr>
            <w:tcW w:w="720" w:type="dxa"/>
            <w:vAlign w:val="bottom"/>
            <w:tcBorders>
              <w:top w:val="single" w:sz="8" w:color="auto"/>
            </w:tcBorders>
            <w:gridSpan w:val="2"/>
            <w:shd w:val="clear" w:color="auto" w:fill="D9D9D6"/>
          </w:tcPr>
          <w:p>
            <w:pPr>
              <w:jc w:val="right"/>
              <w:ind w:right="400"/>
              <w:spacing w:after="0"/>
              <w:rPr>
                <w:sz w:val="20"/>
                <w:szCs w:val="20"/>
                <w:color w:val="auto"/>
              </w:rPr>
            </w:pPr>
            <w:r>
              <w:rPr>
                <w:rFonts w:ascii="Arial" w:cs="Arial" w:eastAsia="Arial" w:hAnsi="Arial"/>
                <w:sz w:val="14"/>
                <w:szCs w:val="14"/>
                <w:color w:val="auto"/>
                <w:w w:val="96"/>
              </w:rPr>
              <w:t>2022</w:t>
            </w:r>
          </w:p>
        </w:tc>
        <w:tc>
          <w:tcPr>
            <w:tcW w:w="840" w:type="dxa"/>
            <w:vAlign w:val="bottom"/>
            <w:tcBorders>
              <w:top w:val="single" w:sz="8" w:color="D9D9D6"/>
              <w:right w:val="single" w:sz="8" w:color="97999B"/>
            </w:tcBorders>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2021</w:t>
            </w:r>
          </w:p>
        </w:tc>
        <w:tc>
          <w:tcPr>
            <w:tcW w:w="680" w:type="dxa"/>
            <w:vAlign w:val="bottom"/>
            <w:tcBorders>
              <w:top w:val="single" w:sz="8" w:color="D9D9D6"/>
            </w:tcBorders>
            <w:shd w:val="clear" w:color="auto" w:fill="D9D9D6"/>
          </w:tcPr>
          <w:p>
            <w:pPr>
              <w:spacing w:after="0"/>
              <w:rPr>
                <w:sz w:val="15"/>
                <w:szCs w:val="15"/>
                <w:color w:val="auto"/>
              </w:rPr>
            </w:pPr>
          </w:p>
        </w:tc>
        <w:tc>
          <w:tcPr>
            <w:tcW w:w="100" w:type="dxa"/>
            <w:vAlign w:val="bottom"/>
            <w:tcBorders>
              <w:top w:val="single" w:sz="8" w:color="D9D9D6"/>
              <w:right w:val="single" w:sz="8" w:color="D9D9D6"/>
            </w:tcBorders>
            <w:shd w:val="clear" w:color="auto" w:fill="D9D9D6"/>
          </w:tcPr>
          <w:p>
            <w:pPr>
              <w:spacing w:after="0"/>
              <w:rPr>
                <w:sz w:val="15"/>
                <w:szCs w:val="15"/>
                <w:color w:val="auto"/>
              </w:rPr>
            </w:pPr>
          </w:p>
        </w:tc>
        <w:tc>
          <w:tcPr>
            <w:tcW w:w="740" w:type="dxa"/>
            <w:vAlign w:val="bottom"/>
            <w:tcBorders>
              <w:top w:val="single" w:sz="8" w:color="auto"/>
            </w:tcBorders>
            <w:gridSpan w:val="2"/>
            <w:shd w:val="clear" w:color="auto" w:fill="D9D9D6"/>
          </w:tcPr>
          <w:p>
            <w:pPr>
              <w:jc w:val="right"/>
              <w:ind w:right="420"/>
              <w:spacing w:after="0"/>
              <w:rPr>
                <w:sz w:val="20"/>
                <w:szCs w:val="20"/>
                <w:color w:val="auto"/>
              </w:rPr>
            </w:pPr>
            <w:r>
              <w:rPr>
                <w:rFonts w:ascii="Arial" w:cs="Arial" w:eastAsia="Arial" w:hAnsi="Arial"/>
                <w:sz w:val="14"/>
                <w:szCs w:val="14"/>
                <w:color w:val="auto"/>
                <w:w w:val="96"/>
              </w:rPr>
              <w:t>2022</w:t>
            </w:r>
          </w:p>
        </w:tc>
        <w:tc>
          <w:tcPr>
            <w:tcW w:w="80" w:type="dxa"/>
            <w:vAlign w:val="bottom"/>
            <w:tcBorders>
              <w:top w:val="single" w:sz="8" w:color="D9D9D6"/>
            </w:tcBorders>
            <w:shd w:val="clear" w:color="auto" w:fill="D9D9D6"/>
          </w:tcPr>
          <w:p>
            <w:pPr>
              <w:spacing w:after="0"/>
              <w:rPr>
                <w:sz w:val="15"/>
                <w:szCs w:val="15"/>
                <w:color w:val="auto"/>
              </w:rPr>
            </w:pPr>
          </w:p>
        </w:tc>
        <w:tc>
          <w:tcPr>
            <w:tcW w:w="560" w:type="dxa"/>
            <w:vAlign w:val="bottom"/>
            <w:tcBorders>
              <w:top w:val="single" w:sz="8" w:color="D9D9D6"/>
            </w:tcBorders>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2021</w:t>
            </w:r>
          </w:p>
        </w:tc>
      </w:tr>
      <w:tr>
        <w:trPr>
          <w:trHeight w:val="20"/>
        </w:trPr>
        <w:tc>
          <w:tcPr>
            <w:tcW w:w="3900" w:type="dxa"/>
            <w:vAlign w:val="bottom"/>
            <w:shd w:val="clear" w:color="auto" w:fill="D9D9D6"/>
          </w:tcPr>
          <w:p>
            <w:pPr>
              <w:spacing w:after="0" w:line="20" w:lineRule="exact"/>
              <w:rPr>
                <w:sz w:val="1"/>
                <w:szCs w:val="1"/>
                <w:color w:val="auto"/>
              </w:rPr>
            </w:pPr>
          </w:p>
        </w:tc>
        <w:tc>
          <w:tcPr>
            <w:tcW w:w="66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4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680" w:type="dxa"/>
            <w:vAlign w:val="bottom"/>
            <w:shd w:val="clear" w:color="auto" w:fill="D9D9D6"/>
          </w:tcPr>
          <w:p>
            <w:pPr>
              <w:spacing w:after="0" w:line="20" w:lineRule="exact"/>
              <w:rPr>
                <w:sz w:val="1"/>
                <w:szCs w:val="1"/>
                <w:color w:val="auto"/>
              </w:rPr>
            </w:pPr>
          </w:p>
        </w:tc>
        <w:tc>
          <w:tcPr>
            <w:tcW w:w="10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257"/>
        </w:trPr>
        <w:tc>
          <w:tcPr>
            <w:tcW w:w="3900" w:type="dxa"/>
            <w:vAlign w:val="bottom"/>
            <w:tcBorders>
              <w:bottom w:val="single" w:sz="8" w:color="D9D9D6"/>
            </w:tcBorders>
            <w:shd w:val="clear" w:color="auto" w:fill="D9D9D6"/>
          </w:tcPr>
          <w:p>
            <w:pPr>
              <w:ind w:left="260"/>
              <w:spacing w:after="0"/>
              <w:rPr>
                <w:sz w:val="20"/>
                <w:szCs w:val="20"/>
                <w:color w:val="auto"/>
              </w:rPr>
            </w:pPr>
            <w:r>
              <w:rPr>
                <w:rFonts w:ascii="Arial" w:cs="Arial" w:eastAsia="Arial" w:hAnsi="Arial"/>
                <w:sz w:val="14"/>
                <w:szCs w:val="14"/>
                <w:b w:val="1"/>
                <w:bCs w:val="1"/>
                <w:color w:val="auto"/>
              </w:rPr>
              <w:t>Total Customer Relationships</w:t>
            </w:r>
          </w:p>
        </w:tc>
        <w:tc>
          <w:tcPr>
            <w:tcW w:w="9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22,986</w:t>
            </w:r>
          </w:p>
        </w:tc>
        <w:tc>
          <w:tcPr>
            <w:tcW w:w="360" w:type="dxa"/>
            <w:vAlign w:val="bottom"/>
            <w:tcBorders>
              <w:bottom w:val="single" w:sz="8" w:color="D9D9D6"/>
            </w:tcBorders>
            <w:shd w:val="clear" w:color="auto" w:fill="D9D9D6"/>
          </w:tcPr>
          <w:p>
            <w:pPr>
              <w:spacing w:after="0"/>
              <w:rPr>
                <w:sz w:val="22"/>
                <w:szCs w:val="22"/>
                <w:color w:val="auto"/>
              </w:rPr>
            </w:pPr>
          </w:p>
        </w:tc>
        <w:tc>
          <w:tcPr>
            <w:tcW w:w="80" w:type="dxa"/>
            <w:vAlign w:val="bottom"/>
            <w:tcBorders>
              <w:bottom w:val="single" w:sz="8" w:color="D9D9D6"/>
            </w:tcBorders>
            <w:shd w:val="clear" w:color="auto" w:fill="D9D9D6"/>
          </w:tcPr>
          <w:p>
            <w:pPr>
              <w:spacing w:after="0"/>
              <w:rPr>
                <w:sz w:val="22"/>
                <w:szCs w:val="22"/>
                <w:color w:val="auto"/>
              </w:rPr>
            </w:pPr>
          </w:p>
        </w:tc>
        <w:tc>
          <w:tcPr>
            <w:tcW w:w="56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22,966</w:t>
            </w:r>
          </w:p>
        </w:tc>
        <w:tc>
          <w:tcPr>
            <w:tcW w:w="1640" w:type="dxa"/>
            <w:vAlign w:val="bottom"/>
            <w:tcBorders>
              <w:bottom w:val="single" w:sz="8" w:color="D9D9D6"/>
              <w:right w:val="single" w:sz="8" w:color="D9D9D6"/>
            </w:tcBorders>
            <w:shd w:val="clear" w:color="auto" w:fill="D9D9D6"/>
          </w:tcPr>
          <w:p>
            <w:pPr>
              <w:spacing w:after="0"/>
              <w:rPr>
                <w:sz w:val="22"/>
                <w:szCs w:val="22"/>
                <w:color w:val="auto"/>
              </w:rPr>
            </w:pPr>
          </w:p>
        </w:tc>
        <w:tc>
          <w:tcPr>
            <w:tcW w:w="32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320</w:t>
            </w:r>
          </w:p>
        </w:tc>
        <w:tc>
          <w:tcPr>
            <w:tcW w:w="400" w:type="dxa"/>
            <w:vAlign w:val="bottom"/>
            <w:tcBorders>
              <w:bottom w:val="single" w:sz="8" w:color="D9D9D6"/>
            </w:tcBorders>
            <w:shd w:val="clear" w:color="auto" w:fill="D9D9D6"/>
          </w:tcPr>
          <w:p>
            <w:pPr>
              <w:spacing w:after="0"/>
              <w:rPr>
                <w:sz w:val="22"/>
                <w:szCs w:val="22"/>
                <w:color w:val="auto"/>
              </w:rPr>
            </w:pPr>
          </w:p>
        </w:tc>
        <w:tc>
          <w:tcPr>
            <w:tcW w:w="600" w:type="dxa"/>
            <w:vAlign w:val="bottom"/>
            <w:tcBorders>
              <w:bottom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(233)</w:t>
            </w:r>
          </w:p>
        </w:tc>
        <w:tc>
          <w:tcPr>
            <w:tcW w:w="240" w:type="dxa"/>
            <w:vAlign w:val="bottom"/>
            <w:tcBorders>
              <w:bottom w:val="single" w:sz="8" w:color="D9D9D6"/>
              <w:right w:val="single" w:sz="8" w:color="97999B"/>
            </w:tcBorders>
            <w:shd w:val="clear" w:color="auto" w:fill="D9D9D6"/>
          </w:tcPr>
          <w:p>
            <w:pPr>
              <w:spacing w:after="0"/>
              <w:rPr>
                <w:sz w:val="22"/>
                <w:szCs w:val="22"/>
                <w:color w:val="auto"/>
              </w:rPr>
            </w:pPr>
          </w:p>
        </w:tc>
        <w:tc>
          <w:tcPr>
            <w:tcW w:w="680" w:type="dxa"/>
            <w:vAlign w:val="bottom"/>
            <w:tcBorders>
              <w:bottom w:val="single" w:sz="8" w:color="D9D9D6"/>
            </w:tcBorders>
            <w:shd w:val="clear" w:color="auto" w:fill="D9D9D6"/>
          </w:tcPr>
          <w:p>
            <w:pPr>
              <w:spacing w:after="0"/>
              <w:rPr>
                <w:sz w:val="22"/>
                <w:szCs w:val="22"/>
                <w:color w:val="auto"/>
              </w:rPr>
            </w:pPr>
          </w:p>
        </w:tc>
        <w:tc>
          <w:tcPr>
            <w:tcW w:w="100" w:type="dxa"/>
            <w:vAlign w:val="bottom"/>
            <w:tcBorders>
              <w:bottom w:val="single" w:sz="8" w:color="D9D9D6"/>
              <w:right w:val="single" w:sz="8" w:color="D9D9D6"/>
            </w:tcBorders>
            <w:shd w:val="clear" w:color="auto" w:fill="D9D9D6"/>
          </w:tcPr>
          <w:p>
            <w:pPr>
              <w:spacing w:after="0"/>
              <w:rPr>
                <w:sz w:val="22"/>
                <w:szCs w:val="22"/>
                <w:color w:val="auto"/>
              </w:rPr>
            </w:pPr>
          </w:p>
        </w:tc>
        <w:tc>
          <w:tcPr>
            <w:tcW w:w="32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(41)</w:t>
            </w:r>
          </w:p>
        </w:tc>
        <w:tc>
          <w:tcPr>
            <w:tcW w:w="420" w:type="dxa"/>
            <w:vAlign w:val="bottom"/>
            <w:tcBorders>
              <w:bottom w:val="single" w:sz="8" w:color="D9D9D6"/>
            </w:tcBorders>
            <w:shd w:val="clear" w:color="auto" w:fill="D9D9D6"/>
          </w:tcPr>
          <w:p>
            <w:pPr>
              <w:spacing w:after="0"/>
              <w:rPr>
                <w:sz w:val="22"/>
                <w:szCs w:val="22"/>
                <w:color w:val="auto"/>
              </w:rPr>
            </w:pPr>
          </w:p>
        </w:tc>
        <w:tc>
          <w:tcPr>
            <w:tcW w:w="80" w:type="dxa"/>
            <w:vAlign w:val="bottom"/>
            <w:tcBorders>
              <w:bottom w:val="single" w:sz="8" w:color="D9D9D6"/>
            </w:tcBorders>
            <w:shd w:val="clear" w:color="auto" w:fill="D9D9D6"/>
          </w:tcPr>
          <w:p>
            <w:pPr>
              <w:spacing w:after="0"/>
              <w:rPr>
                <w:sz w:val="22"/>
                <w:szCs w:val="22"/>
                <w:color w:val="auto"/>
              </w:rPr>
            </w:pPr>
          </w:p>
        </w:tc>
        <w:tc>
          <w:tcPr>
            <w:tcW w:w="42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(259)</w:t>
            </w:r>
          </w:p>
        </w:tc>
        <w:tc>
          <w:tcPr>
            <w:tcW w:w="140" w:type="dxa"/>
            <w:vAlign w:val="bottom"/>
            <w:tcBorders>
              <w:bottom w:val="single" w:sz="8" w:color="D9D9D6"/>
            </w:tcBorders>
            <w:shd w:val="clear" w:color="auto" w:fill="D9D9D6"/>
          </w:tcPr>
          <w:p>
            <w:pPr>
              <w:spacing w:after="0"/>
              <w:rPr>
                <w:sz w:val="22"/>
                <w:szCs w:val="22"/>
                <w:color w:val="auto"/>
              </w:rPr>
            </w:pPr>
          </w:p>
        </w:tc>
      </w:tr>
    </w:tbl>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decreased 27.9% to $701 million in the third quarter of 2022. Excluding the impact of currency,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15.5% compared to the prior year period, driven by higher operating expenses. The increase in operating expenses primarily reflects higher sports programming costs due to the timing of sporting events, including a shift of certain football matches to the third quarter in advance of the 2022 FIFA World Cup, which will occur in the fourth quarter of 2022, as well as higher direct network costs driven by growth in our residential broadband and mobile businesses, partially offset by lower entertainment programming costs.</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nine months ended September 30, 2022, Adjusted EBITDA for Sky increased 15.3% to $2.2 billion. Excluding the impact of currency, Adjusted EBITDA increased 28.7%.</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and Other primarily relates to corporate operations, Comcast Spectacor and our new smart TV initiatives, including Sky Glass and a joint venture with Charter Communications to develop and nationally offer a next generation streaming platform. Revenue in the third quarter of 2022 was $147 million compared to $65 million in the prior year period. Corporate and Other Adjusted EBITDA loss was $378 million compared to a loss of $335 million in the prior year period.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For the nine months ended September 30, 2022, Corporate and Other revenue was $549 million compared to $246 million in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Adjusted EBITDA loss was $944 million compared to a loss of $876 million in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Amounts represent eliminations of transactions between Cable Communications, NBCUniversal, Sky and other businesses. Eliminations of transactions between NBCUniversal segments are presented separately. Revenue eliminations in the third quarter of 2022 were $660 million compared to $871 million in the prior year period, and Adjusted EBITDA eliminations were a benefit of $26 million compared to a loss of $98 million in the prior year period. Prior year amounts reflect eliminations associated with the Tokyo Olympics.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2022, revenue eliminations were $2.2 billion compared to $2.3 billion in 2021, and Adjusted EBITDA eliminations were a loss of $93 million compared to a loss of $87 million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297815</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333"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5 From time to time, we may present adjusted information (e.g., Adjusted Revenues) to exclude the impact of certain events, gains, losses or other charges affecting period-to-period comparability of our operating performance. See Table 7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25" w:lineRule="exact"/>
        <w:rPr>
          <w:sz w:val="20"/>
          <w:szCs w:val="20"/>
          <w:color w:val="auto"/>
        </w:rPr>
      </w:pPr>
    </w:p>
    <w:p>
      <w:pPr>
        <w:jc w:val="both"/>
        <w:ind w:left="180" w:hanging="161"/>
        <w:spacing w:after="0" w:line="287" w:lineRule="auto"/>
        <w:rPr>
          <w:sz w:val="20"/>
          <w:szCs w:val="20"/>
          <w:color w:val="auto"/>
        </w:rPr>
      </w:pPr>
      <w:r>
        <w:rPr>
          <w:rFonts w:ascii="Arial" w:cs="Arial" w:eastAsia="Arial" w:hAnsi="Arial"/>
          <w:sz w:val="18"/>
          <w:szCs w:val="18"/>
          <w:color w:val="auto"/>
        </w:rPr>
        <w:t>7 Sky constant currency growth rates are calculated by comparing the current period results to the comparative period results in the prior year adjusted to reflect the average exchange rates from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823" w:right="339" w:bottom="1440" w:gutter="0" w:footer="0" w:header="0"/>
        </w:sectPr>
      </w:pPr>
    </w:p>
    <w:bookmarkStart w:id="11" w:name="page12"/>
    <w:bookmarkEnd w:id="11"/>
    <w:p>
      <w:pPr>
        <w:ind w:left="180"/>
        <w:spacing w:after="0" w:line="287" w:lineRule="auto"/>
        <w:rPr>
          <w:sz w:val="20"/>
          <w:szCs w:val="20"/>
          <w:color w:val="auto"/>
        </w:rPr>
      </w:pPr>
      <w:r>
        <w:rPr>
          <w:rFonts w:ascii="Arial" w:cs="Arial" w:eastAsia="Arial" w:hAnsi="Arial"/>
          <w:sz w:val="18"/>
          <w:szCs w:val="18"/>
          <w:color w:val="auto"/>
        </w:rPr>
        <w:t>current year period rather than the actual exchange rates in effect during the respective prior year periods. See Table 6 for reconciliation of Sky's constant currency growth.</w:t>
      </w:r>
    </w:p>
    <w:p>
      <w:pPr>
        <w:spacing w:after="0" w:line="99"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totals and percentage calculations may exist due to rounding.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27, 2022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(929) 477-0338 with the passcode 876679. A replay of the call will be available starting at 11:30 a.m. ET on Thursday, October 27, 2022 on the Investor Relations website.</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5"/>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press release includes statements that may constitute forward-looking statements.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We undertake no obligation to update or revise publicly any forward-looking statements, whether because of new information, future events or otherwise.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Comcast Corporation (Nasdaq: CMCSA) is a global media and technology company that connects people to moments that matter. We are principally focused on connectivity, aggregation, and streaming with 57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22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$29,849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$30,298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$90,874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$86,049</w:t>
            </w:r>
          </w:p>
        </w:tc>
        <w:tc>
          <w:tcPr>
            <w:tcW w:w="0" w:type="dxa"/>
            <w:vAlign w:val="bottom"/>
          </w:tcPr>
          <w:p>
            <w:pPr>
              <w:spacing w:after="0"/>
              <w:rPr>
                <w:sz w:val="1"/>
                <w:szCs w:val="1"/>
                <w:color w:val="auto"/>
              </w:rPr>
            </w:pPr>
          </w:p>
        </w:tc>
      </w:tr>
      <w:tr>
        <w:trPr>
          <w:trHeight w:val="477"/>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8,949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10,395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28,406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28,570</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9,344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8,981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27,701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25,799</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2,066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6,324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5,462</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2,150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6,525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6,407</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1,183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3,824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3,815</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Goodwill and long-lived asset impairments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8,583</w:t>
            </w: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8,583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32,274</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24,848</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81,363</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70,053</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(2,425)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9,511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15,996</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(960)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(2,922)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(523)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(3,652)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5,166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5,614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15,208</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(1,014)</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(3,562)</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(4,354)</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(4,665)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3,931</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2,052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10,854</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(loss) attributable to Comcast Corporation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($4,598)</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$4,035</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$2,347</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$11,102</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(loss) per common share attributable to Comcast Corporation</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($1.05)</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$0.86</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$0.52</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4,377</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4,477</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6"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$2,052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$10,854</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10,349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10,222</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Goodwill and long-lived asset impairments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8,583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989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1,019</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1,172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2,087</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(574)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(753)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(1,347)</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20,530</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21,457</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(7,062)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(6,146)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(2,152)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1,197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(2,089)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210"/>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(10,158)</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(8,406)</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(9,041)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(9,813)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(3,571)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(3,387)</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(13,299)</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(12,946)</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(122)</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(3,049)</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8,778</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11,768</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$5,729</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$11,858</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$5,695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$8,711</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11,918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12,008</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5,803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23,416</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24,807</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12,685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12,806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7,318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8,082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 securing collateralized obligation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539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53,555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54,047</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56,414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70,189</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28,604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33,580</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12,411</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12,424</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$254,308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$275,905</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530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$12,241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$12,455</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participations and residuals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1,725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2,757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3,040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9,229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9,899</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2,047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27,999</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29,348</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Long-term debt, less current portion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90,404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92,718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Collateralized obligation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5,172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5,170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29,102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30,041</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20,288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20,620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409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80,296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96,092</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637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80,933</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97,490</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$254,308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$275,905</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568960</wp:posOffset>
            </wp:positionV>
            <wp:extent cx="1028700"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37515"/>
                    </a:xfrm>
                    <a:prstGeom prst="rect">
                      <a:avLst/>
                    </a:prstGeom>
                    <a:noFill/>
                  </pic:spPr>
                </pic:pic>
              </a:graphicData>
            </a:graphic>
          </wp:anchor>
        </w:drawing>
        <w:t>TABLE 4</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9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0"/>
                <w:szCs w:val="20"/>
                <w:color w:val="auto"/>
              </w:rPr>
            </w:pPr>
          </w:p>
        </w:tc>
        <w:tc>
          <w:tcPr>
            <w:tcW w:w="1900" w:type="dxa"/>
            <w:vAlign w:val="bottom"/>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300" w:type="dxa"/>
            <w:vAlign w:val="bottom"/>
          </w:tcPr>
          <w:p>
            <w:pPr>
              <w:spacing w:after="0"/>
              <w:rPr>
                <w:sz w:val="16"/>
                <w:szCs w:val="16"/>
                <w:color w:val="auto"/>
              </w:rPr>
            </w:pPr>
          </w:p>
        </w:tc>
        <w:tc>
          <w:tcPr>
            <w:tcW w:w="19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9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2021</w:t>
            </w:r>
          </w:p>
        </w:tc>
      </w:tr>
      <w:tr>
        <w:trPr>
          <w:trHeight w:val="196"/>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(loss) attributable to Comcast Corporation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($4,598)</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$4,035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$2,347</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$11,102</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(295)</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1,014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3,562</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4,354</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960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2,922</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3,161</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975</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(2,374)</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3,333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3,477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10,349</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10,222</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Goodwill and long-lived asset impairments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8,583</w:t>
            </w:r>
          </w:p>
        </w:tc>
        <w:tc>
          <w:tcPr>
            <w:tcW w:w="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8,583</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5"/>
        </w:trPr>
        <w:tc>
          <w:tcPr>
            <w:tcW w:w="730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236"/>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$9,482</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$28,459</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$26,297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20" w:type="dxa"/>
            <w:vAlign w:val="bottom"/>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722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920" w:type="dxa"/>
            <w:vAlign w:val="bottom"/>
            <w:gridSpan w:val="3"/>
          </w:tcPr>
          <w:p>
            <w:pPr>
              <w:ind w:left="46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722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2021</w:t>
            </w:r>
          </w:p>
        </w:tc>
      </w:tr>
      <w:tr>
        <w:trPr>
          <w:trHeight w:val="196"/>
        </w:trPr>
        <w:tc>
          <w:tcPr>
            <w:tcW w:w="722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$6,947</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$6,100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$20,530</w:t>
            </w:r>
          </w:p>
        </w:tc>
        <w:tc>
          <w:tcPr>
            <w:tcW w:w="120" w:type="dxa"/>
            <w:vAlign w:val="bottom"/>
          </w:tcPr>
          <w:p>
            <w:pPr>
              <w:spacing w:after="0"/>
              <w:rPr>
                <w:sz w:val="17"/>
                <w:szCs w:val="17"/>
                <w:color w:val="auto"/>
              </w:rPr>
            </w:pPr>
          </w:p>
        </w:tc>
        <w:tc>
          <w:tcPr>
            <w:tcW w:w="900" w:type="dxa"/>
            <w:vAlign w:val="bottom"/>
          </w:tcPr>
          <w:p>
            <w:pPr>
              <w:ind w:left="320"/>
              <w:spacing w:after="0"/>
              <w:rPr>
                <w:sz w:val="20"/>
                <w:szCs w:val="20"/>
                <w:color w:val="auto"/>
              </w:rPr>
            </w:pPr>
            <w:r>
              <w:rPr>
                <w:rFonts w:ascii="Arial" w:cs="Arial" w:eastAsia="Arial" w:hAnsi="Arial"/>
                <w:sz w:val="14"/>
                <w:szCs w:val="14"/>
                <w:color w:val="auto"/>
              </w:rPr>
              <w:t>$21,457</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(2,791)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(7,062)</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(6,146)</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(769)</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(2,152)</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r>
      <w:tr>
        <w:trPr>
          <w:trHeight w:val="237"/>
        </w:trPr>
        <w:tc>
          <w:tcPr>
            <w:tcW w:w="722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$3,387</w:t>
            </w: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$11,316</w:t>
            </w: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$13,305</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722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9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722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2021</w:t>
            </w:r>
          </w:p>
        </w:tc>
      </w:tr>
      <w:tr>
        <w:trPr>
          <w:trHeight w:val="196"/>
        </w:trPr>
        <w:tc>
          <w:tcPr>
            <w:tcW w:w="72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$9,482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$8,957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$28,459</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$26,297</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(2,791)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(7,062)</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(6,146)</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(769)</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(723)</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(2,152)</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(2,006)</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(698)</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(2,341)</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(2,943)</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(1,181)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(4,022)</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(2,201)</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(1,021)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(1,949)</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(2,736)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(1,057)</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314</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989</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1,019</w:t>
            </w:r>
          </w:p>
        </w:tc>
      </w:tr>
      <w:tr>
        <w:trPr>
          <w:trHeight w:val="205"/>
        </w:trPr>
        <w:tc>
          <w:tcPr>
            <w:tcW w:w="722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182</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r>
      <w:tr>
        <w:trPr>
          <w:trHeight w:val="236"/>
        </w:trPr>
        <w:tc>
          <w:tcPr>
            <w:tcW w:w="722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$3,387</w:t>
            </w: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$11,316</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$13,305</w:t>
            </w:r>
          </w:p>
        </w:tc>
      </w:tr>
    </w:tbl>
    <w:p>
      <w:pPr>
        <w:spacing w:after="0" w:line="31" w:lineRule="exact"/>
        <w:rPr>
          <w:sz w:val="20"/>
          <w:szCs w:val="20"/>
          <w:color w:val="auto"/>
        </w:rPr>
      </w:pPr>
    </w:p>
    <w:p>
      <w:pPr>
        <w:jc w:val="both"/>
        <w:ind w:left="340" w:right="20" w:hanging="334"/>
        <w:spacing w:after="0" w:line="197"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3rd quarter and year to date 2022 Adjusted EBITDA excludes ($9) million and $15 million of other operating and administrative expenses, respectively, related to our investment portfolio. 3rd quarter and year to date 2021 Adjusted EBITDA exclude $30 million and $79 million of other operating and administrative expenses, respectively, related to our investment portfolio and Sky transaction-related costs.</w:t>
      </w:r>
    </w:p>
    <w:p>
      <w:pPr>
        <w:spacing w:after="0" w:line="68" w:lineRule="exact"/>
        <w:rPr>
          <w:rFonts w:ascii="Arial" w:cs="Arial" w:eastAsia="Arial" w:hAnsi="Arial"/>
          <w:sz w:val="22"/>
          <w:szCs w:val="22"/>
          <w:color w:val="auto"/>
          <w:vertAlign w:val="superscript"/>
        </w:rPr>
      </w:pPr>
    </w:p>
    <w:p>
      <w:pPr>
        <w:ind w:left="340" w:right="400" w:hanging="334"/>
        <w:spacing w:after="0" w:line="197"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3rd quarter and year to date 2022 includes decreases of ($9) million and $15 million, respectively, of costs related to our investment portfolio as these amounts are excluded from Adjusted EBITDA. 3rd quarter and year to date 2021 includes decreases of $30 million and $79 million, respectively, of costs related to our investment portfolio and Sky transaction-related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40" w:top="898"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5986145</wp:posOffset>
            </wp:positionH>
            <wp:positionV relativeFrom="page">
              <wp:posOffset>526415</wp:posOffset>
            </wp:positionV>
            <wp:extent cx="108013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8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0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6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0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EPS</w:t>
            </w:r>
            <w:r>
              <w:rPr>
                <w:rFonts w:ascii="Arial" w:cs="Arial" w:eastAsia="Arial" w:hAnsi="Arial"/>
                <w:sz w:val="18"/>
                <w:szCs w:val="18"/>
                <w:b w:val="1"/>
                <w:bCs w:val="1"/>
                <w:color w:val="auto"/>
                <w:vertAlign w:val="superscript"/>
              </w:rPr>
              <w:t>(8)</w:t>
            </w: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100" w:type="dxa"/>
            <w:vAlign w:val="bottom"/>
          </w:tcPr>
          <w:p>
            <w:pPr>
              <w:spacing w:after="0"/>
              <w:rPr>
                <w:sz w:val="15"/>
                <w:szCs w:val="15"/>
                <w:color w:val="auto"/>
              </w:rPr>
            </w:pPr>
          </w:p>
        </w:tc>
        <w:tc>
          <w:tcPr>
            <w:tcW w:w="11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EPS</w:t>
            </w:r>
          </w:p>
        </w:tc>
        <w:tc>
          <w:tcPr>
            <w:tcW w:w="100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14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11"/>
        </w:trPr>
        <w:tc>
          <w:tcPr>
            <w:tcW w:w="40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6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40" w:type="dxa"/>
            <w:vAlign w:val="bottom"/>
          </w:tcPr>
          <w:p>
            <w:pPr>
              <w:spacing w:after="0"/>
              <w:rPr>
                <w:sz w:val="20"/>
                <w:szCs w:val="20"/>
                <w:color w:val="auto"/>
              </w:rPr>
            </w:pPr>
            <w:r>
              <w:rPr>
                <w:rFonts w:ascii="Arial" w:cs="Arial" w:eastAsia="Arial" w:hAnsi="Arial"/>
                <w:sz w:val="14"/>
                <w:szCs w:val="14"/>
                <w:b w:val="1"/>
                <w:bCs w:val="1"/>
                <w:color w:val="auto"/>
              </w:rPr>
              <w:t>Net income (loss) attributable to Comcast Corporation and</w:t>
            </w: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line="145" w:lineRule="exact"/>
              <w:rPr>
                <w:sz w:val="20"/>
                <w:szCs w:val="20"/>
                <w:color w:val="auto"/>
              </w:rPr>
            </w:pPr>
            <w:r>
              <w:rPr>
                <w:rFonts w:ascii="Arial" w:cs="Arial" w:eastAsia="Arial" w:hAnsi="Arial"/>
                <w:sz w:val="14"/>
                <w:szCs w:val="14"/>
                <w:b w:val="1"/>
                <w:bCs w:val="1"/>
                <w:color w:val="auto"/>
              </w:rPr>
              <w:t>diluted earnings (loss) per share attributable to Comcast</w:t>
            </w:r>
          </w:p>
        </w:tc>
        <w:tc>
          <w:tcPr>
            <w:tcW w:w="11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($4,598)</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($1.05)</w:t>
            </w:r>
          </w:p>
        </w:tc>
        <w:tc>
          <w:tcPr>
            <w:tcW w:w="12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color w:val="auto"/>
              </w:rPr>
              <w:t>$4,035</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$0.86</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$2,347</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$0.52</w:t>
            </w:r>
          </w:p>
        </w:tc>
        <w:tc>
          <w:tcPr>
            <w:tcW w:w="120" w:type="dxa"/>
            <w:vAlign w:val="bottom"/>
          </w:tcPr>
          <w:p>
            <w:pPr>
              <w:spacing w:after="0"/>
              <w:rPr>
                <w:sz w:val="12"/>
                <w:szCs w:val="12"/>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color w:val="auto"/>
              </w:rPr>
              <w:t>$11,102</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20"/>
                <w:szCs w:val="20"/>
                <w:color w:val="auto"/>
              </w:rPr>
            </w:pPr>
            <w:r>
              <w:rPr>
                <w:rFonts w:ascii="Arial" w:cs="Arial" w:eastAsia="Arial" w:hAnsi="Arial"/>
                <w:sz w:val="14"/>
                <w:szCs w:val="14"/>
                <w:b w:val="1"/>
                <w:bCs w:val="1"/>
                <w:color w:val="auto"/>
              </w:rPr>
              <w:t>Corporation shareholders</w:t>
            </w:r>
          </w:p>
        </w:tc>
        <w:tc>
          <w:tcPr>
            <w:tcW w:w="1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4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00" w:type="dxa"/>
            <w:vAlign w:val="bottom"/>
          </w:tcPr>
          <w:p>
            <w:pPr>
              <w:jc w:val="right"/>
              <w:ind w:right="228"/>
              <w:spacing w:after="0"/>
              <w:rPr>
                <w:sz w:val="20"/>
                <w:szCs w:val="20"/>
                <w:color w:val="auto"/>
              </w:rPr>
            </w:pPr>
            <w:r>
              <w:rPr>
                <w:rFonts w:ascii="Arial" w:cs="Arial" w:eastAsia="Arial" w:hAnsi="Arial"/>
                <w:sz w:val="14"/>
                <w:szCs w:val="14"/>
                <w:i w:val="1"/>
                <w:iCs w:val="1"/>
                <w:color w:val="auto"/>
              </w:rPr>
              <w:t>NM</w:t>
            </w:r>
          </w:p>
        </w:tc>
        <w:tc>
          <w:tcPr>
            <w:tcW w:w="780" w:type="dxa"/>
            <w:vAlign w:val="bottom"/>
            <w:gridSpan w:val="2"/>
          </w:tcPr>
          <w:p>
            <w:pPr>
              <w:ind w:left="420"/>
              <w:spacing w:after="0"/>
              <w:rPr>
                <w:sz w:val="20"/>
                <w:szCs w:val="20"/>
                <w:color w:val="auto"/>
              </w:rPr>
            </w:pPr>
            <w:r>
              <w:rPr>
                <w:rFonts w:ascii="Arial" w:cs="Arial" w:eastAsia="Arial" w:hAnsi="Arial"/>
                <w:sz w:val="14"/>
                <w:szCs w:val="14"/>
                <w:i w:val="1"/>
                <w:iCs w:val="1"/>
                <w:color w:val="auto"/>
              </w:rPr>
              <w:t>NM</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i w:val="1"/>
                <w:iCs w:val="1"/>
                <w:color w:val="auto"/>
              </w:rPr>
              <w:t>(78.9 %)</w:t>
            </w: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(78.2 %)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04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413</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0.09</w:t>
            </w:r>
          </w:p>
        </w:tc>
        <w:tc>
          <w:tcPr>
            <w:tcW w:w="120" w:type="dxa"/>
            <w:vAlign w:val="bottom"/>
          </w:tcPr>
          <w:p>
            <w:pPr>
              <w:spacing w:after="0"/>
              <w:rPr>
                <w:sz w:val="23"/>
                <w:szCs w:val="23"/>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491</w:t>
            </w:r>
          </w:p>
        </w:tc>
        <w:tc>
          <w:tcPr>
            <w:tcW w:w="54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1,354</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0.30</w:t>
            </w:r>
          </w:p>
        </w:tc>
        <w:tc>
          <w:tcPr>
            <w:tcW w:w="120" w:type="dxa"/>
            <w:vAlign w:val="bottom"/>
          </w:tcPr>
          <w:p>
            <w:pPr>
              <w:spacing w:after="0"/>
              <w:rPr>
                <w:sz w:val="23"/>
                <w:szCs w:val="23"/>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1,440</w:t>
            </w:r>
          </w:p>
        </w:tc>
        <w:tc>
          <w:tcPr>
            <w:tcW w:w="560" w:type="dxa"/>
            <w:vAlign w:val="bottom"/>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5"/>
        </w:trPr>
        <w:tc>
          <w:tcPr>
            <w:tcW w:w="4040" w:type="dxa"/>
            <w:vAlign w:val="bottom"/>
          </w:tcPr>
          <w:p>
            <w:pPr>
              <w:spacing w:after="0" w:line="20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141</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120" w:type="dxa"/>
            <w:vAlign w:val="bottom"/>
          </w:tcPr>
          <w:p>
            <w:pPr>
              <w:spacing w:after="0"/>
              <w:rPr>
                <w:sz w:val="17"/>
                <w:szCs w:val="17"/>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(486)</w:t>
            </w:r>
          </w:p>
        </w:tc>
        <w:tc>
          <w:tcPr>
            <w:tcW w:w="54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601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0.13</w:t>
            </w:r>
          </w:p>
        </w:tc>
        <w:tc>
          <w:tcPr>
            <w:tcW w:w="12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(1,608)</w:t>
            </w:r>
          </w:p>
        </w:tc>
        <w:tc>
          <w:tcPr>
            <w:tcW w:w="560" w:type="dxa"/>
            <w:vAlign w:val="bottom"/>
          </w:tcPr>
          <w:p>
            <w:pPr>
              <w:jc w:val="right"/>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tcPr>
          <w:p>
            <w:pPr>
              <w:ind w:left="120"/>
              <w:spacing w:after="0"/>
              <w:rPr>
                <w:sz w:val="20"/>
                <w:szCs w:val="20"/>
                <w:color w:val="auto"/>
              </w:rPr>
            </w:pPr>
            <w:r>
              <w:rPr>
                <w:rFonts w:ascii="Arial" w:cs="Arial" w:eastAsia="Arial" w:hAnsi="Arial"/>
                <w:sz w:val="14"/>
                <w:szCs w:val="14"/>
                <w:color w:val="auto"/>
              </w:rPr>
              <w:t xml:space="preserve">Goodwill and long-lived asset impairments </w:t>
            </w:r>
            <w:r>
              <w:rPr>
                <w:rFonts w:ascii="Arial" w:cs="Arial" w:eastAsia="Arial" w:hAnsi="Arial"/>
                <w:sz w:val="18"/>
                <w:szCs w:val="18"/>
                <w:color w:val="auto"/>
                <w:vertAlign w:val="superscript"/>
              </w:rPr>
              <w:t>(3)</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8,541</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120" w:type="dxa"/>
            <w:vAlign w:val="bottom"/>
          </w:tcPr>
          <w:p>
            <w:pPr>
              <w:spacing w:after="0"/>
              <w:rPr>
                <w:sz w:val="18"/>
                <w:szCs w:val="18"/>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8,541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120" w:type="dxa"/>
            <w:vAlign w:val="bottom"/>
          </w:tcPr>
          <w:p>
            <w:pPr>
              <w:spacing w:after="0"/>
              <w:rPr>
                <w:sz w:val="18"/>
                <w:szCs w:val="18"/>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18"/>
                <w:szCs w:val="18"/>
                <w:color w:val="auto"/>
                <w:vertAlign w:val="superscript"/>
              </w:rPr>
              <w:t>(4)</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(286)</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(0.07)</w:t>
            </w:r>
          </w:p>
        </w:tc>
        <w:tc>
          <w:tcPr>
            <w:tcW w:w="120" w:type="dxa"/>
            <w:vAlign w:val="bottom"/>
          </w:tcPr>
          <w:p>
            <w:pPr>
              <w:spacing w:after="0"/>
              <w:rPr>
                <w:sz w:val="17"/>
                <w:szCs w:val="17"/>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(286)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(0.06)</w:t>
            </w:r>
          </w:p>
        </w:tc>
        <w:tc>
          <w:tcPr>
            <w:tcW w:w="12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498</w:t>
            </w:r>
          </w:p>
        </w:tc>
        <w:tc>
          <w:tcPr>
            <w:tcW w:w="56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18"/>
                <w:szCs w:val="18"/>
                <w:color w:val="auto"/>
                <w:vertAlign w:val="superscript"/>
              </w:rPr>
              <w:t>(5)</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59</w:t>
            </w:r>
          </w:p>
        </w:tc>
        <w:tc>
          <w:tcPr>
            <w:tcW w:w="56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18"/>
                <w:szCs w:val="18"/>
                <w:color w:val="auto"/>
                <w:vertAlign w:val="superscript"/>
              </w:rPr>
              <w:t>(6)</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9</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69</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20" w:type="dxa"/>
            <w:vAlign w:val="bottom"/>
          </w:tcPr>
          <w:p>
            <w:pPr>
              <w:spacing w:after="0"/>
              <w:rPr>
                <w:sz w:val="17"/>
                <w:szCs w:val="17"/>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040" w:type="dxa"/>
            <w:vAlign w:val="bottom"/>
          </w:tcPr>
          <w:p>
            <w:pPr>
              <w:ind w:left="120"/>
              <w:spacing w:after="0" w:line="201"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18"/>
                <w:szCs w:val="18"/>
                <w:color w:val="auto"/>
                <w:vertAlign w:val="superscript"/>
              </w:rPr>
              <w:t>(7)</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660" w:type="dxa"/>
            <w:vAlign w:val="bottom"/>
            <w:tcBorders>
              <w:right w:val="single" w:sz="8" w:color="auto"/>
            </w:tcBorders>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20</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404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1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$4,220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$0.96</w:t>
            </w:r>
          </w:p>
        </w:tc>
        <w:tc>
          <w:tcPr>
            <w:tcW w:w="12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$4,038</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$12,626</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w:t>
            </w:r>
          </w:p>
        </w:tc>
        <w:tc>
          <w:tcPr>
            <w:tcW w:w="120" w:type="dxa"/>
            <w:vAlign w:val="bottom"/>
          </w:tcPr>
          <w:p>
            <w:pPr>
              <w:spacing w:after="0"/>
              <w:rPr>
                <w:sz w:val="24"/>
                <w:szCs w:val="24"/>
                <w:color w:val="auto"/>
              </w:rPr>
            </w:pPr>
          </w:p>
        </w:tc>
        <w:tc>
          <w:tcPr>
            <w:tcW w:w="10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$11,511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00" w:type="dxa"/>
            <w:vAlign w:val="bottom"/>
          </w:tcPr>
          <w:p>
            <w:pPr>
              <w:jc w:val="right"/>
              <w:ind w:right="228"/>
              <w:spacing w:after="0"/>
              <w:rPr>
                <w:sz w:val="20"/>
                <w:szCs w:val="20"/>
                <w:color w:val="auto"/>
              </w:rPr>
            </w:pPr>
            <w:r>
              <w:rPr>
                <w:rFonts w:ascii="Arial" w:cs="Arial" w:eastAsia="Arial" w:hAnsi="Arial"/>
                <w:sz w:val="14"/>
                <w:szCs w:val="14"/>
                <w:i w:val="1"/>
                <w:iCs w:val="1"/>
                <w:color w:val="auto"/>
              </w:rPr>
              <w:t>4.5 %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10.3 %</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i w:val="1"/>
                <w:iCs w:val="1"/>
                <w:color w:val="auto"/>
              </w:rPr>
              <w:t>9.7 %</w:t>
            </w: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14.2 %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4"/>
                <w:szCs w:val="14"/>
                <w:color w:val="auto"/>
              </w:rPr>
              <w:t>NM=comparison not meaningful.</w:t>
            </w: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60" w:right="40" w:hanging="252"/>
        <w:spacing w:after="0" w:line="251" w:lineRule="auto"/>
        <w:tabs>
          <w:tab w:leader="none" w:pos="25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97"/>
              <w:spacing w:after="0"/>
              <w:rPr>
                <w:sz w:val="20"/>
                <w:szCs w:val="20"/>
                <w:color w:val="auto"/>
              </w:rPr>
            </w:pPr>
            <w:r>
              <w:rPr>
                <w:rFonts w:ascii="Arial" w:cs="Arial" w:eastAsia="Arial" w:hAnsi="Arial"/>
                <w:sz w:val="13"/>
                <w:szCs w:val="13"/>
                <w:color w:val="auto"/>
              </w:rPr>
              <w:t>Nine Months Ended</w:t>
            </w:r>
          </w:p>
        </w:tc>
      </w:tr>
      <w:tr>
        <w:trPr>
          <w:trHeight w:val="166"/>
        </w:trPr>
        <w:tc>
          <w:tcPr>
            <w:tcW w:w="698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6"/>
              </w:rPr>
              <w:t>September 30,</w:t>
            </w:r>
          </w:p>
        </w:tc>
        <w:tc>
          <w:tcPr>
            <w:tcW w:w="1820" w:type="dxa"/>
            <w:vAlign w:val="bottom"/>
            <w:gridSpan w:val="3"/>
          </w:tcPr>
          <w:p>
            <w:pPr>
              <w:jc w:val="right"/>
              <w:ind w:right="437"/>
              <w:spacing w:after="0"/>
              <w:rPr>
                <w:sz w:val="20"/>
                <w:szCs w:val="20"/>
                <w:color w:val="auto"/>
              </w:rPr>
            </w:pPr>
            <w:r>
              <w:rPr>
                <w:rFonts w:ascii="Arial" w:cs="Arial" w:eastAsia="Arial" w:hAnsi="Arial"/>
                <w:sz w:val="13"/>
                <w:szCs w:val="13"/>
                <w:color w:val="auto"/>
              </w:rPr>
              <w:t>September 30,</w:t>
            </w:r>
          </w:p>
        </w:tc>
      </w:tr>
      <w:tr>
        <w:trPr>
          <w:trHeight w:val="192"/>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r>
      <w:tr>
        <w:trPr>
          <w:trHeight w:val="171"/>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$1,677</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$1,781</w:t>
            </w:r>
          </w:p>
        </w:tc>
      </w:tr>
      <w:tr>
        <w:trPr>
          <w:trHeight w:val="174"/>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$1,440</w:t>
            </w:r>
          </w:p>
        </w:tc>
      </w:tr>
      <w:tr>
        <w:trPr>
          <w:trHeight w:val="20"/>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right="220" w:hanging="252"/>
        <w:spacing w:after="0" w:line="264"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97"/>
              <w:spacing w:after="0"/>
              <w:rPr>
                <w:sz w:val="20"/>
                <w:szCs w:val="20"/>
                <w:color w:val="auto"/>
              </w:rPr>
            </w:pPr>
            <w:r>
              <w:rPr>
                <w:rFonts w:ascii="Arial" w:cs="Arial" w:eastAsia="Arial" w:hAnsi="Arial"/>
                <w:sz w:val="13"/>
                <w:szCs w:val="13"/>
                <w:color w:val="auto"/>
              </w:rPr>
              <w:t>Nine Months Ended</w:t>
            </w:r>
          </w:p>
        </w:tc>
      </w:tr>
      <w:tr>
        <w:trPr>
          <w:trHeight w:val="166"/>
        </w:trPr>
        <w:tc>
          <w:tcPr>
            <w:tcW w:w="698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6"/>
              </w:rPr>
              <w:t>September 30,</w:t>
            </w:r>
          </w:p>
        </w:tc>
        <w:tc>
          <w:tcPr>
            <w:tcW w:w="1820" w:type="dxa"/>
            <w:vAlign w:val="bottom"/>
            <w:gridSpan w:val="3"/>
          </w:tcPr>
          <w:p>
            <w:pPr>
              <w:jc w:val="right"/>
              <w:ind w:right="437"/>
              <w:spacing w:after="0"/>
              <w:rPr>
                <w:sz w:val="20"/>
                <w:szCs w:val="20"/>
                <w:color w:val="auto"/>
              </w:rPr>
            </w:pPr>
            <w:r>
              <w:rPr>
                <w:rFonts w:ascii="Arial" w:cs="Arial" w:eastAsia="Arial" w:hAnsi="Arial"/>
                <w:sz w:val="13"/>
                <w:szCs w:val="13"/>
                <w:color w:val="auto"/>
              </w:rPr>
              <w:t>September 30,</w:t>
            </w:r>
          </w:p>
        </w:tc>
      </w:tr>
      <w:tr>
        <w:trPr>
          <w:trHeight w:val="192"/>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r>
      <w:tr>
        <w:trPr>
          <w:trHeight w:val="166"/>
        </w:trPr>
        <w:tc>
          <w:tcPr>
            <w:tcW w:w="698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($532)</w:t>
            </w:r>
          </w:p>
        </w:tc>
      </w:tr>
      <w:tr>
        <w:trPr>
          <w:trHeight w:val="179"/>
        </w:trPr>
        <w:tc>
          <w:tcPr>
            <w:tcW w:w="698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(1,589)</w:t>
            </w:r>
          </w:p>
        </w:tc>
      </w:tr>
      <w:tr>
        <w:trPr>
          <w:trHeight w:val="166"/>
        </w:trPr>
        <w:tc>
          <w:tcPr>
            <w:tcW w:w="698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185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(2,121)</w:t>
            </w:r>
          </w:p>
        </w:tc>
      </w:tr>
      <w:tr>
        <w:trPr>
          <w:trHeight w:val="185"/>
        </w:trPr>
        <w:tc>
          <w:tcPr>
            <w:tcW w:w="698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($1,608)</w:t>
            </w:r>
          </w:p>
        </w:tc>
      </w:tr>
      <w:tr>
        <w:trPr>
          <w:trHeight w:val="20"/>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260" w:right="14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3rd quarter and year to date 2022 net income (loss) attributable to Comcast Corporation includes a loss of $8.6 billion related to goodwill and long-lived asset impairments in our Sky segment. The goodwill impairment was primarily not deductible for tax purposes.</w:t>
      </w:r>
    </w:p>
    <w:p>
      <w:pPr>
        <w:spacing w:after="0" w:line="211" w:lineRule="exact"/>
        <w:rPr>
          <w:rFonts w:ascii="Arial" w:cs="Arial" w:eastAsia="Arial" w:hAnsi="Arial"/>
          <w:sz w:val="13"/>
          <w:szCs w:val="13"/>
          <w:color w:val="auto"/>
        </w:rPr>
      </w:pPr>
    </w:p>
    <w:p>
      <w:pPr>
        <w:ind w:left="260" w:right="26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3rd quarter and year to date 2022 net income (loss) attributable to Comcast Corporation includes $286 million of income tax benefit related to state tax law changes. 3rd quarter and year to date 2021 net income attributable to Comcast Corporation includes $498 million of income tax expense adjustments related to UK tax law changes.</w:t>
      </w:r>
    </w:p>
    <w:p>
      <w:pPr>
        <w:spacing w:after="0" w:line="211" w:lineRule="exact"/>
        <w:rPr>
          <w:rFonts w:ascii="Arial" w:cs="Arial" w:eastAsia="Arial" w:hAnsi="Arial"/>
          <w:sz w:val="13"/>
          <w:szCs w:val="13"/>
          <w:color w:val="auto"/>
        </w:rPr>
      </w:pPr>
    </w:p>
    <w:p>
      <w:pPr>
        <w:ind w:left="240" w:hanging="232"/>
        <w:spacing w:after="0"/>
        <w:tabs>
          <w:tab w:leader="none" w:pos="240" w:val="left"/>
        </w:tabs>
        <w:numPr>
          <w:ilvl w:val="0"/>
          <w:numId w:val="7"/>
        </w:numPr>
        <w:rPr>
          <w:rFonts w:ascii="Arial" w:cs="Arial" w:eastAsia="Arial" w:hAnsi="Arial"/>
          <w:sz w:val="12"/>
          <w:szCs w:val="12"/>
          <w:color w:val="auto"/>
        </w:rPr>
      </w:pPr>
      <w:r>
        <w:rPr>
          <w:rFonts w:ascii="Arial" w:cs="Arial" w:eastAsia="Arial" w:hAnsi="Arial"/>
          <w:sz w:val="12"/>
          <w:szCs w:val="12"/>
          <w:color w:val="auto"/>
        </w:rPr>
        <w:t>3rd quarter and year to date 2021 net income (loss) attributable to Comcast Corporation includes $78 million of interest expense, $59 million net of tax, resulting from the early redemption of debt.</w:t>
      </w:r>
    </w:p>
    <w:p>
      <w:pPr>
        <w:spacing w:after="0" w:line="267" w:lineRule="exact"/>
        <w:rPr>
          <w:rFonts w:ascii="Arial" w:cs="Arial" w:eastAsia="Arial" w:hAnsi="Arial"/>
          <w:sz w:val="12"/>
          <w:szCs w:val="12"/>
          <w:color w:val="auto"/>
        </w:rPr>
      </w:pPr>
    </w:p>
    <w:p>
      <w:pPr>
        <w:ind w:left="260" w:right="26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3rd quarter and year to date 2022 net income (loss) attributable to Comcast Corporation include losses of $35 million and $96 million in other income, respectively, related to an impairment of an equity method investment, and include a gain of $(53) million in amortization expense, $(26) million net of tax, related to the sale of a business.</w:t>
      </w:r>
    </w:p>
    <w:p>
      <w:pPr>
        <w:spacing w:after="0" w:line="211" w:lineRule="exact"/>
        <w:rPr>
          <w:rFonts w:ascii="Arial" w:cs="Arial" w:eastAsia="Arial" w:hAnsi="Arial"/>
          <w:sz w:val="13"/>
          <w:szCs w:val="13"/>
          <w:color w:val="auto"/>
        </w:rPr>
      </w:pPr>
    </w:p>
    <w:p>
      <w:pPr>
        <w:ind w:left="260" w:right="8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3rd quarter and year to date 2021 net income (loss) attributable to Comcast Corporation includes ($1) million and $24 million of operating costs and expenses, $(1) million and $20 million net of tax, respectively, related to the Sky transaction.</w:t>
      </w:r>
    </w:p>
    <w:p>
      <w:pPr>
        <w:spacing w:after="0" w:line="211" w:lineRule="exact"/>
        <w:rPr>
          <w:rFonts w:ascii="Arial" w:cs="Arial" w:eastAsia="Arial" w:hAnsi="Arial"/>
          <w:sz w:val="13"/>
          <w:szCs w:val="13"/>
          <w:color w:val="auto"/>
        </w:rPr>
      </w:pPr>
    </w:p>
    <w:p>
      <w:pPr>
        <w:ind w:left="260" w:right="120" w:hanging="252"/>
        <w:spacing w:after="0" w:line="306" w:lineRule="auto"/>
        <w:tabs>
          <w:tab w:leader="none" w:pos="252"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3rd quarter 2022 reported EPS does not include the effects of any potentially dilutive shares because their effect would be antidilutive as a result of the loss for the period. Adjusted Net Income is positive for the 3rd quarter 2022 and therefore Adjusted EPS is calculated using diluted weighted average shares of 4,392 million, which includes the effects of potentially dilutive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44" w:right="339" w:bottom="1440" w:gutter="0" w:footer="0" w:header="0"/>
        </w:sectPr>
      </w:pPr>
    </w:p>
    <w:bookmarkStart w:id="17" w:name="page18"/>
    <w:bookmarkEnd w:id="17"/>
    <w:p>
      <w:pPr>
        <w:ind w:left="52"/>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543560</wp:posOffset>
            </wp:positionV>
            <wp:extent cx="1209040" cy="52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3" w:lineRule="exact"/>
        <w:rPr>
          <w:sz w:val="20"/>
          <w:szCs w:val="20"/>
          <w:color w:val="auto"/>
        </w:rPr>
      </w:pPr>
    </w:p>
    <w:p>
      <w:pPr>
        <w:ind w:left="52"/>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23495</wp:posOffset>
            </wp:positionV>
            <wp:extent cx="7089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4" w:lineRule="exact"/>
        <w:rPr>
          <w:sz w:val="20"/>
          <w:szCs w:val="20"/>
          <w:color w:val="auto"/>
        </w:rPr>
      </w:pPr>
    </w:p>
    <w:tbl>
      <w:tblPr>
        <w:tblLayout w:type="fixed"/>
        <w:tblInd w:w="192" w:type="dxa"/>
        <w:tblCellMar>
          <w:top w:w="0" w:type="dxa"/>
          <w:left w:w="0" w:type="dxa"/>
          <w:bottom w:w="0" w:type="dxa"/>
          <w:right w:w="0" w:type="dxa"/>
        </w:tblCellMar>
      </w:tblPr>
      <w:tr>
        <w:trPr>
          <w:trHeight w:val="310"/>
        </w:trPr>
        <w:tc>
          <w:tcPr>
            <w:tcW w:w="4340" w:type="dxa"/>
            <w:vAlign w:val="bottom"/>
          </w:tcPr>
          <w:p>
            <w:pPr>
              <w:spacing w:after="0"/>
              <w:rPr>
                <w:sz w:val="24"/>
                <w:szCs w:val="24"/>
                <w:color w:val="auto"/>
              </w:rPr>
            </w:pPr>
          </w:p>
        </w:tc>
        <w:tc>
          <w:tcPr>
            <w:tcW w:w="326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60" w:type="dxa"/>
            <w:vAlign w:val="bottom"/>
            <w:gridSpan w:val="6"/>
          </w:tcPr>
          <w:p>
            <w:pPr>
              <w:jc w:val="center"/>
              <w:ind w:right="739"/>
              <w:spacing w:after="0"/>
              <w:rPr>
                <w:sz w:val="20"/>
                <w:szCs w:val="20"/>
                <w:color w:val="auto"/>
              </w:rPr>
            </w:pPr>
            <w:r>
              <w:rPr>
                <w:rFonts w:ascii="Arial" w:cs="Arial" w:eastAsia="Arial" w:hAnsi="Arial"/>
                <w:sz w:val="16"/>
                <w:szCs w:val="16"/>
                <w:b w:val="1"/>
                <w:bCs w:val="1"/>
                <w:color w:val="auto"/>
              </w:rPr>
              <w:t>Nine Months Ended</w:t>
            </w:r>
          </w:p>
        </w:tc>
      </w:tr>
      <w:tr>
        <w:trPr>
          <w:trHeight w:val="205"/>
        </w:trPr>
        <w:tc>
          <w:tcPr>
            <w:tcW w:w="4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7"/>
                <w:szCs w:val="17"/>
                <w:color w:val="auto"/>
              </w:rPr>
            </w:pPr>
          </w:p>
        </w:tc>
      </w:tr>
      <w:tr>
        <w:trPr>
          <w:trHeight w:val="227"/>
        </w:trPr>
        <w:tc>
          <w:tcPr>
            <w:tcW w:w="434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119"/>
              <w:spacing w:after="0" w:line="227"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119"/>
              <w:spacing w:after="0" w:line="227"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303"/>
        </w:trPr>
        <w:tc>
          <w:tcPr>
            <w:tcW w:w="4340" w:type="dxa"/>
            <w:vAlign w:val="bottom"/>
          </w:tcPr>
          <w:p>
            <w:pPr>
              <w:spacing w:after="0"/>
              <w:rPr>
                <w:sz w:val="20"/>
                <w:szCs w:val="20"/>
                <w:color w:val="auto"/>
              </w:rPr>
            </w:pPr>
            <w:r>
              <w:rPr>
                <w:rFonts w:ascii="Arial" w:cs="Arial" w:eastAsia="Arial" w:hAnsi="Arial"/>
                <w:sz w:val="16"/>
                <w:szCs w:val="16"/>
                <w:color w:val="auto"/>
              </w:rPr>
              <w:t>Direct-to-Consumer</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$3,510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$11,073</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$11,197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Content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273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833</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17"/>
        </w:trPr>
        <w:tc>
          <w:tcPr>
            <w:tcW w:w="4340" w:type="dxa"/>
            <w:vAlign w:val="bottom"/>
          </w:tcPr>
          <w:p>
            <w:pPr>
              <w:spacing w:after="0"/>
              <w:rPr>
                <w:sz w:val="20"/>
                <w:szCs w:val="20"/>
                <w:color w:val="auto"/>
              </w:rPr>
            </w:pPr>
            <w:r>
              <w:rPr>
                <w:rFonts w:ascii="Arial" w:cs="Arial" w:eastAsia="Arial" w:hAnsi="Arial"/>
                <w:sz w:val="16"/>
                <w:szCs w:val="16"/>
                <w:color w:val="auto"/>
              </w:rPr>
              <w:t>Advertising</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471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1,623</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09"/>
        </w:trPr>
        <w:tc>
          <w:tcPr>
            <w:tcW w:w="43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$4,253</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$13,529</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
        </w:trPr>
        <w:tc>
          <w:tcPr>
            <w:tcW w:w="4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6"/>
        </w:trPr>
        <w:tc>
          <w:tcPr>
            <w:tcW w:w="434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$3,553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3.5 %</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$11,344</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217"/>
        </w:trPr>
        <w:tc>
          <w:tcPr>
            <w:tcW w:w="43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$701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$2,185</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28.7 %</w:t>
            </w:r>
          </w:p>
        </w:tc>
      </w:tr>
    </w:tbl>
    <w:p>
      <w:pPr>
        <w:spacing w:after="0" w:line="306" w:lineRule="exact"/>
        <w:rPr>
          <w:sz w:val="20"/>
          <w:szCs w:val="20"/>
          <w:color w:val="auto"/>
        </w:rPr>
      </w:pPr>
    </w:p>
    <w:p>
      <w:pPr>
        <w:ind w:left="252" w:hanging="252"/>
        <w:spacing w:after="0" w:line="286" w:lineRule="auto"/>
        <w:tabs>
          <w:tab w:leader="none" w:pos="244" w:val="left"/>
        </w:tabs>
        <w:numPr>
          <w:ilvl w:val="0"/>
          <w:numId w:val="8"/>
        </w:numPr>
        <w:rPr>
          <w:rFonts w:ascii="Arial" w:cs="Arial" w:eastAsia="Arial" w:hAnsi="Arial"/>
          <w:sz w:val="13"/>
          <w:szCs w:val="13"/>
          <w:color w:val="auto"/>
        </w:rPr>
      </w:pPr>
      <w:r>
        <w:rPr>
          <w:rFonts w:ascii="Arial" w:cs="Arial" w:eastAsia="Arial" w:hAnsi="Arial"/>
          <w:sz w:val="13"/>
          <w:szCs w:val="13"/>
          <w:color w:val="auto"/>
        </w:rPr>
        <w:t>2021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12"/>
          </w:cols>
          <w:pgMar w:left="328" w:top="1006" w:right="35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-97790</wp:posOffset>
            </wp:positionV>
            <wp:extent cx="1054100" cy="45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b w:val="1"/>
          <w:bCs w:val="1"/>
          <w:color w:val="828282"/>
        </w:rPr>
        <w:t>Reconciliation of Media Revenue Excluding Olympics and 2022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106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60" w:type="dxa"/>
            <w:vAlign w:val="bottom"/>
            <w:tcBorders>
              <w:right w:val="single" w:sz="8" w:color="auto"/>
            </w:tcBorders>
            <w:gridSpan w:val="7"/>
          </w:tcPr>
          <w:p>
            <w:pPr>
              <w:jc w:val="center"/>
              <w:ind w:right="9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00" w:type="dxa"/>
            <w:vAlign w:val="bottom"/>
            <w:gridSpan w:val="6"/>
          </w:tcPr>
          <w:p>
            <w:pPr>
              <w:jc w:val="center"/>
              <w:ind w:right="69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r>
      <w:tr>
        <w:trPr>
          <w:trHeight w:val="217"/>
        </w:trPr>
        <w:tc>
          <w:tcPr>
            <w:tcW w:w="4340" w:type="dxa"/>
            <w:vAlign w:val="bottom"/>
          </w:tcPr>
          <w:p>
            <w:pPr>
              <w:spacing w:after="0"/>
              <w:rPr>
                <w:sz w:val="20"/>
                <w:szCs w:val="20"/>
                <w:color w:val="auto"/>
              </w:rPr>
            </w:pPr>
            <w:r>
              <w:rPr>
                <w:rFonts w:ascii="Arial" w:cs="Arial" w:eastAsia="Arial" w:hAnsi="Arial"/>
                <w:sz w:val="16"/>
                <w:szCs w:val="16"/>
                <w:color w:val="auto"/>
              </w:rPr>
              <w:t>(in millions)</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Growth %</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Growth %</w:t>
            </w:r>
          </w:p>
        </w:tc>
      </w:tr>
      <w:tr>
        <w:trPr>
          <w:trHeight w:val="310"/>
        </w:trPr>
        <w:tc>
          <w:tcPr>
            <w:tcW w:w="4340" w:type="dxa"/>
            <w:vAlign w:val="bottom"/>
          </w:tcPr>
          <w:p>
            <w:pPr>
              <w:spacing w:after="0"/>
              <w:rPr>
                <w:sz w:val="20"/>
                <w:szCs w:val="20"/>
                <w:color w:val="auto"/>
              </w:rPr>
            </w:pPr>
            <w:r>
              <w:rPr>
                <w:rFonts w:ascii="Arial" w:cs="Arial" w:eastAsia="Arial" w:hAnsi="Arial"/>
                <w:sz w:val="16"/>
                <w:szCs w:val="16"/>
                <w:color w:val="auto"/>
              </w:rPr>
              <w:t>Revenue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$5,230</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$6,770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(22.7 %)</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$17,427</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$16,955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63"/>
        </w:trPr>
        <w:tc>
          <w:tcPr>
            <w:tcW w:w="4340" w:type="dxa"/>
            <w:vAlign w:val="bottom"/>
          </w:tcPr>
          <w:p>
            <w:pPr>
              <w:spacing w:after="0"/>
              <w:rPr>
                <w:sz w:val="20"/>
                <w:szCs w:val="20"/>
                <w:color w:val="auto"/>
              </w:rPr>
            </w:pPr>
            <w:r>
              <w:rPr>
                <w:rFonts w:ascii="Arial" w:cs="Arial" w:eastAsia="Arial" w:hAnsi="Arial"/>
                <w:sz w:val="16"/>
                <w:szCs w:val="16"/>
                <w:color w:val="auto"/>
              </w:rPr>
              <w:t>Olympics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1,759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963</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1,759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7"/>
        </w:trPr>
        <w:tc>
          <w:tcPr>
            <w:tcW w:w="4340" w:type="dxa"/>
            <w:vAlign w:val="bottom"/>
          </w:tcPr>
          <w:p>
            <w:pPr>
              <w:spacing w:after="0"/>
              <w:rPr>
                <w:sz w:val="20"/>
                <w:szCs w:val="20"/>
                <w:color w:val="auto"/>
              </w:rPr>
            </w:pPr>
            <w:r>
              <w:rPr>
                <w:rFonts w:ascii="Arial" w:cs="Arial" w:eastAsia="Arial" w:hAnsi="Arial"/>
                <w:sz w:val="16"/>
                <w:szCs w:val="16"/>
                <w:color w:val="auto"/>
              </w:rPr>
              <w:t>2022 Super Bowl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r>
      <w:tr>
        <w:trPr>
          <w:trHeight w:val="290"/>
        </w:trPr>
        <w:tc>
          <w:tcPr>
            <w:tcW w:w="4340" w:type="dxa"/>
            <w:vAlign w:val="bottom"/>
          </w:tcPr>
          <w:p>
            <w:pPr>
              <w:spacing w:after="0"/>
              <w:rPr>
                <w:sz w:val="20"/>
                <w:szCs w:val="20"/>
                <w:color w:val="auto"/>
              </w:rPr>
            </w:pPr>
            <w:r>
              <w:rPr>
                <w:rFonts w:ascii="Arial" w:cs="Arial" w:eastAsia="Arial" w:hAnsi="Arial"/>
                <w:sz w:val="16"/>
                <w:szCs w:val="16"/>
                <w:color w:val="auto"/>
              </w:rPr>
              <w:t>Revenue excluding Olympics and 2022 Super Bowl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$5,230</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4.4 %</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$15,945</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940"/>
          </w:cols>
          <w:pgMar w:left="340" w:top="979" w:right="61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9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48" w:lineRule="exact"/>
        <w:rPr>
          <w:sz w:val="20"/>
          <w:szCs w:val="20"/>
          <w:color w:val="auto"/>
        </w:rPr>
      </w:pPr>
    </w:p>
    <w:p>
      <w:pPr>
        <w:jc w:val="both"/>
        <w:ind w:right="420"/>
        <w:spacing w:after="0" w:line="275"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2022-10-27T06:07:09Z</dcterms:created>
  <dcterms:modified xsi:type="dcterms:W3CDTF">2022-10-27T06:07:09Z</dcterms:modified>
</cp:coreProperties>
</file>