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ind w:left="6001"/>
        <w:spacing w:after="0"/>
        <w:rPr>
          <w:sz w:val="20"/>
          <w:szCs w:val="20"/>
          <w:color w:val="auto"/>
        </w:rPr>
      </w:pPr>
      <w:r>
        <w:rPr>
          <w:rFonts w:ascii="Courier New" w:cs="Courier New" w:eastAsia="Courier New" w:hAnsi="Courier New"/>
          <w:sz w:val="18"/>
          <w:szCs w:val="18"/>
          <w:color w:val="auto"/>
        </w:rPr>
        <w:t>Page 1 of 12 Pages</w:t>
      </w:r>
    </w:p>
    <w:p>
      <w:pPr>
        <w:spacing w:after="0" w:line="201" w:lineRule="exact"/>
        <w:rPr>
          <w:sz w:val="24"/>
          <w:szCs w:val="24"/>
          <w:color w:val="auto"/>
        </w:rPr>
      </w:pPr>
    </w:p>
    <w:p>
      <w:pPr>
        <w:ind w:left="3481"/>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ind w:left="2221"/>
        <w:spacing w:after="0"/>
        <w:rPr>
          <w:sz w:val="20"/>
          <w:szCs w:val="20"/>
          <w:color w:val="auto"/>
        </w:rPr>
      </w:pPr>
      <w:r>
        <w:rPr>
          <w:rFonts w:ascii="Courier New" w:cs="Courier New" w:eastAsia="Courier New" w:hAnsi="Courier New"/>
          <w:sz w:val="18"/>
          <w:szCs w:val="18"/>
          <w:color w:val="auto"/>
        </w:rPr>
        <w:t>SECURITIES AND EXCHANGE COMMISSION</w:t>
      </w:r>
    </w:p>
    <w:p>
      <w:pPr>
        <w:ind w:left="2741"/>
        <w:spacing w:after="0"/>
        <w:tabs>
          <w:tab w:leader="none" w:pos="4621"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4"/>
          <w:szCs w:val="24"/>
          <w:color w:val="auto"/>
        </w:rPr>
      </w:pPr>
    </w:p>
    <w:p>
      <w:pPr>
        <w:jc w:val="center"/>
        <w:ind w:right="1778"/>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1"/>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841"/>
        <w:spacing w:after="0"/>
        <w:rPr>
          <w:sz w:val="20"/>
          <w:szCs w:val="20"/>
          <w:color w:val="auto"/>
        </w:rPr>
      </w:pPr>
      <w:r>
        <w:rPr>
          <w:rFonts w:ascii="Courier New" w:cs="Courier New" w:eastAsia="Courier New" w:hAnsi="Courier New"/>
          <w:sz w:val="18"/>
          <w:szCs w:val="18"/>
          <w:color w:val="auto"/>
        </w:rPr>
        <w:t>(AMENDMENT NO.2)*</w:t>
      </w:r>
    </w:p>
    <w:p>
      <w:pPr>
        <w:spacing w:after="0" w:line="201" w:lineRule="exact"/>
        <w:rPr>
          <w:sz w:val="24"/>
          <w:szCs w:val="24"/>
          <w:color w:val="auto"/>
        </w:rPr>
      </w:pPr>
    </w:p>
    <w:p>
      <w:pPr>
        <w:ind w:left="2741"/>
        <w:spacing w:after="0"/>
        <w:rPr>
          <w:sz w:val="20"/>
          <w:szCs w:val="20"/>
          <w:color w:val="auto"/>
        </w:rPr>
      </w:pPr>
      <w:r>
        <w:rPr>
          <w:rFonts w:ascii="Courier New" w:cs="Courier New" w:eastAsia="Courier New" w:hAnsi="Courier New"/>
          <w:sz w:val="18"/>
          <w:szCs w:val="18"/>
          <w:color w:val="auto"/>
        </w:rPr>
        <w:t>COMCAST CORP NEW</w:t>
      </w:r>
    </w:p>
    <w:p>
      <w:pPr>
        <w:spacing w:after="0" w:line="29" w:lineRule="exact"/>
        <w:rPr>
          <w:sz w:val="24"/>
          <w:szCs w:val="24"/>
          <w:color w:val="auto"/>
        </w:rPr>
      </w:pPr>
    </w:p>
    <w:p>
      <w:pPr>
        <w:ind w:left="1161"/>
        <w:spacing w:after="0"/>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3061"/>
        <w:spacing w:after="0"/>
        <w:rPr>
          <w:sz w:val="20"/>
          <w:szCs w:val="20"/>
          <w:color w:val="auto"/>
        </w:rPr>
      </w:pPr>
      <w:r>
        <w:rPr>
          <w:rFonts w:ascii="Courier New" w:cs="Courier New" w:eastAsia="Courier New" w:hAnsi="Courier New"/>
          <w:sz w:val="18"/>
          <w:szCs w:val="18"/>
          <w:color w:val="auto"/>
        </w:rPr>
        <w:t>CL A SPL</w:t>
      </w:r>
    </w:p>
    <w:p>
      <w:pPr>
        <w:spacing w:after="0" w:line="29" w:lineRule="exact"/>
        <w:rPr>
          <w:sz w:val="24"/>
          <w:szCs w:val="24"/>
          <w:color w:val="auto"/>
        </w:rPr>
      </w:pPr>
    </w:p>
    <w:p>
      <w:pPr>
        <w:ind w:left="1161"/>
        <w:spacing w:after="0"/>
        <w:rPr>
          <w:sz w:val="20"/>
          <w:szCs w:val="20"/>
          <w:color w:val="auto"/>
        </w:rPr>
      </w:pPr>
      <w:r>
        <w:rPr>
          <w:rFonts w:ascii="Courier New" w:cs="Courier New" w:eastAsia="Courier New" w:hAnsi="Courier New"/>
          <w:sz w:val="18"/>
          <w:szCs w:val="18"/>
          <w:color w:val="auto"/>
        </w:rPr>
        <w:t>-----------------------------------------------------</w:t>
      </w:r>
    </w:p>
    <w:p>
      <w:pPr>
        <w:jc w:val="center"/>
        <w:ind w:right="2418"/>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261"/>
        <w:spacing w:after="0"/>
        <w:rPr>
          <w:sz w:val="20"/>
          <w:szCs w:val="20"/>
          <w:color w:val="auto"/>
        </w:rPr>
      </w:pPr>
      <w:r>
        <w:rPr>
          <w:rFonts w:ascii="Courier New" w:cs="Courier New" w:eastAsia="Courier New" w:hAnsi="Courier New"/>
          <w:sz w:val="18"/>
          <w:szCs w:val="18"/>
          <w:color w:val="auto"/>
        </w:rPr>
        <w:t>20030N200</w:t>
      </w:r>
    </w:p>
    <w:p>
      <w:pPr>
        <w:spacing w:after="0" w:line="29" w:lineRule="exact"/>
        <w:rPr>
          <w:sz w:val="24"/>
          <w:szCs w:val="24"/>
          <w:color w:val="auto"/>
        </w:rPr>
      </w:pPr>
    </w:p>
    <w:p>
      <w:pPr>
        <w:ind w:left="1161"/>
        <w:spacing w:after="0"/>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ind w:left="2641"/>
        <w:spacing w:after="0"/>
        <w:rPr>
          <w:sz w:val="20"/>
          <w:szCs w:val="20"/>
          <w:color w:val="auto"/>
        </w:rPr>
      </w:pPr>
      <w:r>
        <w:rPr>
          <w:rFonts w:ascii="Courier New" w:cs="Courier New" w:eastAsia="Courier New" w:hAnsi="Courier New"/>
          <w:sz w:val="18"/>
          <w:szCs w:val="18"/>
          <w:color w:val="auto"/>
        </w:rPr>
        <w:t>December 31, 2004</w:t>
      </w:r>
    </w:p>
    <w:p>
      <w:pPr>
        <w:spacing w:after="0" w:line="29" w:lineRule="exact"/>
        <w:rPr>
          <w:sz w:val="24"/>
          <w:szCs w:val="24"/>
          <w:color w:val="auto"/>
        </w:rPr>
      </w:pPr>
    </w:p>
    <w:p>
      <w:pPr>
        <w:ind w:left="1161"/>
        <w:spacing w:after="0"/>
        <w:rPr>
          <w:sz w:val="20"/>
          <w:szCs w:val="20"/>
          <w:color w:val="auto"/>
        </w:rPr>
      </w:pPr>
      <w:r>
        <w:rPr>
          <w:rFonts w:ascii="Courier New" w:cs="Courier New" w:eastAsia="Courier New" w:hAnsi="Courier New"/>
          <w:sz w:val="18"/>
          <w:szCs w:val="18"/>
          <w:color w:val="auto"/>
        </w:rPr>
        <w:t>-----------------------------------------------------</w:t>
      </w:r>
    </w:p>
    <w:p>
      <w:pPr>
        <w:ind w:left="1061"/>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left="201" w:right="1999"/>
        <w:spacing w:after="0" w:line="274" w:lineRule="auto"/>
        <w:rPr>
          <w:sz w:val="20"/>
          <w:szCs w:val="20"/>
          <w:color w:val="auto"/>
        </w:rPr>
      </w:pPr>
      <w:r>
        <w:rPr>
          <w:rFonts w:ascii="Courier New" w:cs="Courier New" w:eastAsia="Courier New" w:hAnsi="Courier New"/>
          <w:sz w:val="18"/>
          <w:szCs w:val="18"/>
          <w:color w:val="auto"/>
        </w:rPr>
        <w:t>NOTE: A MAJORITY OF THE SHARES REPORTED IN THIS SCHEDULE 13G ARE HELD BY UNAFFILIATED THIRD-PARTY CLIENT ACCOUNTS MANAGED BY ALLIANCE CAPITAL MANAGEMENT L.P., AS INVESTMENT ADVISER. (ALLIANCE CAPITAL MANAGEMENT L.P. IS A MAJORITY-OWNED SUBSIDIARY OF AXA FINANCIAL, INC.)</w:t>
      </w:r>
    </w:p>
    <w:p>
      <w:pPr>
        <w:spacing w:after="0" w:line="82" w:lineRule="exact"/>
        <w:rPr>
          <w:sz w:val="24"/>
          <w:szCs w:val="24"/>
          <w:color w:val="auto"/>
        </w:rPr>
      </w:pPr>
    </w:p>
    <w:p>
      <w:pPr>
        <w:ind w:left="201" w:right="293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jc w:val="both"/>
        <w:ind w:left="741" w:right="7899" w:hanging="320"/>
        <w:spacing w:after="0" w:line="344" w:lineRule="auto"/>
        <w:tabs>
          <w:tab w:leader="none" w:pos="74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Rule 13d-1(c) Rule 13d-1(d)</w:t>
      </w:r>
    </w:p>
    <w:p>
      <w:pPr>
        <w:spacing w:after="0" w:line="30" w:lineRule="exact"/>
        <w:rPr>
          <w:rFonts w:ascii="Courier New" w:cs="Courier New" w:eastAsia="Courier New" w:hAnsi="Courier New"/>
          <w:sz w:val="16"/>
          <w:szCs w:val="16"/>
          <w:color w:val="auto"/>
        </w:rPr>
      </w:pPr>
    </w:p>
    <w:p>
      <w:pPr>
        <w:jc w:val="both"/>
        <w:ind w:left="201" w:right="2419"/>
        <w:spacing w:after="0" w:line="31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ind w:left="201"/>
        <w:spacing w:after="0"/>
        <w:rPr>
          <w:sz w:val="20"/>
          <w:szCs w:val="20"/>
          <w:color w:val="auto"/>
        </w:rPr>
      </w:pPr>
      <w:r>
        <w:rPr>
          <w:rFonts w:ascii="Courier New" w:cs="Courier New" w:eastAsia="Courier New" w:hAnsi="Courier New"/>
          <w:sz w:val="18"/>
          <w:szCs w:val="18"/>
          <w:color w:val="auto"/>
        </w:rPr>
        <w:t>The information required in the remainder of this cover page shall not</w:t>
      </w:r>
    </w:p>
    <w:p>
      <w:pPr>
        <w:spacing w:after="0" w:line="29" w:lineRule="exact"/>
        <w:rPr>
          <w:sz w:val="24"/>
          <w:szCs w:val="24"/>
          <w:color w:val="auto"/>
        </w:rPr>
      </w:pPr>
    </w:p>
    <w:p>
      <w:pPr>
        <w:ind w:left="201"/>
        <w:spacing w:after="0"/>
        <w:rPr>
          <w:sz w:val="20"/>
          <w:szCs w:val="20"/>
          <w:color w:val="auto"/>
        </w:rPr>
      </w:pPr>
      <w:r>
        <w:rPr>
          <w:rFonts w:ascii="Courier New" w:cs="Courier New" w:eastAsia="Courier New" w:hAnsi="Courier New"/>
          <w:sz w:val="18"/>
          <w:szCs w:val="18"/>
          <w:color w:val="auto"/>
        </w:rPr>
        <w:t>be deemed to be 'filed' for the purpose of Section 18 of the Securities</w:t>
      </w:r>
    </w:p>
    <w:p>
      <w:pPr>
        <w:ind w:left="201"/>
        <w:spacing w:after="0" w:line="238" w:lineRule="auto"/>
        <w:rPr>
          <w:sz w:val="20"/>
          <w:szCs w:val="20"/>
          <w:color w:val="auto"/>
        </w:rPr>
      </w:pPr>
      <w:r>
        <w:rPr>
          <w:rFonts w:ascii="Courier New" w:cs="Courier New" w:eastAsia="Courier New" w:hAnsi="Courier New"/>
          <w:sz w:val="18"/>
          <w:szCs w:val="18"/>
          <w:color w:val="auto"/>
        </w:rPr>
        <w:t>Exchange Act of 1934 ('Act') or otherwise subject to the liabilities</w:t>
      </w:r>
    </w:p>
    <w:p>
      <w:pPr>
        <w:ind w:left="201"/>
        <w:spacing w:after="0"/>
        <w:rPr>
          <w:sz w:val="20"/>
          <w:szCs w:val="20"/>
          <w:color w:val="auto"/>
        </w:rPr>
      </w:pPr>
      <w:r>
        <w:rPr>
          <w:rFonts w:ascii="Courier New" w:cs="Courier New" w:eastAsia="Courier New" w:hAnsi="Courier New"/>
          <w:sz w:val="18"/>
          <w:szCs w:val="18"/>
          <w:color w:val="auto"/>
        </w:rPr>
        <w:t>of that section of the Act but shall be subject to all other provisions</w:t>
      </w:r>
    </w:p>
    <w:p>
      <w:pPr>
        <w:ind w:left="201"/>
        <w:spacing w:after="0"/>
        <w:rPr>
          <w:sz w:val="20"/>
          <w:szCs w:val="20"/>
          <w:color w:val="auto"/>
        </w:rPr>
      </w:pPr>
      <w:r>
        <w:rPr>
          <w:rFonts w:ascii="Courier New" w:cs="Courier New" w:eastAsia="Courier New" w:hAnsi="Courier New"/>
          <w:sz w:val="18"/>
          <w:szCs w:val="18"/>
          <w:color w:val="auto"/>
        </w:rPr>
        <w:t>of the Act (however, see the Notes).</w:t>
      </w:r>
    </w:p>
    <w:p>
      <w:pPr>
        <w:spacing w:after="0" w:line="169" w:lineRule="exact"/>
        <w:rPr>
          <w:sz w:val="24"/>
          <w:szCs w:val="24"/>
          <w:color w:val="auto"/>
        </w:rPr>
      </w:pPr>
    </w:p>
    <w:p>
      <w:pPr>
        <w:ind w:left="2421"/>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201"/>
        <w:spacing w:after="0"/>
        <w:tabs>
          <w:tab w:leader="none" w:pos="3341" w:val="left"/>
          <w:tab w:leader="none" w:pos="6201" w:val="left"/>
        </w:tabs>
        <w:rPr>
          <w:sz w:val="20"/>
          <w:szCs w:val="20"/>
          <w:color w:val="auto"/>
        </w:rPr>
      </w:pPr>
      <w:r>
        <w:rPr>
          <w:rFonts w:ascii="Courier New" w:cs="Courier New" w:eastAsia="Courier New" w:hAnsi="Courier New"/>
          <w:sz w:val="18"/>
          <w:szCs w:val="18"/>
          <w:color w:val="auto"/>
        </w:rPr>
        <w:t>CUSIP NO. 20030N200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12 Pages</w:t>
      </w:r>
    </w:p>
    <w:p>
      <w:pPr>
        <w:spacing w:after="0" w:line="200" w:lineRule="exact"/>
        <w:rPr>
          <w:sz w:val="24"/>
          <w:szCs w:val="24"/>
          <w:color w:val="auto"/>
        </w:rPr>
      </w:pPr>
    </w:p>
    <w:p>
      <w:pPr>
        <w:spacing w:after="0" w:line="204" w:lineRule="exact"/>
        <w:rPr>
          <w:sz w:val="24"/>
          <w:szCs w:val="24"/>
          <w:color w:val="auto"/>
        </w:rPr>
      </w:pPr>
    </w:p>
    <w:p>
      <w:pPr>
        <w:ind w:left="321" w:hanging="321"/>
        <w:spacing w:after="0"/>
        <w:tabs>
          <w:tab w:leader="none" w:pos="3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1"/>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4"/>
          <w:szCs w:val="24"/>
          <w:color w:val="auto"/>
        </w:rPr>
      </w:pPr>
    </w:p>
    <w:tbl>
      <w:tblPr>
        <w:tblLayout w:type="fixed"/>
        <w:tblInd w:w="1" w:type="dxa"/>
        <w:tblCellMar>
          <w:top w:w="0" w:type="dxa"/>
          <w:left w:w="0" w:type="dxa"/>
          <w:bottom w:w="0" w:type="dxa"/>
          <w:right w:w="0" w:type="dxa"/>
        </w:tblCellMar>
      </w:tblPr>
      <w:tr>
        <w:trPr>
          <w:trHeight w:val="296"/>
        </w:trPr>
        <w:tc>
          <w:tcPr>
            <w:tcW w:w="260" w:type="dxa"/>
            <w:vAlign w:val="bottom"/>
          </w:tcPr>
          <w:p>
            <w:pPr>
              <w:spacing w:after="0"/>
              <w:rPr>
                <w:sz w:val="24"/>
                <w:szCs w:val="24"/>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 Assurances I.A.R.D. Mutuelle</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11"/>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96"/>
        </w:trPr>
        <w:tc>
          <w:tcPr>
            <w:tcW w:w="2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546"/>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4"/>
          <w:szCs w:val="24"/>
          <w:color w:val="auto"/>
        </w:rPr>
      </w:pPr>
    </w:p>
    <w:tbl>
      <w:tblPr>
        <w:tblLayout w:type="fixed"/>
        <w:tblInd w:w="521" w:type="dxa"/>
        <w:tblCellMar>
          <w:top w:w="0" w:type="dxa"/>
          <w:left w:w="0" w:type="dxa"/>
          <w:bottom w:w="0" w:type="dxa"/>
          <w:right w:w="0" w:type="dxa"/>
        </w:tblCellMar>
      </w:tblPr>
      <w:tr>
        <w:trPr>
          <w:trHeight w:val="296"/>
        </w:trPr>
        <w:tc>
          <w:tcPr>
            <w:tcW w:w="1960" w:type="dxa"/>
            <w:vAlign w:val="bottom"/>
          </w:tcPr>
          <w:p>
            <w:pPr>
              <w:jc w:val="right"/>
              <w:ind w:right="1132"/>
              <w:spacing w:after="0"/>
              <w:rPr>
                <w:sz w:val="20"/>
                <w:szCs w:val="20"/>
                <w:color w:val="auto"/>
              </w:rPr>
            </w:pPr>
            <w:r>
              <w:rPr>
                <w:rFonts w:ascii="Courier New" w:cs="Courier New" w:eastAsia="Courier New" w:hAnsi="Courier New"/>
                <w:sz w:val="18"/>
                <w:szCs w:val="18"/>
                <w:color w:val="auto"/>
              </w:rPr>
              <w:t>France</w:t>
            </w:r>
          </w:p>
        </w:tc>
        <w:tc>
          <w:tcPr>
            <w:tcW w:w="6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19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NUMBER OF SHARES</w:t>
            </w:r>
          </w:p>
        </w:tc>
        <w:tc>
          <w:tcPr>
            <w:tcW w:w="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580" w:type="dxa"/>
            <w:vAlign w:val="bottom"/>
          </w:tcPr>
          <w:p>
            <w:pPr>
              <w:ind w:left="520"/>
              <w:spacing w:after="0"/>
              <w:rPr>
                <w:sz w:val="20"/>
                <w:szCs w:val="20"/>
                <w:color w:val="auto"/>
              </w:rPr>
            </w:pPr>
            <w:r>
              <w:rPr>
                <w:rFonts w:ascii="Courier New" w:cs="Courier New" w:eastAsia="Courier New" w:hAnsi="Courier New"/>
                <w:sz w:val="18"/>
                <w:szCs w:val="18"/>
                <w:color w:val="auto"/>
                <w:w w:val="96"/>
              </w:rPr>
              <w:t>23,023,658</w:t>
            </w:r>
          </w:p>
        </w:tc>
        <w:tc>
          <w:tcPr>
            <w:tcW w:w="0" w:type="dxa"/>
            <w:vAlign w:val="bottom"/>
          </w:tcPr>
          <w:p>
            <w:pPr>
              <w:spacing w:after="0"/>
              <w:rPr>
                <w:sz w:val="1"/>
                <w:szCs w:val="1"/>
                <w:color w:val="auto"/>
              </w:rPr>
            </w:pPr>
          </w:p>
        </w:tc>
      </w:tr>
      <w:tr>
        <w:trPr>
          <w:trHeight w:val="203"/>
        </w:trPr>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w:t>
            </w:r>
          </w:p>
        </w:tc>
        <w:tc>
          <w:tcPr>
            <w:tcW w:w="270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SHARED VOTING POWER</w:t>
            </w:r>
          </w:p>
        </w:tc>
        <w:tc>
          <w:tcPr>
            <w:tcW w:w="1580" w:type="dxa"/>
            <w:vAlign w:val="bottom"/>
            <w:vMerge w:val="restart"/>
          </w:tcPr>
          <w:p>
            <w:pPr>
              <w:ind w:left="520"/>
              <w:spacing w:after="0"/>
              <w:rPr>
                <w:sz w:val="20"/>
                <w:szCs w:val="20"/>
                <w:color w:val="auto"/>
              </w:rPr>
            </w:pPr>
            <w:r>
              <w:rPr>
                <w:rFonts w:ascii="Courier New" w:cs="Courier New" w:eastAsia="Courier New" w:hAnsi="Courier New"/>
                <w:sz w:val="18"/>
                <w:szCs w:val="18"/>
                <w:color w:val="auto"/>
              </w:rPr>
              <w:t>7,515,329</w:t>
            </w:r>
          </w:p>
        </w:tc>
        <w:tc>
          <w:tcPr>
            <w:tcW w:w="0" w:type="dxa"/>
            <w:vAlign w:val="bottom"/>
          </w:tcPr>
          <w:p>
            <w:pPr>
              <w:spacing w:after="0"/>
              <w:rPr>
                <w:sz w:val="1"/>
                <w:szCs w:val="1"/>
                <w:color w:val="auto"/>
              </w:rPr>
            </w:pPr>
          </w:p>
        </w:tc>
      </w:tr>
      <w:tr>
        <w:trPr>
          <w:trHeight w:val="296"/>
        </w:trPr>
        <w:tc>
          <w:tcPr>
            <w:tcW w:w="19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OWNED AS OF</w:t>
            </w:r>
          </w:p>
        </w:tc>
        <w:tc>
          <w:tcPr>
            <w:tcW w:w="620" w:type="dxa"/>
            <w:vAlign w:val="bottom"/>
            <w:vMerge w:val="continue"/>
          </w:tcPr>
          <w:p>
            <w:pPr>
              <w:spacing w:after="0"/>
              <w:rPr>
                <w:sz w:val="24"/>
                <w:szCs w:val="24"/>
                <w:color w:val="auto"/>
              </w:rPr>
            </w:pPr>
          </w:p>
        </w:tc>
        <w:tc>
          <w:tcPr>
            <w:tcW w:w="2700" w:type="dxa"/>
            <w:vAlign w:val="bottom"/>
            <w:vMerge w:val="continue"/>
          </w:tcPr>
          <w:p>
            <w:pPr>
              <w:spacing w:after="0"/>
              <w:rPr>
                <w:sz w:val="24"/>
                <w:szCs w:val="24"/>
                <w:color w:val="auto"/>
              </w:rPr>
            </w:pPr>
          </w:p>
        </w:tc>
        <w:tc>
          <w:tcPr>
            <w:tcW w:w="1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94" w:orient="portrait"/>
          <w:cols w:equalWidth="0" w:num="1">
            <w:col w:w="10000"/>
          </w:cols>
          <w:pgMar w:left="459" w:top="218" w:right="1440" w:bottom="0" w:gutter="0" w:footer="0" w:header="0"/>
        </w:sectPr>
      </w:pPr>
    </w:p>
    <w:bookmarkStart w:id="1" w:name="page2"/>
    <w:bookmarkEnd w:id="1"/>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2840" w:type="dxa"/>
            <w:vAlign w:val="bottom"/>
            <w:gridSpan w:val="3"/>
          </w:tcPr>
          <w:p>
            <w:pPr>
              <w:jc w:val="right"/>
              <w:ind w:right="692"/>
              <w:spacing w:after="0"/>
              <w:rPr>
                <w:sz w:val="20"/>
                <w:szCs w:val="20"/>
                <w:color w:val="auto"/>
              </w:rPr>
            </w:pPr>
            <w:r>
              <w:rPr>
                <w:rFonts w:ascii="Courier New" w:cs="Courier New" w:eastAsia="Courier New" w:hAnsi="Courier New"/>
                <w:sz w:val="18"/>
                <w:szCs w:val="18"/>
                <w:color w:val="auto"/>
              </w:rPr>
              <w:t>December 31, 2004</w:t>
            </w:r>
          </w:p>
        </w:tc>
        <w:tc>
          <w:tcPr>
            <w:tcW w:w="2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SOLE DISPOSITIVE POWER</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41,062,427</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8.</w:t>
            </w:r>
          </w:p>
        </w:tc>
        <w:tc>
          <w:tcPr>
            <w:tcW w:w="2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SHARED DISPOSITIVE POWER</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23,712</w:t>
            </w: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PERSON WITH:</w:t>
            </w:r>
          </w:p>
        </w:tc>
        <w:tc>
          <w:tcPr>
            <w:tcW w:w="1040" w:type="dxa"/>
            <w:vAlign w:val="bottom"/>
            <w:vMerge w:val="continue"/>
          </w:tcPr>
          <w:p>
            <w:pPr>
              <w:spacing w:after="0"/>
              <w:rPr>
                <w:sz w:val="24"/>
                <w:szCs w:val="24"/>
                <w:color w:val="auto"/>
              </w:rPr>
            </w:pPr>
          </w:p>
        </w:tc>
        <w:tc>
          <w:tcPr>
            <w:tcW w:w="296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41,086,139</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7120" w:type="dxa"/>
            <w:vAlign w:val="bottom"/>
            <w:gridSpan w:val="5"/>
          </w:tcPr>
          <w:p>
            <w:pPr>
              <w:ind w:left="60"/>
              <w:spacing w:after="0"/>
              <w:rPr>
                <w:sz w:val="20"/>
                <w:szCs w:val="20"/>
                <w:color w:val="auto"/>
              </w:rPr>
            </w:pPr>
            <w:r>
              <w:rPr>
                <w:rFonts w:ascii="Courier New" w:cs="Courier New" w:eastAsia="Courier New" w:hAnsi="Courier New"/>
                <w:sz w:val="18"/>
                <w:szCs w:val="18"/>
                <w:color w:val="auto"/>
              </w:rPr>
              <w:t>(Not to be construed as an admission of beneficial ownership)</w:t>
            </w:r>
          </w:p>
        </w:tc>
        <w:tc>
          <w:tcPr>
            <w:tcW w:w="0" w:type="dxa"/>
            <w:vAlign w:val="bottom"/>
          </w:tcPr>
          <w:p>
            <w:pPr>
              <w:spacing w:after="0"/>
              <w:rPr>
                <w:sz w:val="1"/>
                <w:szCs w:val="1"/>
                <w:color w:val="auto"/>
              </w:rPr>
            </w:pPr>
          </w:p>
        </w:tc>
      </w:tr>
      <w:tr>
        <w:trPr>
          <w:trHeight w:val="311"/>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32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320" w:type="dxa"/>
            <w:vAlign w:val="bottom"/>
          </w:tcPr>
          <w:p>
            <w:pPr>
              <w:ind w:left="680"/>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4.8%</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627" w:right="6939" w:hanging="627"/>
        <w:spacing w:after="0" w:line="257" w:lineRule="auto"/>
        <w:tabs>
          <w:tab w:leader="none" w:pos="4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ind w:left="200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108" w:right="1440" w:bottom="1440" w:gutter="0" w:footer="0" w:header="0"/>
        </w:sectPr>
      </w:pPr>
    </w:p>
    <w:bookmarkStart w:id="2" w:name="page3"/>
    <w:bookmarkEnd w:id="2"/>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20030N200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12 Pages</w:t>
      </w:r>
    </w:p>
    <w:p>
      <w:pPr>
        <w:sectPr>
          <w:pgSz w:w="11900" w:h="16838" w:orient="portrait"/>
          <w:cols w:equalWidth="0" w:num="1">
            <w:col w:w="10219"/>
          </w:cols>
          <w:pgMar w:left="240" w:top="691"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Assurances Vie Mutuelle</w:t>
      </w:r>
    </w:p>
    <w:p>
      <w:pPr>
        <w:spacing w:after="0" w:line="200"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96"/>
        </w:trPr>
        <w:tc>
          <w:tcPr>
            <w:tcW w:w="2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43"/>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96"/>
        </w:trPr>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23,023,658</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w:t>
            </w:r>
          </w:p>
        </w:tc>
        <w:tc>
          <w:tcPr>
            <w:tcW w:w="2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SHARED VOTING POWER</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7,515,329</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29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2004</w:t>
            </w: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w:t>
            </w:r>
          </w:p>
        </w:tc>
        <w:tc>
          <w:tcPr>
            <w:tcW w:w="2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SOLE DISPOSITIVE POWER</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41,062,427</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29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8.</w:t>
            </w:r>
          </w:p>
        </w:tc>
        <w:tc>
          <w:tcPr>
            <w:tcW w:w="2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SHARED DISPOSITIVE POWER</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23,712</w:t>
            </w: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296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41,086,139</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7120" w:type="dxa"/>
            <w:vAlign w:val="bottom"/>
            <w:gridSpan w:val="6"/>
          </w:tcPr>
          <w:p>
            <w:pPr>
              <w:ind w:left="60"/>
              <w:spacing w:after="0"/>
              <w:rPr>
                <w:sz w:val="20"/>
                <w:szCs w:val="20"/>
                <w:color w:val="auto"/>
              </w:rPr>
            </w:pPr>
            <w:r>
              <w:rPr>
                <w:rFonts w:ascii="Courier New" w:cs="Courier New" w:eastAsia="Courier New" w:hAnsi="Courier New"/>
                <w:sz w:val="18"/>
                <w:szCs w:val="18"/>
                <w:color w:val="auto"/>
              </w:rPr>
              <w:t>(Not to be construed as an admission of beneficial ownership)</w:t>
            </w:r>
          </w:p>
        </w:tc>
        <w:tc>
          <w:tcPr>
            <w:tcW w:w="0" w:type="dxa"/>
            <w:vAlign w:val="bottom"/>
          </w:tcPr>
          <w:p>
            <w:pPr>
              <w:spacing w:after="0"/>
              <w:rPr>
                <w:sz w:val="1"/>
                <w:szCs w:val="1"/>
                <w:color w:val="auto"/>
              </w:rPr>
            </w:pPr>
          </w:p>
        </w:tc>
      </w:tr>
      <w:tr>
        <w:trPr>
          <w:trHeight w:val="311"/>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3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320" w:type="dxa"/>
            <w:vAlign w:val="bottom"/>
          </w:tcPr>
          <w:p>
            <w:pPr>
              <w:ind w:left="580"/>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4.8%</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740" w:right="6939" w:hanging="627"/>
        <w:spacing w:after="0" w:line="257" w:lineRule="auto"/>
        <w:tabs>
          <w:tab w:leader="none" w:pos="52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691" w:right="1440" w:bottom="1440" w:gutter="0" w:footer="0" w:header="0"/>
          <w:type w:val="continuous"/>
        </w:sectPr>
      </w:pPr>
    </w:p>
    <w:bookmarkStart w:id="3" w:name="page4"/>
    <w:bookmarkEnd w:id="3"/>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20030N200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12 Pages</w:t>
      </w:r>
    </w:p>
    <w:p>
      <w:pPr>
        <w:sectPr>
          <w:pgSz w:w="11900" w:h="16838" w:orient="portrait"/>
          <w:cols w:equalWidth="0" w:num="1">
            <w:col w:w="10219"/>
          </w:cols>
          <w:pgMar w:left="240" w:top="488"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Courtage Assurance Mutuelle</w:t>
      </w:r>
    </w:p>
    <w:p>
      <w:pPr>
        <w:spacing w:after="0" w:line="200"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96"/>
        </w:trPr>
        <w:tc>
          <w:tcPr>
            <w:tcW w:w="2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546"/>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96"/>
        </w:trPr>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23,023,658</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w:t>
            </w:r>
          </w:p>
        </w:tc>
        <w:tc>
          <w:tcPr>
            <w:tcW w:w="2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SHARED VOTING POWER</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7,515,329</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29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2004</w:t>
            </w: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w:t>
            </w:r>
          </w:p>
        </w:tc>
        <w:tc>
          <w:tcPr>
            <w:tcW w:w="2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SOLE DISPOSITIVE POWER</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41,062,427</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29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8.</w:t>
            </w:r>
          </w:p>
        </w:tc>
        <w:tc>
          <w:tcPr>
            <w:tcW w:w="2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SHARED DISPOSITIVE POWER</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23,712</w:t>
            </w: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296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41,086,139</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7120" w:type="dxa"/>
            <w:vAlign w:val="bottom"/>
            <w:gridSpan w:val="6"/>
          </w:tcPr>
          <w:p>
            <w:pPr>
              <w:ind w:left="60"/>
              <w:spacing w:after="0"/>
              <w:rPr>
                <w:sz w:val="20"/>
                <w:szCs w:val="20"/>
                <w:color w:val="auto"/>
              </w:rPr>
            </w:pPr>
            <w:r>
              <w:rPr>
                <w:rFonts w:ascii="Courier New" w:cs="Courier New" w:eastAsia="Courier New" w:hAnsi="Courier New"/>
                <w:sz w:val="18"/>
                <w:szCs w:val="18"/>
                <w:color w:val="auto"/>
              </w:rPr>
              <w:t>(Not to be construed as an admission of beneficial ownership)</w:t>
            </w:r>
          </w:p>
        </w:tc>
        <w:tc>
          <w:tcPr>
            <w:tcW w:w="0" w:type="dxa"/>
            <w:vAlign w:val="bottom"/>
          </w:tcPr>
          <w:p>
            <w:pPr>
              <w:spacing w:after="0"/>
              <w:rPr>
                <w:sz w:val="1"/>
                <w:szCs w:val="1"/>
                <w:color w:val="auto"/>
              </w:rPr>
            </w:pPr>
          </w:p>
        </w:tc>
      </w:tr>
      <w:tr>
        <w:trPr>
          <w:trHeight w:val="311"/>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3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320" w:type="dxa"/>
            <w:vAlign w:val="bottom"/>
          </w:tcPr>
          <w:p>
            <w:pPr>
              <w:ind w:left="580"/>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4.8%</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740" w:right="6939" w:hanging="627"/>
        <w:spacing w:after="0" w:line="347" w:lineRule="auto"/>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8"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488" w:right="1440" w:bottom="1440" w:gutter="0" w:footer="0" w:header="0"/>
          <w:type w:val="continuous"/>
        </w:sectPr>
      </w:pPr>
    </w:p>
    <w:bookmarkStart w:id="4" w:name="page5"/>
    <w:bookmarkEnd w:id="4"/>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20030N200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12 Pages</w:t>
      </w:r>
    </w:p>
    <w:p>
      <w:pPr>
        <w:sectPr>
          <w:pgSz w:w="11900" w:h="16838" w:orient="portrait"/>
          <w:cols w:equalWidth="0" w:num="1">
            <w:col w:w="10219"/>
          </w:cols>
          <w:pgMar w:left="240" w:top="488"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tbl>
      <w:tblPr>
        <w:tblLayout w:type="fixed"/>
        <w:tblInd w:w="220" w:type="dxa"/>
        <w:tblCellMar>
          <w:top w:w="0" w:type="dxa"/>
          <w:left w:w="0" w:type="dxa"/>
          <w:bottom w:w="0" w:type="dxa"/>
          <w:right w:w="0" w:type="dxa"/>
        </w:tblCellMar>
      </w:tblPr>
      <w:tr>
        <w:trPr>
          <w:trHeight w:val="296"/>
        </w:trPr>
        <w:tc>
          <w:tcPr>
            <w:tcW w:w="260" w:type="dxa"/>
            <w:vAlign w:val="bottom"/>
          </w:tcPr>
          <w:p>
            <w:pPr>
              <w:spacing w:after="0"/>
              <w:rPr>
                <w:sz w:val="24"/>
                <w:szCs w:val="24"/>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11"/>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96"/>
        </w:trPr>
        <w:tc>
          <w:tcPr>
            <w:tcW w:w="2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546"/>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96"/>
        </w:trPr>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23,023,658</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w:t>
            </w:r>
          </w:p>
        </w:tc>
        <w:tc>
          <w:tcPr>
            <w:tcW w:w="2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SHARED VOTING POWER</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7,515,329</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29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2004</w:t>
            </w: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w:t>
            </w:r>
          </w:p>
        </w:tc>
        <w:tc>
          <w:tcPr>
            <w:tcW w:w="2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SOLE DISPOSITIVE POWER</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41,062,427</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29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8.</w:t>
            </w:r>
          </w:p>
        </w:tc>
        <w:tc>
          <w:tcPr>
            <w:tcW w:w="2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SHARED DISPOSITIVE POWER</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23,712</w:t>
            </w: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296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41,086,139</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7120" w:type="dxa"/>
            <w:vAlign w:val="bottom"/>
            <w:gridSpan w:val="6"/>
          </w:tcPr>
          <w:p>
            <w:pPr>
              <w:ind w:left="60"/>
              <w:spacing w:after="0"/>
              <w:rPr>
                <w:sz w:val="20"/>
                <w:szCs w:val="20"/>
                <w:color w:val="auto"/>
              </w:rPr>
            </w:pPr>
            <w:r>
              <w:rPr>
                <w:rFonts w:ascii="Courier New" w:cs="Courier New" w:eastAsia="Courier New" w:hAnsi="Courier New"/>
                <w:sz w:val="18"/>
                <w:szCs w:val="18"/>
                <w:color w:val="auto"/>
              </w:rPr>
              <w:t>(Not to be construed as an admission of beneficial ownership)</w:t>
            </w:r>
          </w:p>
        </w:tc>
        <w:tc>
          <w:tcPr>
            <w:tcW w:w="0" w:type="dxa"/>
            <w:vAlign w:val="bottom"/>
          </w:tcPr>
          <w:p>
            <w:pPr>
              <w:spacing w:after="0"/>
              <w:rPr>
                <w:sz w:val="1"/>
                <w:szCs w:val="1"/>
                <w:color w:val="auto"/>
              </w:rPr>
            </w:pPr>
          </w:p>
        </w:tc>
      </w:tr>
      <w:tr>
        <w:trPr>
          <w:trHeight w:val="311"/>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3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320" w:type="dxa"/>
            <w:vAlign w:val="bottom"/>
          </w:tcPr>
          <w:p>
            <w:pPr>
              <w:ind w:left="580"/>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4.8%</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740" w:right="6939" w:hanging="627"/>
        <w:spacing w:after="0" w:line="347" w:lineRule="auto"/>
        <w:tabs>
          <w:tab w:leader="none" w:pos="52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8"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488" w:right="1440" w:bottom="1440" w:gutter="0" w:footer="0" w:header="0"/>
          <w:type w:val="continuous"/>
        </w:sectPr>
      </w:pPr>
    </w:p>
    <w:bookmarkStart w:id="5" w:name="page6"/>
    <w:bookmarkEnd w:id="5"/>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20030N200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12 Pages</w:t>
      </w:r>
    </w:p>
    <w:p>
      <w:pPr>
        <w:sectPr>
          <w:pgSz w:w="11900" w:h="16838" w:orient="portrait"/>
          <w:cols w:equalWidth="0" w:num="1">
            <w:col w:w="10219"/>
          </w:cols>
          <w:pgMar w:left="240" w:top="691"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p>
      <w:pPr>
        <w:ind w:left="860"/>
        <w:spacing w:after="0"/>
        <w:tabs>
          <w:tab w:leader="none" w:pos="3460" w:val="left"/>
        </w:tabs>
        <w:rPr>
          <w:sz w:val="20"/>
          <w:szCs w:val="20"/>
          <w:color w:val="auto"/>
        </w:rPr>
      </w:pPr>
      <w:r>
        <w:rPr>
          <w:rFonts w:ascii="Courier New" w:cs="Courier New" w:eastAsia="Courier New" w:hAnsi="Courier New"/>
          <w:sz w:val="18"/>
          <w:szCs w:val="18"/>
          <w:color w:val="auto"/>
        </w:rPr>
        <w:t>AXA Financial, Inc.</w:t>
      </w:r>
      <w:r>
        <w:rPr>
          <w:sz w:val="20"/>
          <w:szCs w:val="20"/>
          <w:color w:val="auto"/>
        </w:rPr>
        <w:tab/>
      </w:r>
      <w:r>
        <w:rPr>
          <w:rFonts w:ascii="Courier New" w:cs="Courier New" w:eastAsia="Courier New" w:hAnsi="Courier New"/>
          <w:sz w:val="16"/>
          <w:szCs w:val="16"/>
          <w:color w:val="auto"/>
        </w:rPr>
        <w:t>13-3623351</w:t>
      </w:r>
    </w:p>
    <w:p>
      <w:pPr>
        <w:spacing w:after="0" w:line="201" w:lineRule="exact"/>
        <w:rPr>
          <w:sz w:val="20"/>
          <w:szCs w:val="20"/>
          <w:color w:val="auto"/>
        </w:rPr>
      </w:pPr>
    </w:p>
    <w:p>
      <w:pPr>
        <w:ind w:left="220"/>
        <w:spacing w:after="0"/>
        <w:tabs>
          <w:tab w:leader="none" w:pos="6720" w:val="left"/>
        </w:tabs>
        <w:rPr>
          <w:sz w:val="20"/>
          <w:szCs w:val="20"/>
          <w:color w:val="auto"/>
        </w:rPr>
      </w:pPr>
      <w:r>
        <w:rPr>
          <w:rFonts w:ascii="Courier New" w:cs="Courier New" w:eastAsia="Courier New" w:hAnsi="Courier New"/>
          <w:sz w:val="18"/>
          <w:szCs w:val="18"/>
          <w:color w:val="auto"/>
        </w:rPr>
        <w:t>2. CHECK THE APPROPRIATE BOX IF A MEMBER OF A GROUP *</w:t>
      </w:r>
      <w:r>
        <w:rPr>
          <w:sz w:val="20"/>
          <w:szCs w:val="20"/>
          <w:color w:val="auto"/>
        </w:rPr>
        <w:tab/>
      </w:r>
      <w:r>
        <w:rPr>
          <w:rFonts w:ascii="Courier New" w:cs="Courier New" w:eastAsia="Courier New" w:hAnsi="Courier New"/>
          <w:sz w:val="16"/>
          <w:szCs w:val="16"/>
          <w:color w:val="auto"/>
        </w:rPr>
        <w:t>(A) [ ]</w:t>
      </w:r>
    </w:p>
    <w:p>
      <w:pPr>
        <w:spacing w:after="0" w:line="31" w:lineRule="exact"/>
        <w:rPr>
          <w:sz w:val="20"/>
          <w:szCs w:val="20"/>
          <w:color w:val="auto"/>
        </w:rPr>
      </w:pPr>
    </w:p>
    <w:p>
      <w:pPr>
        <w:ind w:left="6740"/>
        <w:spacing w:after="0"/>
        <w:rPr>
          <w:sz w:val="20"/>
          <w:szCs w:val="20"/>
          <w:color w:val="auto"/>
        </w:rPr>
      </w:pPr>
      <w:r>
        <w:rPr>
          <w:rFonts w:ascii="Courier New" w:cs="Courier New" w:eastAsia="Courier New" w:hAnsi="Courier New"/>
          <w:sz w:val="18"/>
          <w:szCs w:val="18"/>
          <w:color w:val="auto"/>
        </w:rPr>
        <w:t>(B) [ ]</w:t>
      </w:r>
    </w:p>
    <w:p>
      <w:pPr>
        <w:spacing w:after="0" w:line="169" w:lineRule="exact"/>
        <w:rPr>
          <w:sz w:val="20"/>
          <w:szCs w:val="20"/>
          <w:color w:val="auto"/>
        </w:rPr>
      </w:pPr>
    </w:p>
    <w:p>
      <w:pPr>
        <w:ind w:left="540" w:hanging="321"/>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740" w:right="5899" w:hanging="521"/>
        <w:spacing w:after="0" w:line="347" w:lineRule="auto"/>
        <w:tabs>
          <w:tab w:leader="none" w:pos="52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17"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2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23,006,182</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w:t>
            </w:r>
          </w:p>
        </w:tc>
        <w:tc>
          <w:tcPr>
            <w:tcW w:w="2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SHARED VOTING POWER</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7,512,115</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29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December 31, 2004</w:t>
            </w: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w:t>
            </w:r>
          </w:p>
        </w:tc>
        <w:tc>
          <w:tcPr>
            <w:tcW w:w="2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SOLE DISPOSITIVE POWER</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41,041,737</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5"/>
              </w:rPr>
              <w:t>BY EACH</w:t>
            </w:r>
          </w:p>
        </w:tc>
        <w:tc>
          <w:tcPr>
            <w:tcW w:w="4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29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460" w:type="dxa"/>
            <w:vAlign w:val="bottom"/>
          </w:tcPr>
          <w:p>
            <w:pPr>
              <w:spacing w:after="0"/>
              <w:rPr>
                <w:sz w:val="17"/>
                <w:szCs w:val="17"/>
                <w:color w:val="auto"/>
              </w:rPr>
            </w:pP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8.</w:t>
            </w:r>
          </w:p>
        </w:tc>
        <w:tc>
          <w:tcPr>
            <w:tcW w:w="2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SHARED DISPOSITIVE POWER</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23,712</w:t>
            </w: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296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AGGREGATE 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41,065,449</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REPORTING 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7120" w:type="dxa"/>
            <w:vAlign w:val="bottom"/>
            <w:gridSpan w:val="5"/>
          </w:tcPr>
          <w:p>
            <w:pPr>
              <w:ind w:left="60"/>
              <w:spacing w:after="0"/>
              <w:rPr>
                <w:sz w:val="20"/>
                <w:szCs w:val="20"/>
                <w:color w:val="auto"/>
              </w:rPr>
            </w:pPr>
            <w:r>
              <w:rPr>
                <w:rFonts w:ascii="Courier New" w:cs="Courier New" w:eastAsia="Courier New" w:hAnsi="Courier New"/>
                <w:sz w:val="18"/>
                <w:szCs w:val="18"/>
                <w:color w:val="auto"/>
              </w:rPr>
              <w:t>(Not to be construed as an admission of beneficial ownership)</w:t>
            </w:r>
          </w:p>
        </w:tc>
        <w:tc>
          <w:tcPr>
            <w:tcW w:w="0" w:type="dxa"/>
            <w:vAlign w:val="bottom"/>
          </w:tcPr>
          <w:p>
            <w:pPr>
              <w:spacing w:after="0"/>
              <w:rPr>
                <w:sz w:val="1"/>
                <w:szCs w:val="1"/>
                <w:color w:val="auto"/>
              </w:rPr>
            </w:pPr>
          </w:p>
        </w:tc>
      </w:tr>
      <w:tr>
        <w:trPr>
          <w:trHeight w:val="311"/>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CHECK BOX IF THE</w:t>
            </w:r>
          </w:p>
        </w:tc>
        <w:tc>
          <w:tcPr>
            <w:tcW w:w="53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rPr>
              <w:t>SHARES *</w:t>
            </w: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320" w:type="dxa"/>
            <w:vAlign w:val="bottom"/>
          </w:tcPr>
          <w:p>
            <w:pPr>
              <w:ind w:left="580"/>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4.8%</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740" w:right="6939" w:hanging="627"/>
        <w:spacing w:after="0" w:line="347" w:lineRule="auto"/>
        <w:tabs>
          <w:tab w:leader="none" w:pos="52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HC</w:t>
      </w:r>
    </w:p>
    <w:p>
      <w:pPr>
        <w:spacing w:after="0" w:line="18"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691" w:right="1440" w:bottom="1440" w:gutter="0" w:footer="0" w:header="0"/>
          <w:type w:val="continuous"/>
        </w:sectPr>
      </w:pPr>
    </w:p>
    <w:bookmarkStart w:id="6" w:name="page7"/>
    <w:bookmarkEnd w:id="6"/>
    <w:p>
      <w:pPr>
        <w:jc w:val="both"/>
        <w:ind w:left="3700"/>
        <w:spacing w:after="0"/>
        <w:tabs>
          <w:tab w:leader="none" w:pos="6200" w:val="left"/>
        </w:tabs>
        <w:rPr>
          <w:sz w:val="20"/>
          <w:szCs w:val="20"/>
          <w:color w:val="auto"/>
        </w:rPr>
      </w:pP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7 of 12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COMCAST CORP NEW</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1500 Market Street</w:t>
      </w:r>
    </w:p>
    <w:p>
      <w:pPr>
        <w:ind w:left="1060"/>
        <w:spacing w:after="0"/>
        <w:tabs>
          <w:tab w:leader="none" w:pos="2620" w:val="left"/>
        </w:tabs>
        <w:rPr>
          <w:sz w:val="20"/>
          <w:szCs w:val="20"/>
          <w:color w:val="auto"/>
        </w:rPr>
      </w:pPr>
      <w:r>
        <w:rPr>
          <w:rFonts w:ascii="Courier New" w:cs="Courier New" w:eastAsia="Courier New" w:hAnsi="Courier New"/>
          <w:sz w:val="18"/>
          <w:szCs w:val="18"/>
          <w:color w:val="auto"/>
        </w:rPr>
        <w:t>Philadelphia,</w:t>
        <w:tab/>
        <w:t>PA 19102</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2(a) and</w:t>
            </w:r>
          </w:p>
        </w:tc>
        <w:tc>
          <w:tcPr>
            <w:tcW w:w="1140" w:type="dxa"/>
            <w:vAlign w:val="bottom"/>
          </w:tcPr>
          <w:p>
            <w:pPr>
              <w:ind w:left="40"/>
              <w:spacing w:after="0"/>
              <w:rPr>
                <w:sz w:val="20"/>
                <w:szCs w:val="20"/>
                <w:color w:val="auto"/>
              </w:rPr>
            </w:pPr>
            <w:r>
              <w:rPr>
                <w:rFonts w:ascii="Courier New" w:cs="Courier New" w:eastAsia="Courier New" w:hAnsi="Courier New"/>
                <w:sz w:val="18"/>
                <w:szCs w:val="18"/>
                <w:color w:val="auto"/>
              </w:rPr>
              <w:t>(b)</w:t>
            </w:r>
          </w:p>
        </w:tc>
        <w:tc>
          <w:tcPr>
            <w:tcW w:w="512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7"/>
              </w:rPr>
              <w:t>Filing and Address of Principal Business Office:</w:t>
            </w:r>
          </w:p>
        </w:tc>
        <w:tc>
          <w:tcPr>
            <w:tcW w:w="0" w:type="dxa"/>
            <w:vAlign w:val="bottom"/>
          </w:tcPr>
          <w:p>
            <w:pPr>
              <w:spacing w:after="0"/>
              <w:rPr>
                <w:sz w:val="1"/>
                <w:szCs w:val="1"/>
                <w:color w:val="auto"/>
              </w:rPr>
            </w:pPr>
          </w:p>
        </w:tc>
      </w:tr>
      <w:tr>
        <w:trPr>
          <w:trHeight w:val="296"/>
        </w:trPr>
        <w:tc>
          <w:tcPr>
            <w:tcW w:w="2580" w:type="dxa"/>
            <w:vAlign w:val="bottom"/>
            <w:gridSpan w:val="2"/>
          </w:tcPr>
          <w:p>
            <w:pPr>
              <w:ind w:left="1060"/>
              <w:spacing w:after="0"/>
              <w:rPr>
                <w:sz w:val="20"/>
                <w:szCs w:val="20"/>
                <w:color w:val="auto"/>
              </w:rPr>
            </w:pPr>
            <w:r>
              <w:rPr>
                <w:rFonts w:ascii="Courier New" w:cs="Courier New" w:eastAsia="Courier New" w:hAnsi="Courier New"/>
                <w:sz w:val="18"/>
                <w:szCs w:val="18"/>
                <w:color w:val="auto"/>
                <w:w w:val="99"/>
              </w:rPr>
              <w:t>Name of Person</w:t>
            </w:r>
          </w:p>
        </w:tc>
        <w:tc>
          <w:tcPr>
            <w:tcW w:w="5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440" w:type="dxa"/>
            <w:vAlign w:val="bottom"/>
          </w:tcPr>
          <w:p>
            <w:pPr>
              <w:ind w:left="1060"/>
              <w:spacing w:after="0"/>
              <w:rPr>
                <w:sz w:val="20"/>
                <w:szCs w:val="20"/>
                <w:color w:val="auto"/>
              </w:rPr>
            </w:pPr>
            <w:r>
              <w:rPr>
                <w:rFonts w:ascii="Courier New" w:cs="Courier New" w:eastAsia="Courier New" w:hAnsi="Courier New"/>
                <w:sz w:val="18"/>
                <w:szCs w:val="18"/>
                <w:color w:val="auto"/>
              </w:rPr>
              <w:t>AXA</w:t>
            </w:r>
          </w:p>
        </w:tc>
        <w:tc>
          <w:tcPr>
            <w:tcW w:w="1140" w:type="dxa"/>
            <w:vAlign w:val="bottom"/>
          </w:tcPr>
          <w:p>
            <w:pPr>
              <w:ind w:left="40"/>
              <w:spacing w:after="0"/>
              <w:rPr>
                <w:sz w:val="20"/>
                <w:szCs w:val="20"/>
                <w:color w:val="auto"/>
              </w:rPr>
            </w:pPr>
            <w:r>
              <w:rPr>
                <w:rFonts w:ascii="Courier New" w:cs="Courier New" w:eastAsia="Courier New" w:hAnsi="Courier New"/>
                <w:sz w:val="18"/>
                <w:szCs w:val="18"/>
                <w:color w:val="auto"/>
                <w:w w:val="99"/>
              </w:rPr>
              <w:t>Assurances</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rPr>
              <w:t>I.A.R.D Mutuelle, and</w:t>
            </w:r>
          </w:p>
        </w:tc>
        <w:tc>
          <w:tcPr>
            <w:tcW w:w="0" w:type="dxa"/>
            <w:vAlign w:val="bottom"/>
          </w:tcPr>
          <w:p>
            <w:pPr>
              <w:spacing w:after="0"/>
              <w:rPr>
                <w:sz w:val="1"/>
                <w:szCs w:val="1"/>
                <w:color w:val="auto"/>
              </w:rPr>
            </w:pPr>
          </w:p>
        </w:tc>
      </w:tr>
      <w:tr>
        <w:trPr>
          <w:trHeight w:val="203"/>
        </w:trPr>
        <w:tc>
          <w:tcPr>
            <w:tcW w:w="1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AXA</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Assurances</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Vie Mutuelle,</w:t>
            </w:r>
          </w:p>
        </w:tc>
        <w:tc>
          <w:tcPr>
            <w:tcW w:w="0" w:type="dxa"/>
            <w:vAlign w:val="bottom"/>
          </w:tcPr>
          <w:p>
            <w:pPr>
              <w:spacing w:after="0"/>
              <w:rPr>
                <w:sz w:val="1"/>
                <w:szCs w:val="1"/>
                <w:color w:val="auto"/>
              </w:rPr>
            </w:pPr>
          </w:p>
        </w:tc>
      </w:tr>
      <w:tr>
        <w:trPr>
          <w:trHeight w:val="203"/>
        </w:trPr>
        <w:tc>
          <w:tcPr>
            <w:tcW w:w="1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26,</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rue Drouot</w:t>
            </w:r>
          </w:p>
        </w:tc>
        <w:tc>
          <w:tcPr>
            <w:tcW w:w="5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7700" w:type="dxa"/>
            <w:vAlign w:val="bottom"/>
            <w:gridSpan w:val="3"/>
          </w:tcPr>
          <w:p>
            <w:pPr>
              <w:ind w:left="1060"/>
              <w:spacing w:after="0"/>
              <w:rPr>
                <w:sz w:val="20"/>
                <w:szCs w:val="20"/>
                <w:color w:val="auto"/>
              </w:rPr>
            </w:pPr>
            <w:r>
              <w:rPr>
                <w:rFonts w:ascii="Courier New" w:cs="Courier New" w:eastAsia="Courier New" w:hAnsi="Courier New"/>
                <w:sz w:val="18"/>
                <w:szCs w:val="18"/>
                <w:color w:val="auto"/>
              </w:rPr>
              <w:t>75009 Paris, France</w:t>
            </w:r>
          </w:p>
        </w:tc>
        <w:tc>
          <w:tcPr>
            <w:tcW w:w="0" w:type="dxa"/>
            <w:vAlign w:val="bottom"/>
          </w:tcPr>
          <w:p>
            <w:pPr>
              <w:spacing w:after="0"/>
              <w:rPr>
                <w:sz w:val="1"/>
                <w:szCs w:val="1"/>
                <w:color w:val="auto"/>
              </w:rPr>
            </w:pPr>
          </w:p>
        </w:tc>
      </w:tr>
      <w:tr>
        <w:trPr>
          <w:trHeight w:val="311"/>
        </w:trPr>
        <w:tc>
          <w:tcPr>
            <w:tcW w:w="1440" w:type="dxa"/>
            <w:vAlign w:val="bottom"/>
          </w:tcPr>
          <w:p>
            <w:pPr>
              <w:ind w:left="1060"/>
              <w:spacing w:after="0"/>
              <w:rPr>
                <w:sz w:val="20"/>
                <w:szCs w:val="20"/>
                <w:color w:val="auto"/>
              </w:rPr>
            </w:pPr>
            <w:r>
              <w:rPr>
                <w:rFonts w:ascii="Courier New" w:cs="Courier New" w:eastAsia="Courier New" w:hAnsi="Courier New"/>
                <w:sz w:val="18"/>
                <w:szCs w:val="18"/>
                <w:color w:val="auto"/>
              </w:rPr>
              <w:t>AXA</w:t>
            </w:r>
          </w:p>
        </w:tc>
        <w:tc>
          <w:tcPr>
            <w:tcW w:w="6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Courtage Assurance Mutuelle</w:t>
            </w:r>
          </w:p>
        </w:tc>
        <w:tc>
          <w:tcPr>
            <w:tcW w:w="0" w:type="dxa"/>
            <w:vAlign w:val="bottom"/>
          </w:tcPr>
          <w:p>
            <w:pPr>
              <w:spacing w:after="0"/>
              <w:rPr>
                <w:sz w:val="1"/>
                <w:szCs w:val="1"/>
                <w:color w:val="auto"/>
              </w:rPr>
            </w:pPr>
          </w:p>
        </w:tc>
      </w:tr>
      <w:tr>
        <w:trPr>
          <w:trHeight w:val="235"/>
        </w:trPr>
        <w:tc>
          <w:tcPr>
            <w:tcW w:w="1440" w:type="dxa"/>
            <w:vAlign w:val="bottom"/>
          </w:tcPr>
          <w:p>
            <w:pPr>
              <w:ind w:left="1060"/>
              <w:spacing w:after="0"/>
              <w:rPr>
                <w:sz w:val="20"/>
                <w:szCs w:val="20"/>
                <w:color w:val="auto"/>
              </w:rPr>
            </w:pPr>
            <w:r>
              <w:rPr>
                <w:rFonts w:ascii="Courier New" w:cs="Courier New" w:eastAsia="Courier New" w:hAnsi="Courier New"/>
                <w:sz w:val="18"/>
                <w:szCs w:val="18"/>
                <w:color w:val="auto"/>
              </w:rPr>
              <w:t>26,</w:t>
            </w:r>
          </w:p>
        </w:tc>
        <w:tc>
          <w:tcPr>
            <w:tcW w:w="1140" w:type="dxa"/>
            <w:vAlign w:val="bottom"/>
          </w:tcPr>
          <w:p>
            <w:pPr>
              <w:ind w:left="40"/>
              <w:spacing w:after="0"/>
              <w:rPr>
                <w:sz w:val="20"/>
                <w:szCs w:val="20"/>
                <w:color w:val="auto"/>
              </w:rPr>
            </w:pPr>
            <w:r>
              <w:rPr>
                <w:rFonts w:ascii="Courier New" w:cs="Courier New" w:eastAsia="Courier New" w:hAnsi="Courier New"/>
                <w:sz w:val="18"/>
                <w:szCs w:val="18"/>
                <w:color w:val="auto"/>
                <w:w w:val="99"/>
              </w:rPr>
              <w:t>rue Drouot</w:t>
            </w:r>
          </w:p>
        </w:tc>
        <w:tc>
          <w:tcPr>
            <w:tcW w:w="5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060"/>
        <w:spacing w:after="0"/>
        <w:rPr>
          <w:sz w:val="20"/>
          <w:szCs w:val="20"/>
          <w:color w:val="auto"/>
        </w:rPr>
      </w:pPr>
      <w:r>
        <w:rPr>
          <w:rFonts w:ascii="Courier New" w:cs="Courier New" w:eastAsia="Courier New" w:hAnsi="Courier New"/>
          <w:sz w:val="18"/>
          <w:szCs w:val="18"/>
          <w:color w:val="auto"/>
        </w:rPr>
        <w:t>75009 Paris, France</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as a group (collectively, the 'Mutuelles AXA').</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25, avenue Matignon</w:t>
      </w:r>
    </w:p>
    <w:p>
      <w:pPr>
        <w:ind w:left="1060"/>
        <w:spacing w:after="0"/>
        <w:rPr>
          <w:sz w:val="20"/>
          <w:szCs w:val="20"/>
          <w:color w:val="auto"/>
        </w:rPr>
      </w:pPr>
      <w:r>
        <w:rPr>
          <w:rFonts w:ascii="Courier New" w:cs="Courier New" w:eastAsia="Courier New" w:hAnsi="Courier New"/>
          <w:sz w:val="18"/>
          <w:szCs w:val="18"/>
          <w:color w:val="auto"/>
        </w:rPr>
        <w:t>75008 Paris, France</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Financial, Inc.</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1290 Avenue of the Americas</w:t>
      </w:r>
    </w:p>
    <w:p>
      <w:pPr>
        <w:ind w:left="1060"/>
        <w:spacing w:after="0"/>
        <w:rPr>
          <w:sz w:val="20"/>
          <w:szCs w:val="20"/>
          <w:color w:val="auto"/>
        </w:rPr>
      </w:pPr>
      <w:r>
        <w:rPr>
          <w:rFonts w:ascii="Courier New" w:cs="Courier New" w:eastAsia="Courier New" w:hAnsi="Courier New"/>
          <w:sz w:val="18"/>
          <w:szCs w:val="18"/>
          <w:color w:val="auto"/>
        </w:rPr>
        <w:t>New York, New York 10104</w:t>
      </w:r>
    </w:p>
    <w:p>
      <w:pPr>
        <w:spacing w:after="0" w:line="16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(Please contact Dean Dubovy at (212) 314-5528 with any questions.)</w:t>
      </w:r>
    </w:p>
    <w:p>
      <w:pPr>
        <w:sectPr>
          <w:pgSz w:w="11900" w:h="16838" w:orient="portrait"/>
          <w:cols w:equalWidth="0" w:num="1">
            <w:col w:w="10219"/>
          </w:cols>
          <w:pgMar w:left="240" w:top="691"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96"/>
        </w:trPr>
        <w:tc>
          <w:tcPr>
            <w:tcW w:w="3320" w:type="dxa"/>
            <w:vAlign w:val="bottom"/>
            <w:vMerge w:val="restart"/>
          </w:tcPr>
          <w:p>
            <w:pPr>
              <w:spacing w:after="0"/>
              <w:rPr>
                <w:sz w:val="20"/>
                <w:szCs w:val="20"/>
                <w:color w:val="auto"/>
              </w:rPr>
            </w:pPr>
            <w:r>
              <w:rPr>
                <w:rFonts w:ascii="Courier New" w:cs="Courier New" w:eastAsia="Courier New" w:hAnsi="Courier New"/>
                <w:sz w:val="18"/>
                <w:szCs w:val="18"/>
                <w:color w:val="auto"/>
              </w:rPr>
              <w:t>Item 2(c) Citizenship:</w:t>
            </w:r>
          </w:p>
        </w:tc>
        <w:tc>
          <w:tcPr>
            <w:tcW w:w="1900" w:type="dxa"/>
            <w:vAlign w:val="bottom"/>
          </w:tcPr>
          <w:p>
            <w:pPr>
              <w:ind w:left="380"/>
              <w:spacing w:after="0"/>
              <w:rPr>
                <w:sz w:val="20"/>
                <w:szCs w:val="20"/>
                <w:color w:val="auto"/>
              </w:rPr>
            </w:pPr>
            <w:r>
              <w:rPr>
                <w:rFonts w:ascii="Courier New" w:cs="Courier New" w:eastAsia="Courier New" w:hAnsi="Courier New"/>
                <w:sz w:val="18"/>
                <w:szCs w:val="18"/>
                <w:color w:val="auto"/>
              </w:rPr>
              <w:t>13G</w:t>
            </w:r>
          </w:p>
        </w:tc>
        <w:tc>
          <w:tcPr>
            <w:tcW w:w="2900" w:type="dxa"/>
            <w:vAlign w:val="bottom"/>
          </w:tcPr>
          <w:p>
            <w:pPr>
              <w:ind w:left="1000"/>
              <w:spacing w:after="0"/>
              <w:rPr>
                <w:sz w:val="20"/>
                <w:szCs w:val="20"/>
                <w:color w:val="auto"/>
              </w:rPr>
            </w:pPr>
            <w:r>
              <w:rPr>
                <w:rFonts w:ascii="Courier New" w:cs="Courier New" w:eastAsia="Courier New" w:hAnsi="Courier New"/>
                <w:sz w:val="18"/>
                <w:szCs w:val="18"/>
                <w:color w:val="auto"/>
                <w:w w:val="96"/>
              </w:rPr>
              <w:t>Page 8 of 12 Pages</w:t>
            </w:r>
          </w:p>
        </w:tc>
        <w:tc>
          <w:tcPr>
            <w:tcW w:w="0" w:type="dxa"/>
            <w:vAlign w:val="bottom"/>
          </w:tcPr>
          <w:p>
            <w:pPr>
              <w:spacing w:after="0"/>
              <w:rPr>
                <w:sz w:val="1"/>
                <w:szCs w:val="1"/>
                <w:color w:val="auto"/>
              </w:rPr>
            </w:pPr>
          </w:p>
        </w:tc>
      </w:tr>
      <w:tr>
        <w:trPr>
          <w:trHeight w:val="109"/>
        </w:trPr>
        <w:tc>
          <w:tcPr>
            <w:tcW w:w="3320" w:type="dxa"/>
            <w:vAlign w:val="bottom"/>
            <w:vMerge w:val="continue"/>
          </w:tcPr>
          <w:p>
            <w:pPr>
              <w:spacing w:after="0"/>
              <w:rPr>
                <w:sz w:val="9"/>
                <w:szCs w:val="9"/>
                <w:color w:val="auto"/>
              </w:rPr>
            </w:pPr>
          </w:p>
        </w:tc>
        <w:tc>
          <w:tcPr>
            <w:tcW w:w="190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 France</w:t>
            </w:r>
          </w:p>
        </w:tc>
        <w:tc>
          <w:tcPr>
            <w:tcW w:w="2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8"/>
              </w:rPr>
              <w:t>Mutuelles AXA and AXA</w:t>
            </w:r>
          </w:p>
        </w:tc>
        <w:tc>
          <w:tcPr>
            <w:tcW w:w="1900" w:type="dxa"/>
            <w:vAlign w:val="bottom"/>
            <w:vMerge w:val="continue"/>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320" w:type="dxa"/>
            <w:vAlign w:val="bottom"/>
          </w:tcPr>
          <w:p>
            <w:pPr>
              <w:ind w:left="1060"/>
              <w:spacing w:after="0"/>
              <w:rPr>
                <w:sz w:val="20"/>
                <w:szCs w:val="20"/>
                <w:color w:val="auto"/>
              </w:rPr>
            </w:pPr>
            <w:r>
              <w:rPr>
                <w:rFonts w:ascii="Courier New" w:cs="Courier New" w:eastAsia="Courier New" w:hAnsi="Courier New"/>
                <w:sz w:val="18"/>
                <w:szCs w:val="18"/>
                <w:color w:val="auto"/>
                <w:w w:val="98"/>
              </w:rPr>
              <w:t>AXA Financial, Inc. -</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rPr>
              <w:t>Delaware</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CL A SPL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20030N200</w:t>
      </w:r>
    </w:p>
    <w:p>
      <w:pPr>
        <w:spacing w:after="0" w:line="16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Reporting Person:</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Financial, Inc. as a parent holding company,</w:t>
      </w:r>
    </w:p>
    <w:p>
      <w:pPr>
        <w:ind w:left="1380"/>
        <w:spacing w:after="0"/>
        <w:rPr>
          <w:sz w:val="20"/>
          <w:szCs w:val="20"/>
          <w:color w:val="auto"/>
        </w:rPr>
      </w:pPr>
      <w:r>
        <w:rPr>
          <w:rFonts w:ascii="Courier New" w:cs="Courier New" w:eastAsia="Courier New" w:hAnsi="Courier New"/>
          <w:sz w:val="18"/>
          <w:szCs w:val="18"/>
          <w:color w:val="auto"/>
        </w:rPr>
        <w:t>in accordance with 240.13d-1(b)(ii)(G).</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The Mutuelles AXA, as a group, acting as a parent holding company.</w:t>
      </w:r>
    </w:p>
    <w:p>
      <w:pPr>
        <w:spacing w:after="0" w:line="22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as a parent holding company.</w:t>
      </w:r>
    </w:p>
    <w:p>
      <w:pPr>
        <w:sectPr>
          <w:pgSz w:w="11900" w:h="16838" w:orient="portrait"/>
          <w:cols w:equalWidth="0" w:num="1">
            <w:col w:w="10219"/>
          </w:cols>
          <w:pgMar w:left="240" w:top="691"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96"/>
        </w:trPr>
        <w:tc>
          <w:tcPr>
            <w:tcW w:w="2580" w:type="dxa"/>
            <w:vAlign w:val="bottom"/>
          </w:tcPr>
          <w:p>
            <w:pPr>
              <w:spacing w:after="0"/>
              <w:rPr>
                <w:sz w:val="24"/>
                <w:szCs w:val="24"/>
                <w:color w:val="auto"/>
              </w:rPr>
            </w:pPr>
          </w:p>
        </w:tc>
        <w:tc>
          <w:tcPr>
            <w:tcW w:w="2320" w:type="dxa"/>
            <w:vAlign w:val="bottom"/>
          </w:tcPr>
          <w:p>
            <w:pPr>
              <w:jc w:val="right"/>
              <w:ind w:right="792"/>
              <w:spacing w:after="0"/>
              <w:rPr>
                <w:sz w:val="20"/>
                <w:szCs w:val="20"/>
                <w:color w:val="auto"/>
              </w:rPr>
            </w:pPr>
            <w:r>
              <w:rPr>
                <w:rFonts w:ascii="Courier New" w:cs="Courier New" w:eastAsia="Courier New" w:hAnsi="Courier New"/>
                <w:sz w:val="18"/>
                <w:szCs w:val="18"/>
                <w:color w:val="auto"/>
              </w:rPr>
              <w:t>13G</w:t>
            </w:r>
          </w:p>
        </w:tc>
        <w:tc>
          <w:tcPr>
            <w:tcW w:w="3220" w:type="dxa"/>
            <w:vAlign w:val="bottom"/>
          </w:tcPr>
          <w:p>
            <w:pPr>
              <w:jc w:val="right"/>
              <w:spacing w:after="0"/>
              <w:rPr>
                <w:sz w:val="20"/>
                <w:szCs w:val="20"/>
                <w:color w:val="auto"/>
              </w:rPr>
            </w:pPr>
            <w:r>
              <w:rPr>
                <w:rFonts w:ascii="Courier New" w:cs="Courier New" w:eastAsia="Courier New" w:hAnsi="Courier New"/>
                <w:sz w:val="18"/>
                <w:szCs w:val="18"/>
                <w:color w:val="auto"/>
              </w:rPr>
              <w:t>Page 9 of 12 Pages</w:t>
            </w:r>
          </w:p>
        </w:tc>
        <w:tc>
          <w:tcPr>
            <w:tcW w:w="0" w:type="dxa"/>
            <w:vAlign w:val="bottom"/>
          </w:tcPr>
          <w:p>
            <w:pPr>
              <w:spacing w:after="0"/>
              <w:rPr>
                <w:sz w:val="1"/>
                <w:szCs w:val="1"/>
                <w:color w:val="auto"/>
              </w:rPr>
            </w:pPr>
          </w:p>
        </w:tc>
      </w:tr>
      <w:tr>
        <w:trPr>
          <w:trHeight w:val="514"/>
        </w:trPr>
        <w:tc>
          <w:tcPr>
            <w:tcW w:w="2580" w:type="dxa"/>
            <w:vAlign w:val="bottom"/>
          </w:tcPr>
          <w:p>
            <w:pPr>
              <w:spacing w:after="0"/>
              <w:rPr>
                <w:sz w:val="20"/>
                <w:szCs w:val="20"/>
                <w:color w:val="auto"/>
              </w:rPr>
            </w:pPr>
            <w:r>
              <w:rPr>
                <w:rFonts w:ascii="Courier New" w:cs="Courier New" w:eastAsia="Courier New" w:hAnsi="Courier New"/>
                <w:sz w:val="18"/>
                <w:szCs w:val="18"/>
                <w:color w:val="auto"/>
              </w:rPr>
              <w:t>Item 4. Ownership as of</w:t>
            </w:r>
          </w:p>
        </w:tc>
        <w:tc>
          <w:tcPr>
            <w:tcW w:w="23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December 31, 2004</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00" w:type="dxa"/>
            <w:vAlign w:val="bottom"/>
            <w:gridSpan w:val="2"/>
          </w:tcPr>
          <w:p>
            <w:pPr>
              <w:jc w:val="right"/>
              <w:ind w:right="792"/>
              <w:spacing w:after="0" w:line="203" w:lineRule="exact"/>
              <w:rPr>
                <w:sz w:val="20"/>
                <w:szCs w:val="20"/>
                <w:color w:val="auto"/>
              </w:rPr>
            </w:pPr>
            <w:r>
              <w:rPr>
                <w:rFonts w:ascii="Courier New" w:cs="Courier New" w:eastAsia="Courier New" w:hAnsi="Courier New"/>
                <w:sz w:val="18"/>
                <w:szCs w:val="18"/>
                <w:color w:val="auto"/>
              </w:rPr>
              <w:t>(a) Amount Beneficially Owned:</w:t>
            </w: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8120" w:type="dxa"/>
            <w:vAlign w:val="bottom"/>
            <w:gridSpan w:val="3"/>
          </w:tcPr>
          <w:p>
            <w:pPr>
              <w:spacing w:after="0"/>
              <w:rPr>
                <w:sz w:val="20"/>
                <w:szCs w:val="20"/>
                <w:color w:val="auto"/>
              </w:rPr>
            </w:pPr>
            <w:r>
              <w:rPr>
                <w:rFonts w:ascii="Courier New" w:cs="Courier New" w:eastAsia="Courier New" w:hAnsi="Courier New"/>
                <w:sz w:val="18"/>
                <w:szCs w:val="18"/>
                <w:color w:val="auto"/>
              </w:rPr>
              <w:t>41,086,139   shares of common stock beneficially owned including:</w:t>
            </w:r>
          </w:p>
        </w:tc>
        <w:tc>
          <w:tcPr>
            <w:tcW w:w="0" w:type="dxa"/>
            <w:vAlign w:val="bottom"/>
          </w:tcPr>
          <w:p>
            <w:pPr>
              <w:spacing w:after="0"/>
              <w:rPr>
                <w:sz w:val="1"/>
                <w:szCs w:val="1"/>
                <w:color w:val="auto"/>
              </w:rPr>
            </w:pPr>
          </w:p>
        </w:tc>
      </w:tr>
      <w:tr>
        <w:trPr>
          <w:trHeight w:val="608"/>
        </w:trPr>
        <w:tc>
          <w:tcPr>
            <w:tcW w:w="25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No. of Shares</w:t>
            </w:r>
          </w:p>
        </w:tc>
        <w:tc>
          <w:tcPr>
            <w:tcW w:w="0" w:type="dxa"/>
            <w:vAlign w:val="bottom"/>
          </w:tcPr>
          <w:p>
            <w:pPr>
              <w:spacing w:after="0"/>
              <w:rPr>
                <w:sz w:val="1"/>
                <w:szCs w:val="1"/>
                <w:color w:val="auto"/>
              </w:rPr>
            </w:pPr>
          </w:p>
        </w:tc>
      </w:tr>
      <w:tr>
        <w:trPr>
          <w:trHeight w:val="405"/>
        </w:trPr>
        <w:tc>
          <w:tcPr>
            <w:tcW w:w="25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220" w:type="dxa"/>
            <w:vAlign w:val="bottom"/>
          </w:tcPr>
          <w:p>
            <w:pPr>
              <w:ind w:left="900"/>
              <w:spacing w:after="0"/>
              <w:rPr>
                <w:sz w:val="20"/>
                <w:szCs w:val="20"/>
                <w:color w:val="auto"/>
              </w:rPr>
            </w:pPr>
            <w:r>
              <w:rPr>
                <w:rFonts w:ascii="Courier New" w:cs="Courier New" w:eastAsia="Courier New" w:hAnsi="Courier New"/>
                <w:sz w:val="18"/>
                <w:szCs w:val="18"/>
                <w:color w:val="auto"/>
              </w:rPr>
              <w:t>Subtotals</w:t>
            </w:r>
          </w:p>
        </w:tc>
        <w:tc>
          <w:tcPr>
            <w:tcW w:w="0" w:type="dxa"/>
            <w:vAlign w:val="bottom"/>
          </w:tcPr>
          <w:p>
            <w:pPr>
              <w:spacing w:after="0"/>
              <w:rPr>
                <w:sz w:val="1"/>
                <w:szCs w:val="1"/>
                <w:color w:val="auto"/>
              </w:rPr>
            </w:pPr>
          </w:p>
        </w:tc>
      </w:tr>
      <w:tr>
        <w:trPr>
          <w:trHeight w:val="405"/>
        </w:trPr>
        <w:tc>
          <w:tcPr>
            <w:tcW w:w="25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220" w:type="dxa"/>
            <w:vAlign w:val="bottom"/>
          </w:tcPr>
          <w:p>
            <w:pPr>
              <w:ind w:left="90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AXA</w:t>
            </w:r>
          </w:p>
        </w:tc>
        <w:tc>
          <w:tcPr>
            <w:tcW w:w="2320" w:type="dxa"/>
            <w:vAlign w:val="bottom"/>
          </w:tcPr>
          <w:p>
            <w:pPr>
              <w:spacing w:after="0"/>
              <w:rPr>
                <w:sz w:val="24"/>
                <w:szCs w:val="24"/>
                <w:color w:val="auto"/>
              </w:rPr>
            </w:pPr>
          </w:p>
        </w:tc>
        <w:tc>
          <w:tcPr>
            <w:tcW w:w="3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AXA Entity or Entities</w:t>
            </w:r>
          </w:p>
        </w:tc>
        <w:tc>
          <w:tcPr>
            <w:tcW w:w="23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12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Common Stock  acquired solely for investment purposes:</w:t>
            </w:r>
          </w:p>
        </w:tc>
        <w:tc>
          <w:tcPr>
            <w:tcW w:w="0" w:type="dxa"/>
            <w:vAlign w:val="bottom"/>
          </w:tcPr>
          <w:p>
            <w:pPr>
              <w:spacing w:after="0"/>
              <w:rPr>
                <w:sz w:val="1"/>
                <w:szCs w:val="1"/>
                <w:color w:val="auto"/>
              </w:rPr>
            </w:pPr>
          </w:p>
        </w:tc>
      </w:tr>
      <w:tr>
        <w:trPr>
          <w:trHeight w:val="203"/>
        </w:trPr>
        <w:tc>
          <w:tcPr>
            <w:tcW w:w="49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AXA Investment Managers Paris (France)</w:t>
            </w:r>
          </w:p>
        </w:tc>
        <w:tc>
          <w:tcPr>
            <w:tcW w:w="3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17,476</w:t>
            </w:r>
          </w:p>
        </w:tc>
        <w:tc>
          <w:tcPr>
            <w:tcW w:w="0" w:type="dxa"/>
            <w:vAlign w:val="bottom"/>
          </w:tcPr>
          <w:p>
            <w:pPr>
              <w:spacing w:after="0"/>
              <w:rPr>
                <w:sz w:val="1"/>
                <w:szCs w:val="1"/>
                <w:color w:val="auto"/>
              </w:rPr>
            </w:pPr>
          </w:p>
        </w:tc>
      </w:tr>
      <w:tr>
        <w:trPr>
          <w:trHeight w:val="296"/>
        </w:trPr>
        <w:tc>
          <w:tcPr>
            <w:tcW w:w="49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AXA Investment Managers Den Haag</w:t>
            </w:r>
          </w:p>
        </w:tc>
        <w:tc>
          <w:tcPr>
            <w:tcW w:w="3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3,214</w:t>
            </w:r>
          </w:p>
        </w:tc>
        <w:tc>
          <w:tcPr>
            <w:tcW w:w="0" w:type="dxa"/>
            <w:vAlign w:val="bottom"/>
          </w:tcPr>
          <w:p>
            <w:pPr>
              <w:spacing w:after="0"/>
              <w:rPr>
                <w:sz w:val="1"/>
                <w:szCs w:val="1"/>
                <w:color w:val="auto"/>
              </w:rPr>
            </w:pPr>
          </w:p>
        </w:tc>
      </w:tr>
      <w:tr>
        <w:trPr>
          <w:trHeight w:val="608"/>
        </w:trPr>
        <w:tc>
          <w:tcPr>
            <w:tcW w:w="2580" w:type="dxa"/>
            <w:vAlign w:val="bottom"/>
          </w:tcPr>
          <w:p>
            <w:pPr>
              <w:spacing w:after="0"/>
              <w:rPr>
                <w:sz w:val="20"/>
                <w:szCs w:val="20"/>
                <w:color w:val="auto"/>
              </w:rPr>
            </w:pPr>
            <w:r>
              <w:rPr>
                <w:rFonts w:ascii="Courier New" w:cs="Courier New" w:eastAsia="Courier New" w:hAnsi="Courier New"/>
                <w:sz w:val="18"/>
                <w:szCs w:val="18"/>
                <w:color w:val="auto"/>
              </w:rPr>
              <w:t>AXA Financial, Inc.</w:t>
            </w:r>
          </w:p>
        </w:tc>
        <w:tc>
          <w:tcPr>
            <w:tcW w:w="2320" w:type="dxa"/>
            <w:vAlign w:val="bottom"/>
          </w:tcPr>
          <w:p>
            <w:pPr>
              <w:spacing w:after="0"/>
              <w:rPr>
                <w:sz w:val="24"/>
                <w:szCs w:val="24"/>
                <w:color w:val="auto"/>
              </w:rPr>
            </w:pPr>
          </w:p>
        </w:tc>
        <w:tc>
          <w:tcPr>
            <w:tcW w:w="3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Subsidiaries:</w:t>
            </w:r>
          </w:p>
        </w:tc>
        <w:tc>
          <w:tcPr>
            <w:tcW w:w="23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580" w:type="dxa"/>
            <w:vAlign w:val="bottom"/>
          </w:tcPr>
          <w:p>
            <w:pPr>
              <w:spacing w:after="0"/>
              <w:rPr>
                <w:sz w:val="20"/>
                <w:szCs w:val="20"/>
                <w:color w:val="auto"/>
              </w:rPr>
            </w:pPr>
            <w:r>
              <w:rPr>
                <w:rFonts w:ascii="Courier New" w:cs="Courier New" w:eastAsia="Courier New" w:hAnsi="Courier New"/>
                <w:sz w:val="18"/>
                <w:szCs w:val="18"/>
                <w:color w:val="auto"/>
              </w:rPr>
              <w:t>Advest, Inc.</w:t>
            </w:r>
          </w:p>
        </w:tc>
        <w:tc>
          <w:tcPr>
            <w:tcW w:w="23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acquired solely for investment purposes on</w:t>
            </w: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behalf of client discretionary investment</w:t>
            </w: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80" w:type="dxa"/>
            <w:vAlign w:val="bottom"/>
          </w:tcPr>
          <w:p>
            <w:pPr>
              <w:spacing w:after="0"/>
              <w:rPr>
                <w:sz w:val="20"/>
                <w:szCs w:val="20"/>
                <w:color w:val="auto"/>
              </w:rPr>
            </w:pPr>
            <w:r>
              <w:rPr>
                <w:rFonts w:ascii="Courier New" w:cs="Courier New" w:eastAsia="Courier New" w:hAnsi="Courier New"/>
                <w:sz w:val="18"/>
                <w:szCs w:val="18"/>
                <w:color w:val="auto"/>
              </w:rPr>
              <w:t>advisory accounts:</w:t>
            </w:r>
          </w:p>
        </w:tc>
        <w:tc>
          <w:tcPr>
            <w:tcW w:w="23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2580" w:type="dxa"/>
            <w:vAlign w:val="bottom"/>
          </w:tcPr>
          <w:p>
            <w:pPr>
              <w:ind w:left="220"/>
              <w:spacing w:after="0"/>
              <w:rPr>
                <w:sz w:val="20"/>
                <w:szCs w:val="20"/>
                <w:color w:val="auto"/>
              </w:rPr>
            </w:pPr>
            <w:r>
              <w:rPr>
                <w:rFonts w:ascii="Courier New" w:cs="Courier New" w:eastAsia="Courier New" w:hAnsi="Courier New"/>
                <w:sz w:val="18"/>
                <w:szCs w:val="18"/>
                <w:color w:val="auto"/>
              </w:rPr>
              <w:t>Common Stock</w:t>
            </w:r>
          </w:p>
        </w:tc>
        <w:tc>
          <w:tcPr>
            <w:tcW w:w="2320" w:type="dxa"/>
            <w:vAlign w:val="bottom"/>
          </w:tcPr>
          <w:p>
            <w:pPr>
              <w:spacing w:after="0"/>
              <w:rPr>
                <w:sz w:val="24"/>
                <w:szCs w:val="24"/>
                <w:color w:val="auto"/>
              </w:rPr>
            </w:pPr>
          </w:p>
        </w:tc>
        <w:tc>
          <w:tcPr>
            <w:tcW w:w="322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23,412</w:t>
            </w:r>
          </w:p>
        </w:tc>
        <w:tc>
          <w:tcPr>
            <w:tcW w:w="0" w:type="dxa"/>
            <w:vAlign w:val="bottom"/>
          </w:tcPr>
          <w:p>
            <w:pPr>
              <w:spacing w:after="0"/>
              <w:rPr>
                <w:sz w:val="1"/>
                <w:szCs w:val="1"/>
                <w:color w:val="auto"/>
              </w:rPr>
            </w:pPr>
          </w:p>
        </w:tc>
      </w:tr>
      <w:tr>
        <w:trPr>
          <w:trHeight w:val="405"/>
        </w:trPr>
        <w:tc>
          <w:tcPr>
            <w:tcW w:w="490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Alliance Capital Management L.P.</w:t>
            </w:r>
          </w:p>
        </w:tc>
        <w:tc>
          <w:tcPr>
            <w:tcW w:w="3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23,412</w:t>
            </w:r>
          </w:p>
        </w:tc>
        <w:tc>
          <w:tcPr>
            <w:tcW w:w="0" w:type="dxa"/>
            <w:vAlign w:val="bottom"/>
          </w:tcPr>
          <w:p>
            <w:pPr>
              <w:spacing w:after="0"/>
              <w:rPr>
                <w:sz w:val="1"/>
                <w:szCs w:val="1"/>
                <w:color w:val="auto"/>
              </w:rPr>
            </w:pPr>
          </w:p>
        </w:tc>
      </w:tr>
      <w:tr>
        <w:trPr>
          <w:trHeight w:val="109"/>
        </w:trPr>
        <w:tc>
          <w:tcPr>
            <w:tcW w:w="4900" w:type="dxa"/>
            <w:vAlign w:val="bottom"/>
            <w:gridSpan w:val="2"/>
            <w:vMerge w:val="continue"/>
          </w:tcPr>
          <w:p>
            <w:pPr>
              <w:spacing w:after="0"/>
              <w:rPr>
                <w:sz w:val="9"/>
                <w:szCs w:val="9"/>
                <w:color w:val="auto"/>
              </w:rPr>
            </w:pPr>
          </w:p>
        </w:tc>
        <w:tc>
          <w:tcPr>
            <w:tcW w:w="3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acquired solely for investment purposes on</w:t>
            </w: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behalf of client discretionary investment</w:t>
            </w: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80" w:type="dxa"/>
            <w:vAlign w:val="bottom"/>
          </w:tcPr>
          <w:p>
            <w:pPr>
              <w:spacing w:after="0"/>
              <w:rPr>
                <w:sz w:val="20"/>
                <w:szCs w:val="20"/>
                <w:color w:val="auto"/>
              </w:rPr>
            </w:pPr>
            <w:r>
              <w:rPr>
                <w:rFonts w:ascii="Courier New" w:cs="Courier New" w:eastAsia="Courier New" w:hAnsi="Courier New"/>
                <w:sz w:val="18"/>
                <w:szCs w:val="18"/>
                <w:color w:val="auto"/>
              </w:rPr>
              <w:t>advisory accounts:</w:t>
            </w:r>
          </w:p>
        </w:tc>
        <w:tc>
          <w:tcPr>
            <w:tcW w:w="23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2580" w:type="dxa"/>
            <w:vAlign w:val="bottom"/>
          </w:tcPr>
          <w:p>
            <w:pPr>
              <w:ind w:left="220"/>
              <w:spacing w:after="0"/>
              <w:rPr>
                <w:sz w:val="20"/>
                <w:szCs w:val="20"/>
                <w:color w:val="auto"/>
              </w:rPr>
            </w:pPr>
            <w:r>
              <w:rPr>
                <w:rFonts w:ascii="Courier New" w:cs="Courier New" w:eastAsia="Courier New" w:hAnsi="Courier New"/>
                <w:sz w:val="18"/>
                <w:szCs w:val="18"/>
                <w:color w:val="auto"/>
              </w:rPr>
              <w:t>Common Stock</w:t>
            </w:r>
          </w:p>
        </w:tc>
        <w:tc>
          <w:tcPr>
            <w:tcW w:w="2320" w:type="dxa"/>
            <w:vAlign w:val="bottom"/>
          </w:tcPr>
          <w:p>
            <w:pPr>
              <w:spacing w:after="0"/>
              <w:rPr>
                <w:sz w:val="24"/>
                <w:szCs w:val="24"/>
                <w:color w:val="auto"/>
              </w:rPr>
            </w:pPr>
          </w:p>
        </w:tc>
        <w:tc>
          <w:tcPr>
            <w:tcW w:w="322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41,024,937</w:t>
            </w:r>
          </w:p>
        </w:tc>
        <w:tc>
          <w:tcPr>
            <w:tcW w:w="0" w:type="dxa"/>
            <w:vAlign w:val="bottom"/>
          </w:tcPr>
          <w:p>
            <w:pPr>
              <w:spacing w:after="0"/>
              <w:rPr>
                <w:sz w:val="1"/>
                <w:szCs w:val="1"/>
                <w:color w:val="auto"/>
              </w:rPr>
            </w:pPr>
          </w:p>
        </w:tc>
      </w:tr>
      <w:tr>
        <w:trPr>
          <w:trHeight w:val="405"/>
        </w:trPr>
        <w:tc>
          <w:tcPr>
            <w:tcW w:w="490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AXA Equitable Life Insurance Company</w:t>
            </w:r>
          </w:p>
        </w:tc>
        <w:tc>
          <w:tcPr>
            <w:tcW w:w="3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41,024,937</w:t>
            </w:r>
          </w:p>
        </w:tc>
        <w:tc>
          <w:tcPr>
            <w:tcW w:w="0" w:type="dxa"/>
            <w:vAlign w:val="bottom"/>
          </w:tcPr>
          <w:p>
            <w:pPr>
              <w:spacing w:after="0"/>
              <w:rPr>
                <w:sz w:val="1"/>
                <w:szCs w:val="1"/>
                <w:color w:val="auto"/>
              </w:rPr>
            </w:pPr>
          </w:p>
        </w:tc>
      </w:tr>
      <w:tr>
        <w:trPr>
          <w:trHeight w:val="203"/>
        </w:trPr>
        <w:tc>
          <w:tcPr>
            <w:tcW w:w="4900" w:type="dxa"/>
            <w:vAlign w:val="bottom"/>
            <w:gridSpan w:val="2"/>
            <w:vMerge w:val="continue"/>
          </w:tcPr>
          <w:p>
            <w:pPr>
              <w:spacing w:after="0"/>
              <w:rPr>
                <w:sz w:val="17"/>
                <w:szCs w:val="17"/>
                <w:color w:val="auto"/>
              </w:rPr>
            </w:pP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4900" w:type="dxa"/>
            <w:vAlign w:val="bottom"/>
            <w:gridSpan w:val="2"/>
          </w:tcPr>
          <w:p>
            <w:pPr>
              <w:spacing w:after="0"/>
              <w:rPr>
                <w:sz w:val="20"/>
                <w:szCs w:val="20"/>
                <w:color w:val="auto"/>
              </w:rPr>
            </w:pPr>
            <w:r>
              <w:rPr>
                <w:rFonts w:ascii="Courier New" w:cs="Courier New" w:eastAsia="Courier New" w:hAnsi="Courier New"/>
                <w:sz w:val="18"/>
                <w:szCs w:val="18"/>
                <w:color w:val="auto"/>
              </w:rPr>
              <w:t>acquired solely for investment purposes:</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2580" w:type="dxa"/>
            <w:vAlign w:val="bottom"/>
          </w:tcPr>
          <w:p>
            <w:pPr>
              <w:ind w:left="220"/>
              <w:spacing w:after="0"/>
              <w:rPr>
                <w:sz w:val="20"/>
                <w:szCs w:val="20"/>
                <w:color w:val="auto"/>
              </w:rPr>
            </w:pPr>
            <w:r>
              <w:rPr>
                <w:rFonts w:ascii="Courier New" w:cs="Courier New" w:eastAsia="Courier New" w:hAnsi="Courier New"/>
                <w:sz w:val="18"/>
                <w:szCs w:val="18"/>
                <w:color w:val="auto"/>
              </w:rPr>
              <w:t>Common Stock</w:t>
            </w:r>
          </w:p>
        </w:tc>
        <w:tc>
          <w:tcPr>
            <w:tcW w:w="2320" w:type="dxa"/>
            <w:vAlign w:val="bottom"/>
          </w:tcPr>
          <w:p>
            <w:pPr>
              <w:spacing w:after="0"/>
              <w:rPr>
                <w:sz w:val="24"/>
                <w:szCs w:val="24"/>
                <w:color w:val="auto"/>
              </w:rPr>
            </w:pPr>
          </w:p>
        </w:tc>
        <w:tc>
          <w:tcPr>
            <w:tcW w:w="322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16,800</w:t>
            </w:r>
          </w:p>
        </w:tc>
        <w:tc>
          <w:tcPr>
            <w:tcW w:w="0" w:type="dxa"/>
            <w:vAlign w:val="bottom"/>
          </w:tcPr>
          <w:p>
            <w:pPr>
              <w:spacing w:after="0"/>
              <w:rPr>
                <w:sz w:val="1"/>
                <w:szCs w:val="1"/>
                <w:color w:val="auto"/>
              </w:rPr>
            </w:pPr>
          </w:p>
        </w:tc>
      </w:tr>
      <w:tr>
        <w:trPr>
          <w:trHeight w:val="235"/>
        </w:trPr>
        <w:tc>
          <w:tcPr>
            <w:tcW w:w="25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16,800</w:t>
            </w: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Frontier Trust Company, FSB (Advest Trust)</w:t>
      </w:r>
    </w:p>
    <w:p>
      <w:pPr>
        <w:spacing w:after="0"/>
        <w:rPr>
          <w:sz w:val="20"/>
          <w:szCs w:val="20"/>
          <w:color w:val="auto"/>
        </w:rPr>
      </w:pPr>
      <w:r>
        <w:rPr>
          <w:rFonts w:ascii="Courier New" w:cs="Courier New" w:eastAsia="Courier New" w:hAnsi="Courier New"/>
          <w:sz w:val="18"/>
          <w:szCs w:val="18"/>
          <w:color w:val="auto"/>
        </w:rPr>
        <w:t>acquired solely for investment purposes on</w:t>
      </w:r>
    </w:p>
    <w:p>
      <w:pPr>
        <w:spacing w:after="0" w:line="238" w:lineRule="auto"/>
        <w:rPr>
          <w:sz w:val="20"/>
          <w:szCs w:val="20"/>
          <w:color w:val="auto"/>
        </w:rPr>
      </w:pPr>
      <w:r>
        <w:rPr>
          <w:rFonts w:ascii="Courier New" w:cs="Courier New" w:eastAsia="Courier New" w:hAnsi="Courier New"/>
          <w:sz w:val="18"/>
          <w:szCs w:val="18"/>
          <w:color w:val="auto"/>
        </w:rPr>
        <w:t>behalf of client discretionary investment</w:t>
      </w:r>
    </w:p>
    <w:p>
      <w:pPr>
        <w:spacing w:after="0"/>
        <w:rPr>
          <w:sz w:val="20"/>
          <w:szCs w:val="20"/>
          <w:color w:val="auto"/>
        </w:rPr>
      </w:pPr>
      <w:r>
        <w:rPr>
          <w:rFonts w:ascii="Courier New" w:cs="Courier New" w:eastAsia="Courier New" w:hAnsi="Courier New"/>
          <w:sz w:val="18"/>
          <w:szCs w:val="18"/>
          <w:color w:val="auto"/>
        </w:rPr>
        <w:t>advisory accounts: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3520" w:type="dxa"/>
            <w:vAlign w:val="bottom"/>
          </w:tcPr>
          <w:p>
            <w:pPr>
              <w:spacing w:after="0"/>
              <w:rPr>
                <w:sz w:val="20"/>
                <w:szCs w:val="20"/>
                <w:color w:val="auto"/>
              </w:rPr>
            </w:pPr>
            <w:r>
              <w:rPr>
                <w:rFonts w:ascii="Courier New" w:cs="Courier New" w:eastAsia="Courier New" w:hAnsi="Courier New"/>
                <w:sz w:val="18"/>
                <w:szCs w:val="18"/>
                <w:color w:val="auto"/>
              </w:rPr>
              <w:t>Common Stock</w:t>
            </w:r>
          </w:p>
        </w:tc>
        <w:tc>
          <w:tcPr>
            <w:tcW w:w="396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300</w:t>
            </w:r>
          </w:p>
        </w:tc>
        <w:tc>
          <w:tcPr>
            <w:tcW w:w="0" w:type="dxa"/>
            <w:vAlign w:val="bottom"/>
          </w:tcPr>
          <w:p>
            <w:pPr>
              <w:spacing w:after="0"/>
              <w:rPr>
                <w:sz w:val="1"/>
                <w:szCs w:val="1"/>
                <w:color w:val="auto"/>
              </w:rPr>
            </w:pPr>
          </w:p>
        </w:tc>
      </w:tr>
      <w:tr>
        <w:trPr>
          <w:trHeight w:val="203"/>
        </w:trPr>
        <w:tc>
          <w:tcPr>
            <w:tcW w:w="3520" w:type="dxa"/>
            <w:vAlign w:val="bottom"/>
          </w:tcPr>
          <w:p>
            <w:pPr>
              <w:spacing w:after="0"/>
              <w:rPr>
                <w:sz w:val="17"/>
                <w:szCs w:val="17"/>
                <w:color w:val="auto"/>
              </w:rPr>
            </w:pPr>
          </w:p>
        </w:tc>
        <w:tc>
          <w:tcPr>
            <w:tcW w:w="3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w:t>
            </w:r>
          </w:p>
        </w:tc>
        <w:tc>
          <w:tcPr>
            <w:tcW w:w="0" w:type="dxa"/>
            <w:vAlign w:val="bottom"/>
          </w:tcPr>
          <w:p>
            <w:pPr>
              <w:spacing w:after="0"/>
              <w:rPr>
                <w:sz w:val="1"/>
                <w:szCs w:val="1"/>
                <w:color w:val="auto"/>
              </w:rPr>
            </w:pPr>
          </w:p>
        </w:tc>
      </w:tr>
      <w:tr>
        <w:trPr>
          <w:trHeight w:val="203"/>
        </w:trPr>
        <w:tc>
          <w:tcPr>
            <w:tcW w:w="35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Total</w:t>
            </w:r>
          </w:p>
        </w:tc>
        <w:tc>
          <w:tcPr>
            <w:tcW w:w="3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520" w:type="dxa"/>
            <w:vAlign w:val="bottom"/>
            <w:vMerge w:val="continue"/>
          </w:tcPr>
          <w:p>
            <w:pPr>
              <w:spacing w:after="0"/>
              <w:rPr>
                <w:sz w:val="17"/>
                <w:szCs w:val="17"/>
                <w:color w:val="auto"/>
              </w:rPr>
            </w:pPr>
          </w:p>
        </w:tc>
        <w:tc>
          <w:tcPr>
            <w:tcW w:w="3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41,086,139</w:t>
            </w:r>
          </w:p>
        </w:tc>
        <w:tc>
          <w:tcPr>
            <w:tcW w:w="0" w:type="dxa"/>
            <w:vAlign w:val="bottom"/>
          </w:tcPr>
          <w:p>
            <w:pPr>
              <w:spacing w:after="0"/>
              <w:rPr>
                <w:sz w:val="1"/>
                <w:szCs w:val="1"/>
                <w:color w:val="auto"/>
              </w:rPr>
            </w:pPr>
          </w:p>
        </w:tc>
      </w:tr>
      <w:tr>
        <w:trPr>
          <w:trHeight w:val="296"/>
        </w:trPr>
        <w:tc>
          <w:tcPr>
            <w:tcW w:w="3520" w:type="dxa"/>
            <w:vAlign w:val="bottom"/>
          </w:tcPr>
          <w:p>
            <w:pPr>
              <w:spacing w:after="0"/>
              <w:rPr>
                <w:sz w:val="24"/>
                <w:szCs w:val="24"/>
                <w:color w:val="auto"/>
              </w:rPr>
            </w:pPr>
          </w:p>
        </w:tc>
        <w:tc>
          <w:tcPr>
            <w:tcW w:w="39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1999"/>
        <w:spacing w:after="0" w:line="274" w:lineRule="auto"/>
        <w:rPr>
          <w:sz w:val="20"/>
          <w:szCs w:val="20"/>
          <w:color w:val="auto"/>
        </w:rPr>
      </w:pPr>
      <w:r>
        <w:rPr>
          <w:rFonts w:ascii="Courier New" w:cs="Courier New" w:eastAsia="Courier New" w:hAnsi="Courier New"/>
          <w:sz w:val="18"/>
          <w:szCs w:val="18"/>
          <w:color w:val="auto"/>
        </w:rPr>
        <w:t>Each of the Mutuelles AXA, as a group, and AXA expressly declares that the filing of this Schedule 13G shall not be construed as an admission that it is, for purposes of Section 13(d) of the Exchange Act, the beneficial owner of any securities covered by this Schedule 13G.</w:t>
      </w:r>
    </w:p>
    <w:p>
      <w:pPr>
        <w:spacing w:after="0" w:line="82"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Each of the above subsidiaries of AXA Financial, Inc. operates under independent management and makes independent decisions.</w:t>
      </w:r>
    </w:p>
    <w:p>
      <w:pPr>
        <w:sectPr>
          <w:pgSz w:w="11900" w:h="16838" w:orient="portrait"/>
          <w:cols w:equalWidth="0" w:num="1">
            <w:col w:w="10219"/>
          </w:cols>
          <w:pgMar w:left="240" w:top="488" w:right="1440" w:bottom="0" w:gutter="0" w:footer="0" w:header="0"/>
        </w:sectPr>
      </w:pPr>
    </w:p>
    <w:p>
      <w:pPr>
        <w:spacing w:after="0" w:line="18"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(b) Percent of Class:</w:t>
      </w:r>
    </w:p>
    <w:p>
      <w:pPr>
        <w:spacing w:after="0" w:line="20" w:lineRule="exact"/>
        <w:rPr>
          <w:sz w:val="20"/>
          <w:szCs w:val="20"/>
          <w:color w:val="auto"/>
        </w:rPr>
      </w:pPr>
      <w:r>
        <w:rPr>
          <w:sz w:val="20"/>
          <w:szCs w:val="20"/>
          <w:color w:val="auto"/>
        </w:rPr>
        <w:br w:type="column"/>
      </w:r>
    </w:p>
    <w:p>
      <w:pPr>
        <w:ind w:left="120"/>
        <w:spacing w:after="0"/>
        <w:rPr>
          <w:sz w:val="20"/>
          <w:szCs w:val="20"/>
          <w:color w:val="auto"/>
        </w:rPr>
      </w:pPr>
      <w:r>
        <w:rPr>
          <w:rFonts w:ascii="Courier New" w:cs="Courier New" w:eastAsia="Courier New" w:hAnsi="Courier New"/>
          <w:sz w:val="18"/>
          <w:szCs w:val="18"/>
          <w:color w:val="auto"/>
        </w:rPr>
        <w:t>4.8%</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5600" w:space="720"/>
            <w:col w:w="3899"/>
          </w:cols>
          <w:pgMar w:left="240" w:top="488" w:right="1440" w:bottom="0" w:gutter="0" w:footer="0" w:header="0"/>
          <w:type w:val="continuous"/>
        </w:sectPr>
      </w:pPr>
    </w:p>
    <w:bookmarkStart w:id="9" w:name="page10"/>
    <w:bookmarkEnd w:id="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96"/>
        </w:trPr>
        <w:tc>
          <w:tcPr>
            <w:tcW w:w="2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4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Page 10 of 12 Pages</w:t>
            </w:r>
          </w:p>
        </w:tc>
        <w:tc>
          <w:tcPr>
            <w:tcW w:w="0" w:type="dxa"/>
            <w:vAlign w:val="bottom"/>
          </w:tcPr>
          <w:p>
            <w:pPr>
              <w:spacing w:after="0"/>
              <w:rPr>
                <w:sz w:val="1"/>
                <w:szCs w:val="1"/>
                <w:color w:val="auto"/>
              </w:rPr>
            </w:pPr>
          </w:p>
        </w:tc>
      </w:tr>
      <w:tr>
        <w:trPr>
          <w:trHeight w:val="810"/>
        </w:trPr>
        <w:tc>
          <w:tcPr>
            <w:tcW w:w="4740" w:type="dxa"/>
            <w:vAlign w:val="bottom"/>
            <w:gridSpan w:val="3"/>
          </w:tcPr>
          <w:p>
            <w:pPr>
              <w:spacing w:after="0"/>
              <w:rPr>
                <w:sz w:val="20"/>
                <w:szCs w:val="20"/>
                <w:color w:val="auto"/>
              </w:rPr>
            </w:pPr>
            <w:r>
              <w:rPr>
                <w:rFonts w:ascii="Courier New" w:cs="Courier New" w:eastAsia="Courier New" w:hAnsi="Courier New"/>
                <w:sz w:val="18"/>
                <w:szCs w:val="18"/>
                <w:color w:val="auto"/>
              </w:rPr>
              <w:t>ITEM 4. Ownership as of December 31, 2004</w:t>
            </w:r>
          </w:p>
        </w:tc>
        <w:tc>
          <w:tcPr>
            <w:tcW w:w="1960" w:type="dxa"/>
            <w:vAlign w:val="bottom"/>
            <w:gridSpan w:val="2"/>
          </w:tcPr>
          <w:p>
            <w:pPr>
              <w:jc w:val="right"/>
              <w:ind w:right="1132"/>
              <w:spacing w:after="0"/>
              <w:rPr>
                <w:sz w:val="20"/>
                <w:szCs w:val="20"/>
                <w:color w:val="auto"/>
              </w:rPr>
            </w:pPr>
            <w:r>
              <w:rPr>
                <w:rFonts w:ascii="Courier New" w:cs="Courier New" w:eastAsia="Courier New" w:hAnsi="Courier New"/>
                <w:sz w:val="18"/>
                <w:szCs w:val="18"/>
                <w:color w:val="auto"/>
                <w:w w:val="95"/>
              </w:rPr>
              <w:t>(CONT.)</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700" w:type="dxa"/>
            <w:vAlign w:val="bottom"/>
            <w:gridSpan w:val="5"/>
          </w:tcPr>
          <w:p>
            <w:pPr>
              <w:ind w:left="740"/>
              <w:spacing w:after="0"/>
              <w:rPr>
                <w:sz w:val="20"/>
                <w:szCs w:val="20"/>
                <w:color w:val="auto"/>
              </w:rPr>
            </w:pPr>
            <w:r>
              <w:rPr>
                <w:rFonts w:ascii="Courier New" w:cs="Courier New" w:eastAsia="Courier New" w:hAnsi="Courier New"/>
                <w:sz w:val="18"/>
                <w:szCs w:val="18"/>
                <w:color w:val="auto"/>
              </w:rPr>
              <w:t>(c) Deemed Voting Power and Disposition Power:</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280" w:type="dxa"/>
            <w:vAlign w:val="bottom"/>
          </w:tcPr>
          <w:p>
            <w:pPr>
              <w:spacing w:after="0"/>
              <w:rPr>
                <w:sz w:val="24"/>
                <w:szCs w:val="24"/>
                <w:color w:val="auto"/>
              </w:rPr>
            </w:pPr>
          </w:p>
        </w:tc>
        <w:tc>
          <w:tcPr>
            <w:tcW w:w="15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(i)</w:t>
            </w:r>
          </w:p>
        </w:tc>
        <w:tc>
          <w:tcPr>
            <w:tcW w:w="940" w:type="dxa"/>
            <w:vAlign w:val="bottom"/>
          </w:tcPr>
          <w:p>
            <w:pPr>
              <w:ind w:left="100"/>
              <w:spacing w:after="0"/>
              <w:rPr>
                <w:sz w:val="20"/>
                <w:szCs w:val="20"/>
                <w:color w:val="auto"/>
              </w:rPr>
            </w:pPr>
            <w:r>
              <w:rPr>
                <w:rFonts w:ascii="Courier New" w:cs="Courier New" w:eastAsia="Courier New" w:hAnsi="Courier New"/>
                <w:sz w:val="18"/>
                <w:szCs w:val="18"/>
                <w:color w:val="auto"/>
              </w:rPr>
              <w:t>(ii)</w:t>
            </w:r>
          </w:p>
        </w:tc>
        <w:tc>
          <w:tcPr>
            <w:tcW w:w="540" w:type="dxa"/>
            <w:vAlign w:val="bottom"/>
          </w:tcPr>
          <w:p>
            <w:pPr>
              <w:spacing w:after="0"/>
              <w:rPr>
                <w:sz w:val="24"/>
                <w:szCs w:val="24"/>
                <w:color w:val="auto"/>
              </w:rPr>
            </w:pPr>
          </w:p>
        </w:tc>
        <w:tc>
          <w:tcPr>
            <w:tcW w:w="14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(iii)</w:t>
            </w:r>
          </w:p>
        </w:tc>
        <w:tc>
          <w:tcPr>
            <w:tcW w:w="142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(iv)</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Deemed</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Deemed</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Deemed</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Deemed</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to have</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to have</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have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have</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Power</w:t>
            </w:r>
          </w:p>
        </w:tc>
        <w:tc>
          <w:tcPr>
            <w:tcW w:w="1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Shared Power</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Sole Power</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Shared Power</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to Vote</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to Vote</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Dispose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Dispose</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or to</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or to</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or to</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or to</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Direct</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Direct the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 the</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the Vote</w:t>
            </w:r>
          </w:p>
        </w:tc>
        <w:tc>
          <w:tcPr>
            <w:tcW w:w="1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the Vote</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Disposition</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Disposition</w:t>
            </w:r>
          </w:p>
        </w:tc>
        <w:tc>
          <w:tcPr>
            <w:tcW w:w="0" w:type="dxa"/>
            <w:vAlign w:val="bottom"/>
          </w:tcPr>
          <w:p>
            <w:pPr>
              <w:spacing w:after="0"/>
              <w:rPr>
                <w:sz w:val="1"/>
                <w:szCs w:val="1"/>
                <w:color w:val="auto"/>
              </w:rPr>
            </w:pPr>
          </w:p>
        </w:tc>
      </w:tr>
      <w:tr>
        <w:trPr>
          <w:trHeight w:val="296"/>
        </w:trPr>
        <w:tc>
          <w:tcPr>
            <w:tcW w:w="2280" w:type="dxa"/>
            <w:vAlign w:val="bottom"/>
          </w:tcPr>
          <w:p>
            <w:pPr>
              <w:spacing w:after="0"/>
              <w:rPr>
                <w:sz w:val="24"/>
                <w:szCs w:val="24"/>
                <w:color w:val="auto"/>
              </w:rPr>
            </w:pPr>
          </w:p>
        </w:tc>
        <w:tc>
          <w:tcPr>
            <w:tcW w:w="1520" w:type="dxa"/>
            <w:vAlign w:val="bottom"/>
          </w:tcPr>
          <w:p>
            <w:pPr>
              <w:ind w:left="260"/>
              <w:spacing w:after="0"/>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5"/>
              </w:rPr>
              <w:t>------------</w:t>
            </w:r>
          </w:p>
        </w:tc>
        <w:tc>
          <w:tcPr>
            <w:tcW w:w="284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7"/>
              </w:rPr>
              <w:t>------------ ------------</w:t>
            </w:r>
          </w:p>
        </w:tc>
        <w:tc>
          <w:tcPr>
            <w:tcW w:w="0" w:type="dxa"/>
            <w:vAlign w:val="bottom"/>
          </w:tcPr>
          <w:p>
            <w:pPr>
              <w:spacing w:after="0"/>
              <w:rPr>
                <w:sz w:val="1"/>
                <w:szCs w:val="1"/>
                <w:color w:val="auto"/>
              </w:rPr>
            </w:pPr>
          </w:p>
        </w:tc>
      </w:tr>
      <w:tr>
        <w:trPr>
          <w:trHeight w:val="311"/>
        </w:trPr>
        <w:tc>
          <w:tcPr>
            <w:tcW w:w="2280" w:type="dxa"/>
            <w:vAlign w:val="bottom"/>
          </w:tcPr>
          <w:p>
            <w:pPr>
              <w:spacing w:after="0"/>
              <w:rPr>
                <w:sz w:val="20"/>
                <w:szCs w:val="20"/>
                <w:color w:val="auto"/>
              </w:rPr>
            </w:pPr>
            <w:r>
              <w:rPr>
                <w:rFonts w:ascii="Courier New" w:cs="Courier New" w:eastAsia="Courier New" w:hAnsi="Courier New"/>
                <w:sz w:val="18"/>
                <w:szCs w:val="18"/>
                <w:color w:val="auto"/>
              </w:rPr>
              <w:t>The Mutuelles AXA,</w:t>
            </w:r>
          </w:p>
        </w:tc>
        <w:tc>
          <w:tcPr>
            <w:tcW w:w="152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940" w:type="dxa"/>
            <w:vAlign w:val="bottom"/>
          </w:tcPr>
          <w:p>
            <w:pPr>
              <w:spacing w:after="0"/>
              <w:rPr>
                <w:sz w:val="24"/>
                <w:szCs w:val="24"/>
                <w:color w:val="auto"/>
              </w:rPr>
            </w:pPr>
          </w:p>
        </w:tc>
        <w:tc>
          <w:tcPr>
            <w:tcW w:w="5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1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2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 a group</w:t>
            </w:r>
          </w:p>
        </w:tc>
        <w:tc>
          <w:tcPr>
            <w:tcW w:w="152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280" w:type="dxa"/>
            <w:vAlign w:val="bottom"/>
          </w:tcPr>
          <w:p>
            <w:pPr>
              <w:spacing w:after="0"/>
              <w:rPr>
                <w:sz w:val="20"/>
                <w:szCs w:val="20"/>
                <w:color w:val="auto"/>
              </w:rPr>
            </w:pPr>
            <w:r>
              <w:rPr>
                <w:rFonts w:ascii="Courier New" w:cs="Courier New" w:eastAsia="Courier New" w:hAnsi="Courier New"/>
                <w:sz w:val="18"/>
                <w:szCs w:val="18"/>
                <w:color w:val="auto"/>
              </w:rPr>
              <w:t>AXA</w:t>
            </w:r>
          </w:p>
        </w:tc>
        <w:tc>
          <w:tcPr>
            <w:tcW w:w="15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940" w:type="dxa"/>
            <w:vAlign w:val="bottom"/>
          </w:tcPr>
          <w:p>
            <w:pPr>
              <w:spacing w:after="0"/>
              <w:rPr>
                <w:sz w:val="24"/>
                <w:szCs w:val="24"/>
                <w:color w:val="auto"/>
              </w:rPr>
            </w:pPr>
          </w:p>
        </w:tc>
        <w:tc>
          <w:tcPr>
            <w:tcW w:w="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311"/>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AXA Entity or Entities:</w:t>
            </w:r>
          </w:p>
        </w:tc>
        <w:tc>
          <w:tcPr>
            <w:tcW w:w="940" w:type="dxa"/>
            <w:vAlign w:val="bottom"/>
          </w:tcPr>
          <w:p>
            <w:pPr>
              <w:spacing w:after="0"/>
              <w:rPr>
                <w:sz w:val="24"/>
                <w:szCs w:val="24"/>
                <w:color w:val="auto"/>
              </w:rPr>
            </w:pPr>
          </w:p>
        </w:tc>
        <w:tc>
          <w:tcPr>
            <w:tcW w:w="5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17,476</w:t>
            </w:r>
          </w:p>
        </w:tc>
        <w:tc>
          <w:tcPr>
            <w:tcW w:w="1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AXA Investment</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17,476</w:t>
            </w:r>
          </w:p>
        </w:tc>
        <w:tc>
          <w:tcPr>
            <w:tcW w:w="94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Managers Paris</w:t>
            </w:r>
          </w:p>
        </w:tc>
        <w:tc>
          <w:tcPr>
            <w:tcW w:w="1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(France)</w:t>
            </w:r>
          </w:p>
        </w:tc>
        <w:tc>
          <w:tcPr>
            <w:tcW w:w="152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80" w:type="dxa"/>
            <w:vAlign w:val="bottom"/>
            <w:gridSpan w:val="2"/>
            <w:vMerge w:val="restart"/>
          </w:tcPr>
          <w:p>
            <w:pPr>
              <w:jc w:val="right"/>
              <w:ind w:right="132"/>
              <w:spacing w:after="0"/>
              <w:rPr>
                <w:sz w:val="20"/>
                <w:szCs w:val="20"/>
                <w:color w:val="auto"/>
              </w:rPr>
            </w:pPr>
            <w:r>
              <w:rPr>
                <w:rFonts w:ascii="Courier New" w:cs="Courier New" w:eastAsia="Courier New" w:hAnsi="Courier New"/>
                <w:sz w:val="18"/>
                <w:szCs w:val="18"/>
                <w:color w:val="auto"/>
              </w:rPr>
              <w:t>3,214</w:t>
            </w:r>
          </w:p>
        </w:tc>
        <w:tc>
          <w:tcPr>
            <w:tcW w:w="14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3,214</w:t>
            </w:r>
          </w:p>
        </w:tc>
        <w:tc>
          <w:tcPr>
            <w:tcW w:w="1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AXA Investment</w:t>
            </w:r>
          </w:p>
        </w:tc>
        <w:tc>
          <w:tcPr>
            <w:tcW w:w="1520" w:type="dxa"/>
            <w:vAlign w:val="bottom"/>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280" w:type="dxa"/>
            <w:vAlign w:val="bottom"/>
          </w:tcPr>
          <w:p>
            <w:pPr>
              <w:ind w:left="220"/>
              <w:spacing w:after="0"/>
              <w:rPr>
                <w:sz w:val="20"/>
                <w:szCs w:val="20"/>
                <w:color w:val="auto"/>
              </w:rPr>
            </w:pPr>
            <w:r>
              <w:rPr>
                <w:rFonts w:ascii="Courier New" w:cs="Courier New" w:eastAsia="Courier New" w:hAnsi="Courier New"/>
                <w:sz w:val="18"/>
                <w:szCs w:val="18"/>
                <w:color w:val="auto"/>
              </w:rPr>
              <w:t>Managers Den Haag</w:t>
            </w:r>
          </w:p>
        </w:tc>
        <w:tc>
          <w:tcPr>
            <w:tcW w:w="1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2280" w:type="dxa"/>
            <w:vAlign w:val="bottom"/>
          </w:tcPr>
          <w:p>
            <w:pPr>
              <w:spacing w:after="0"/>
              <w:rPr>
                <w:sz w:val="20"/>
                <w:szCs w:val="20"/>
                <w:color w:val="auto"/>
              </w:rPr>
            </w:pPr>
            <w:r>
              <w:rPr>
                <w:rFonts w:ascii="Courier New" w:cs="Courier New" w:eastAsia="Courier New" w:hAnsi="Courier New"/>
                <w:sz w:val="18"/>
                <w:szCs w:val="18"/>
                <w:color w:val="auto"/>
              </w:rPr>
              <w:t>AXA Financial, Inc.</w:t>
            </w:r>
          </w:p>
        </w:tc>
        <w:tc>
          <w:tcPr>
            <w:tcW w:w="15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940" w:type="dxa"/>
            <w:vAlign w:val="bottom"/>
          </w:tcPr>
          <w:p>
            <w:pPr>
              <w:spacing w:after="0"/>
              <w:rPr>
                <w:sz w:val="24"/>
                <w:szCs w:val="24"/>
                <w:color w:val="auto"/>
              </w:rPr>
            </w:pPr>
          </w:p>
        </w:tc>
        <w:tc>
          <w:tcPr>
            <w:tcW w:w="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311"/>
        </w:trPr>
        <w:tc>
          <w:tcPr>
            <w:tcW w:w="2280" w:type="dxa"/>
            <w:vAlign w:val="bottom"/>
          </w:tcPr>
          <w:p>
            <w:pPr>
              <w:spacing w:after="0"/>
              <w:rPr>
                <w:sz w:val="20"/>
                <w:szCs w:val="20"/>
                <w:color w:val="auto"/>
              </w:rPr>
            </w:pPr>
            <w:r>
              <w:rPr>
                <w:rFonts w:ascii="Courier New" w:cs="Courier New" w:eastAsia="Courier New" w:hAnsi="Courier New"/>
                <w:sz w:val="18"/>
                <w:szCs w:val="18"/>
                <w:color w:val="auto"/>
              </w:rPr>
              <w:t>Subsidiaries:</w:t>
            </w:r>
          </w:p>
        </w:tc>
        <w:tc>
          <w:tcPr>
            <w:tcW w:w="1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52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80" w:type="dxa"/>
            <w:vAlign w:val="bottom"/>
            <w:gridSpan w:val="2"/>
            <w:vMerge w:val="restart"/>
          </w:tcPr>
          <w:p>
            <w:pPr>
              <w:jc w:val="right"/>
              <w:ind w:right="132"/>
              <w:spacing w:after="0"/>
              <w:rPr>
                <w:sz w:val="20"/>
                <w:szCs w:val="20"/>
                <w:color w:val="auto"/>
              </w:rPr>
            </w:pPr>
            <w:r>
              <w:rPr>
                <w:rFonts w:ascii="Courier New" w:cs="Courier New" w:eastAsia="Courier New" w:hAnsi="Courier New"/>
                <w:sz w:val="18"/>
                <w:szCs w:val="18"/>
                <w:color w:val="auto"/>
              </w:rPr>
              <w:t>23,412</w:t>
            </w:r>
          </w:p>
        </w:tc>
        <w:tc>
          <w:tcPr>
            <w:tcW w:w="14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1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23,412</w:t>
            </w:r>
          </w:p>
        </w:tc>
        <w:tc>
          <w:tcPr>
            <w:tcW w:w="0" w:type="dxa"/>
            <w:vAlign w:val="bottom"/>
          </w:tcPr>
          <w:p>
            <w:pPr>
              <w:spacing w:after="0"/>
              <w:rPr>
                <w:sz w:val="1"/>
                <w:szCs w:val="1"/>
                <w:color w:val="auto"/>
              </w:rPr>
            </w:pPr>
          </w:p>
        </w:tc>
      </w:tr>
      <w:tr>
        <w:trPr>
          <w:trHeight w:val="296"/>
        </w:trPr>
        <w:tc>
          <w:tcPr>
            <w:tcW w:w="2280" w:type="dxa"/>
            <w:vAlign w:val="bottom"/>
          </w:tcPr>
          <w:p>
            <w:pPr>
              <w:ind w:left="120"/>
              <w:spacing w:after="0"/>
              <w:rPr>
                <w:sz w:val="20"/>
                <w:szCs w:val="20"/>
                <w:color w:val="auto"/>
              </w:rPr>
            </w:pPr>
            <w:r>
              <w:rPr>
                <w:rFonts w:ascii="Courier New" w:cs="Courier New" w:eastAsia="Courier New" w:hAnsi="Courier New"/>
                <w:sz w:val="18"/>
                <w:szCs w:val="18"/>
                <w:color w:val="auto"/>
              </w:rPr>
              <w:t>Advest, Inc.</w:t>
            </w:r>
          </w:p>
        </w:tc>
        <w:tc>
          <w:tcPr>
            <w:tcW w:w="1520" w:type="dxa"/>
            <w:vAlign w:val="bottom"/>
            <w:vMerge w:val="continue"/>
          </w:tcPr>
          <w:p>
            <w:pPr>
              <w:spacing w:after="0"/>
              <w:rPr>
                <w:sz w:val="24"/>
                <w:szCs w:val="24"/>
                <w:color w:val="auto"/>
              </w:rPr>
            </w:pPr>
          </w:p>
        </w:tc>
        <w:tc>
          <w:tcPr>
            <w:tcW w:w="1480" w:type="dxa"/>
            <w:vAlign w:val="bottom"/>
            <w:gridSpan w:val="2"/>
            <w:vMerge w:val="continue"/>
          </w:tcPr>
          <w:p>
            <w:pPr>
              <w:spacing w:after="0"/>
              <w:rPr>
                <w:sz w:val="24"/>
                <w:szCs w:val="24"/>
                <w:color w:val="auto"/>
              </w:rPr>
            </w:pPr>
          </w:p>
        </w:tc>
        <w:tc>
          <w:tcPr>
            <w:tcW w:w="1420" w:type="dxa"/>
            <w:vAlign w:val="bottom"/>
            <w:vMerge w:val="continue"/>
          </w:tcPr>
          <w:p>
            <w:pPr>
              <w:spacing w:after="0"/>
              <w:rPr>
                <w:sz w:val="24"/>
                <w:szCs w:val="24"/>
                <w:color w:val="auto"/>
              </w:rPr>
            </w:pPr>
          </w:p>
        </w:tc>
        <w:tc>
          <w:tcPr>
            <w:tcW w:w="1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280" w:type="dxa"/>
            <w:vAlign w:val="bottom"/>
          </w:tcPr>
          <w:p>
            <w:pPr>
              <w:ind w:left="120"/>
              <w:spacing w:after="0"/>
              <w:rPr>
                <w:sz w:val="20"/>
                <w:szCs w:val="20"/>
                <w:color w:val="auto"/>
              </w:rPr>
            </w:pPr>
            <w:r>
              <w:rPr>
                <w:rFonts w:ascii="Courier New" w:cs="Courier New" w:eastAsia="Courier New" w:hAnsi="Courier New"/>
                <w:sz w:val="18"/>
                <w:szCs w:val="18"/>
                <w:color w:val="auto"/>
              </w:rPr>
              <w:t>Alliance Capital</w:t>
            </w:r>
          </w:p>
        </w:tc>
        <w:tc>
          <w:tcPr>
            <w:tcW w:w="15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23,006,182</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7,488,403</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41,024,937</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2280" w:type="dxa"/>
            <w:vAlign w:val="bottom"/>
          </w:tcPr>
          <w:p>
            <w:pPr>
              <w:ind w:left="120"/>
              <w:spacing w:after="0"/>
              <w:rPr>
                <w:sz w:val="20"/>
                <w:szCs w:val="20"/>
                <w:color w:val="auto"/>
              </w:rPr>
            </w:pPr>
            <w:r>
              <w:rPr>
                <w:rFonts w:ascii="Courier New" w:cs="Courier New" w:eastAsia="Courier New" w:hAnsi="Courier New"/>
                <w:sz w:val="18"/>
                <w:szCs w:val="18"/>
                <w:color w:val="auto"/>
              </w:rPr>
              <w:t>Management L.P.</w:t>
            </w:r>
          </w:p>
        </w:tc>
        <w:tc>
          <w:tcPr>
            <w:tcW w:w="1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280" w:type="dxa"/>
            <w:vAlign w:val="bottom"/>
          </w:tcPr>
          <w:p>
            <w:pPr>
              <w:ind w:left="120"/>
              <w:spacing w:after="0"/>
              <w:rPr>
                <w:sz w:val="20"/>
                <w:szCs w:val="20"/>
                <w:color w:val="auto"/>
              </w:rPr>
            </w:pPr>
            <w:r>
              <w:rPr>
                <w:rFonts w:ascii="Courier New" w:cs="Courier New" w:eastAsia="Courier New" w:hAnsi="Courier New"/>
                <w:sz w:val="18"/>
                <w:szCs w:val="18"/>
                <w:color w:val="auto"/>
              </w:rPr>
              <w:t>AXA Equitable Life</w:t>
            </w:r>
          </w:p>
        </w:tc>
        <w:tc>
          <w:tcPr>
            <w:tcW w:w="15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940" w:type="dxa"/>
            <w:vAlign w:val="bottom"/>
          </w:tcPr>
          <w:p>
            <w:pPr>
              <w:spacing w:after="0"/>
              <w:rPr>
                <w:sz w:val="24"/>
                <w:szCs w:val="24"/>
                <w:color w:val="auto"/>
              </w:rPr>
            </w:pPr>
          </w:p>
        </w:tc>
        <w:tc>
          <w:tcPr>
            <w:tcW w:w="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16,800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2280" w:type="dxa"/>
            <w:vAlign w:val="bottom"/>
          </w:tcPr>
          <w:p>
            <w:pPr>
              <w:ind w:left="120"/>
              <w:spacing w:after="0"/>
              <w:rPr>
                <w:sz w:val="20"/>
                <w:szCs w:val="20"/>
                <w:color w:val="auto"/>
              </w:rPr>
            </w:pPr>
            <w:r>
              <w:rPr>
                <w:rFonts w:ascii="Courier New" w:cs="Courier New" w:eastAsia="Courier New" w:hAnsi="Courier New"/>
                <w:sz w:val="18"/>
                <w:szCs w:val="18"/>
                <w:color w:val="auto"/>
              </w:rPr>
              <w:t>Insurance Company</w:t>
            </w:r>
          </w:p>
        </w:tc>
        <w:tc>
          <w:tcPr>
            <w:tcW w:w="1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280" w:type="dxa"/>
            <w:vAlign w:val="bottom"/>
          </w:tcPr>
          <w:p>
            <w:pPr>
              <w:ind w:left="120"/>
              <w:spacing w:after="0"/>
              <w:rPr>
                <w:sz w:val="20"/>
                <w:szCs w:val="20"/>
                <w:color w:val="auto"/>
              </w:rPr>
            </w:pPr>
            <w:r>
              <w:rPr>
                <w:rFonts w:ascii="Courier New" w:cs="Courier New" w:eastAsia="Courier New" w:hAnsi="Courier New"/>
                <w:sz w:val="18"/>
                <w:szCs w:val="18"/>
                <w:color w:val="auto"/>
              </w:rPr>
              <w:t>Frontier Trust</w:t>
            </w:r>
          </w:p>
        </w:tc>
        <w:tc>
          <w:tcPr>
            <w:tcW w:w="15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940" w:type="dxa"/>
            <w:vAlign w:val="bottom"/>
          </w:tcPr>
          <w:p>
            <w:pPr>
              <w:spacing w:after="0"/>
              <w:rPr>
                <w:sz w:val="24"/>
                <w:szCs w:val="24"/>
                <w:color w:val="auto"/>
              </w:rPr>
            </w:pPr>
          </w:p>
        </w:tc>
        <w:tc>
          <w:tcPr>
            <w:tcW w:w="5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300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300</w:t>
            </w:r>
          </w:p>
        </w:tc>
        <w:tc>
          <w:tcPr>
            <w:tcW w:w="0" w:type="dxa"/>
            <w:vAlign w:val="bottom"/>
          </w:tcPr>
          <w:p>
            <w:pPr>
              <w:spacing w:after="0"/>
              <w:rPr>
                <w:sz w:val="1"/>
                <w:szCs w:val="1"/>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Company, FSB (Advest</w:t>
            </w:r>
          </w:p>
        </w:tc>
        <w:tc>
          <w:tcPr>
            <w:tcW w:w="1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280" w:type="dxa"/>
            <w:vAlign w:val="bottom"/>
          </w:tcPr>
          <w:p>
            <w:pPr>
              <w:ind w:left="120"/>
              <w:spacing w:after="0"/>
              <w:rPr>
                <w:sz w:val="20"/>
                <w:szCs w:val="20"/>
                <w:color w:val="auto"/>
              </w:rPr>
            </w:pPr>
            <w:r>
              <w:rPr>
                <w:rFonts w:ascii="Courier New" w:cs="Courier New" w:eastAsia="Courier New" w:hAnsi="Courier New"/>
                <w:sz w:val="18"/>
                <w:szCs w:val="18"/>
                <w:color w:val="auto"/>
              </w:rPr>
              <w:t>Trust)</w:t>
            </w:r>
          </w:p>
        </w:tc>
        <w:tc>
          <w:tcPr>
            <w:tcW w:w="1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280" w:type="dxa"/>
            <w:vAlign w:val="bottom"/>
          </w:tcPr>
          <w:p>
            <w:pPr>
              <w:spacing w:after="0"/>
              <w:rPr>
                <w:sz w:val="24"/>
                <w:szCs w:val="24"/>
                <w:color w:val="auto"/>
              </w:rPr>
            </w:pPr>
          </w:p>
        </w:tc>
        <w:tc>
          <w:tcPr>
            <w:tcW w:w="152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8"/>
              </w:rPr>
              <w:t>------------</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23,023,658</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7,515,329</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41,062,427</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23,712</w:t>
            </w:r>
          </w:p>
        </w:tc>
        <w:tc>
          <w:tcPr>
            <w:tcW w:w="0" w:type="dxa"/>
            <w:vAlign w:val="bottom"/>
          </w:tcPr>
          <w:p>
            <w:pPr>
              <w:spacing w:after="0"/>
              <w:rPr>
                <w:sz w:val="1"/>
                <w:szCs w:val="1"/>
                <w:color w:val="auto"/>
              </w:rPr>
            </w:pPr>
          </w:p>
        </w:tc>
      </w:tr>
      <w:tr>
        <w:trPr>
          <w:trHeight w:val="296"/>
        </w:trPr>
        <w:tc>
          <w:tcPr>
            <w:tcW w:w="2280" w:type="dxa"/>
            <w:vAlign w:val="bottom"/>
          </w:tcPr>
          <w:p>
            <w:pPr>
              <w:spacing w:after="0"/>
              <w:rPr>
                <w:sz w:val="24"/>
                <w:szCs w:val="24"/>
                <w:color w:val="auto"/>
              </w:rPr>
            </w:pPr>
          </w:p>
        </w:tc>
        <w:tc>
          <w:tcPr>
            <w:tcW w:w="152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8"/>
              </w:rPr>
              <w:t>============</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both"/>
        <w:ind w:right="2099"/>
        <w:spacing w:after="0" w:line="420" w:lineRule="auto"/>
        <w:rPr>
          <w:sz w:val="20"/>
          <w:szCs w:val="20"/>
          <w:color w:val="auto"/>
        </w:rPr>
      </w:pPr>
      <w:r>
        <w:rPr>
          <w:rFonts w:ascii="Courier New" w:cs="Courier New" w:eastAsia="Courier New" w:hAnsi="Courier New"/>
          <w:sz w:val="16"/>
          <w:szCs w:val="16"/>
          <w:color w:val="auto"/>
        </w:rPr>
        <w:t>Each of the above subsidiaries of AXA Financial, Inc. operates under independent management and makes independent voting and investment decisions.</w:t>
      </w:r>
    </w:p>
    <w:p>
      <w:pPr>
        <w:sectPr>
          <w:pgSz w:w="11900" w:h="16838" w:orient="portrait"/>
          <w:cols w:equalWidth="0" w:num="1">
            <w:col w:w="10219"/>
          </w:cols>
          <w:pgMar w:left="240" w:top="285" w:right="1440" w:bottom="1440" w:gutter="0" w:footer="0" w:header="0"/>
        </w:sectPr>
      </w:pPr>
    </w:p>
    <w:bookmarkStart w:id="11" w:name="page12"/>
    <w:bookmarkEnd w:id="11"/>
    <w:p>
      <w:pPr>
        <w:ind w:left="6220"/>
        <w:spacing w:after="0"/>
        <w:rPr>
          <w:sz w:val="20"/>
          <w:szCs w:val="20"/>
          <w:color w:val="auto"/>
        </w:rPr>
      </w:pPr>
      <w:r>
        <w:rPr>
          <w:rFonts w:ascii="Courier New" w:cs="Courier New" w:eastAsia="Courier New" w:hAnsi="Courier New"/>
          <w:sz w:val="18"/>
          <w:szCs w:val="18"/>
          <w:color w:val="auto"/>
        </w:rPr>
        <w:t>Page 11 of 12 Pages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right="1879"/>
        <w:spacing w:after="0" w:line="323"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w:t>
      </w:r>
    </w:p>
    <w:p>
      <w:pPr>
        <w:spacing w:after="0" w:line="47"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(X)</w:t>
      </w:r>
    </w:p>
    <w:p>
      <w:pPr>
        <w:spacing w:after="0" w:line="201"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Item 6. Ownership of More than Five Percent on behalf of Another Person.</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ind w:left="860" w:right="2419" w:hanging="842"/>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Reporting on by the Parent Holding Company:</w:t>
      </w:r>
    </w:p>
    <w:p>
      <w:pPr>
        <w:spacing w:after="0" w:line="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Schedule 13G is being filed by AXA Financial, Inc.; AXA,</w:t>
      </w:r>
    </w:p>
    <w:p>
      <w:pPr>
        <w:spacing w:after="0" w:line="31" w:lineRule="exact"/>
        <w:rPr>
          <w:sz w:val="20"/>
          <w:szCs w:val="20"/>
          <w:color w:val="auto"/>
        </w:rPr>
      </w:pPr>
    </w:p>
    <w:p>
      <w:pPr>
        <w:ind w:left="860" w:right="1879"/>
        <w:spacing w:after="0" w:line="309" w:lineRule="auto"/>
        <w:rPr>
          <w:sz w:val="20"/>
          <w:szCs w:val="20"/>
          <w:color w:val="auto"/>
        </w:rPr>
      </w:pPr>
      <w:r>
        <w:rPr>
          <w:rFonts w:ascii="Courier New" w:cs="Courier New" w:eastAsia="Courier New" w:hAnsi="Courier New"/>
          <w:sz w:val="18"/>
          <w:szCs w:val="18"/>
          <w:color w:val="auto"/>
        </w:rPr>
        <w:t>which owns AXA Financial, Inc.; and the Mutuelles AXA, which as a group control AXA:</w:t>
      </w:r>
    </w:p>
    <w:p>
      <w:pPr>
        <w:spacing w:after="0" w:line="51" w:lineRule="exact"/>
        <w:rPr>
          <w:sz w:val="20"/>
          <w:szCs w:val="20"/>
          <w:color w:val="auto"/>
        </w:rPr>
      </w:pPr>
    </w:p>
    <w:p>
      <w:pPr>
        <w:ind w:left="860" w:right="2739" w:hanging="536"/>
        <w:spacing w:after="0" w:line="292"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Mutuelles AXAs' capacity, as a group, acting as a parent holding company with respect to the holdings of the following AXA entity or entities:</w:t>
      </w:r>
    </w:p>
    <w:p>
      <w:pPr>
        <w:spacing w:after="0" w:line="66" w:lineRule="exact"/>
        <w:rPr>
          <w:sz w:val="20"/>
          <w:szCs w:val="20"/>
          <w:color w:val="auto"/>
        </w:rPr>
      </w:pPr>
    </w:p>
    <w:p>
      <w:pPr>
        <w:ind w:left="860" w:right="3259" w:hanging="536"/>
        <w:spacing w:after="0" w:line="402" w:lineRule="auto"/>
        <w:tabs>
          <w:tab w:leader="none" w:pos="8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AXA's capacity as a parent holding company with respect to the holdings of the following AXA entity or entities:</w:t>
      </w:r>
    </w:p>
    <w:p>
      <w:pPr>
        <w:spacing w:after="0" w:line="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Investment Managers Paris (France)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Investment Managers Den Haag</w:t>
      </w:r>
    </w:p>
    <w:p>
      <w:pPr>
        <w:spacing w:after="0" w:line="201" w:lineRule="exact"/>
        <w:rPr>
          <w:sz w:val="20"/>
          <w:szCs w:val="20"/>
          <w:color w:val="auto"/>
        </w:rPr>
      </w:pPr>
    </w:p>
    <w:p>
      <w:pPr>
        <w:ind w:left="860" w:right="2939" w:hanging="536"/>
        <w:spacing w:after="0" w:line="402" w:lineRule="auto"/>
        <w:tabs>
          <w:tab w:leader="none" w:pos="8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 Financial, Inc.'s capacity as a parent holding company with respect to the holdings of the following subsidiaries:</w:t>
      </w:r>
    </w:p>
    <w:p>
      <w:pPr>
        <w:spacing w:after="0" w:line="1" w:lineRule="exact"/>
        <w:rPr>
          <w:sz w:val="20"/>
          <w:szCs w:val="20"/>
          <w:color w:val="auto"/>
        </w:rPr>
      </w:pPr>
    </w:p>
    <w:p>
      <w:pPr>
        <w:ind w:left="860" w:hanging="536"/>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Advest, Inc.</w:t>
      </w:r>
    </w:p>
    <w:p>
      <w:pPr>
        <w:spacing w:after="0" w:line="30" w:lineRule="exact"/>
        <w:rPr>
          <w:rFonts w:ascii="Courier New" w:cs="Courier New" w:eastAsia="Courier New" w:hAnsi="Courier New"/>
          <w:sz w:val="18"/>
          <w:szCs w:val="18"/>
          <w:color w:val="auto"/>
        </w:rPr>
      </w:pPr>
    </w:p>
    <w:p>
      <w:pPr>
        <w:ind w:left="860" w:right="21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(06-0950348), a broker-dealer registered under Section 15 of the Securities Exchange Act of 1934 and an investment adviser registered</w:t>
      </w: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under Section 203 of the Investment Advisers Act of 1940.</w:t>
      </w:r>
    </w:p>
    <w:p>
      <w:pPr>
        <w:spacing w:after="0" w:line="200" w:lineRule="exact"/>
        <w:rPr>
          <w:sz w:val="20"/>
          <w:szCs w:val="20"/>
          <w:color w:val="auto"/>
        </w:rPr>
      </w:pPr>
    </w:p>
    <w:p>
      <w:pPr>
        <w:spacing w:after="0" w:line="374" w:lineRule="exact"/>
        <w:rPr>
          <w:sz w:val="20"/>
          <w:szCs w:val="20"/>
          <w:color w:val="auto"/>
        </w:rPr>
      </w:pPr>
    </w:p>
    <w:p>
      <w:pPr>
        <w:ind w:left="860" w:hanging="536"/>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Alliance Capital Management L.P.</w:t>
      </w:r>
    </w:p>
    <w:p>
      <w:pPr>
        <w:spacing w:after="0" w:line="30" w:lineRule="exact"/>
        <w:rPr>
          <w:rFonts w:ascii="Courier New" w:cs="Courier New" w:eastAsia="Courier New" w:hAnsi="Courier New"/>
          <w:sz w:val="18"/>
          <w:szCs w:val="18"/>
          <w:color w:val="auto"/>
        </w:rPr>
      </w:pPr>
    </w:p>
    <w:p>
      <w:pPr>
        <w:ind w:left="860" w:right="231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(13-3434400), an investment adviser registered under Section 203 of the Investment Advisers Act of 1940.</w:t>
      </w:r>
    </w:p>
    <w:p>
      <w:pPr>
        <w:spacing w:after="0" w:line="253" w:lineRule="exact"/>
        <w:rPr>
          <w:sz w:val="20"/>
          <w:szCs w:val="20"/>
          <w:color w:val="auto"/>
        </w:rPr>
      </w:pPr>
    </w:p>
    <w:p>
      <w:pPr>
        <w:ind w:left="860" w:hanging="536"/>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AXA Equitable Life Insurance Company</w:t>
      </w:r>
    </w:p>
    <w:p>
      <w:pPr>
        <w:spacing w:after="0" w:line="30" w:lineRule="exact"/>
        <w:rPr>
          <w:rFonts w:ascii="Courier New" w:cs="Courier New" w:eastAsia="Courier New" w:hAnsi="Courier New"/>
          <w:sz w:val="18"/>
          <w:szCs w:val="18"/>
          <w:color w:val="auto"/>
        </w:rPr>
      </w:pPr>
    </w:p>
    <w:p>
      <w:pPr>
        <w:ind w:left="860" w:right="219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(13-5570651), an insurance company and an investment adviser registered under Section 203 of the Investment Advisers Act of 1940.</w:t>
      </w:r>
    </w:p>
    <w:p>
      <w:pPr>
        <w:spacing w:after="0" w:line="207" w:lineRule="exact"/>
        <w:rPr>
          <w:sz w:val="20"/>
          <w:szCs w:val="20"/>
          <w:color w:val="auto"/>
        </w:rPr>
      </w:pPr>
    </w:p>
    <w:p>
      <w:pPr>
        <w:ind w:left="860" w:hanging="536"/>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Boston Advisors, Inc.</w:t>
      </w:r>
    </w:p>
    <w:p>
      <w:pPr>
        <w:spacing w:after="0" w:line="30" w:lineRule="exact"/>
        <w:rPr>
          <w:rFonts w:ascii="Courier New" w:cs="Courier New" w:eastAsia="Courier New" w:hAnsi="Courier New"/>
          <w:sz w:val="18"/>
          <w:szCs w:val="18"/>
          <w:color w:val="auto"/>
        </w:rPr>
      </w:pPr>
    </w:p>
    <w:p>
      <w:pPr>
        <w:ind w:left="860" w:right="231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(04-2805120), an investment adviser registered under Section 203 of the Investment Advisers Act of 1940.</w:t>
      </w:r>
    </w:p>
    <w:p>
      <w:pPr>
        <w:spacing w:after="0" w:line="51" w:lineRule="exact"/>
        <w:rPr>
          <w:sz w:val="20"/>
          <w:szCs w:val="20"/>
          <w:color w:val="auto"/>
        </w:rPr>
      </w:pPr>
    </w:p>
    <w:p>
      <w:pPr>
        <w:ind w:left="860" w:hanging="536"/>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Frontier Trust Company, FSB (Advest Trust)</w:t>
      </w:r>
    </w:p>
    <w:p>
      <w:pPr>
        <w:spacing w:after="0" w:line="30" w:lineRule="exact"/>
        <w:rPr>
          <w:rFonts w:ascii="Courier New" w:cs="Courier New" w:eastAsia="Courier New" w:hAnsi="Courier New"/>
          <w:sz w:val="18"/>
          <w:szCs w:val="18"/>
          <w:color w:val="auto"/>
        </w:rPr>
      </w:pPr>
    </w:p>
    <w:p>
      <w:pPr>
        <w:ind w:left="860" w:right="231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(45-0373941), an investment adviser registered under Section 203 of the Investment Advisers Act of 1940.</w:t>
      </w:r>
    </w:p>
    <w:p>
      <w:pPr>
        <w:sectPr>
          <w:pgSz w:w="11900" w:h="16838" w:orient="portrait"/>
          <w:cols w:equalWidth="0" w:num="1">
            <w:col w:w="10219"/>
          </w:cols>
          <w:pgMar w:left="240" w:top="691" w:right="1440" w:bottom="1440" w:gutter="0" w:footer="0" w:header="0"/>
        </w:sectPr>
      </w:pPr>
    </w:p>
    <w:bookmarkStart w:id="12" w:name="page13"/>
    <w:bookmarkEnd w:id="12"/>
    <w:p>
      <w:pPr>
        <w:spacing w:after="0" w:line="309" w:lineRule="auto"/>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96"/>
        </w:trPr>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20" w:type="dxa"/>
            <w:vAlign w:val="bottom"/>
            <w:gridSpan w:val="2"/>
          </w:tcPr>
          <w:p>
            <w:pPr>
              <w:ind w:left="5220"/>
              <w:spacing w:after="0"/>
              <w:rPr>
                <w:sz w:val="20"/>
                <w:szCs w:val="20"/>
                <w:color w:val="auto"/>
              </w:rPr>
            </w:pPr>
            <w:r>
              <w:rPr>
                <w:rFonts w:ascii="Courier New" w:cs="Courier New" w:eastAsia="Courier New" w:hAnsi="Courier New"/>
                <w:sz w:val="18"/>
                <w:szCs w:val="18"/>
                <w:color w:val="auto"/>
                <w:w w:val="96"/>
              </w:rPr>
              <w:t>Page 12 of 12 Pages</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6480" w:type="dxa"/>
            <w:vAlign w:val="bottom"/>
          </w:tcPr>
          <w:p>
            <w:pPr>
              <w:ind w:left="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Notice of Dissolution of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left="420" w:right="2419" w:firstLine="527"/>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7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420" w:right="2839" w:firstLine="527"/>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20"/>
        <w:spacing w:after="0"/>
        <w:tabs>
          <w:tab w:leader="none" w:pos="1260" w:val="left"/>
          <w:tab w:leader="none" w:pos="45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14, 2005</w:t>
      </w:r>
      <w:r>
        <w:rPr>
          <w:sz w:val="20"/>
          <w:szCs w:val="20"/>
          <w:color w:val="auto"/>
        </w:rPr>
        <w:tab/>
      </w:r>
      <w:r>
        <w:rPr>
          <w:rFonts w:ascii="Courier New" w:cs="Courier New" w:eastAsia="Courier New" w:hAnsi="Courier New"/>
          <w:sz w:val="16"/>
          <w:szCs w:val="16"/>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Alvin H. Fenichel</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Alvin H. Fenichel</w:t>
      </w:r>
    </w:p>
    <w:p>
      <w:pPr>
        <w:spacing w:after="0" w:line="29"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Senior Vice President</w:t>
      </w:r>
    </w:p>
    <w:p>
      <w:pPr>
        <w:ind w:left="4960"/>
        <w:spacing w:after="0"/>
        <w:rPr>
          <w:sz w:val="20"/>
          <w:szCs w:val="20"/>
          <w:color w:val="auto"/>
        </w:rPr>
      </w:pPr>
      <w:r>
        <w:rPr>
          <w:rFonts w:ascii="Courier New" w:cs="Courier New" w:eastAsia="Courier New" w:hAnsi="Courier New"/>
          <w:sz w:val="18"/>
          <w:szCs w:val="18"/>
          <w:color w:val="auto"/>
        </w:rPr>
        <w:t>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20" w:right="2319" w:hanging="104"/>
        <w:spacing w:after="0" w:line="265" w:lineRule="auto"/>
        <w:rPr>
          <w:sz w:val="20"/>
          <w:szCs w:val="20"/>
          <w:color w:val="auto"/>
        </w:rPr>
      </w:pPr>
      <w:r>
        <w:rPr>
          <w:rFonts w:ascii="Courier New" w:cs="Courier New" w:eastAsia="Courier New" w:hAnsi="Courier New"/>
          <w:sz w:val="18"/>
          <w:szCs w:val="18"/>
          <w:color w:val="auto"/>
        </w:rPr>
        <w:t>*Pursuant to the Joint Filing Agreement with respect to Schedule 13G attached hereto as Exhibit I, among AXA Financial, Inc., AXA Assurances I.A.R.D Mutuelle, AXA Assurances Vie Mutuelle, AXA Courtage Assurance Mutuelle, and AXA, this statement Schedule 13G is filed on behalf of each of them.</w:t>
      </w:r>
    </w:p>
    <w:p>
      <w:pPr>
        <w:sectPr>
          <w:pgSz w:w="11900" w:h="16838" w:orient="portrait"/>
          <w:cols w:equalWidth="0" w:num="1">
            <w:col w:w="10219"/>
          </w:cols>
          <w:pgMar w:left="240" w:top="488" w:right="1440" w:bottom="1440" w:gutter="0" w:footer="0" w:header="0"/>
        </w:sectPr>
      </w:pPr>
    </w:p>
    <w:bookmarkStart w:id="14" w:name="page15"/>
    <w:bookmarkEnd w:id="14"/>
    <w:p>
      <w:pPr>
        <w:ind w:left="6860"/>
        <w:spacing w:after="0"/>
        <w:rPr>
          <w:sz w:val="20"/>
          <w:szCs w:val="20"/>
          <w:color w:val="auto"/>
        </w:rPr>
      </w:pPr>
      <w:r>
        <w:rPr>
          <w:rFonts w:ascii="Courier New" w:cs="Courier New" w:eastAsia="Courier New" w:hAnsi="Courier New"/>
          <w:sz w:val="18"/>
          <w:szCs w:val="18"/>
          <w:color w:val="auto"/>
        </w:rPr>
        <w:t>EXHIBIT 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JOINT FILING AGREEMENT</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20" w:right="2099" w:firstLine="527"/>
        <w:spacing w:after="0" w:line="292" w:lineRule="auto"/>
        <w:rPr>
          <w:sz w:val="20"/>
          <w:szCs w:val="20"/>
          <w:color w:val="auto"/>
        </w:rPr>
      </w:pPr>
      <w:r>
        <w:rPr>
          <w:rFonts w:ascii="Courier New" w:cs="Courier New" w:eastAsia="Courier New" w:hAnsi="Courier New"/>
          <w:sz w:val="18"/>
          <w:szCs w:val="18"/>
          <w:color w:val="auto"/>
        </w:rPr>
        <w:t>Each of the undersigned hereby agrees that the Schedule 13G filed herewith is filed jointly, pursuant to Rule 13d-1(f)(1) of the Securities Exchange Act of 1934, as amended on behalf of each of them.</w:t>
      </w:r>
    </w:p>
    <w:p>
      <w:pPr>
        <w:spacing w:after="0" w:line="269" w:lineRule="exact"/>
        <w:rPr>
          <w:sz w:val="20"/>
          <w:szCs w:val="20"/>
          <w:color w:val="auto"/>
        </w:rPr>
      </w:pPr>
    </w:p>
    <w:p>
      <w:pPr>
        <w:ind w:left="960"/>
        <w:spacing w:after="0"/>
        <w:tabs>
          <w:tab w:leader="none" w:pos="178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February 14, 2005</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 /s/ Alvin H. Fenichel</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left="1280"/>
        <w:spacing w:after="0" w:line="238" w:lineRule="auto"/>
        <w:rPr>
          <w:sz w:val="20"/>
          <w:szCs w:val="20"/>
          <w:color w:val="auto"/>
        </w:rPr>
      </w:pPr>
      <w:r>
        <w:rPr>
          <w:rFonts w:ascii="Courier New" w:cs="Courier New" w:eastAsia="Courier New" w:hAnsi="Courier New"/>
          <w:sz w:val="18"/>
          <w:szCs w:val="18"/>
          <w:color w:val="auto"/>
        </w:rPr>
        <w:t>Alvin H. Fenichel</w:t>
      </w:r>
    </w:p>
    <w:p>
      <w:pPr>
        <w:ind w:left="1280"/>
        <w:spacing w:after="0"/>
        <w:rPr>
          <w:sz w:val="20"/>
          <w:szCs w:val="20"/>
          <w:color w:val="auto"/>
        </w:rPr>
      </w:pPr>
      <w:r>
        <w:rPr>
          <w:rFonts w:ascii="Courier New" w:cs="Courier New" w:eastAsia="Courier New" w:hAnsi="Courier New"/>
          <w:sz w:val="18"/>
          <w:szCs w:val="18"/>
          <w:color w:val="auto"/>
        </w:rPr>
        <w:t>Senior Vice President and Controller</w:t>
      </w:r>
    </w:p>
    <w:p>
      <w:pPr>
        <w:spacing w:after="0" w:line="200" w:lineRule="exact"/>
        <w:rPr>
          <w:sz w:val="20"/>
          <w:szCs w:val="20"/>
          <w:color w:val="auto"/>
        </w:rPr>
      </w:pPr>
    </w:p>
    <w:p>
      <w:pPr>
        <w:spacing w:after="0" w:line="374" w:lineRule="exact"/>
        <w:rPr>
          <w:sz w:val="20"/>
          <w:szCs w:val="20"/>
          <w:color w:val="auto"/>
        </w:rPr>
      </w:pPr>
    </w:p>
    <w:p>
      <w:pPr>
        <w:ind w:right="2319" w:firstLine="948"/>
        <w:spacing w:after="0" w:line="347" w:lineRule="auto"/>
        <w:rPr>
          <w:sz w:val="20"/>
          <w:szCs w:val="20"/>
          <w:color w:val="auto"/>
        </w:rPr>
      </w:pPr>
      <w:r>
        <w:rPr>
          <w:rFonts w:ascii="Courier New" w:cs="Courier New" w:eastAsia="Courier New" w:hAnsi="Courier New"/>
          <w:sz w:val="18"/>
          <w:szCs w:val="18"/>
          <w:color w:val="auto"/>
        </w:rPr>
        <w:t>AXA Assurances I.A.R.D. Mutuelle; AXA Assurances Vie Mutuelle; AXA Courtage Assurance Mutuelle, as a group, and AXA</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Signed on behalf of each of the above entities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 /s/ Alvin H. Fenichel</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left="1280"/>
        <w:spacing w:after="0" w:line="238" w:lineRule="auto"/>
        <w:rPr>
          <w:sz w:val="20"/>
          <w:szCs w:val="20"/>
          <w:color w:val="auto"/>
        </w:rPr>
      </w:pPr>
      <w:r>
        <w:rPr>
          <w:rFonts w:ascii="Courier New" w:cs="Courier New" w:eastAsia="Courier New" w:hAnsi="Courier New"/>
          <w:sz w:val="18"/>
          <w:szCs w:val="18"/>
          <w:color w:val="auto"/>
        </w:rPr>
        <w:t>Alvin H. Fenichel</w:t>
      </w:r>
    </w:p>
    <w:p>
      <w:pPr>
        <w:ind w:left="1280"/>
        <w:spacing w:after="0"/>
        <w:rPr>
          <w:sz w:val="20"/>
          <w:szCs w:val="20"/>
          <w:color w:val="auto"/>
        </w:rPr>
      </w:pPr>
      <w:r>
        <w:rPr>
          <w:rFonts w:ascii="Courier New" w:cs="Courier New" w:eastAsia="Courier New" w:hAnsi="Courier New"/>
          <w:sz w:val="18"/>
          <w:szCs w:val="18"/>
          <w:color w:val="auto"/>
        </w:rPr>
        <w:t>Attorney-in-Fact</w:t>
      </w:r>
    </w:p>
    <w:p>
      <w:pPr>
        <w:ind w:left="1280"/>
        <w:spacing w:after="0"/>
        <w:rPr>
          <w:sz w:val="20"/>
          <w:szCs w:val="20"/>
          <w:color w:val="auto"/>
        </w:rPr>
      </w:pPr>
      <w:r>
        <w:rPr>
          <w:rFonts w:ascii="Courier New" w:cs="Courier New" w:eastAsia="Courier New" w:hAnsi="Courier New"/>
          <w:sz w:val="18"/>
          <w:szCs w:val="18"/>
          <w:color w:val="auto"/>
        </w:rPr>
        <w:t>(Executed pursuant to Powers of Attorney)</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lvl w:ilvl="1">
      <w:lvlJc w:val="left"/>
      <w:lvlText w:val="X"/>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12"/>
    </w:lvl>
    <w:lvl w:ilvl="1">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2"/>
    </w:lvl>
    <w:lvl w:ilvl="1">
      <w:lvlJc w:val="left"/>
      <w:lvlText w:val="*"/>
      <w:numFmt w:val="bullet"/>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2"/>
    </w:lvl>
    <w:lvl w:ilvl="1">
      <w:lvlJc w:val="left"/>
      <w:lvlText w:val="*"/>
      <w:numFmt w:val="bullet"/>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2"/>
    </w:lvl>
    <w:lvl w:ilvl="1">
      <w:lvlJc w:val="left"/>
      <w:lvlText w:val="*"/>
      <w:numFmt w:val="bullet"/>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3"/>
    </w:lvl>
  </w:abstractNum>
  <w:abstractNum w:abstractNumId="11">
    <w:nsid w:val="6B68079A"/>
    <w:multiLevelType w:val="hybridMultilevel"/>
    <w:lvl w:ilvl="0">
      <w:lvlJc w:val="left"/>
      <w:lvlText w:val="%1."/>
      <w:numFmt w:val="decimal"/>
      <w:start w:val="12"/>
    </w:lvl>
    <w:lvl w:ilvl="1">
      <w:lvlJc w:val="left"/>
      <w:lvlText w:val="*"/>
      <w:numFmt w:val="bullet"/>
      <w:start w:val="1"/>
    </w:lvl>
  </w:abstractNum>
  <w:abstractNum w:abstractNumId="12">
    <w:nsid w:val="4E6AFB66"/>
    <w:multiLevelType w:val="hybridMultilevel"/>
    <w:lvl w:ilvl="0">
      <w:lvlJc w:val="left"/>
      <w:lvlText w:val="(%1)"/>
      <w:numFmt w:val="upperLetter"/>
      <w:start w:val="24"/>
    </w:lvl>
  </w:abstractNum>
  <w:abstractNum w:abstractNumId="13">
    <w:nsid w:val="25E45D32"/>
    <w:multiLevelType w:val="hybridMultilevel"/>
    <w:lvl w:ilvl="0">
      <w:lvlJc w:val="left"/>
      <w:lvlText w:val="(%1)"/>
      <w:numFmt w:val="upperLetter"/>
      <w:start w:val="24"/>
    </w:lvl>
  </w:abstractNum>
  <w:abstractNum w:abstractNumId="14">
    <w:nsid w:val="519B500D"/>
    <w:multiLevelType w:val="hybridMultilevel"/>
    <w:lvl w:ilvl="0">
      <w:lvlJc w:val="left"/>
      <w:lvlText w:val="(%1)"/>
      <w:numFmt w:val="upperLetter"/>
      <w:start w:val="24"/>
    </w:lvl>
  </w:abstractNum>
  <w:abstractNum w:abstractNumId="15">
    <w:nsid w:val="431BD7B7"/>
    <w:multiLevelType w:val="hybridMultilevel"/>
    <w:lvl w:ilvl="0">
      <w:lvlJc w:val="left"/>
      <w:lvlText w:val="(%1)"/>
      <w:numFmt w:val="upperLetter"/>
      <w:start w:val="24"/>
    </w:lvl>
  </w:abstractNum>
  <w:abstractNum w:abstractNumId="16">
    <w:nsid w:val="3F2DBA31"/>
    <w:multiLevelType w:val="hybridMultilevel"/>
    <w:lvl w:ilvl="0">
      <w:lvlJc w:val="left"/>
      <w:lvlText w:val="(%1)"/>
      <w:numFmt w:val="upperLetter"/>
      <w:start w:val="24"/>
    </w:lvl>
  </w:abstractNum>
  <w:abstractNum w:abstractNumId="17">
    <w:nsid w:val="7C83E458"/>
    <w:multiLevelType w:val="hybridMultilevel"/>
    <w:lvl w:ilvl="0">
      <w:lvlJc w:val="left"/>
      <w:lvlText w:val="(%1)"/>
      <w:numFmt w:val="upperLetter"/>
      <w:start w:val="24"/>
    </w:lvl>
  </w:abstractNum>
  <w:abstractNum w:abstractNumId="18">
    <w:nsid w:val="257130A3"/>
    <w:multiLevelType w:val="hybridMultilevel"/>
    <w:lvl w:ilvl="0">
      <w:lvlJc w:val="left"/>
      <w:lvlText w:val="(%1)"/>
      <w:numFmt w:val="upperLetter"/>
      <w:start w:val="24"/>
    </w:lvl>
  </w:abstractNum>
  <w:abstractNum w:abstractNumId="19">
    <w:nsid w:val="62BBD95A"/>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2019-12-15T05:16:20Z</dcterms:created>
  <dcterms:modified xsi:type="dcterms:W3CDTF">2019-12-15T05:16:20Z</dcterms:modified>
</cp:coreProperties>
</file>