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118110</wp:posOffset>
            </wp:positionV>
            <wp:extent cx="290703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40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March 31, 2010, there were 2,066,301,346 shares of our Class A common stock, 745,871,969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20" w:type="dxa"/>
            <w:vAlign w:val="bottom"/>
            <w:gridSpan w:val="16"/>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920" w:type="dxa"/>
            <w:vAlign w:val="bottom"/>
            <w:gridSpan w:val="14"/>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March 31, 2010 and December 31, 2009 (Unaudited)</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3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 of Operations for the Three Months Ended March 31, 2010 and 2009 (Unaudited)</w:t>
              </w:r>
            </w:hyperlink>
          </w:p>
        </w:tc>
        <w:tc>
          <w:tcPr>
            <w:tcW w:w="6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gridSpan w:val="1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Cash Flows for the Three Months Ended March 31, 2010 and 2009 (Unaudited)</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Equity for the Three Months Ended March 31, 2010 and 2009 (Unaudited)</w:t>
              </w:r>
            </w:hyperlink>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gridSpan w:val="14"/>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 of Comprehensive Income for the Three Months Ended March 31, 2010 and 2009</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6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92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262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466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Controls and Procedures</w:t>
              </w:r>
            </w:hyperlink>
          </w:p>
        </w:tc>
        <w:tc>
          <w:tcPr>
            <w:tcW w:w="720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084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4"/>
          </w:tcPr>
          <w:p>
            <w:pPr>
              <w:spacing w:after="0" w:line="190"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620" w:type="dxa"/>
            <w:vAlign w:val="bottom"/>
            <w:gridSpan w:val="10"/>
          </w:tcPr>
          <w:p>
            <w:pPr>
              <w:spacing w:after="0"/>
              <w:rPr>
                <w:sz w:val="16"/>
                <w:szCs w:val="16"/>
                <w:color w:val="auto"/>
              </w:rPr>
            </w:pPr>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804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468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892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5"/>
        </w:trPr>
        <w:tc>
          <w:tcPr>
            <w:tcW w:w="20" w:type="dxa"/>
            <w:vAlign w:val="bottom"/>
            <w:tcBorders>
              <w:top w:val="single" w:sz="8" w:color="0000EE"/>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months ended March 31, 2010.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cable services face a wide range of competition that could adversely affect our future results of operations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advances have increased and will likely continue to increase competition for our cable services,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results of operations and financial condition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could have a negative impact on our business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ectPr>
          <w:pgSz w:w="11900" w:h="16838" w:orient="portrait"/>
          <w:cols w:equalWidth="0" w:num="1">
            <w:col w:w="11420"/>
          </w:cols>
          <w:pgMar w:left="240" w:top="45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260" w:type="dxa"/>
            <w:vAlign w:val="bottom"/>
            <w:gridSpan w:val="2"/>
          </w:tcPr>
          <w:p>
            <w:pPr>
              <w:jc w:val="right"/>
              <w:ind w:right="273"/>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80" w:type="dxa"/>
            <w:vAlign w:val="bottom"/>
          </w:tcPr>
          <w:p>
            <w:pPr>
              <w:spacing w:after="0"/>
              <w:rPr>
                <w:sz w:val="13"/>
                <w:szCs w:val="13"/>
                <w:color w:val="auto"/>
              </w:rPr>
            </w:pPr>
          </w:p>
        </w:tc>
        <w:tc>
          <w:tcPr>
            <w:tcW w:w="88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3,483</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$161 and $175</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1,581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863</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5,968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6,267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$29,010 and $27,810</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23,441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59,452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15,029</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$8,964 and $8,711</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3,976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1,287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115,420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3,006</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3,272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2,337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8,615</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28,582</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27,756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7,140</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2,431,762,096 and 2,428,533,911;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2,066,301,346 and 2,063,073,161</w:t>
            </w:r>
          </w:p>
        </w:tc>
        <w:tc>
          <w:tcPr>
            <w:tcW w:w="380" w:type="dxa"/>
            <w:vAlign w:val="bottom"/>
          </w:tcPr>
          <w:p>
            <w:pPr>
              <w:spacing w:after="0"/>
              <w:rPr>
                <w:sz w:val="19"/>
                <w:szCs w:val="19"/>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816,806,733 and</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835,991,034; outstanding, 745,871,969 and 765,056,270</w:t>
            </w: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w:t>
            </w: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40,097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10,517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43,082</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w w:val="98"/>
              </w:rPr>
              <w:t>43,179</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115,420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9,202</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3,732</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1,905</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1,379</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251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7,267</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1,935</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44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(465)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1,470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866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772</w:t>
            </w: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b w:val="1"/>
                <w:bCs w:val="1"/>
                <w:color w:val="auto"/>
              </w:rPr>
              <w:t>0.31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0.31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w w:val="83"/>
              </w:rPr>
              <w:t>0.0945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0.0675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2"/>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1520" w:type="dxa"/>
            <w:vAlign w:val="bottom"/>
          </w:tcPr>
          <w:p>
            <w:pPr>
              <w:jc w:val="right"/>
              <w:ind w:right="595"/>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20" w:type="dxa"/>
            <w:vAlign w:val="bottom"/>
            <w:tcBorders>
              <w:top w:val="single" w:sz="8" w:color="auto"/>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$ 2,903</w:t>
            </w:r>
          </w:p>
        </w:tc>
        <w:tc>
          <w:tcPr>
            <w:tcW w:w="66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$ 2,512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(925)</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(117)</w:t>
            </w: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(172)</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520" w:type="dxa"/>
            <w:vAlign w:val="bottom"/>
          </w:tcPr>
          <w:p>
            <w:pPr>
              <w:jc w:val="right"/>
              <w:ind w:right="455"/>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(24)</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(19)</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2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(1,256)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2,408</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(612)</w:t>
            </w: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(268)</w:t>
            </w: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color w:val="auto"/>
              </w:rPr>
              <w:t>(63)</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1,165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2,812</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671</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$ 3,483</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$ 1,879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40" w:type="dxa"/>
            <w:vAlign w:val="bottom"/>
            <w:tcBorders>
              <w:right w:val="single" w:sz="8" w:color="auto"/>
            </w:tcBorders>
            <w:gridSpan w:val="3"/>
          </w:tcPr>
          <w:p>
            <w:pPr>
              <w:ind w:left="140"/>
              <w:spacing w:after="0"/>
              <w:rPr>
                <w:sz w:val="20"/>
                <w:szCs w:val="20"/>
                <w:color w:val="auto"/>
              </w:rPr>
            </w:pPr>
            <w:r>
              <w:rPr>
                <w:rFonts w:ascii="Arial" w:cs="Arial" w:eastAsia="Arial" w:hAnsi="Arial"/>
                <w:sz w:val="14"/>
                <w:szCs w:val="14"/>
                <w:color w:val="auto"/>
                <w:w w:val="95"/>
              </w:rPr>
              <w:t>Redeemable</w:t>
            </w:r>
          </w:p>
        </w:tc>
        <w:tc>
          <w:tcPr>
            <w:tcW w:w="260" w:type="dxa"/>
            <w:vAlign w:val="bottom"/>
          </w:tcPr>
          <w:p>
            <w:pPr>
              <w:spacing w:after="0"/>
              <w:rPr>
                <w:sz w:val="14"/>
                <w:szCs w:val="14"/>
                <w:color w:val="auto"/>
              </w:rPr>
            </w:pPr>
          </w:p>
        </w:tc>
        <w:tc>
          <w:tcPr>
            <w:tcW w:w="14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rPr>
              <w:t>Common Stock</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86"/>
              </w:rPr>
              <w:t>Treasury</w:t>
            </w:r>
          </w:p>
        </w:tc>
        <w:tc>
          <w:tcPr>
            <w:tcW w:w="1140" w:type="dxa"/>
            <w:vAlign w:val="bottom"/>
            <w:gridSpan w:val="3"/>
          </w:tcPr>
          <w:p>
            <w:pPr>
              <w:jc w:val="center"/>
              <w:spacing w:after="0"/>
              <w:rPr>
                <w:sz w:val="20"/>
                <w:szCs w:val="20"/>
                <w:color w:val="auto"/>
              </w:rPr>
            </w:pPr>
            <w:r>
              <w:rPr>
                <w:rFonts w:ascii="Arial" w:cs="Arial" w:eastAsia="Arial" w:hAnsi="Arial"/>
                <w:sz w:val="14"/>
                <w:szCs w:val="14"/>
                <w:color w:val="auto"/>
                <w:w w:val="88"/>
              </w:rPr>
              <w:t>Accumulated</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220"/>
              <w:spacing w:after="0" w:line="118" w:lineRule="exact"/>
              <w:rPr>
                <w:sz w:val="20"/>
                <w:szCs w:val="20"/>
                <w:color w:val="auto"/>
              </w:rPr>
            </w:pPr>
            <w:r>
              <w:rPr>
                <w:rFonts w:ascii="Arial" w:cs="Arial" w:eastAsia="Arial" w:hAnsi="Arial"/>
                <w:sz w:val="12"/>
                <w:szCs w:val="12"/>
                <w:color w:val="auto"/>
              </w:rPr>
              <w:t>Non-</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right"/>
              <w:ind w:right="77"/>
              <w:spacing w:after="0" w:line="118" w:lineRule="exact"/>
              <w:rPr>
                <w:sz w:val="20"/>
                <w:szCs w:val="20"/>
                <w:color w:val="auto"/>
              </w:rPr>
            </w:pPr>
            <w:r>
              <w:rPr>
                <w:rFonts w:ascii="Arial" w:cs="Arial" w:eastAsia="Arial" w:hAnsi="Arial"/>
                <w:sz w:val="12"/>
                <w:szCs w:val="12"/>
                <w:color w:val="auto"/>
              </w:rPr>
              <w:t>Additional</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right="280"/>
              <w:spacing w:after="0" w:line="118" w:lineRule="exact"/>
              <w:rPr>
                <w:sz w:val="20"/>
                <w:szCs w:val="20"/>
                <w:color w:val="auto"/>
              </w:rPr>
            </w:pPr>
            <w:r>
              <w:rPr>
                <w:rFonts w:ascii="Arial" w:cs="Arial" w:eastAsia="Arial" w:hAnsi="Arial"/>
                <w:sz w:val="12"/>
                <w:szCs w:val="12"/>
                <w:color w:val="auto"/>
                <w:w w:val="99"/>
              </w:rPr>
              <w:t>Other</w:t>
            </w:r>
          </w:p>
        </w:tc>
        <w:tc>
          <w:tcPr>
            <w:tcW w:w="300" w:type="dxa"/>
            <w:vAlign w:val="bottom"/>
          </w:tcPr>
          <w:p>
            <w:pPr>
              <w:spacing w:after="0"/>
              <w:rPr>
                <w:sz w:val="10"/>
                <w:szCs w:val="10"/>
                <w:color w:val="auto"/>
              </w:rPr>
            </w:pPr>
          </w:p>
        </w:tc>
        <w:tc>
          <w:tcPr>
            <w:tcW w:w="580" w:type="dxa"/>
            <w:vAlign w:val="bottom"/>
            <w:gridSpan w:val="2"/>
          </w:tcPr>
          <w:p>
            <w:pPr>
              <w:jc w:val="right"/>
              <w:ind w:right="280"/>
              <w:spacing w:after="0" w:line="118" w:lineRule="exact"/>
              <w:rPr>
                <w:sz w:val="20"/>
                <w:szCs w:val="20"/>
                <w:color w:val="auto"/>
              </w:rPr>
            </w:pPr>
            <w:r>
              <w:rPr>
                <w:rFonts w:ascii="Arial" w:cs="Arial" w:eastAsia="Arial" w:hAnsi="Arial"/>
                <w:sz w:val="12"/>
                <w:szCs w:val="12"/>
                <w:color w:val="auto"/>
              </w:rPr>
              <w:t>Non-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3"/>
              </w:rPr>
              <w:t>controlling</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A</w:t>
            </w:r>
          </w:p>
        </w:tc>
        <w:tc>
          <w:tcPr>
            <w:tcW w:w="400" w:type="dxa"/>
            <w:vAlign w:val="bottom"/>
          </w:tcPr>
          <w:p>
            <w:pPr>
              <w:spacing w:after="0"/>
              <w:rPr>
                <w:sz w:val="12"/>
                <w:szCs w:val="12"/>
                <w:color w:val="auto"/>
              </w:rPr>
            </w:pPr>
          </w:p>
        </w:tc>
        <w:tc>
          <w:tcPr>
            <w:tcW w:w="900" w:type="dxa"/>
            <w:vAlign w:val="bottom"/>
          </w:tcPr>
          <w:p>
            <w:pPr>
              <w:jc w:val="right"/>
              <w:ind w:right="177"/>
              <w:spacing w:after="0" w:line="149" w:lineRule="exact"/>
              <w:rPr>
                <w:sz w:val="20"/>
                <w:szCs w:val="20"/>
                <w:color w:val="auto"/>
              </w:rPr>
            </w:pPr>
            <w:r>
              <w:rPr>
                <w:rFonts w:ascii="Arial" w:cs="Arial" w:eastAsia="Arial" w:hAnsi="Arial"/>
                <w:sz w:val="14"/>
                <w:szCs w:val="14"/>
                <w:color w:val="auto"/>
              </w:rPr>
              <w:t>Paid-In</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5"/>
              </w:rPr>
              <w:t>Comprehensive</w:t>
            </w:r>
          </w:p>
        </w:tc>
        <w:tc>
          <w:tcPr>
            <w:tcW w:w="8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5"/>
              </w:rPr>
              <w:t>Interests</w:t>
            </w:r>
          </w:p>
        </w:tc>
        <w:tc>
          <w:tcPr>
            <w:tcW w:w="2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A</w:t>
            </w:r>
          </w:p>
        </w:tc>
        <w:tc>
          <w:tcPr>
            <w:tcW w:w="580" w:type="dxa"/>
            <w:vAlign w:val="bottom"/>
            <w:gridSpan w:val="2"/>
          </w:tcPr>
          <w:p>
            <w:pPr>
              <w:ind w:left="100"/>
              <w:spacing w:after="0"/>
              <w:rPr>
                <w:sz w:val="20"/>
                <w:szCs w:val="20"/>
                <w:color w:val="auto"/>
              </w:rPr>
            </w:pPr>
            <w:r>
              <w:rPr>
                <w:rFonts w:ascii="Arial" w:cs="Arial" w:eastAsia="Arial" w:hAnsi="Arial"/>
                <w:sz w:val="14"/>
                <w:szCs w:val="14"/>
                <w:color w:val="auto"/>
              </w:rPr>
              <w:t>Special</w:t>
            </w:r>
          </w:p>
        </w:tc>
        <w:tc>
          <w:tcPr>
            <w:tcW w:w="40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900" w:type="dxa"/>
            <w:vAlign w:val="bottom"/>
          </w:tcPr>
          <w:p>
            <w:pPr>
              <w:jc w:val="right"/>
              <w:ind w:right="177"/>
              <w:spacing w:after="0"/>
              <w:rPr>
                <w:sz w:val="20"/>
                <w:szCs w:val="20"/>
                <w:color w:val="auto"/>
              </w:rPr>
            </w:pPr>
            <w:r>
              <w:rPr>
                <w:rFonts w:ascii="Arial" w:cs="Arial" w:eastAsia="Arial" w:hAnsi="Arial"/>
                <w:sz w:val="14"/>
                <w:szCs w:val="14"/>
                <w:color w:val="auto"/>
              </w:rPr>
              <w:t>Capital</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Earnings</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3"/>
              </w:rPr>
              <w:t>Cost</w:t>
            </w:r>
          </w:p>
        </w:tc>
        <w:tc>
          <w:tcPr>
            <w:tcW w:w="1140" w:type="dxa"/>
            <w:vAlign w:val="bottom"/>
            <w:gridSpan w:val="3"/>
          </w:tcPr>
          <w:p>
            <w:pPr>
              <w:jc w:val="center"/>
              <w:ind w:left="1"/>
              <w:spacing w:after="0"/>
              <w:rPr>
                <w:sz w:val="20"/>
                <w:szCs w:val="20"/>
                <w:color w:val="auto"/>
              </w:rPr>
            </w:pPr>
            <w:r>
              <w:rPr>
                <w:rFonts w:ascii="Arial" w:cs="Arial" w:eastAsia="Arial" w:hAnsi="Arial"/>
                <w:sz w:val="14"/>
                <w:szCs w:val="14"/>
                <w:color w:val="auto"/>
                <w:w w:val="87"/>
              </w:rPr>
              <w:t>Income (Loss)</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Interests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2009</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$40,620</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$(7,517)</w:t>
            </w:r>
          </w:p>
        </w:tc>
        <w:tc>
          <w:tcPr>
            <w:tcW w:w="3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126</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0"/>
              </w:rPr>
              <w:t>Sale (purchase) of subsidiary shares to (from)</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Contributions from (distributions to)</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E5E5E5"/>
          </w:tcPr>
          <w:p>
            <w:pPr>
              <w:spacing w:after="0"/>
              <w:rPr>
                <w:sz w:val="19"/>
                <w:szCs w:val="19"/>
                <w:color w:val="auto"/>
              </w:rPr>
            </w:pPr>
          </w:p>
        </w:tc>
        <w:tc>
          <w:tcPr>
            <w:tcW w:w="700" w:type="dxa"/>
            <w:vAlign w:val="bottom"/>
            <w:tcBorders>
              <w:right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5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2009</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right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 —</w:t>
            </w:r>
          </w:p>
        </w:tc>
        <w:tc>
          <w:tcPr>
            <w:tcW w:w="9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$40,668</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8,004</w:t>
            </w:r>
          </w:p>
        </w:tc>
        <w:tc>
          <w:tcPr>
            <w:tcW w:w="1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$(7,517)</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(93)</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94</w:t>
            </w: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$41,189</w:t>
            </w:r>
          </w:p>
        </w:tc>
        <w:tc>
          <w:tcPr>
            <w:tcW w:w="0" w:type="dxa"/>
            <w:vAlign w:val="bottom"/>
          </w:tcPr>
          <w:p>
            <w:pPr>
              <w:spacing w:after="0"/>
              <w:rPr>
                <w:sz w:val="1"/>
                <w:szCs w:val="1"/>
                <w:color w:val="auto"/>
              </w:rPr>
            </w:pPr>
          </w:p>
        </w:tc>
      </w:tr>
      <w:tr>
        <w:trPr>
          <w:trHeight w:val="457"/>
        </w:trPr>
        <w:tc>
          <w:tcPr>
            <w:tcW w:w="3340" w:type="dxa"/>
            <w:vAlign w:val="bottom"/>
            <w:gridSpan w:val="2"/>
          </w:tcPr>
          <w:p>
            <w:pPr>
              <w:spacing w:after="0"/>
              <w:rPr>
                <w:sz w:val="20"/>
                <w:szCs w:val="20"/>
                <w:color w:val="auto"/>
              </w:rPr>
            </w:pPr>
            <w:r>
              <w:rPr>
                <w:rFonts w:ascii="Arial" w:cs="Arial" w:eastAsia="Arial" w:hAnsi="Arial"/>
                <w:sz w:val="18"/>
                <w:szCs w:val="18"/>
                <w:color w:val="auto"/>
              </w:rPr>
              <w:t>Balance, January 1, 2010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jc w:val="center"/>
              <w:spacing w:after="0"/>
              <w:rPr>
                <w:sz w:val="20"/>
                <w:szCs w:val="20"/>
                <w:color w:val="auto"/>
              </w:rPr>
            </w:pPr>
            <w:r>
              <w:rPr>
                <w:rFonts w:ascii="Arial" w:cs="Arial" w:eastAsia="Arial" w:hAnsi="Arial"/>
                <w:sz w:val="18"/>
                <w:szCs w:val="18"/>
                <w:color w:val="auto"/>
                <w:w w:val="96"/>
              </w:rPr>
              <w:t>$ —</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$40,247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10,005</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$(7,517)</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Stock compensation plans</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40</w:t>
            </w:r>
          </w:p>
        </w:tc>
        <w:tc>
          <w:tcPr>
            <w:tcW w:w="20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14</w:t>
            </w: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0"/>
              </w:rPr>
              <w:t>Sale (purchase) of subsidiary shares to (from)</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Contributions from (distributions to)</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20" w:type="dxa"/>
            <w:vAlign w:val="bottom"/>
            <w:tcBorders>
              <w:right w:val="single" w:sz="8" w:color="auto"/>
            </w:tcBorders>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5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2010</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right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 —</w:t>
            </w:r>
          </w:p>
        </w:tc>
        <w:tc>
          <w:tcPr>
            <w:tcW w:w="9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$40,097</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10,517</w:t>
            </w:r>
          </w:p>
        </w:tc>
        <w:tc>
          <w:tcPr>
            <w:tcW w:w="1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$(7,517)</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(47)</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97</w:t>
            </w: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$43,179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55"/>
              <w:spacing w:after="0"/>
              <w:rPr>
                <w:sz w:val="20"/>
                <w:szCs w:val="20"/>
                <w:color w:val="auto"/>
              </w:rPr>
            </w:pPr>
            <w:r>
              <w:rPr>
                <w:rFonts w:ascii="Arial" w:cs="Arial" w:eastAsia="Arial" w:hAnsi="Arial"/>
                <w:sz w:val="14"/>
                <w:szCs w:val="14"/>
                <w:color w:val="auto"/>
              </w:rPr>
              <w:t>Three Months Ended</w:t>
            </w:r>
          </w:p>
        </w:tc>
      </w:tr>
      <w:tr>
        <w:trPr>
          <w:trHeight w:val="172"/>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4"/>
                <w:szCs w:val="14"/>
                <w:color w:val="auto"/>
              </w:rPr>
            </w:pPr>
          </w:p>
        </w:tc>
      </w:tr>
      <w:tr>
        <w:trPr>
          <w:trHeight w:val="143"/>
        </w:trPr>
        <w:tc>
          <w:tcPr>
            <w:tcW w:w="888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500" w:type="dxa"/>
            <w:vAlign w:val="bottom"/>
          </w:tcPr>
          <w:p>
            <w:pPr>
              <w:jc w:val="right"/>
              <w:ind w:right="137"/>
              <w:spacing w:after="0" w:line="143" w:lineRule="exact"/>
              <w:rPr>
                <w:sz w:val="20"/>
                <w:szCs w:val="20"/>
                <w:color w:val="auto"/>
              </w:rPr>
            </w:pPr>
            <w:r>
              <w:rPr>
                <w:rFonts w:ascii="Arial" w:cs="Arial" w:eastAsia="Arial" w:hAnsi="Arial"/>
                <w:sz w:val="14"/>
                <w:szCs w:val="14"/>
                <w:color w:val="auto"/>
                <w:w w:val="83"/>
              </w:rPr>
              <w:t>2010</w:t>
            </w:r>
          </w:p>
        </w:tc>
        <w:tc>
          <w:tcPr>
            <w:tcW w:w="760" w:type="dxa"/>
            <w:vAlign w:val="bottom"/>
          </w:tcPr>
          <w:p>
            <w:pPr>
              <w:spacing w:after="0"/>
              <w:rPr>
                <w:sz w:val="12"/>
                <w:szCs w:val="12"/>
                <w:color w:val="auto"/>
              </w:rPr>
            </w:pPr>
          </w:p>
        </w:tc>
        <w:tc>
          <w:tcPr>
            <w:tcW w:w="540" w:type="dxa"/>
            <w:vAlign w:val="bottom"/>
          </w:tcPr>
          <w:p>
            <w:pPr>
              <w:jc w:val="right"/>
              <w:ind w:right="155"/>
              <w:spacing w:after="0" w:line="143" w:lineRule="exact"/>
              <w:rPr>
                <w:sz w:val="20"/>
                <w:szCs w:val="20"/>
                <w:color w:val="auto"/>
              </w:rPr>
            </w:pPr>
            <w:r>
              <w:rPr>
                <w:rFonts w:ascii="Arial" w:cs="Arial" w:eastAsia="Arial" w:hAnsi="Arial"/>
                <w:sz w:val="14"/>
                <w:szCs w:val="14"/>
                <w:color w:val="auto"/>
                <w:w w:val="89"/>
              </w:rPr>
              <w:t>2009</w:t>
            </w: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879</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Holding gains (losses) during the period, net of deferred taxes of $- and $1</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8"/>
        </w:trPr>
        <w:tc>
          <w:tcPr>
            <w:tcW w:w="20" w:type="dxa"/>
            <w:vAlign w:val="bottom"/>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w w:val="91"/>
              </w:rPr>
              <w:t>Reclassification adjustments for losses (gains) included in net income attributable to Comcast Corporation, net of deferred</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taxes of $(1) and $(12)</w:t>
            </w:r>
          </w:p>
        </w:tc>
        <w:tc>
          <w:tcPr>
            <w:tcW w:w="740" w:type="dxa"/>
            <w:vAlign w:val="bottom"/>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878</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798</w:t>
            </w: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865</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792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evaluated events or transactions that occurred after the balance sheet date through the issuance date of these financial statements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Reclassifications have been made to the prior year’s condensed consolidated financial statements between revenue and operating expenses to conform to classifications used in 2010.</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2009, the Financial Accounting Standards Board (“FASB”) updated the accounting guidance related to the consolidation of variable interest entities (“VIEs”). The updated guidance (i) requires ongoing reassessments of whether an enterprise is the primary beneficiary of a VIE, (ii) changes the quantitative approach previously required for determining the primary beneficiary of a VIE and replaces it with a qualitative approach, and (iii) requires additional disclosure about an enterprise’s involvement in VIEs. We adopted the updated guidance on January 1, 2010 and it did not impact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2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Diluted EPS for the three months ended March 31, 2010 and 2009 excludes approximately 192 million and 181 million, respectively, of potential common shares related to our share-based compensation plans, because the inclusion of the potential common shares would have had an antidilutive effect.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5"/>
              </w:rPr>
              <w:t>Three Months Ended March 31</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Attributable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 Comcast</w:t>
            </w:r>
          </w:p>
        </w:tc>
        <w:tc>
          <w:tcPr>
            <w:tcW w:w="720" w:type="dxa"/>
            <w:vAlign w:val="bottom"/>
          </w:tcPr>
          <w:p>
            <w:pPr>
              <w:spacing w:after="0"/>
              <w:rPr>
                <w:sz w:val="12"/>
                <w:szCs w:val="12"/>
                <w:color w:val="auto"/>
              </w:rPr>
            </w:pPr>
          </w:p>
        </w:tc>
        <w:tc>
          <w:tcPr>
            <w:tcW w:w="72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620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1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Corporation</w:t>
            </w:r>
          </w:p>
        </w:tc>
        <w:tc>
          <w:tcPr>
            <w:tcW w:w="660" w:type="dxa"/>
            <w:vAlign w:val="bottom"/>
          </w:tcPr>
          <w:p>
            <w:pPr>
              <w:jc w:val="right"/>
              <w:ind w:right="40"/>
              <w:spacing w:after="0" w:line="159" w:lineRule="exact"/>
              <w:rPr>
                <w:sz w:val="20"/>
                <w:szCs w:val="20"/>
                <w:color w:val="auto"/>
              </w:rPr>
            </w:pPr>
            <w:r>
              <w:rPr>
                <w:rFonts w:ascii="Arial" w:cs="Arial" w:eastAsia="Arial" w:hAnsi="Arial"/>
                <w:sz w:val="14"/>
                <w:szCs w:val="14"/>
                <w:color w:val="auto"/>
              </w:rPr>
              <w:t>Shares</w:t>
            </w: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0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Corporation</w:t>
            </w:r>
          </w:p>
        </w:tc>
        <w:tc>
          <w:tcPr>
            <w:tcW w:w="72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72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99"/>
              </w:rPr>
              <w:t>Amount</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866</w:t>
            </w:r>
          </w:p>
        </w:tc>
        <w:tc>
          <w:tcPr>
            <w:tcW w:w="66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2,829</w:t>
            </w:r>
          </w:p>
        </w:tc>
        <w:tc>
          <w:tcPr>
            <w:tcW w:w="4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0.31</w:t>
            </w:r>
          </w:p>
        </w:tc>
        <w:tc>
          <w:tcPr>
            <w:tcW w:w="4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772</w:t>
            </w:r>
          </w:p>
        </w:tc>
        <w:tc>
          <w:tcPr>
            <w:tcW w:w="720" w:type="dxa"/>
            <w:vAlign w:val="bottom"/>
            <w:tcBorders>
              <w:top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2,885</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Assumed exercise or issuance of shares relating to stock plans</w:t>
            </w: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866</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2,837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0.31</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772</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2,890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 Universal Transaction</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will borrow $9.1 billion from third party lenders and will distribute the proceeds to GE at the closing of the transaction. We will contribute our national programming networks, our regional sports networks and certain of our Internet businesses, as well as other assets used primarily in those businesses, collectively valued at approximately $7.25 billion. We will also make a cash payment to GE of $7.1 billion less certain adjustments primarily based on the free cash flow generated by NBC Universal between December 4, 2009 and the closing. GE will be entitled to cause the new company to redeem half of GE’s interest 3.5 years after the closing and its remaining interest 7 years after the closing. If GE exercises its first redemption right, we have the right to purchase the remainder of GE’s interest. If GE does not exercise its first redemption right, we have the right to purchase half of GE’s interest 5 years after the closing. We also will have the right to purchase GE’s remaining interest, if any, 8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 The transaction is subject to various regulatory approvals and is expected to close by the end of 2010.</w:t>
      </w:r>
    </w:p>
    <w:p>
      <w:pPr>
        <w:spacing w:after="0" w:line="3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results of operations for the new company will be consolidated with our results of operations, as we will control the new company. When the transaction is completed, the NBC Universal businesses will be recorded at their fair value and the businesses we contribute will be recorded at their historical or carry-over basis. GE’s interest will be recorded as a redeemable noncontrolling interest in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2010, we acquired CIMCO Communications, Inc. (“CIMCO”), a phone and high-speed Internet service provider for businesses; Paciolan, Inc. (“Paciolan”), a developer of automated ticketing software; and New Global Telecom, Inc. (“NGT”), a phone service provider for small to medium-sized businesses; and made other smaller acquisitions for an aggregate purchase price of approximately $172 million. The results of operations for CIMCO and NGT are reported in our Cable segment. The results of operations for Paciolan are reported in Corporate and Other. The results of operations for these acquisitions have been included in our consolidated results of operations since their respective acquisition dates and were not material to our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20" w:type="dxa"/>
            <w:vAlign w:val="bottom"/>
            <w:gridSpan w:val="2"/>
          </w:tcPr>
          <w:p>
            <w:pPr>
              <w:ind w:left="2520"/>
              <w:spacing w:after="0"/>
              <w:rPr>
                <w:sz w:val="20"/>
                <w:szCs w:val="20"/>
                <w:color w:val="auto"/>
              </w:rPr>
            </w:pPr>
            <w:r>
              <w:rPr>
                <w:rFonts w:ascii="Arial" w:cs="Arial" w:eastAsia="Arial" w:hAnsi="Arial"/>
                <w:sz w:val="14"/>
                <w:szCs w:val="14"/>
                <w:color w:val="auto"/>
              </w:rPr>
              <w:t>March 31,</w:t>
            </w:r>
          </w:p>
        </w:tc>
        <w:tc>
          <w:tcPr>
            <w:tcW w:w="1120" w:type="dxa"/>
            <w:vAlign w:val="bottom"/>
            <w:gridSpan w:val="3"/>
          </w:tcPr>
          <w:p>
            <w:pPr>
              <w:ind w:left="340"/>
              <w:spacing w:after="0"/>
              <w:rPr>
                <w:sz w:val="20"/>
                <w:szCs w:val="20"/>
                <w:color w:val="auto"/>
              </w:rPr>
            </w:pPr>
            <w:r>
              <w:rPr>
                <w:rFonts w:ascii="Arial" w:cs="Arial" w:eastAsia="Arial" w:hAnsi="Arial"/>
                <w:sz w:val="14"/>
                <w:szCs w:val="14"/>
                <w:color w:val="auto"/>
                <w:w w:val="86"/>
              </w:rPr>
              <w:t>December 31,</w:t>
            </w:r>
          </w:p>
        </w:tc>
      </w:tr>
      <w:tr>
        <w:trPr>
          <w:trHeight w:val="159"/>
        </w:trPr>
        <w:tc>
          <w:tcPr>
            <w:tcW w:w="69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3"/>
                <w:szCs w:val="13"/>
                <w:color w:val="auto"/>
              </w:rPr>
            </w:pPr>
          </w:p>
        </w:tc>
        <w:tc>
          <w:tcPr>
            <w:tcW w:w="780" w:type="dxa"/>
            <w:vAlign w:val="bottom"/>
          </w:tcPr>
          <w:p>
            <w:pPr>
              <w:jc w:val="right"/>
              <w:ind w:right="395"/>
              <w:spacing w:after="0" w:line="159" w:lineRule="exact"/>
              <w:rPr>
                <w:sz w:val="20"/>
                <w:szCs w:val="20"/>
                <w:color w:val="auto"/>
              </w:rPr>
            </w:pPr>
            <w:r>
              <w:rPr>
                <w:rFonts w:ascii="Arial" w:cs="Arial" w:eastAsia="Arial" w:hAnsi="Arial"/>
                <w:sz w:val="14"/>
                <w:szCs w:val="14"/>
                <w:color w:val="auto"/>
                <w:w w:val="89"/>
              </w:rPr>
              <w:t>2010</w:t>
            </w:r>
          </w:p>
        </w:tc>
        <w:tc>
          <w:tcPr>
            <w:tcW w:w="50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640" w:type="dxa"/>
            <w:vAlign w:val="bottom"/>
            <w:tcBorders>
              <w:top w:val="single" w:sz="8" w:color="auto"/>
            </w:tcBorders>
            <w:shd w:val="clear" w:color="auto" w:fill="E5E5E5"/>
          </w:tcPr>
          <w:p>
            <w:pPr>
              <w:ind w:left="25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w w:val="93"/>
              </w:rPr>
              <w:t>2,294</w:t>
            </w:r>
          </w:p>
        </w:tc>
        <w:tc>
          <w:tcPr>
            <w:tcW w:w="50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26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w w:val="93"/>
              </w:rPr>
              <w:t>2,300</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26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w w:val="93"/>
              </w:rPr>
              <w:t>1,714</w:t>
            </w:r>
          </w:p>
        </w:tc>
        <w:tc>
          <w:tcPr>
            <w:tcW w:w="5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 investments</w:t>
            </w:r>
          </w:p>
        </w:tc>
        <w:tc>
          <w:tcPr>
            <w:tcW w:w="26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w w:val="93"/>
              </w:rPr>
              <w:t>6,308</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26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264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w w:val="93"/>
              </w:rPr>
              <w:t>6,267</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5,947</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2010 and December 31, 2009, the estimated fair value of the AirTouch redeemable preferred stock was $1.535 billion and $1.524 billion, respectively, which exceeded our carrying basis as of each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Arial" w:cs="Arial" w:eastAsia="Arial" w:hAnsi="Arial"/>
                <w:sz w:val="14"/>
                <w:szCs w:val="14"/>
                <w:color w:val="auto"/>
                <w:w w:val="89"/>
              </w:rPr>
              <w:t>2010</w:t>
            </w:r>
          </w:p>
        </w:tc>
        <w:tc>
          <w:tcPr>
            <w:tcW w:w="76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360</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Mark to market adjustments on derivative component of prepaid forward sale agreements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74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color w:val="auto"/>
              </w:rPr>
              <w:t>Corporate</w:t>
            </w:r>
          </w:p>
        </w:tc>
        <w:tc>
          <w:tcPr>
            <w:tcW w:w="920" w:type="dxa"/>
            <w:vAlign w:val="bottom"/>
          </w:tcPr>
          <w:p>
            <w:pPr>
              <w:spacing w:after="0"/>
              <w:rPr>
                <w:sz w:val="14"/>
                <w:szCs w:val="14"/>
                <w:color w:val="auto"/>
              </w:rPr>
            </w:pP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380" w:type="dxa"/>
            <w:vAlign w:val="bottom"/>
          </w:tcPr>
          <w:p>
            <w:pPr>
              <w:jc w:val="right"/>
              <w:ind w:right="396"/>
              <w:spacing w:after="0" w:line="159" w:lineRule="exact"/>
              <w:rPr>
                <w:sz w:val="20"/>
                <w:szCs w:val="20"/>
                <w:color w:val="auto"/>
              </w:rPr>
            </w:pPr>
            <w:r>
              <w:rPr>
                <w:rFonts w:ascii="Arial" w:cs="Arial" w:eastAsia="Arial" w:hAnsi="Arial"/>
                <w:sz w:val="14"/>
                <w:szCs w:val="14"/>
                <w:color w:val="auto"/>
              </w:rPr>
              <w:t>Cable</w:t>
            </w:r>
          </w:p>
        </w:tc>
        <w:tc>
          <w:tcPr>
            <w:tcW w:w="12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Programming</w:t>
            </w:r>
          </w:p>
        </w:tc>
        <w:tc>
          <w:tcPr>
            <w:tcW w:w="11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and Other</w:t>
            </w:r>
          </w:p>
        </w:tc>
        <w:tc>
          <w:tcPr>
            <w:tcW w:w="920" w:type="dxa"/>
            <w:vAlign w:val="bottom"/>
          </w:tcPr>
          <w:p>
            <w:pPr>
              <w:jc w:val="right"/>
              <w:ind w:right="13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2009(a)</w:t>
            </w:r>
          </w:p>
        </w:tc>
        <w:tc>
          <w:tcPr>
            <w:tcW w:w="338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$12,828</w:t>
            </w:r>
          </w:p>
        </w:tc>
        <w:tc>
          <w:tcPr>
            <w:tcW w:w="50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1,630</w:t>
            </w:r>
          </w:p>
        </w:tc>
        <w:tc>
          <w:tcPr>
            <w:tcW w:w="4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475</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$14,933</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Acquisitions</w:t>
            </w:r>
          </w:p>
        </w:tc>
        <w:tc>
          <w:tcPr>
            <w:tcW w:w="3380" w:type="dxa"/>
            <w:vAlign w:val="bottom"/>
          </w:tcPr>
          <w:p>
            <w:pPr>
              <w:jc w:val="right"/>
              <w:ind w:right="256"/>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19</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338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2010</w:t>
            </w:r>
          </w:p>
        </w:tc>
        <w:tc>
          <w:tcPr>
            <w:tcW w:w="33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$12,903</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1,633</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493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$15,029</w:t>
            </w:r>
          </w:p>
        </w:tc>
      </w:tr>
    </w:tbl>
    <w:p>
      <w:pPr>
        <w:spacing w:after="0" w:line="11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December 31, 2009 Cable segment and Corporate and Other amounts have been adjusted for segment reclassifications to be consistent with our 2010 management reporting presentation.</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Cable segment acquisitions for the three months ended March 31, 2010 were related to the acquisitions of CIMCO and NGT. Corporate and Other acquisitions for the three months ended March 31, 2010 related to the acquisition of Paciolan.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2010, we issued $1.4 billion principal amount of 5.15% notes due 2020 and $1.0 billion principal amount of 6.4% notes due 2040. The net proceeds of these issuances will be used for working capital and general corporate purposes, which may include the repayment of debt at its maturity and funding a portion of our payment to GE due upon closing of the NBC Universal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 and Derivative Financial Instruments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and equity prices. Our objective is to manage the financial and operational exposure arising from these risks by offsetting gains and losses on the underlying exposures with gains and losses on the derivatives used to economically hedge them. Derivative financial instruments that receive designated hedge accounting treatment are evaluated for effectiveness at the time they are designated, as well as throughout the hedging period. We do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not engage in any speculative or leveraged derivative transactions. All derivative transactions must comply with a derivatives policy authorized by our Board of Directors.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financial instruments that are not designated as a hedge, changes in fair value are recognized on a current basis in earnings.</w:t>
      </w:r>
    </w:p>
    <w:p>
      <w:pPr>
        <w:spacing w:after="0" w:line="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2010, our derivative financial instruments designated as hedges included (i) the derivative component of one of our prepaid forward sale agreements, which is recorded to other noncurrent liabilities, and (ii) our interest rate swap agreements, which are recorded to other current or noncurrent assets or liabilities. Changes in the fair value of the derivative component of our prepaid forward sale agreements are recorded to investment income (loss). Changes in the fair value of our interest rate swap agreements are recorded to interest expense. These amounts are completely offset by changes in the fair value of the related debt because the swaps are deemed to be 100% effective. The difference between variable and fixed rates to be paid or received under the terms of the interest rate swap agreements is accrued as interest rates change and recognized as an adjustment to interest expense for the related debt.</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2010, our derivative financial instruments not designated as hedges included (i) the derivative component of our indexed debt instruments (our ZONES debt), which is recorded to long-term debt, and (ii) the derivative component of certain of our prepaid forward sale agreements, which is recorded to other noncurrent liabilities.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2010, our debt had an estimated fair value of $33.383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3"/>
          </w:tcPr>
          <w:p>
            <w:pPr>
              <w:ind w:left="22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12"/>
              <w:spacing w:after="0" w:line="159" w:lineRule="exact"/>
              <w:rPr>
                <w:sz w:val="20"/>
                <w:szCs w:val="20"/>
                <w:color w:val="auto"/>
              </w:rPr>
            </w:pPr>
            <w:r>
              <w:rPr>
                <w:rFonts w:ascii="Arial" w:cs="Arial" w:eastAsia="Arial" w:hAnsi="Arial"/>
                <w:sz w:val="14"/>
                <w:szCs w:val="14"/>
                <w:color w:val="auto"/>
                <w:w w:val="91"/>
              </w:rPr>
              <w:t>Fair value as of March 31, 2010</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1000" w:type="dxa"/>
            <w:vAlign w:val="bottom"/>
            <w:gridSpan w:val="2"/>
          </w:tcPr>
          <w:p>
            <w:pPr>
              <w:jc w:val="right"/>
              <w:ind w:right="32"/>
              <w:spacing w:after="0" w:line="142" w:lineRule="exact"/>
              <w:rPr>
                <w:sz w:val="20"/>
                <w:szCs w:val="20"/>
                <w:color w:val="auto"/>
              </w:rPr>
            </w:pPr>
            <w:r>
              <w:rPr>
                <w:rFonts w:ascii="Arial" w:cs="Arial" w:eastAsia="Arial" w:hAnsi="Arial"/>
                <w:sz w:val="14"/>
                <w:szCs w:val="14"/>
                <w:color w:val="auto"/>
              </w:rPr>
              <w:t>Level 1</w:t>
            </w:r>
          </w:p>
        </w:tc>
        <w:tc>
          <w:tcPr>
            <w:tcW w:w="960" w:type="dxa"/>
            <w:vAlign w:val="bottom"/>
            <w:gridSpan w:val="2"/>
          </w:tcPr>
          <w:p>
            <w:pPr>
              <w:ind w:left="340"/>
              <w:spacing w:after="0" w:line="142" w:lineRule="exact"/>
              <w:rPr>
                <w:sz w:val="20"/>
                <w:szCs w:val="20"/>
                <w:color w:val="auto"/>
              </w:rPr>
            </w:pPr>
            <w:r>
              <w:rPr>
                <w:rFonts w:ascii="Arial" w:cs="Arial" w:eastAsia="Arial" w:hAnsi="Arial"/>
                <w:sz w:val="14"/>
                <w:szCs w:val="14"/>
                <w:color w:val="auto"/>
              </w:rPr>
              <w:t>Level 2</w:t>
            </w:r>
          </w:p>
        </w:tc>
        <w:tc>
          <w:tcPr>
            <w:tcW w:w="96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12"/>
                <w:szCs w:val="12"/>
                <w:color w:val="auto"/>
              </w:rPr>
            </w:pPr>
          </w:p>
        </w:tc>
        <w:tc>
          <w:tcPr>
            <w:tcW w:w="62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89"/>
              </w:rPr>
              <w:t>Total</w:t>
            </w:r>
          </w:p>
        </w:tc>
        <w:tc>
          <w:tcPr>
            <w:tcW w:w="380" w:type="dxa"/>
            <w:vAlign w:val="bottom"/>
          </w:tcPr>
          <w:p>
            <w:pPr>
              <w:spacing w:after="0"/>
              <w:rPr>
                <w:sz w:val="12"/>
                <w:szCs w:val="12"/>
                <w:color w:val="auto"/>
              </w:rPr>
            </w:pPr>
          </w:p>
        </w:tc>
        <w:tc>
          <w:tcPr>
            <w:tcW w:w="600" w:type="dxa"/>
            <w:vAlign w:val="bottom"/>
          </w:tcPr>
          <w:p>
            <w:pPr>
              <w:jc w:val="right"/>
              <w:ind w:right="156"/>
              <w:spacing w:after="0" w:line="142"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Trading securities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2,205</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w w:val="88"/>
              </w:rPr>
              <w:t>2,205</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87</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warrants</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18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3"/>
              </w:rPr>
              <w:t>171</w:t>
            </w: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2,292</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171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88"/>
              </w:rPr>
              <w:t>2,465</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1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Derivative component of ZONES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1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3"/>
              </w:rPr>
              <w:t>626</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626</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 agreements</w:t>
            </w:r>
          </w:p>
        </w:tc>
        <w:tc>
          <w:tcPr>
            <w:tcW w:w="1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E5E5E5"/>
          </w:tcPr>
          <w:p>
            <w:pPr>
              <w:spacing w:after="0"/>
              <w:rPr>
                <w:sz w:val="18"/>
                <w:szCs w:val="18"/>
                <w:color w:val="auto"/>
              </w:rPr>
            </w:pPr>
          </w:p>
        </w:tc>
        <w:tc>
          <w:tcPr>
            <w:tcW w:w="2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3"/>
              </w:rPr>
              <w:t>641</w:t>
            </w:r>
          </w:p>
        </w:tc>
        <w:tc>
          <w:tcPr>
            <w:tcW w:w="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641</w:t>
            </w:r>
          </w:p>
        </w:tc>
        <w:tc>
          <w:tcPr>
            <w:tcW w:w="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tcPr>
          <w:p>
            <w:pPr>
              <w:jc w:val="right"/>
              <w:ind w:right="812"/>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 on Derivative Financial Instruments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36"/>
              <w:spacing w:after="0" w:line="142" w:lineRule="exact"/>
              <w:rPr>
                <w:sz w:val="20"/>
                <w:szCs w:val="20"/>
                <w:color w:val="auto"/>
              </w:rPr>
            </w:pPr>
            <w:r>
              <w:rPr>
                <w:rFonts w:ascii="Arial" w:cs="Arial" w:eastAsia="Arial" w:hAnsi="Arial"/>
                <w:sz w:val="14"/>
                <w:szCs w:val="14"/>
                <w:color w:val="auto"/>
                <w:w w:val="83"/>
              </w:rPr>
              <w:t>2010</w:t>
            </w:r>
          </w:p>
        </w:tc>
        <w:tc>
          <w:tcPr>
            <w:tcW w:w="76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Designated Fair Value Hedging Relationships</w:t>
            </w:r>
          </w:p>
        </w:tc>
        <w:tc>
          <w:tcPr>
            <w:tcW w:w="7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rate swap agreements (fixed to variable)</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Long-term debt—interest rate swap agreements (fixed to variable)</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prepaid forward sale agreement</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Gain (loss) on fair value hedging relationships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Nondesignated</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341</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Mark to market adjustments on derivative component of prepaid forward sale agreements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ZONES</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gain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difference between variable and fixed rates received under the terms of our interest rate swap agreements reduced interest expense by approximately $32 million and $23 million during the three months ended March 31, 2010 and 2009,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1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2010, we acquired all of the noncontrolling interest of one of our technology ventures, which had a carrying value of approximately $20 million, for approximately $9 million. The difference between the amount paid and the carrying value of the noncontrolling interest resulted in an increase of approximately $11 million to additional paid-in capital of Comcast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20" w:type="dxa"/>
            <w:vAlign w:val="bottom"/>
            <w:gridSpan w:val="3"/>
          </w:tcPr>
          <w:p>
            <w:pPr>
              <w:ind w:left="960"/>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93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13"/>
                <w:szCs w:val="13"/>
                <w:color w:val="auto"/>
              </w:rPr>
            </w:pPr>
          </w:p>
        </w:tc>
        <w:tc>
          <w:tcPr>
            <w:tcW w:w="10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March 31, 2010</w:t>
            </w: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060" w:type="dxa"/>
            <w:vAlign w:val="bottom"/>
            <w:tcBorders>
              <w:top w:val="single" w:sz="8" w:color="auto"/>
            </w:tcBorders>
            <w:shd w:val="clear" w:color="auto" w:fill="E5E5E5"/>
          </w:tcPr>
          <w:p>
            <w:pPr>
              <w:ind w:left="96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jc w:val="right"/>
              <w:ind w:right="872"/>
              <w:spacing w:after="0"/>
              <w:rPr>
                <w:sz w:val="20"/>
                <w:szCs w:val="20"/>
                <w:color w:val="auto"/>
              </w:rPr>
            </w:pPr>
            <w:r>
              <w:rPr>
                <w:rFonts w:ascii="Arial" w:cs="Arial" w:eastAsia="Arial" w:hAnsi="Arial"/>
                <w:sz w:val="18"/>
                <w:szCs w:val="18"/>
                <w:color w:val="auto"/>
                <w:w w:val="93"/>
              </w:rPr>
              <w:t>Increase in Comcast Corporation additional paid-in capital resulting from the purchase of noncontrolling interest</w:t>
            </w:r>
          </w:p>
        </w:tc>
        <w:tc>
          <w:tcPr>
            <w:tcW w:w="10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from net income attributable to Comcast Corporation and transfers from (to) noncontrolling interests</w:t>
            </w:r>
          </w:p>
        </w:tc>
        <w:tc>
          <w:tcPr>
            <w:tcW w:w="10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r>
      <w:tr>
        <w:trPr>
          <w:trHeight w:val="363"/>
        </w:trPr>
        <w:tc>
          <w:tcPr>
            <w:tcW w:w="9320" w:type="dxa"/>
            <w:vAlign w:val="bottom"/>
            <w:gridSpan w:val="2"/>
          </w:tcPr>
          <w:p>
            <w:pPr>
              <w:jc w:val="right"/>
              <w:ind w:right="3412"/>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2010, we granted 30.9 million stock options and 8.4 million RSUs related to our annual management grant program. The fair values associated with these grants were $5.11 per stock option and $16.87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92"/>
              </w:rPr>
              <w:t>March 31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79"/>
              <w:spacing w:after="0" w:line="142" w:lineRule="exact"/>
              <w:rPr>
                <w:sz w:val="20"/>
                <w:szCs w:val="20"/>
                <w:color w:val="auto"/>
              </w:rPr>
            </w:pPr>
            <w:r>
              <w:rPr>
                <w:rFonts w:ascii="Arial" w:cs="Arial" w:eastAsia="Arial" w:hAnsi="Arial"/>
                <w:sz w:val="14"/>
                <w:szCs w:val="14"/>
                <w:color w:val="auto"/>
                <w:w w:val="89"/>
              </w:rPr>
              <w:t>2010</w:t>
            </w:r>
          </w:p>
        </w:tc>
        <w:tc>
          <w:tcPr>
            <w:tcW w:w="74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2010, there was $429 million and $401 million of unrecognized pretax compensation cost related to nonvested stock options and nonvested RSUs, respectively.</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$15 million for the three months ended March 31, 2010. For the three months ended March 31, 2009, the employee cost was $17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jc w:val="right"/>
              <w:ind w:right="138"/>
              <w:spacing w:after="0" w:line="142" w:lineRule="exact"/>
              <w:rPr>
                <w:sz w:val="20"/>
                <w:szCs w:val="20"/>
                <w:color w:val="auto"/>
              </w:rPr>
            </w:pPr>
            <w:r>
              <w:rPr>
                <w:rFonts w:ascii="Arial" w:cs="Arial" w:eastAsia="Arial" w:hAnsi="Arial"/>
                <w:sz w:val="14"/>
                <w:szCs w:val="14"/>
                <w:color w:val="auto"/>
                <w:w w:val="89"/>
              </w:rPr>
              <w:t>2010</w:t>
            </w:r>
          </w:p>
        </w:tc>
        <w:tc>
          <w:tcPr>
            <w:tcW w:w="76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23</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 net of deferred taxes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losses on cash flow hedges in the table above relate primarily to previous interest rate lock agreements entered into to fix the interest rates of certain of our debt obligations in advance of their issuance. As of March 31, 2010, we expect $16 million of unrealized losses, $10 million net of deferred taxes, to be reclassified as an adjustment to interest expense over the next 12 months.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38"/>
              <w:spacing w:after="0" w:line="159" w:lineRule="exact"/>
              <w:rPr>
                <w:sz w:val="20"/>
                <w:szCs w:val="20"/>
                <w:color w:val="auto"/>
              </w:rPr>
            </w:pPr>
            <w:r>
              <w:rPr>
                <w:rFonts w:ascii="Arial" w:cs="Arial" w:eastAsia="Arial" w:hAnsi="Arial"/>
                <w:sz w:val="14"/>
                <w:szCs w:val="14"/>
                <w:color w:val="auto"/>
              </w:rPr>
              <w:t>March 31</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1080" w:type="dxa"/>
            <w:vAlign w:val="bottom"/>
            <w:gridSpan w:val="2"/>
          </w:tcPr>
          <w:p>
            <w:pPr>
              <w:jc w:val="right"/>
              <w:ind w:right="157"/>
              <w:spacing w:after="0" w:line="142" w:lineRule="exact"/>
              <w:rPr>
                <w:sz w:val="20"/>
                <w:szCs w:val="20"/>
                <w:color w:val="auto"/>
              </w:rPr>
            </w:pPr>
            <w:r>
              <w:rPr>
                <w:rFonts w:ascii="Arial" w:cs="Arial" w:eastAsia="Arial" w:hAnsi="Arial"/>
                <w:sz w:val="14"/>
                <w:szCs w:val="14"/>
                <w:color w:val="auto"/>
              </w:rPr>
              <w:t>2010</w:t>
            </w:r>
          </w:p>
        </w:tc>
        <w:tc>
          <w:tcPr>
            <w:tcW w:w="1080" w:type="dxa"/>
            <w:vAlign w:val="bottom"/>
            <w:gridSpan w:val="2"/>
          </w:tcPr>
          <w:p>
            <w:pPr>
              <w:jc w:val="right"/>
              <w:ind w:right="154"/>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640" w:type="dxa"/>
            <w:vAlign w:val="bottom"/>
            <w:tcBorders>
              <w:top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879</w:t>
            </w:r>
          </w:p>
        </w:tc>
        <w:tc>
          <w:tcPr>
            <w:tcW w:w="640" w:type="dxa"/>
            <w:vAlign w:val="bottom"/>
            <w:tcBorders>
              <w:top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from consolidated operations to net cash provided by operating activities: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1080" w:type="dxa"/>
            <w:vAlign w:val="bottom"/>
            <w:gridSpan w:val="2"/>
            <w:shd w:val="clear" w:color="auto" w:fill="E5E5E5"/>
          </w:tcPr>
          <w:p>
            <w:pPr>
              <w:jc w:val="right"/>
              <w:ind w:right="17"/>
              <w:spacing w:after="0"/>
              <w:rPr>
                <w:sz w:val="20"/>
                <w:szCs w:val="20"/>
                <w:color w:val="auto"/>
              </w:rPr>
            </w:pPr>
            <w:r>
              <w:rPr>
                <w:rFonts w:ascii="Arial" w:cs="Arial" w:eastAsia="Arial" w:hAnsi="Arial"/>
                <w:sz w:val="18"/>
                <w:szCs w:val="18"/>
                <w:color w:val="auto"/>
              </w:rPr>
              <w:t>1,379</w:t>
            </w:r>
          </w:p>
        </w:tc>
        <w:tc>
          <w:tcPr>
            <w:tcW w:w="1080" w:type="dxa"/>
            <w:vAlign w:val="bottom"/>
            <w:gridSpan w:val="2"/>
            <w:shd w:val="clear" w:color="auto" w:fill="E5E5E5"/>
          </w:tcPr>
          <w:p>
            <w:pPr>
              <w:jc w:val="right"/>
              <w:ind w:right="14"/>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251</w:t>
            </w:r>
          </w:p>
        </w:tc>
        <w:tc>
          <w:tcPr>
            <w:tcW w:w="6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82</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64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32</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143</w:t>
            </w: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6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240</w:t>
            </w:r>
          </w:p>
        </w:tc>
        <w:tc>
          <w:tcPr>
            <w:tcW w:w="6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0"/>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$ 2,903</w:t>
            </w:r>
          </w:p>
        </w:tc>
        <w:tc>
          <w:tcPr>
            <w:tcW w:w="10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$ 2,512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240" w:type="dxa"/>
            <w:vAlign w:val="bottom"/>
            <w:gridSpan w:val="2"/>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4"/>
                <w:szCs w:val="14"/>
                <w:color w:val="auto"/>
                <w:w w:val="85"/>
              </w:rPr>
              <w:t>March 31</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jc w:val="right"/>
              <w:ind w:right="57"/>
              <w:spacing w:after="0" w:line="142" w:lineRule="exact"/>
              <w:rPr>
                <w:sz w:val="20"/>
                <w:szCs w:val="20"/>
                <w:color w:val="auto"/>
              </w:rPr>
            </w:pPr>
            <w:r>
              <w:rPr>
                <w:rFonts w:ascii="Arial" w:cs="Arial" w:eastAsia="Arial" w:hAnsi="Arial"/>
                <w:sz w:val="14"/>
                <w:szCs w:val="14"/>
                <w:color w:val="auto"/>
                <w:w w:val="89"/>
              </w:rPr>
              <w:t>2010</w:t>
            </w:r>
          </w:p>
        </w:tc>
        <w:tc>
          <w:tcPr>
            <w:tcW w:w="64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615</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2010,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a liability of approximately $267 million for a quarterly cash dividend of $0.0945 per common share paid in April 2010, which is a noncash financing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approximately $368 million of property and equipment and software that was accrued but unpaid, which is a noncash investing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subsidiaries supports debt compliance with respect to obligations of a cable system in which we hold an ownership interest, which expires March 2011. Although there can be no assurance, we believe that this cable system will be able to support its debt compliance requirements on its own and that we will not be required to fund our obligation under this commitment. The total notional amount of our commitment was $410 million as of March 31, 2010, at which time there were no quoted market prices for similar agreements.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March 2010, we moved for summary judgment dismissing all of the plaintiffs’ claims in the Philadelphia Cluster. The plaintiffs’ claims concerning the other two clusters are stayed pending determination of the Philadelphia Cluster claims.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The plaintiffs have appealed that order to the Ninth Circuit Court of Appeals.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are the defendant in twenty-two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w:t>
      </w:r>
    </w:p>
    <w:p>
      <w:pPr>
        <w:spacing w:after="0" w:line="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several of our current officers have been named as defendants in a purported class action lawsuit filed in the United States District Court for the Eastern District of Pennsylvania in February 2008. The potential class comprises participants in our retirement investment (401(k)) plan that invested in the plan’s company stock account. The plaintiffs assert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In April 2010, the Eastern District of Pennsylvania certified the class, although we have filed a petition in the Court of Appeals for the Third Circuit seeking to appeal that ruling. The plaintiffs seek unspecified damages.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the Cable segment. Our financial data by business segment is presented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color w:val="auto"/>
              </w:rPr>
              <w:t>Corporate and</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gridSpan w:val="3"/>
          </w:tcPr>
          <w:p>
            <w:pPr>
              <w:spacing w:after="0" w:line="159" w:lineRule="exact"/>
              <w:rPr>
                <w:sz w:val="20"/>
                <w:szCs w:val="20"/>
                <w:color w:val="auto"/>
              </w:rPr>
            </w:pPr>
            <w:r>
              <w:rPr>
                <w:rFonts w:ascii="Arial" w:cs="Arial" w:eastAsia="Arial" w:hAnsi="Arial"/>
                <w:sz w:val="14"/>
                <w:szCs w:val="14"/>
                <w:color w:val="auto"/>
              </w:rPr>
              <w:t>(in millions)</w:t>
            </w:r>
          </w:p>
        </w:tc>
        <w:tc>
          <w:tcPr>
            <w:tcW w:w="15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Cable(a)(b)</w:t>
            </w:r>
          </w:p>
        </w:tc>
        <w:tc>
          <w:tcPr>
            <w:tcW w:w="160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Programming(c)</w:t>
            </w:r>
          </w:p>
        </w:tc>
        <w:tc>
          <w:tcPr>
            <w:tcW w:w="13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Other(d)(e)</w:t>
            </w:r>
          </w:p>
        </w:tc>
        <w:tc>
          <w:tcPr>
            <w:tcW w:w="192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Eliminations(f)</w:t>
            </w:r>
          </w:p>
        </w:tc>
        <w:tc>
          <w:tcPr>
            <w:tcW w:w="680" w:type="dxa"/>
            <w:vAlign w:val="bottom"/>
          </w:tcPr>
          <w:p>
            <w:pPr>
              <w:jc w:val="right"/>
              <w:ind w:right="42"/>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7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8,677</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385</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245</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(105)</w:t>
            </w:r>
          </w:p>
        </w:tc>
        <w:tc>
          <w:tcPr>
            <w:tcW w:w="680" w:type="dxa"/>
            <w:vAlign w:val="bottom"/>
          </w:tcPr>
          <w:p>
            <w:pPr>
              <w:jc w:val="right"/>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(h)</w:t>
            </w:r>
          </w:p>
        </w:tc>
        <w:tc>
          <w:tcPr>
            <w:tcW w:w="7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3,542</w:t>
            </w:r>
          </w:p>
        </w:tc>
        <w:tc>
          <w:tcPr>
            <w:tcW w:w="7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(99)</w:t>
            </w:r>
          </w:p>
        </w:tc>
        <w:tc>
          <w:tcPr>
            <w:tcW w:w="680" w:type="dxa"/>
            <w:vAlign w:val="bottom"/>
            <w:shd w:val="clear" w:color="auto" w:fill="E5E5E5"/>
          </w:tcPr>
          <w:p>
            <w:pPr>
              <w:spacing w:after="0"/>
              <w:rPr>
                <w:sz w:val="19"/>
                <w:szCs w:val="19"/>
                <w:color w:val="auto"/>
              </w:rPr>
            </w:pPr>
          </w:p>
        </w:tc>
        <w:tc>
          <w:tcPr>
            <w:tcW w:w="1240" w:type="dxa"/>
            <w:vAlign w:val="bottom"/>
            <w:shd w:val="clear" w:color="auto" w:fill="E5E5E5"/>
          </w:tcPr>
          <w:p>
            <w:pPr>
              <w:jc w:val="right"/>
              <w:ind w:right="482"/>
              <w:spacing w:after="0"/>
              <w:rPr>
                <w:sz w:val="20"/>
                <w:szCs w:val="20"/>
                <w:color w:val="auto"/>
              </w:rPr>
            </w:pPr>
            <w:r>
              <w:rPr>
                <w:rFonts w:ascii="Arial" w:cs="Arial" w:eastAsia="Arial" w:hAnsi="Arial"/>
                <w:sz w:val="18"/>
                <w:szCs w:val="18"/>
                <w:color w:val="auto"/>
              </w:rPr>
              <w:t>1</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1,555</w:t>
            </w:r>
          </w:p>
        </w:tc>
        <w:tc>
          <w:tcPr>
            <w:tcW w:w="7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(8)</w:t>
            </w:r>
          </w:p>
        </w:tc>
        <w:tc>
          <w:tcPr>
            <w:tcW w:w="680" w:type="dxa"/>
            <w:vAlign w:val="bottom"/>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1,987</w:t>
            </w: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67</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(128)</w:t>
            </w:r>
          </w:p>
        </w:tc>
        <w:tc>
          <w:tcPr>
            <w:tcW w:w="68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482"/>
              <w:spacing w:after="0"/>
              <w:rPr>
                <w:sz w:val="20"/>
                <w:szCs w:val="20"/>
                <w:color w:val="auto"/>
              </w:rPr>
            </w:pPr>
            <w:r>
              <w:rPr>
                <w:rFonts w:ascii="Arial" w:cs="Arial" w:eastAsia="Arial" w:hAnsi="Arial"/>
                <w:sz w:val="18"/>
                <w:szCs w:val="18"/>
                <w:color w:val="auto"/>
              </w:rPr>
              <w:t>9</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913</w:t>
            </w:r>
          </w:p>
        </w:tc>
        <w:tc>
          <w:tcPr>
            <w:tcW w:w="72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124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2009</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(g)(i)(j)</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8,383</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361</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206</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(84)</w:t>
            </w:r>
          </w:p>
        </w:tc>
        <w:tc>
          <w:tcPr>
            <w:tcW w:w="680" w:type="dxa"/>
            <w:vAlign w:val="bottom"/>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(h)(i)</w:t>
            </w:r>
          </w:p>
        </w:tc>
        <w:tc>
          <w:tcPr>
            <w:tcW w:w="7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3,404</w:t>
            </w:r>
          </w:p>
        </w:tc>
        <w:tc>
          <w:tcPr>
            <w:tcW w:w="7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(70)</w:t>
            </w:r>
          </w:p>
        </w:tc>
        <w:tc>
          <w:tcPr>
            <w:tcW w:w="680" w:type="dxa"/>
            <w:vAlign w:val="bottom"/>
            <w:shd w:val="clear" w:color="auto" w:fill="E5E5E5"/>
          </w:tcPr>
          <w:p>
            <w:pPr>
              <w:spacing w:after="0"/>
              <w:rPr>
                <w:sz w:val="19"/>
                <w:szCs w:val="19"/>
                <w:color w:val="auto"/>
              </w:rPr>
            </w:pPr>
          </w:p>
        </w:tc>
        <w:tc>
          <w:tcPr>
            <w:tcW w:w="1240" w:type="dxa"/>
            <w:vAlign w:val="bottom"/>
            <w:shd w:val="clear" w:color="auto" w:fill="E5E5E5"/>
          </w:tcPr>
          <w:p>
            <w:pPr>
              <w:jc w:val="right"/>
              <w:ind w:right="422"/>
              <w:spacing w:after="0"/>
              <w:rPr>
                <w:sz w:val="20"/>
                <w:szCs w:val="20"/>
                <w:color w:val="auto"/>
              </w:rPr>
            </w:pPr>
            <w:r>
              <w:rPr>
                <w:rFonts w:ascii="Arial" w:cs="Arial" w:eastAsia="Arial" w:hAnsi="Arial"/>
                <w:sz w:val="18"/>
                <w:szCs w:val="18"/>
                <w:color w:val="auto"/>
              </w:rPr>
              <w:t>(2)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1"/>
                <w:szCs w:val="11"/>
                <w:color w:val="auto"/>
              </w:rPr>
              <w:t>(i)</w:t>
            </w:r>
          </w:p>
        </w:tc>
        <w:tc>
          <w:tcPr>
            <w:tcW w:w="70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1,565</w:t>
            </w:r>
          </w:p>
        </w:tc>
        <w:tc>
          <w:tcPr>
            <w:tcW w:w="7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(7)</w:t>
            </w:r>
          </w:p>
        </w:tc>
        <w:tc>
          <w:tcPr>
            <w:tcW w:w="68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11"/>
                <w:szCs w:val="11"/>
                <w:color w:val="auto"/>
              </w:rPr>
              <w:t>(i)</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1,839</w:t>
            </w: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63</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(96)</w:t>
            </w:r>
          </w:p>
        </w:tc>
        <w:tc>
          <w:tcPr>
            <w:tcW w:w="68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482"/>
              <w:spacing w:after="0"/>
              <w:rPr>
                <w:sz w:val="20"/>
                <w:szCs w:val="20"/>
                <w:color w:val="auto"/>
              </w:rPr>
            </w:pPr>
            <w:r>
              <w:rPr>
                <w:rFonts w:ascii="Arial" w:cs="Arial" w:eastAsia="Arial" w:hAnsi="Arial"/>
                <w:sz w:val="18"/>
                <w:szCs w:val="18"/>
                <w:color w:val="auto"/>
              </w:rPr>
              <w:t>5</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7"/>
              </w:rPr>
              <w:t>1,130</w:t>
            </w: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Arial" w:cs="Arial" w:eastAsia="Arial" w:hAnsi="Arial"/>
                <w:sz w:val="14"/>
                <w:szCs w:val="14"/>
                <w:color w:val="auto"/>
              </w:rPr>
              <w:t>(a)   Cable segment revenue was derived from the following services: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20" w:type="dxa"/>
            <w:vAlign w:val="bottom"/>
            <w:gridSpan w:val="2"/>
          </w:tcPr>
          <w:p>
            <w:pPr>
              <w:jc w:val="right"/>
              <w:ind w:right="422"/>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shd w:val="clear" w:color="auto" w:fill="E5E5E5"/>
          </w:tcPr>
          <w:p>
            <w:pPr>
              <w:spacing w:after="0" w:line="142" w:lineRule="exact"/>
              <w:rPr>
                <w:sz w:val="20"/>
                <w:szCs w:val="20"/>
                <w:color w:val="auto"/>
              </w:rPr>
            </w:pPr>
            <w:r>
              <w:rPr>
                <w:rFonts w:ascii="Arial" w:cs="Arial" w:eastAsia="Arial" w:hAnsi="Arial"/>
                <w:sz w:val="11"/>
                <w:szCs w:val="11"/>
                <w:color w:val="auto"/>
              </w:rPr>
              <w:t>Video</w:t>
            </w:r>
            <w:r>
              <w:rPr>
                <w:rFonts w:ascii="Arial" w:cs="Arial" w:eastAsia="Arial" w:hAnsi="Arial"/>
                <w:sz w:val="16"/>
                <w:szCs w:val="16"/>
                <w:color w:val="auto"/>
                <w:vertAlign w:val="superscript"/>
              </w:rPr>
              <w:t>(j)</w:t>
            </w:r>
          </w:p>
        </w:tc>
        <w:tc>
          <w:tcPr>
            <w:tcW w:w="7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1240" w:type="dxa"/>
            <w:vAlign w:val="bottom"/>
            <w:shd w:val="clear" w:color="auto" w:fill="E5E5E5"/>
          </w:tcPr>
          <w:p>
            <w:pPr>
              <w:jc w:val="right"/>
              <w:ind w:right="582"/>
              <w:spacing w:after="0" w:line="142" w:lineRule="exact"/>
              <w:rPr>
                <w:sz w:val="20"/>
                <w:szCs w:val="20"/>
                <w:color w:val="auto"/>
              </w:rPr>
            </w:pPr>
            <w:r>
              <w:rPr>
                <w:rFonts w:ascii="Arial" w:cs="Arial" w:eastAsia="Arial" w:hAnsi="Arial"/>
                <w:sz w:val="14"/>
                <w:szCs w:val="14"/>
                <w:color w:val="auto"/>
              </w:rPr>
              <w:t>55.8%</w:t>
            </w:r>
          </w:p>
        </w:tc>
        <w:tc>
          <w:tcPr>
            <w:tcW w:w="6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jc w:val="right"/>
              <w:ind w:right="582"/>
              <w:spacing w:after="0" w:line="149" w:lineRule="exact"/>
              <w:rPr>
                <w:sz w:val="20"/>
                <w:szCs w:val="20"/>
                <w:color w:val="auto"/>
              </w:rPr>
            </w:pPr>
            <w:r>
              <w:rPr>
                <w:rFonts w:ascii="Arial" w:cs="Arial" w:eastAsia="Arial" w:hAnsi="Arial"/>
                <w:sz w:val="14"/>
                <w:szCs w:val="14"/>
                <w:color w:val="auto"/>
              </w:rPr>
              <w:t>23.9%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7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1240" w:type="dxa"/>
            <w:vAlign w:val="bottom"/>
            <w:shd w:val="clear" w:color="auto" w:fill="E5E5E5"/>
          </w:tcPr>
          <w:p>
            <w:pPr>
              <w:jc w:val="right"/>
              <w:ind w:right="582"/>
              <w:spacing w:after="0" w:line="149" w:lineRule="exact"/>
              <w:rPr>
                <w:sz w:val="20"/>
                <w:szCs w:val="20"/>
                <w:color w:val="auto"/>
              </w:rPr>
            </w:pPr>
            <w:r>
              <w:rPr>
                <w:rFonts w:ascii="Arial" w:cs="Arial" w:eastAsia="Arial" w:hAnsi="Arial"/>
                <w:sz w:val="14"/>
                <w:szCs w:val="14"/>
                <w:color w:val="auto"/>
              </w:rPr>
              <w:t>10.1%</w:t>
            </w: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1"/>
                <w:szCs w:val="11"/>
                <w:color w:val="auto"/>
              </w:rPr>
              <w:t>Advertising</w:t>
            </w:r>
            <w:r>
              <w:rPr>
                <w:rFonts w:ascii="Arial" w:cs="Arial" w:eastAsia="Arial" w:hAnsi="Arial"/>
                <w:sz w:val="17"/>
                <w:szCs w:val="17"/>
                <w:color w:val="auto"/>
                <w:vertAlign w:val="superscript"/>
              </w:rPr>
              <w:t>(j)</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jc w:val="right"/>
              <w:ind w:right="582"/>
              <w:spacing w:after="0" w:line="149" w:lineRule="exact"/>
              <w:rPr>
                <w:sz w:val="20"/>
                <w:szCs w:val="20"/>
                <w:color w:val="auto"/>
              </w:rPr>
            </w:pPr>
            <w:r>
              <w:rPr>
                <w:rFonts w:ascii="Arial" w:cs="Arial" w:eastAsia="Arial" w:hAnsi="Arial"/>
                <w:sz w:val="14"/>
                <w:szCs w:val="14"/>
                <w:color w:val="auto"/>
              </w:rPr>
              <w:t>4.2%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7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1240" w:type="dxa"/>
            <w:vAlign w:val="bottom"/>
            <w:shd w:val="clear" w:color="auto" w:fill="E5E5E5"/>
          </w:tcPr>
          <w:p>
            <w:pPr>
              <w:jc w:val="right"/>
              <w:ind w:right="582"/>
              <w:spacing w:after="0" w:line="149" w:lineRule="exact"/>
              <w:rPr>
                <w:sz w:val="20"/>
                <w:szCs w:val="20"/>
                <w:color w:val="auto"/>
              </w:rPr>
            </w:pPr>
            <w:r>
              <w:rPr>
                <w:rFonts w:ascii="Arial" w:cs="Arial" w:eastAsia="Arial" w:hAnsi="Arial"/>
                <w:sz w:val="14"/>
                <w:szCs w:val="14"/>
                <w:color w:val="auto"/>
              </w:rPr>
              <w:t>2.8%</w:t>
            </w: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(j)</w:t>
            </w: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2"/>
              <w:spacing w:after="0" w:line="149" w:lineRule="exact"/>
              <w:rPr>
                <w:sz w:val="20"/>
                <w:szCs w:val="20"/>
                <w:color w:val="auto"/>
              </w:rPr>
            </w:pPr>
            <w:r>
              <w:rPr>
                <w:rFonts w:ascii="Arial" w:cs="Arial" w:eastAsia="Arial" w:hAnsi="Arial"/>
                <w:sz w:val="14"/>
                <w:szCs w:val="14"/>
                <w:color w:val="auto"/>
              </w:rPr>
              <w:t>3.2%</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tcBorders>
              <w:bottom w:val="single" w:sz="8" w:color="auto"/>
            </w:tcBorders>
            <w:shd w:val="clear" w:color="auto" w:fill="E5E5E5"/>
          </w:tcPr>
          <w:p>
            <w:pPr>
              <w:ind w:left="440"/>
              <w:spacing w:after="0" w:line="142" w:lineRule="exact"/>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spacing w:after="0"/>
              <w:rPr>
                <w:sz w:val="12"/>
                <w:szCs w:val="12"/>
                <w:color w:val="auto"/>
              </w:rPr>
            </w:pPr>
          </w:p>
        </w:tc>
        <w:tc>
          <w:tcPr>
            <w:tcW w:w="8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1240" w:type="dxa"/>
            <w:vAlign w:val="bottom"/>
            <w:tcBorders>
              <w:bottom w:val="single" w:sz="8" w:color="auto"/>
            </w:tcBorders>
            <w:shd w:val="clear" w:color="auto" w:fill="E5E5E5"/>
          </w:tcPr>
          <w:p>
            <w:pPr>
              <w:jc w:val="right"/>
              <w:ind w:right="582"/>
              <w:spacing w:after="0" w:line="142" w:lineRule="exact"/>
              <w:rPr>
                <w:sz w:val="20"/>
                <w:szCs w:val="20"/>
                <w:color w:val="auto"/>
              </w:rPr>
            </w:pPr>
            <w:r>
              <w:rPr>
                <w:rFonts w:ascii="Arial" w:cs="Arial" w:eastAsia="Arial" w:hAnsi="Arial"/>
                <w:sz w:val="14"/>
                <w:szCs w:val="14"/>
                <w:color w:val="auto"/>
              </w:rPr>
              <w:t>100.0%</w:t>
            </w:r>
          </w:p>
        </w:tc>
        <w:tc>
          <w:tcPr>
            <w:tcW w:w="6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E!, Golf Channel, VERSUS, G4 and Style.</w:t>
      </w:r>
    </w:p>
    <w:p>
      <w:pPr>
        <w:spacing w:after="0" w:line="55"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operating results of our less than wholly owned technology development ventures (see “(e)” below), corporate activities and all other businesses not presented in our Cable or Programming segments.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that we control or of which we are considered the primary beneficiary. These ventures are with various corporate partners, such as Motorola.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of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28"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2009 Cable segment and Corporate and Other amounts have been adjusted for segment reclassifications to be consistent with our 2010 management reporting presentation. The adjustments resulted in the reclassification of revenue, operating income (loss) before depreciation and amortization, depreciation and amortization, and operating income from Corporate and Other to our Cable segment for the amounts presented below:</w:t>
      </w:r>
    </w:p>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4480" w:type="dxa"/>
            <w:vAlign w:val="bottom"/>
            <w:gridSpan w:val="2"/>
          </w:tcPr>
          <w:p>
            <w:pPr>
              <w:ind w:left="3260"/>
              <w:spacing w:after="0"/>
              <w:rPr>
                <w:sz w:val="20"/>
                <w:szCs w:val="20"/>
                <w:color w:val="auto"/>
              </w:rPr>
            </w:pPr>
            <w:r>
              <w:rPr>
                <w:rFonts w:ascii="Arial" w:cs="Arial" w:eastAsia="Arial" w:hAnsi="Arial"/>
                <w:sz w:val="14"/>
                <w:szCs w:val="14"/>
                <w:color w:val="auto"/>
                <w:w w:val="91"/>
              </w:rPr>
              <w:t>Three Months Ended</w:t>
            </w:r>
          </w:p>
        </w:tc>
      </w:tr>
      <w:tr>
        <w:trPr>
          <w:trHeight w:val="159"/>
        </w:trPr>
        <w:tc>
          <w:tcPr>
            <w:tcW w:w="6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w w:val="90"/>
              </w:rPr>
              <w:t>March 31, 2009</w:t>
            </w:r>
          </w:p>
        </w:tc>
      </w:tr>
      <w:tr>
        <w:trPr>
          <w:trHeight w:val="142"/>
        </w:trPr>
        <w:tc>
          <w:tcPr>
            <w:tcW w:w="65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3360" w:type="dxa"/>
            <w:vAlign w:val="bottom"/>
            <w:shd w:val="clear" w:color="auto" w:fill="E5E5E5"/>
          </w:tcPr>
          <w:p>
            <w:pPr>
              <w:ind w:left="326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w:t>
            </w: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Operating income (loss) before depreciation and amortization</w:t>
            </w:r>
          </w:p>
        </w:tc>
        <w:tc>
          <w:tcPr>
            <w:tcW w:w="3360" w:type="dxa"/>
            <w:vAlign w:val="bottom"/>
          </w:tcPr>
          <w:p>
            <w:pPr>
              <w:ind w:left="326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65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360" w:type="dxa"/>
            <w:vAlign w:val="bottom"/>
            <w:shd w:val="clear" w:color="auto" w:fill="E5E5E5"/>
          </w:tcPr>
          <w:p>
            <w:pPr>
              <w:ind w:left="326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w:t>
            </w:r>
          </w:p>
        </w:tc>
      </w:tr>
      <w:tr>
        <w:trPr>
          <w:trHeight w:val="149"/>
        </w:trPr>
        <w:tc>
          <w:tcPr>
            <w:tcW w:w="6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Operating income (loss)</w:t>
            </w:r>
          </w:p>
        </w:tc>
        <w:tc>
          <w:tcPr>
            <w:tcW w:w="3360" w:type="dxa"/>
            <w:vAlign w:val="bottom"/>
            <w:tcBorders>
              <w:bottom w:val="single" w:sz="8" w:color="auto"/>
            </w:tcBorders>
          </w:tcPr>
          <w:p>
            <w:pPr>
              <w:ind w:left="326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r>
    </w:tbl>
    <w:p>
      <w:pPr>
        <w:spacing w:after="0" w:line="5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Reclassifications have been made to prior year amounts between revenue and operating expenses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wholly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Comcast Corporation provides an unconditional subordinated guarantee of the $211 million principal amount currently outstanding of Comcast Holdings’ ZONES due October 2029 and the $202 million principal amount currently outstanding of Comcast Holdings’ 10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22"/>
          <w:szCs w:val="22"/>
          <w:color w:val="auto"/>
          <w:vertAlign w:val="subscript"/>
        </w:rPr>
        <w:t>8</w:t>
      </w:r>
      <w:r>
        <w:rPr>
          <w:rFonts w:ascii="Arial" w:cs="Arial" w:eastAsia="Arial" w:hAnsi="Arial"/>
          <w:sz w:val="18"/>
          <w:szCs w:val="18"/>
          <w:color w:val="auto"/>
        </w:rPr>
        <w:t>% senior subordinated debentures due 2012. Comcast Corporation does not guarantee the $71 million principal amount outstanding of Comcast Holdings’ ZONES due November 2029. We have included Comcast Holdings’ condensed consolidated financial information for all periods presented. Our condensed consolidating financial information is presented in the tables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Combined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2"/>
              </w:rPr>
              <w:t>Non-</w:t>
            </w:r>
          </w:p>
        </w:tc>
        <w:tc>
          <w:tcPr>
            <w:tcW w:w="200" w:type="dxa"/>
            <w:vAlign w:val="bottom"/>
          </w:tcPr>
          <w:p>
            <w:pPr>
              <w:spacing w:after="0"/>
              <w:rPr>
                <w:sz w:val="12"/>
                <w:szCs w:val="12"/>
                <w:color w:val="auto"/>
              </w:rPr>
            </w:pPr>
          </w:p>
        </w:tc>
        <w:tc>
          <w:tcPr>
            <w:tcW w:w="980" w:type="dxa"/>
            <w:vAlign w:val="bottom"/>
          </w:tcPr>
          <w:p>
            <w:pPr>
              <w:jc w:val="center"/>
              <w:ind w:right="214"/>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3"/>
          </w:tcPr>
          <w:p>
            <w:pPr>
              <w:jc w:val="center"/>
              <w:ind w:left="36"/>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w w:val="83"/>
              </w:rPr>
              <w:t>Comcast</w:t>
            </w:r>
          </w:p>
        </w:tc>
        <w:tc>
          <w:tcPr>
            <w:tcW w:w="300" w:type="dxa"/>
            <w:vAlign w:val="bottom"/>
          </w:tcPr>
          <w:p>
            <w:pPr>
              <w:spacing w:after="0"/>
              <w:rPr>
                <w:sz w:val="12"/>
                <w:szCs w:val="12"/>
                <w:color w:val="auto"/>
              </w:rPr>
            </w:pPr>
          </w:p>
        </w:tc>
        <w:tc>
          <w:tcPr>
            <w:tcW w:w="66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94"/>
              </w:rPr>
              <w:t>CCCL</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CCHMO</w:t>
            </w:r>
          </w:p>
        </w:tc>
        <w:tc>
          <w:tcPr>
            <w:tcW w:w="200" w:type="dxa"/>
            <w:vAlign w:val="bottom"/>
          </w:tcPr>
          <w:p>
            <w:pPr>
              <w:spacing w:after="0"/>
              <w:rPr>
                <w:sz w:val="12"/>
                <w:szCs w:val="12"/>
                <w:color w:val="auto"/>
              </w:rPr>
            </w:pPr>
          </w:p>
        </w:tc>
        <w:tc>
          <w:tcPr>
            <w:tcW w:w="68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3"/>
              </w:rPr>
              <w:t>Comcast</w:t>
            </w:r>
          </w:p>
        </w:tc>
        <w:tc>
          <w:tcPr>
            <w:tcW w:w="220" w:type="dxa"/>
            <w:vAlign w:val="bottom"/>
          </w:tcPr>
          <w:p>
            <w:pPr>
              <w:spacing w:after="0"/>
              <w:rPr>
                <w:sz w:val="12"/>
                <w:szCs w:val="12"/>
                <w:color w:val="auto"/>
              </w:rPr>
            </w:pPr>
          </w:p>
        </w:tc>
        <w:tc>
          <w:tcPr>
            <w:tcW w:w="76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85"/>
              </w:rPr>
              <w:t>Guarantor</w:t>
            </w:r>
          </w:p>
        </w:tc>
        <w:tc>
          <w:tcPr>
            <w:tcW w:w="1180" w:type="dxa"/>
            <w:vAlign w:val="bottom"/>
            <w:gridSpan w:val="2"/>
          </w:tcPr>
          <w:p>
            <w:pPr>
              <w:jc w:val="center"/>
              <w:ind w:right="14"/>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color w:val="auto"/>
                <w:w w:val="96"/>
              </w:rPr>
              <w:t>Parent</w:t>
            </w:r>
          </w:p>
        </w:tc>
        <w:tc>
          <w:tcPr>
            <w:tcW w:w="3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5"/>
                <w:szCs w:val="15"/>
                <w:color w:val="auto"/>
              </w:rPr>
            </w:pPr>
          </w:p>
        </w:tc>
        <w:tc>
          <w:tcPr>
            <w:tcW w:w="660" w:type="dxa"/>
            <w:vAlign w:val="bottom"/>
          </w:tcPr>
          <w:p>
            <w:pPr>
              <w:jc w:val="center"/>
              <w:ind w:right="113"/>
              <w:spacing w:after="0"/>
              <w:rPr>
                <w:sz w:val="20"/>
                <w:szCs w:val="20"/>
                <w:color w:val="auto"/>
              </w:rPr>
            </w:pPr>
            <w:r>
              <w:rPr>
                <w:rFonts w:ascii="Arial" w:cs="Arial" w:eastAsia="Arial" w:hAnsi="Arial"/>
                <w:sz w:val="14"/>
                <w:szCs w:val="14"/>
                <w:color w:val="auto"/>
                <w:w w:val="78"/>
              </w:rPr>
              <w:t>Parents</w:t>
            </w:r>
          </w:p>
        </w:tc>
        <w:tc>
          <w:tcPr>
            <w:tcW w:w="880" w:type="dxa"/>
            <w:vAlign w:val="bottom"/>
            <w:gridSpan w:val="2"/>
          </w:tcPr>
          <w:p>
            <w:pPr>
              <w:jc w:val="right"/>
              <w:ind w:right="93"/>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5"/>
                <w:szCs w:val="15"/>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color w:val="auto"/>
                <w:w w:val="88"/>
              </w:rPr>
              <w:t>Adjustments</w:t>
            </w:r>
          </w:p>
        </w:tc>
        <w:tc>
          <w:tcPr>
            <w:tcW w:w="24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3,483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687</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5,792</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6,267</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67,011</w:t>
            </w:r>
          </w:p>
        </w:tc>
        <w:tc>
          <w:tcPr>
            <w:tcW w:w="3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82,244</w:t>
            </w:r>
          </w:p>
        </w:tc>
        <w:tc>
          <w:tcPr>
            <w:tcW w:w="20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47,649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71,945</w:t>
            </w:r>
          </w:p>
        </w:tc>
        <w:tc>
          <w:tcPr>
            <w:tcW w:w="22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5,117</w:t>
            </w:r>
          </w:p>
        </w:tc>
        <w:tc>
          <w:tcPr>
            <w:tcW w:w="2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(273,966)</w:t>
            </w: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23,149</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59,452</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15,029</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839</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(634)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68,542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4"/>
              </w:rPr>
              <w:t>82,266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8"/>
              </w:rPr>
              <w:t>47,650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71,951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8"/>
              </w:rPr>
              <w:t>119,611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(274,600)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2,997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869</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1,975</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2,149</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5,039</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21,732</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3,935</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2,348</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27,703</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1,579</w:t>
            </w:r>
          </w:p>
        </w:tc>
        <w:tc>
          <w:tcPr>
            <w:tcW w:w="3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5,390</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43,050</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77,062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45,270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70,640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80,994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(273,966)</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43,082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4"/>
              </w:rPr>
              <w:t>77,062</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8"/>
              </w:rPr>
              <w:t>45,270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70,640</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80,994</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(273,966)</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43,082</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4"/>
              </w:rPr>
              <w:t>77,062</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8"/>
              </w:rPr>
              <w:t>45,270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70,640</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81,091</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(273,966)</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68,542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4"/>
              </w:rPr>
              <w:t>82,266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8"/>
              </w:rPr>
              <w:t>47,650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71,951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8"/>
              </w:rPr>
              <w:t>119,611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(274,600)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6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54"/>
              <w:spacing w:after="0" w:line="149" w:lineRule="exact"/>
              <w:rPr>
                <w:sz w:val="20"/>
                <w:szCs w:val="20"/>
                <w:color w:val="auto"/>
              </w:rPr>
            </w:pPr>
            <w:r>
              <w:rPr>
                <w:rFonts w:ascii="Arial" w:cs="Arial" w:eastAsia="Arial" w:hAnsi="Arial"/>
                <w:sz w:val="14"/>
                <w:szCs w:val="14"/>
                <w:color w:val="auto"/>
                <w:w w:val="89"/>
              </w:rPr>
              <w:t>CCCL</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w w:val="96"/>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860" w:type="dxa"/>
            <w:vAlign w:val="bottom"/>
            <w:gridSpan w:val="3"/>
          </w:tcPr>
          <w:p>
            <w:pPr>
              <w:ind w:left="160"/>
              <w:spacing w:after="0"/>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671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5,947</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Investments in and amounts due from subsidiaries eliminated upon</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4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73,943</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80,766</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47,141</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69,959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5,721</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23,556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Franchise rights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4,094</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3"/>
              </w:rPr>
              <w:t>Accounts payable and accrued expenses related to trade creditors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3,080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4,744</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20,089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4,925</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8,068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19,035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4,756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42,689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88,586</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9,202</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9,202</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237</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(543)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237</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9,202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9,202</w:t>
            </w:r>
          </w:p>
        </w:tc>
      </w:tr>
      <w:tr>
        <w:trPr>
          <w:trHeight w:val="210"/>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3,732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3,732</w:t>
            </w: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1,975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1,905</w:t>
            </w: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1,372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1,379</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251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237</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7,330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7,267</w:t>
            </w:r>
          </w:p>
        </w:tc>
      </w:tr>
      <w:tr>
        <w:trPr>
          <w:trHeight w:val="210"/>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1,872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1,935</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(102)</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1,041</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79"/>
              </w:rPr>
              <w:t>1,170</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8"/>
              </w:rPr>
              <w:t>1,155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(4,048)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79"/>
              </w:rPr>
              <w:t>1,068</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639</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8"/>
              </w:rPr>
              <w:t>1,148</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(4,048)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772</w:t>
            </w:r>
          </w:p>
        </w:tc>
        <w:tc>
          <w:tcPr>
            <w:tcW w:w="3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79"/>
              </w:rPr>
              <w:t>1,068</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1,134</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1,905</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(4,048)</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(742)</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(591)</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79"/>
              </w:rPr>
              <w:t>1,103</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1,141</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1,163</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(4,048)</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879</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Net income (loss) attributable to Comcast Corporation</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866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1,103</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654</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1,141</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1,150</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(4,048)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866</w:t>
            </w: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35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2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6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Parents</w:t>
            </w:r>
          </w:p>
        </w:tc>
        <w:tc>
          <w:tcPr>
            <w:tcW w:w="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w:t>
            </w:r>
          </w:p>
        </w:tc>
        <w:tc>
          <w:tcPr>
            <w:tcW w:w="1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Subsidiaries</w:t>
            </w:r>
          </w:p>
        </w:tc>
        <w:tc>
          <w:tcPr>
            <w:tcW w:w="12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8,866</w:t>
            </w:r>
          </w:p>
        </w:tc>
        <w:tc>
          <w:tcPr>
            <w:tcW w:w="3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8,866</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167</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167</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8,866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8,866</w:t>
            </w:r>
          </w:p>
        </w:tc>
      </w:tr>
      <w:tr>
        <w:trPr>
          <w:trHeight w:val="210"/>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w w:val="96"/>
              </w:rPr>
              <w:t>Operating (excluding depreciation and amortization)</w:t>
            </w:r>
          </w:p>
        </w:tc>
        <w:tc>
          <w:tcPr>
            <w:tcW w:w="36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3,592</w:t>
            </w:r>
          </w:p>
        </w:tc>
        <w:tc>
          <w:tcPr>
            <w:tcW w:w="380" w:type="dxa"/>
            <w:vAlign w:val="bottom"/>
          </w:tcPr>
          <w:p>
            <w:pPr>
              <w:spacing w:after="0"/>
              <w:rPr>
                <w:sz w:val="18"/>
                <w:szCs w:val="18"/>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3,592</w:t>
            </w: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1,929</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1,830</w:t>
            </w: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1,373</w:t>
            </w:r>
          </w:p>
        </w:tc>
        <w:tc>
          <w:tcPr>
            <w:tcW w:w="380" w:type="dxa"/>
            <w:vAlign w:val="bottom"/>
          </w:tcPr>
          <w:p>
            <w:pPr>
              <w:spacing w:after="0"/>
              <w:rPr>
                <w:sz w:val="18"/>
                <w:szCs w:val="18"/>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253</w:t>
            </w: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167</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7,147</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7,055</w:t>
            </w:r>
          </w:p>
        </w:tc>
      </w:tr>
      <w:tr>
        <w:trPr>
          <w:trHeight w:val="210"/>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1,719</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1,811</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0"/>
              </w:rPr>
              <w:t>(319)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1,079</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744</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992</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(36)</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(3,708)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911</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694</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999</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(3,708)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(572)</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911</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1,662</w:t>
            </w:r>
          </w:p>
        </w:tc>
        <w:tc>
          <w:tcPr>
            <w:tcW w:w="3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(3,708)</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(617)</w:t>
            </w:r>
          </w:p>
        </w:tc>
        <w:tc>
          <w:tcPr>
            <w:tcW w:w="3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(461)</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36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970</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987</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(3,708)</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195"/>
        </w:trPr>
        <w:tc>
          <w:tcPr>
            <w:tcW w:w="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b w:val="1"/>
                <w:bCs w:val="1"/>
                <w:color w:val="auto"/>
              </w:rPr>
              <w:t>Net income (loss) attributable to Comcast</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970</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712</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987</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1,039</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(3,708)</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772</w:t>
            </w: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w w:val="82"/>
              </w:rPr>
              <w:t>Parent</w:t>
            </w:r>
          </w:p>
        </w:tc>
        <w:tc>
          <w:tcPr>
            <w:tcW w:w="8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Parent</w:t>
            </w:r>
          </w:p>
        </w:tc>
        <w:tc>
          <w:tcPr>
            <w:tcW w:w="10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Parents</w:t>
            </w:r>
          </w:p>
        </w:tc>
        <w:tc>
          <w:tcPr>
            <w:tcW w:w="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8"/>
              </w:rPr>
              <w:t>Net cash provided by (used in) operating activities</w:t>
            </w: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7"/>
              </w:rPr>
              <w:t>(1,178)</w:t>
            </w:r>
          </w:p>
        </w:tc>
        <w:tc>
          <w:tcPr>
            <w:tcW w:w="3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(76)</w:t>
            </w:r>
          </w:p>
        </w:tc>
        <w:tc>
          <w:tcPr>
            <w:tcW w:w="38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4,151</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2,903</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7"/>
              </w:rPr>
              <w:t>(25)</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76</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(82)</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(924)</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6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6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Net cash provided by (used in) investing activities</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7"/>
              </w:rPr>
              <w:t>(25)</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(1,337)</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6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w w:val="97"/>
              </w:rPr>
              <w:t>2,394</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2,408</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(12)</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Net cash provided by (used in) financing activities</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97"/>
              </w:rPr>
              <w:t>1,167</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1,165</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2,812</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2,812</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671</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r>
      <w:tr>
        <w:trPr>
          <w:trHeight w:val="217"/>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3,483</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3,483</w:t>
            </w:r>
          </w:p>
        </w:tc>
      </w:tr>
      <w:tr>
        <w:trPr>
          <w:trHeight w:val="36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Comcast</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CCCL</w:t>
            </w:r>
          </w:p>
        </w:tc>
        <w:tc>
          <w:tcPr>
            <w:tcW w:w="10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Parent</w:t>
            </w:r>
          </w:p>
        </w:tc>
        <w:tc>
          <w:tcPr>
            <w:tcW w:w="10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Parents</w:t>
            </w:r>
          </w:p>
        </w:tc>
        <w:tc>
          <w:tcPr>
            <w:tcW w:w="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8"/>
              </w:rPr>
              <w:t>Net cash provided by (used in) operating activities</w:t>
            </w:r>
          </w:p>
        </w:tc>
        <w:tc>
          <w:tcPr>
            <w:tcW w:w="520" w:type="dxa"/>
            <w:vAlign w:val="bottom"/>
            <w:tcBorders>
              <w:top w:val="single" w:sz="8" w:color="auto"/>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5"/>
              </w:rPr>
              <w:t>(154)</w:t>
            </w:r>
          </w:p>
        </w:tc>
        <w:tc>
          <w:tcPr>
            <w:tcW w:w="2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5"/>
              </w:rPr>
              <w:t>(104)</w:t>
            </w:r>
          </w:p>
        </w:tc>
        <w:tc>
          <w:tcPr>
            <w:tcW w:w="4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(87)</w:t>
            </w:r>
          </w:p>
        </w:tc>
        <w:tc>
          <w:tcPr>
            <w:tcW w:w="3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2,881</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2,512</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159</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87</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(910)</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w w:val="98"/>
              </w:rPr>
              <w:t>(1,141)</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5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5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Net cash provided by (used in) investing activities</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364</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159</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(2,207)</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5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(30)</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(55)</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(257)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(10)</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Dividends paid</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(180)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Net cash provided by (used in) financing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5"/>
              </w:rPr>
              <w:t>(210)</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(257)</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(512)</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684</w:t>
            </w:r>
          </w:p>
        </w:tc>
        <w:tc>
          <w:tcPr>
            <w:tcW w:w="3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684</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1,195</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1,195</w:t>
            </w:r>
          </w:p>
        </w:tc>
      </w:tr>
      <w:tr>
        <w:trPr>
          <w:trHeight w:val="217"/>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1,879</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1,879</w:t>
            </w:r>
          </w:p>
        </w:tc>
      </w:tr>
      <w:tr>
        <w:trPr>
          <w:trHeight w:val="36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center"/>
              <w:ind w:right="212"/>
              <w:spacing w:after="0"/>
              <w:rPr>
                <w:sz w:val="20"/>
                <w:szCs w:val="20"/>
                <w:color w:val="auto"/>
              </w:rPr>
            </w:pPr>
            <w:r>
              <w:rPr>
                <w:rFonts w:ascii="Arial" w:cs="Arial" w:eastAsia="Arial" w:hAnsi="Arial"/>
                <w:sz w:val="18"/>
                <w:szCs w:val="18"/>
                <w:color w:val="auto"/>
                <w:w w:val="99"/>
              </w:rPr>
              <w:t>22</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leading provider of video, high-speed Internet and phone services (“cable services”), offering a variety of entertainment, information and communications services to residential and commercial customers. As of March 31, 2010, our cable systems served approximately 23.5 million video customers, 16.3 million high-speed Internet customers and 7.9 million phone customers and passed over 51 million homes and businesses in 39 states and the District of Columbia. We report the results of these operations as our Cable segment, which generates approximately 95% of our consolidated revenue. Our Cable segment also includes the operations of our regional sports networks. 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three months ended March 31, 2010:</w:t>
      </w:r>
    </w:p>
    <w:p>
      <w:pPr>
        <w:spacing w:after="0" w:line="77" w:lineRule="exact"/>
        <w:rPr>
          <w:sz w:val="20"/>
          <w:szCs w:val="20"/>
          <w:color w:val="auto"/>
        </w:rPr>
      </w:pPr>
    </w:p>
    <w:p>
      <w:pPr>
        <w:ind w:left="1020" w:right="16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consolidated revenue of 3.8% to $9.2 billion and an increase in consolidated operating income of 6.8% to $1.9 billion</w:t>
      </w:r>
    </w:p>
    <w:p>
      <w:pPr>
        <w:spacing w:after="0" w:line="37" w:lineRule="exact"/>
        <w:rPr>
          <w:rFonts w:ascii="Arial" w:cs="Arial" w:eastAsia="Arial" w:hAnsi="Arial"/>
          <w:sz w:val="18"/>
          <w:szCs w:val="18"/>
          <w:color w:val="auto"/>
        </w:rPr>
      </w:pPr>
    </w:p>
    <w:p>
      <w:pPr>
        <w:ind w:left="1020" w:right="18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Cable segment revenue of 3.5% to $8.7 billion and an increase in operating income before depreciation and amortization of 4.1% to $3.5 billion</w:t>
      </w:r>
    </w:p>
    <w:p>
      <w:pPr>
        <w:spacing w:after="0" w:line="37" w:lineRule="exact"/>
        <w:rPr>
          <w:rFonts w:ascii="Arial" w:cs="Arial" w:eastAsia="Arial" w:hAnsi="Arial"/>
          <w:sz w:val="18"/>
          <w:szCs w:val="18"/>
          <w:color w:val="auto"/>
        </w:rPr>
      </w:pPr>
    </w:p>
    <w:p>
      <w:pPr>
        <w:ind w:left="1020" w:right="150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Programming segment revenue of 6.7% to $385 million and an increase in operating income before depreciation and amortization of 8.5% to $121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399,000 high-speed Internet customers and 273,000 phone customers; a decrease of 82,000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19.2% to $913 million</w:t>
      </w:r>
    </w:p>
    <w:p>
      <w:pPr>
        <w:spacing w:after="0" w:line="76" w:lineRule="exact"/>
        <w:rPr>
          <w:rFonts w:ascii="Arial" w:cs="Arial" w:eastAsia="Arial" w:hAnsi="Arial"/>
          <w:sz w:val="18"/>
          <w:szCs w:val="18"/>
          <w:color w:val="auto"/>
        </w:rPr>
      </w:pPr>
    </w:p>
    <w:p>
      <w:pPr>
        <w:ind w:left="1020" w:right="15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repurchase of 19.2 million shares of our Class A Special common stock under our share repurchase authorization for $300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$2.4 billion aggregate principal amount of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 Universal Transaction</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will borrow $9.1 billion from third party lenders and will distribute the proceeds to GE at the closing of the transaction. We will contribute our national programming networks, our regional sports networks and certain of our Internet businesses, as well as other assets used primarily in those businesses, collectively valued at approximately $7.25 billion, and make a cash payment to GE of $7.1 billion, less certain adjustments primarily based on the free cash flow generated by NBC Universal between December 4, 2009 and the closing. GE will be entitled to cause the new company to redeem half of GE’s interest 3.5 years after the closing and its remaining interest 7 years after the closing. If GE exercises its first redemption right, we have the right to purchase the remainder of GE’s interest. If GE does not exercise its first redemption right, we have the right to purchase half of GE’s interest 5 years after the closing. We also will have the right to purchase GE’s remaining interest, if any, 8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limitations, we are committed to fund up to $2.875 billion in cash or common stock for each of the two redemptions (for an aggregate of up to $5.75 billion), with amounts not used in the first redemption to be available for the second redemption. The transaction is subject to various regulatory approvals and is expected to close by the end of 2010.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3"/>
          </w:tcPr>
          <w:p>
            <w:pPr>
              <w:jc w:val="right"/>
              <w:ind w:right="714"/>
              <w:spacing w:after="0"/>
              <w:rPr>
                <w:sz w:val="20"/>
                <w:szCs w:val="20"/>
                <w:color w:val="auto"/>
              </w:rPr>
            </w:pPr>
            <w:r>
              <w:rPr>
                <w:rFonts w:ascii="Arial" w:cs="Arial" w:eastAsia="Arial" w:hAnsi="Arial"/>
                <w:sz w:val="14"/>
                <w:szCs w:val="14"/>
                <w:color w:val="auto"/>
              </w:rPr>
              <w:t>Three Months Ended</w:t>
            </w:r>
          </w:p>
        </w:tc>
        <w:tc>
          <w:tcPr>
            <w:tcW w:w="168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Increase/(Decrease)</w:t>
            </w:r>
          </w:p>
        </w:tc>
      </w:tr>
      <w:tr>
        <w:trPr>
          <w:trHeight w:val="237"/>
        </w:trPr>
        <w:tc>
          <w:tcPr>
            <w:tcW w:w="67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0"/>
                <w:szCs w:val="20"/>
                <w:color w:val="auto"/>
              </w:rPr>
            </w:pPr>
          </w:p>
        </w:tc>
        <w:tc>
          <w:tcPr>
            <w:tcW w:w="1160" w:type="dxa"/>
            <w:vAlign w:val="bottom"/>
          </w:tcPr>
          <w:p>
            <w:pPr>
              <w:jc w:val="right"/>
              <w:ind w:right="777"/>
              <w:spacing w:after="0"/>
              <w:rPr>
                <w:sz w:val="20"/>
                <w:szCs w:val="20"/>
                <w:color w:val="auto"/>
              </w:rPr>
            </w:pPr>
            <w:r>
              <w:rPr>
                <w:rFonts w:ascii="Arial" w:cs="Arial" w:eastAsia="Arial" w:hAnsi="Arial"/>
                <w:sz w:val="14"/>
                <w:szCs w:val="14"/>
                <w:color w:val="auto"/>
                <w:w w:val="89"/>
              </w:rPr>
              <w:t>2010</w:t>
            </w:r>
          </w:p>
        </w:tc>
        <w:tc>
          <w:tcPr>
            <w:tcW w:w="180" w:type="dxa"/>
            <w:vAlign w:val="bottom"/>
          </w:tcPr>
          <w:p>
            <w:pPr>
              <w:spacing w:after="0"/>
              <w:rPr>
                <w:sz w:val="20"/>
                <w:szCs w:val="20"/>
                <w:color w:val="auto"/>
              </w:rPr>
            </w:pPr>
          </w:p>
        </w:tc>
        <w:tc>
          <w:tcPr>
            <w:tcW w:w="860" w:type="dxa"/>
            <w:vAlign w:val="bottom"/>
          </w:tcPr>
          <w:p>
            <w:pPr>
              <w:jc w:val="right"/>
              <w:ind w:right="474"/>
              <w:spacing w:after="0"/>
              <w:rPr>
                <w:sz w:val="20"/>
                <w:szCs w:val="20"/>
                <w:color w:val="auto"/>
              </w:rPr>
            </w:pPr>
            <w:r>
              <w:rPr>
                <w:rFonts w:ascii="Arial" w:cs="Arial" w:eastAsia="Arial" w:hAnsi="Arial"/>
                <w:sz w:val="14"/>
                <w:szCs w:val="14"/>
                <w:color w:val="auto"/>
                <w:w w:val="89"/>
              </w:rPr>
              <w:t>2009</w:t>
            </w:r>
          </w:p>
        </w:tc>
        <w:tc>
          <w:tcPr>
            <w:tcW w:w="16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1"/>
                <w:szCs w:val="11"/>
                <w:b w:val="1"/>
                <w:bCs w:val="1"/>
                <w:color w:val="auto"/>
              </w:rPr>
              <w:t>(a)</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E5E5E5"/>
          </w:tcPr>
          <w:p>
            <w:pPr>
              <w:jc w:val="right"/>
              <w:ind w:right="637"/>
              <w:spacing w:after="0"/>
              <w:rPr>
                <w:sz w:val="20"/>
                <w:szCs w:val="20"/>
                <w:color w:val="auto"/>
              </w:rPr>
            </w:pPr>
            <w:r>
              <w:rPr>
                <w:rFonts w:ascii="Arial" w:cs="Arial" w:eastAsia="Arial" w:hAnsi="Arial"/>
                <w:sz w:val="18"/>
                <w:szCs w:val="18"/>
                <w:color w:val="auto"/>
                <w:w w:val="93"/>
              </w:rPr>
              <w:t>9,202</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w w:val="93"/>
              </w:rPr>
              <w:t>8,866</w:t>
            </w:r>
          </w:p>
        </w:tc>
        <w:tc>
          <w:tcPr>
            <w:tcW w:w="1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Costs and expenses:</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E5E5E5"/>
          </w:tcPr>
          <w:p>
            <w:pPr>
              <w:spacing w:after="0"/>
              <w:rPr>
                <w:sz w:val="20"/>
                <w:szCs w:val="20"/>
                <w:color w:val="auto"/>
              </w:rPr>
            </w:pPr>
            <w:r>
              <w:rPr>
                <w:rFonts w:ascii="Arial" w:cs="Arial" w:eastAsia="Arial" w:hAnsi="Arial"/>
                <w:sz w:val="18"/>
                <w:szCs w:val="18"/>
                <w:color w:val="auto"/>
                <w:w w:val="94"/>
              </w:rPr>
              <w:t>Operating, selling, general and administrative (excluding depreciation and amortization)</w:t>
            </w:r>
            <w:r>
              <w:rPr>
                <w:rFonts w:ascii="Arial" w:cs="Arial" w:eastAsia="Arial" w:hAnsi="Arial"/>
                <w:sz w:val="11"/>
                <w:szCs w:val="11"/>
                <w:color w:val="auto"/>
                <w:w w:val="94"/>
              </w:rPr>
              <w:t>(a)</w:t>
            </w:r>
          </w:p>
        </w:tc>
        <w:tc>
          <w:tcPr>
            <w:tcW w:w="8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637"/>
              <w:spacing w:after="0"/>
              <w:rPr>
                <w:sz w:val="20"/>
                <w:szCs w:val="20"/>
                <w:color w:val="auto"/>
              </w:rPr>
            </w:pPr>
            <w:r>
              <w:rPr>
                <w:rFonts w:ascii="Arial" w:cs="Arial" w:eastAsia="Arial" w:hAnsi="Arial"/>
                <w:sz w:val="18"/>
                <w:szCs w:val="18"/>
                <w:color w:val="auto"/>
                <w:w w:val="93"/>
              </w:rPr>
              <w:t>5,637</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w w:val="93"/>
              </w:rPr>
              <w:t>5,422</w:t>
            </w:r>
          </w:p>
        </w:tc>
        <w:tc>
          <w:tcPr>
            <w:tcW w:w="1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18"/>
                <w:szCs w:val="18"/>
                <w:color w:val="auto"/>
              </w:rPr>
            </w:pPr>
          </w:p>
        </w:tc>
        <w:tc>
          <w:tcPr>
            <w:tcW w:w="1160" w:type="dxa"/>
            <w:vAlign w:val="bottom"/>
          </w:tcPr>
          <w:p>
            <w:pPr>
              <w:jc w:val="right"/>
              <w:ind w:right="637"/>
              <w:spacing w:after="0"/>
              <w:rPr>
                <w:sz w:val="20"/>
                <w:szCs w:val="20"/>
                <w:color w:val="auto"/>
              </w:rPr>
            </w:pPr>
            <w:r>
              <w:rPr>
                <w:rFonts w:ascii="Arial" w:cs="Arial" w:eastAsia="Arial" w:hAnsi="Arial"/>
                <w:sz w:val="18"/>
                <w:szCs w:val="18"/>
                <w:color w:val="auto"/>
                <w:w w:val="93"/>
              </w:rPr>
              <w:t>1,379</w:t>
            </w:r>
          </w:p>
        </w:tc>
        <w:tc>
          <w:tcPr>
            <w:tcW w:w="1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8"/>
                <w:szCs w:val="18"/>
                <w:color w:val="auto"/>
                <w:w w:val="93"/>
              </w:rPr>
              <w:t>1,380</w:t>
            </w:r>
          </w:p>
        </w:tc>
        <w:tc>
          <w:tcPr>
            <w:tcW w:w="1680" w:type="dxa"/>
            <w:vAlign w:val="bottom"/>
          </w:tcPr>
          <w:p>
            <w:pPr>
              <w:jc w:val="right"/>
              <w:ind w:right="94"/>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8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637"/>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253</w:t>
            </w:r>
          </w:p>
        </w:tc>
        <w:tc>
          <w:tcPr>
            <w:tcW w:w="1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(0.7)</w:t>
            </w: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Pr>
          <w:p>
            <w:pPr>
              <w:spacing w:after="0"/>
              <w:rPr>
                <w:sz w:val="18"/>
                <w:szCs w:val="18"/>
                <w:color w:val="auto"/>
              </w:rPr>
            </w:pPr>
          </w:p>
        </w:tc>
        <w:tc>
          <w:tcPr>
            <w:tcW w:w="1160" w:type="dxa"/>
            <w:vAlign w:val="bottom"/>
          </w:tcPr>
          <w:p>
            <w:pPr>
              <w:jc w:val="right"/>
              <w:ind w:right="637"/>
              <w:spacing w:after="0"/>
              <w:rPr>
                <w:sz w:val="20"/>
                <w:szCs w:val="20"/>
                <w:color w:val="auto"/>
              </w:rPr>
            </w:pPr>
            <w:r>
              <w:rPr>
                <w:rFonts w:ascii="Arial" w:cs="Arial" w:eastAsia="Arial" w:hAnsi="Arial"/>
                <w:sz w:val="18"/>
                <w:szCs w:val="18"/>
                <w:color w:val="auto"/>
                <w:w w:val="93"/>
              </w:rPr>
              <w:t>1,935</w:t>
            </w:r>
          </w:p>
        </w:tc>
        <w:tc>
          <w:tcPr>
            <w:tcW w:w="1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8"/>
                <w:szCs w:val="18"/>
                <w:color w:val="auto"/>
                <w:w w:val="93"/>
              </w:rPr>
              <w:t>1,811</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8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577"/>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(572)</w:t>
            </w:r>
          </w:p>
        </w:tc>
        <w:tc>
          <w:tcPr>
            <w:tcW w:w="1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(18.8)</w:t>
            </w: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8"/>
                <w:szCs w:val="18"/>
                <w:color w:val="auto"/>
              </w:rPr>
            </w:pPr>
          </w:p>
        </w:tc>
        <w:tc>
          <w:tcPr>
            <w:tcW w:w="1160" w:type="dxa"/>
            <w:vAlign w:val="bottom"/>
          </w:tcPr>
          <w:p>
            <w:pPr>
              <w:jc w:val="right"/>
              <w:ind w:right="637"/>
              <w:spacing w:after="0"/>
              <w:rPr>
                <w:sz w:val="20"/>
                <w:szCs w:val="20"/>
                <w:color w:val="auto"/>
              </w:rPr>
            </w:pPr>
            <w:r>
              <w:rPr>
                <w:rFonts w:ascii="Arial" w:cs="Arial" w:eastAsia="Arial" w:hAnsi="Arial"/>
                <w:sz w:val="18"/>
                <w:szCs w:val="18"/>
                <w:color w:val="auto"/>
                <w:w w:val="93"/>
              </w:rPr>
              <w:t>1,470</w:t>
            </w:r>
          </w:p>
        </w:tc>
        <w:tc>
          <w:tcPr>
            <w:tcW w:w="1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8"/>
                <w:szCs w:val="18"/>
                <w:color w:val="auto"/>
                <w:w w:val="93"/>
              </w:rPr>
              <w:t>1,239</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577"/>
              <w:spacing w:after="0"/>
              <w:rPr>
                <w:sz w:val="20"/>
                <w:szCs w:val="20"/>
                <w:color w:val="auto"/>
              </w:rPr>
            </w:pPr>
            <w:r>
              <w:rPr>
                <w:rFonts w:ascii="Arial" w:cs="Arial" w:eastAsia="Arial" w:hAnsi="Arial"/>
                <w:sz w:val="18"/>
                <w:szCs w:val="18"/>
                <w:color w:val="auto"/>
              </w:rPr>
              <w:t>(591)</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(461)</w:t>
            </w:r>
          </w:p>
        </w:tc>
        <w:tc>
          <w:tcPr>
            <w:tcW w:w="1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28.2</w:t>
            </w: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800" w:type="dxa"/>
            <w:vAlign w:val="bottom"/>
          </w:tcPr>
          <w:p>
            <w:pPr>
              <w:spacing w:after="0"/>
              <w:rPr>
                <w:sz w:val="18"/>
                <w:szCs w:val="18"/>
                <w:color w:val="auto"/>
              </w:rPr>
            </w:pPr>
          </w:p>
        </w:tc>
        <w:tc>
          <w:tcPr>
            <w:tcW w:w="1160" w:type="dxa"/>
            <w:vAlign w:val="bottom"/>
          </w:tcPr>
          <w:p>
            <w:pPr>
              <w:jc w:val="right"/>
              <w:ind w:right="637"/>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8"/>
                <w:szCs w:val="18"/>
                <w:color w:val="auto"/>
              </w:rPr>
              <w:t>778</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577"/>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(6)</w:t>
            </w:r>
          </w:p>
        </w:tc>
        <w:tc>
          <w:tcPr>
            <w:tcW w:w="1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140.1</w:t>
            </w:r>
          </w:p>
        </w:tc>
      </w:tr>
      <w:tr>
        <w:trPr>
          <w:trHeight w:val="217"/>
        </w:trPr>
        <w:tc>
          <w:tcPr>
            <w:tcW w:w="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b w:val="1"/>
                <w:bCs w:val="1"/>
                <w:color w:val="auto"/>
              </w:rPr>
              <w:t>866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772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 for the three months ended March 31, 2010 compared to the same period in 2009. The remaining changes related to our other business activities, primarily Comcast Interactive Media and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operating, selling, general and administrative expenses for the three months ended March 31, 2010 compared to the same period in 2009. The remaining changes related to our other business activities, primarily Comcast Interactive Media and Comcast Spectacor, and approximately $14 million of transaction costs associated with the NBC Universal transaction. Cable segment and Programming segment operating, selling, general and administrative expenses are discussed separately in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and amortization expense remained relatively stable for the three months ended March 31, 2010 compared to the same period in 2009.</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1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(loss), the most directly comparable financial measure calculated and presented in accordance with generally accepted accounting principles in the United States (“GAAP”) in the business segment footnote to our consolidated financial statements (see Note 13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60" w:type="dxa"/>
            <w:vAlign w:val="bottom"/>
            <w:gridSpan w:val="2"/>
          </w:tcPr>
          <w:p>
            <w:pPr>
              <w:jc w:val="right"/>
              <w:ind w:right="394"/>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gridSpan w:val="2"/>
          </w:tcPr>
          <w:p>
            <w:pPr>
              <w:jc w:val="right"/>
              <w:ind w:right="714"/>
              <w:spacing w:after="0" w:line="159" w:lineRule="exact"/>
              <w:rPr>
                <w:sz w:val="20"/>
                <w:szCs w:val="20"/>
                <w:color w:val="auto"/>
              </w:rPr>
            </w:pPr>
            <w:r>
              <w:rPr>
                <w:rFonts w:ascii="Arial" w:cs="Arial" w:eastAsia="Arial" w:hAnsi="Arial"/>
                <w:sz w:val="14"/>
                <w:szCs w:val="14"/>
                <w:color w:val="auto"/>
              </w:rPr>
              <w:t>March 31</w:t>
            </w:r>
          </w:p>
        </w:tc>
        <w:tc>
          <w:tcPr>
            <w:tcW w:w="206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30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2010</w:t>
            </w:r>
          </w:p>
        </w:tc>
        <w:tc>
          <w:tcPr>
            <w:tcW w:w="106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2009</w:t>
            </w:r>
          </w:p>
        </w:tc>
        <w:tc>
          <w:tcPr>
            <w:tcW w:w="1120" w:type="dxa"/>
            <w:vAlign w:val="bottom"/>
          </w:tcPr>
          <w:p>
            <w:pPr>
              <w:jc w:val="right"/>
              <w:ind w:right="536"/>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1300" w:type="dxa"/>
            <w:vAlign w:val="bottom"/>
            <w:tcBorders>
              <w:top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$ 4,842</w:t>
            </w:r>
          </w:p>
        </w:tc>
        <w:tc>
          <w:tcPr>
            <w:tcW w:w="106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$ 4,929</w:t>
            </w:r>
          </w:p>
        </w:tc>
        <w:tc>
          <w:tcPr>
            <w:tcW w:w="1120" w:type="dxa"/>
            <w:vAlign w:val="bottom"/>
            <w:tcBorders>
              <w:top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  (87)</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High-speed Internet</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2,071</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1,909</w:t>
            </w:r>
          </w:p>
        </w:tc>
        <w:tc>
          <w:tcPr>
            <w:tcW w:w="1120" w:type="dxa"/>
            <w:vAlign w:val="bottom"/>
          </w:tcPr>
          <w:p>
            <w:pPr>
              <w:jc w:val="right"/>
              <w:ind w:right="356"/>
              <w:spacing w:after="0"/>
              <w:rPr>
                <w:sz w:val="20"/>
                <w:szCs w:val="20"/>
                <w:color w:val="auto"/>
              </w:rPr>
            </w:pPr>
            <w:r>
              <w:rPr>
                <w:rFonts w:ascii="Arial" w:cs="Arial" w:eastAsia="Arial" w:hAnsi="Arial"/>
                <w:sz w:val="18"/>
                <w:szCs w:val="18"/>
                <w:color w:val="auto"/>
              </w:rPr>
              <w:t>162</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3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877</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777</w:t>
            </w:r>
          </w:p>
        </w:tc>
        <w:tc>
          <w:tcPr>
            <w:tcW w:w="112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360</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292</w:t>
            </w:r>
          </w:p>
        </w:tc>
        <w:tc>
          <w:tcPr>
            <w:tcW w:w="1120" w:type="dxa"/>
            <w:vAlign w:val="bottom"/>
          </w:tcPr>
          <w:p>
            <w:pPr>
              <w:jc w:val="right"/>
              <w:ind w:right="356"/>
              <w:spacing w:after="0"/>
              <w:rPr>
                <w:sz w:val="20"/>
                <w:szCs w:val="20"/>
                <w:color w:val="auto"/>
              </w:rPr>
            </w:pPr>
            <w:r>
              <w:rPr>
                <w:rFonts w:ascii="Arial" w:cs="Arial" w:eastAsia="Arial" w:hAnsi="Arial"/>
                <w:sz w:val="18"/>
                <w:szCs w:val="18"/>
                <w:color w:val="auto"/>
              </w:rPr>
              <w:t>68</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3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285</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242</w:t>
            </w:r>
          </w:p>
        </w:tc>
        <w:tc>
          <w:tcPr>
            <w:tcW w:w="112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43</w:t>
            </w:r>
          </w:p>
        </w:tc>
        <w:tc>
          <w:tcPr>
            <w:tcW w:w="9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242</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234</w:t>
            </w: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(a)</w:t>
            </w:r>
          </w:p>
        </w:tc>
        <w:tc>
          <w:tcPr>
            <w:tcW w:w="13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8,677</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8,383</w:t>
            </w:r>
          </w:p>
        </w:tc>
        <w:tc>
          <w:tcPr>
            <w:tcW w:w="112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294</w:t>
            </w:r>
          </w:p>
        </w:tc>
        <w:tc>
          <w:tcPr>
            <w:tcW w:w="9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3,499</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3,373</w:t>
            </w:r>
          </w:p>
        </w:tc>
        <w:tc>
          <w:tcPr>
            <w:tcW w:w="1120" w:type="dxa"/>
            <w:vAlign w:val="bottom"/>
          </w:tcPr>
          <w:p>
            <w:pPr>
              <w:jc w:val="right"/>
              <w:ind w:right="356"/>
              <w:spacing w:after="0"/>
              <w:rPr>
                <w:sz w:val="20"/>
                <w:szCs w:val="20"/>
                <w:color w:val="auto"/>
              </w:rPr>
            </w:pPr>
            <w:r>
              <w:rPr>
                <w:rFonts w:ascii="Arial" w:cs="Arial" w:eastAsia="Arial" w:hAnsi="Arial"/>
                <w:sz w:val="18"/>
                <w:szCs w:val="18"/>
                <w:color w:val="auto"/>
              </w:rPr>
              <w:t>126</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13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1,636</w:t>
            </w:r>
          </w:p>
        </w:tc>
        <w:tc>
          <w:tcPr>
            <w:tcW w:w="10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1,606</w:t>
            </w:r>
          </w:p>
        </w:tc>
        <w:tc>
          <w:tcPr>
            <w:tcW w:w="112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$ 3,542</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$ 3,404</w:t>
            </w: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$ 138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video revenue decreased during the three months ended March 31, 2010 compared to the same period in 2009 primarily due to a decline in video customers. During the three months ended March 31, 2010, the number of video customers decreased by approximately 82,000. These decreases were primarily due to increased competition in our service areas and weakness in the economy. During the three months ended March 31, 2010, we added or upgraded approximately 427,000 customers to our digital video service, including those customers added or upgraded in connection with the transition from analog to digital transmission of channels we distribute (“our all digital conversion”). As of March 31, 2010, approximately 80% of our 23.5 million video customers subscribed to at least one of our digital video services. Our average monthly video revenue per video customer increased slightly during the three months ended March 31, 2010 compared to the same period in 2009. We expect continued competition and weak economic conditions to result in further declines in the number of video customers during 2010.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high-speed Internet revenue increased during the three months ended March 31, 2010 compared to the same period in 2009 primarily due to an increase in the number of residential and commercial customers. During the three months ended March 31, 2010, we added approximately 399,000 high-speed Internet customers. Our average monthly revenue per high-speed Internet customer increased slightly during the three months ended March 31, 2010 compared to the same period in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phone revenue increased during the three months ended March 31, 2010 compared to the same period in 2009 primarily due to an increase in the number of residential and commercial phone customers. During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three months ended March 31, 2010, we added approximately 273,000 phone customers. Average monthly revenue per phone customer declined to approximately $38 during the three months ended March 31, 2010 from approximately $39 during the three months ended March 31, 2009, due to customers receiving service as part of a promotional offer or in a bundled service offering.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increased during the three months ended March 31, 2010 compared to the same period in 2009 primarily due to improvements in the overall television advertising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generate revenue from our regional sports networks, our digital media center, commissions from electronic retailing networks and fees for other services. Other revenue increased during the three months ended March 31, 2010 compared to the same period in 2009 primarily due to growth in our regional sports networks.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franchise fees collected from our cable customers during the three months ended March 31, 2010 compared to the same period in 2009 was primarily due to increases in the revenue on which the fees apply.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360" w:type="dxa"/>
            <w:vAlign w:val="bottom"/>
            <w:gridSpan w:val="2"/>
          </w:tcPr>
          <w:p>
            <w:pPr>
              <w:jc w:val="right"/>
              <w:ind w:right="395"/>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gridSpan w:val="2"/>
          </w:tcPr>
          <w:p>
            <w:pPr>
              <w:jc w:val="right"/>
              <w:ind w:right="715"/>
              <w:spacing w:after="0" w:line="159" w:lineRule="exact"/>
              <w:rPr>
                <w:sz w:val="20"/>
                <w:szCs w:val="20"/>
                <w:color w:val="auto"/>
              </w:rPr>
            </w:pPr>
            <w:r>
              <w:rPr>
                <w:rFonts w:ascii="Arial" w:cs="Arial" w:eastAsia="Arial" w:hAnsi="Arial"/>
                <w:sz w:val="14"/>
                <w:szCs w:val="14"/>
                <w:color w:val="auto"/>
              </w:rPr>
              <w:t>March 31</w:t>
            </w:r>
          </w:p>
        </w:tc>
        <w:tc>
          <w:tcPr>
            <w:tcW w:w="2040" w:type="dxa"/>
            <w:vAlign w:val="bottom"/>
            <w:tcBorders>
              <w:bottom w:val="single" w:sz="8" w:color="auto"/>
            </w:tcBorders>
            <w:gridSpan w:val="2"/>
          </w:tcPr>
          <w:p>
            <w:pPr>
              <w:jc w:val="right"/>
              <w:ind w:right="37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1300" w:type="dxa"/>
            <w:vAlign w:val="bottom"/>
          </w:tcPr>
          <w:p>
            <w:pPr>
              <w:jc w:val="right"/>
              <w:ind w:right="299"/>
              <w:spacing w:after="0" w:line="142" w:lineRule="exact"/>
              <w:rPr>
                <w:sz w:val="20"/>
                <w:szCs w:val="20"/>
                <w:color w:val="auto"/>
              </w:rPr>
            </w:pPr>
            <w:r>
              <w:rPr>
                <w:rFonts w:ascii="Arial" w:cs="Arial" w:eastAsia="Arial" w:hAnsi="Arial"/>
                <w:sz w:val="14"/>
                <w:szCs w:val="14"/>
                <w:color w:val="auto"/>
              </w:rPr>
              <w:t>2010</w:t>
            </w:r>
          </w:p>
        </w:tc>
        <w:tc>
          <w:tcPr>
            <w:tcW w:w="106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2009</w:t>
            </w:r>
          </w:p>
        </w:tc>
        <w:tc>
          <w:tcPr>
            <w:tcW w:w="1120" w:type="dxa"/>
            <w:vAlign w:val="bottom"/>
          </w:tcPr>
          <w:p>
            <w:pPr>
              <w:jc w:val="right"/>
              <w:ind w:right="537"/>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1300" w:type="dxa"/>
            <w:vAlign w:val="bottom"/>
            <w:tcBorders>
              <w:top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$ 1,864</w:t>
            </w:r>
          </w:p>
        </w:tc>
        <w:tc>
          <w:tcPr>
            <w:tcW w:w="106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$ 1,775</w:t>
            </w:r>
          </w:p>
        </w:tc>
        <w:tc>
          <w:tcPr>
            <w:tcW w:w="1120" w:type="dxa"/>
            <w:vAlign w:val="bottom"/>
            <w:tcBorders>
              <w:top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  89</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Technical labor</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561</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586</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130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125</w:t>
            </w:r>
          </w:p>
        </w:tc>
        <w:tc>
          <w:tcPr>
            <w:tcW w:w="10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127</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(2)</w:t>
            </w:r>
          </w:p>
        </w:tc>
        <w:tc>
          <w:tcPr>
            <w:tcW w:w="9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Phone</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141</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154</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(13)</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808</w:t>
            </w:r>
          </w:p>
        </w:tc>
        <w:tc>
          <w:tcPr>
            <w:tcW w:w="10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731</w:t>
            </w:r>
          </w:p>
        </w:tc>
        <w:tc>
          <w:tcPr>
            <w:tcW w:w="11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77</w:t>
            </w:r>
          </w:p>
        </w:tc>
        <w:tc>
          <w:tcPr>
            <w:tcW w:w="9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1"/>
                <w:szCs w:val="11"/>
                <w:b w:val="1"/>
                <w:bCs w:val="1"/>
                <w:color w:val="auto"/>
              </w:rPr>
              <w:t>(a)</w:t>
            </w: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$ 3,499</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$ 3,373</w:t>
            </w: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$ 126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programming expenses increased during the three months ended March 31, 2010 compared to the same period in 2009 primarily due to rate increases and additional programming options offered. Technical labor expenses decreased during the three months ended March 31, 2010 compared to the same period in 2009 primarily due to decreases in customer activity levels.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High-speed Internet expenses and phone expenses include certain direct costs for providing these services but do not fully reflect the amount of operating expenses that would be necessary to provide these services on a stand-alone basis. Other related costs associated with providing these services are generally shared among all our cable services and are not allocated to these items. The decreases in high-speed Internet expenses and phone expenses during the three months ended March 31, 2010 compared to the same period in 2009 were primarily due to lower support service costs that were the result of operating efficiencies. Other operating expenses increased during the three months ended March 31, 2010 compared to the same period in 2009 primarily due to the continued expansion of our cable services to small and medium-sized businesses and other service enhancement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right"/>
              <w:ind w:right="396"/>
              <w:spacing w:after="0"/>
              <w:rPr>
                <w:sz w:val="20"/>
                <w:szCs w:val="20"/>
                <w:color w:val="auto"/>
              </w:rPr>
            </w:pPr>
            <w:r>
              <w:rPr>
                <w:rFonts w:ascii="Arial" w:cs="Arial" w:eastAsia="Arial" w:hAnsi="Arial"/>
                <w:sz w:val="14"/>
                <w:szCs w:val="14"/>
                <w:color w:val="auto"/>
                <w:w w:val="94"/>
              </w:rPr>
              <w:t>Three Months Ended</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416"/>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321"/>
              <w:spacing w:after="0" w:line="142" w:lineRule="exact"/>
              <w:rPr>
                <w:sz w:val="20"/>
                <w:szCs w:val="20"/>
                <w:color w:val="auto"/>
              </w:rPr>
            </w:pPr>
            <w:r>
              <w:rPr>
                <w:rFonts w:ascii="Arial" w:cs="Arial" w:eastAsia="Arial" w:hAnsi="Arial"/>
                <w:sz w:val="14"/>
                <w:szCs w:val="14"/>
                <w:color w:val="auto"/>
                <w:w w:val="89"/>
              </w:rPr>
              <w:t>2010</w:t>
            </w:r>
          </w:p>
        </w:tc>
        <w:tc>
          <w:tcPr>
            <w:tcW w:w="360" w:type="dxa"/>
            <w:vAlign w:val="bottom"/>
          </w:tcPr>
          <w:p>
            <w:pPr>
              <w:spacing w:after="0"/>
              <w:rPr>
                <w:sz w:val="12"/>
                <w:szCs w:val="12"/>
                <w:color w:val="auto"/>
              </w:rPr>
            </w:pPr>
          </w:p>
        </w:tc>
        <w:tc>
          <w:tcPr>
            <w:tcW w:w="680" w:type="dxa"/>
            <w:vAlign w:val="bottom"/>
          </w:tcPr>
          <w:p>
            <w:pPr>
              <w:jc w:val="right"/>
              <w:ind w:right="296"/>
              <w:spacing w:after="0" w:line="142" w:lineRule="exact"/>
              <w:rPr>
                <w:sz w:val="20"/>
                <w:szCs w:val="20"/>
                <w:color w:val="auto"/>
              </w:rPr>
            </w:pPr>
            <w:r>
              <w:rPr>
                <w:rFonts w:ascii="Arial" w:cs="Arial" w:eastAsia="Arial" w:hAnsi="Arial"/>
                <w:sz w:val="14"/>
                <w:szCs w:val="14"/>
                <w:color w:val="auto"/>
                <w:w w:val="89"/>
              </w:rPr>
              <w:t>2009</w:t>
            </w:r>
          </w:p>
        </w:tc>
        <w:tc>
          <w:tcPr>
            <w:tcW w:w="1120" w:type="dxa"/>
            <w:vAlign w:val="bottom"/>
          </w:tcPr>
          <w:p>
            <w:pPr>
              <w:jc w:val="right"/>
              <w:ind w:right="539"/>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7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449</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474</w:t>
            </w:r>
          </w:p>
        </w:tc>
        <w:tc>
          <w:tcPr>
            <w:tcW w:w="1120" w:type="dxa"/>
            <w:vAlign w:val="bottom"/>
            <w:tcBorders>
              <w:top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color w:val="auto"/>
              </w:rPr>
              <w:t>$ (25)</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Marketing</w:t>
            </w:r>
          </w:p>
        </w:tc>
        <w:tc>
          <w:tcPr>
            <w:tcW w:w="600" w:type="dxa"/>
            <w:vAlign w:val="bottom"/>
          </w:tcPr>
          <w:p>
            <w:pPr>
              <w:spacing w:after="0"/>
              <w:rPr>
                <w:sz w:val="18"/>
                <w:szCs w:val="18"/>
                <w:color w:val="auto"/>
              </w:rPr>
            </w:pPr>
          </w:p>
        </w:tc>
        <w:tc>
          <w:tcPr>
            <w:tcW w:w="700" w:type="dxa"/>
            <w:vAlign w:val="bottom"/>
          </w:tcPr>
          <w:p>
            <w:pPr>
              <w:jc w:val="right"/>
              <w:ind w:right="181"/>
              <w:spacing w:after="0"/>
              <w:rPr>
                <w:sz w:val="20"/>
                <w:szCs w:val="20"/>
                <w:color w:val="auto"/>
              </w:rPr>
            </w:pPr>
            <w:r>
              <w:rPr>
                <w:rFonts w:ascii="Arial" w:cs="Arial" w:eastAsia="Arial" w:hAnsi="Arial"/>
                <w:sz w:val="18"/>
                <w:szCs w:val="18"/>
                <w:color w:val="auto"/>
              </w:rPr>
              <w:t>429</w:t>
            </w:r>
          </w:p>
        </w:tc>
        <w:tc>
          <w:tcPr>
            <w:tcW w:w="360" w:type="dxa"/>
            <w:vAlign w:val="bottom"/>
          </w:tcPr>
          <w:p>
            <w:pPr>
              <w:spacing w:after="0"/>
              <w:rPr>
                <w:sz w:val="18"/>
                <w:szCs w:val="18"/>
                <w:color w:val="auto"/>
              </w:rPr>
            </w:pPr>
          </w:p>
        </w:tc>
        <w:tc>
          <w:tcPr>
            <w:tcW w:w="680" w:type="dxa"/>
            <w:vAlign w:val="bottom"/>
          </w:tcPr>
          <w:p>
            <w:pPr>
              <w:jc w:val="right"/>
              <w:ind w:right="156"/>
              <w:spacing w:after="0"/>
              <w:rPr>
                <w:sz w:val="20"/>
                <w:szCs w:val="20"/>
                <w:color w:val="auto"/>
              </w:rPr>
            </w:pPr>
            <w:r>
              <w:rPr>
                <w:rFonts w:ascii="Arial" w:cs="Arial" w:eastAsia="Arial" w:hAnsi="Arial"/>
                <w:sz w:val="18"/>
                <w:szCs w:val="18"/>
                <w:color w:val="auto"/>
              </w:rPr>
              <w:t>370</w:t>
            </w:r>
          </w:p>
        </w:tc>
        <w:tc>
          <w:tcPr>
            <w:tcW w:w="1120" w:type="dxa"/>
            <w:vAlign w:val="bottom"/>
          </w:tcPr>
          <w:p>
            <w:pPr>
              <w:jc w:val="right"/>
              <w:ind w:right="379"/>
              <w:spacing w:after="0"/>
              <w:rPr>
                <w:sz w:val="20"/>
                <w:szCs w:val="20"/>
                <w:color w:val="auto"/>
              </w:rPr>
            </w:pPr>
            <w:r>
              <w:rPr>
                <w:rFonts w:ascii="Arial" w:cs="Arial" w:eastAsia="Arial" w:hAnsi="Arial"/>
                <w:sz w:val="18"/>
                <w:szCs w:val="18"/>
                <w:color w:val="auto"/>
              </w:rPr>
              <w:t>59</w:t>
            </w: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758</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762</w:t>
            </w:r>
          </w:p>
        </w:tc>
        <w:tc>
          <w:tcPr>
            <w:tcW w:w="1120" w:type="dxa"/>
            <w:vAlign w:val="bottom"/>
            <w:tcBorders>
              <w:bottom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color w:val="auto"/>
              </w:rPr>
              <w:t>(4)</w:t>
            </w:r>
          </w:p>
        </w:tc>
        <w:tc>
          <w:tcPr>
            <w:tcW w:w="9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r>
              <w:rPr>
                <w:rFonts w:ascii="Arial" w:cs="Arial" w:eastAsia="Arial" w:hAnsi="Arial"/>
                <w:sz w:val="11"/>
                <w:szCs w:val="11"/>
                <w:b w:val="1"/>
                <w:bCs w:val="1"/>
                <w:color w:val="auto"/>
              </w:rPr>
              <w:t>(a)</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93"/>
              </w:rPr>
              <w:t>1,636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3"/>
              </w:rPr>
              <w:t>1,606</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b w:val="1"/>
                <w:bCs w:val="1"/>
                <w:color w:val="auto"/>
              </w:rPr>
              <w:t>$  30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Customer service expenses decreased during the three months ended March 31, 2010 compared to the same period in 2009 primarily due to decreases in customer activity levels. Marketing expenses increased during the three months ended March 31, 2010 compared to the same period in 2009 primarily due to an increase in direct sales efforts and additional marketing costs associated with attracting and retaining customers, including the launch of our XFINITY campaign.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jc w:val="right"/>
              <w:ind w:right="377"/>
              <w:spacing w:after="0"/>
              <w:rPr>
                <w:sz w:val="20"/>
                <w:szCs w:val="20"/>
                <w:color w:val="auto"/>
              </w:rPr>
            </w:pPr>
            <w:r>
              <w:rPr>
                <w:rFonts w:ascii="Arial" w:cs="Arial" w:eastAsia="Arial" w:hAnsi="Arial"/>
                <w:sz w:val="14"/>
                <w:szCs w:val="14"/>
                <w:color w:val="auto"/>
                <w:w w:val="94"/>
              </w:rPr>
              <w:t>Three Months Ended</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02"/>
              <w:spacing w:after="0" w:line="142" w:lineRule="exact"/>
              <w:rPr>
                <w:sz w:val="20"/>
                <w:szCs w:val="20"/>
                <w:color w:val="auto"/>
              </w:rPr>
            </w:pPr>
            <w:r>
              <w:rPr>
                <w:rFonts w:ascii="Arial" w:cs="Arial" w:eastAsia="Arial" w:hAnsi="Arial"/>
                <w:sz w:val="14"/>
                <w:szCs w:val="14"/>
                <w:color w:val="auto"/>
                <w:w w:val="89"/>
              </w:rPr>
              <w:t>2010</w:t>
            </w:r>
          </w:p>
        </w:tc>
        <w:tc>
          <w:tcPr>
            <w:tcW w:w="360" w:type="dxa"/>
            <w:vAlign w:val="bottom"/>
          </w:tcPr>
          <w:p>
            <w:pPr>
              <w:spacing w:after="0"/>
              <w:rPr>
                <w:sz w:val="12"/>
                <w:szCs w:val="12"/>
                <w:color w:val="auto"/>
              </w:rPr>
            </w:pPr>
          </w:p>
        </w:tc>
        <w:tc>
          <w:tcPr>
            <w:tcW w:w="68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9"/>
              </w:rPr>
              <w:t>2009</w:t>
            </w:r>
          </w:p>
        </w:tc>
        <w:tc>
          <w:tcPr>
            <w:tcW w:w="380" w:type="dxa"/>
            <w:vAlign w:val="bottom"/>
          </w:tcPr>
          <w:p>
            <w:pPr>
              <w:spacing w:after="0"/>
              <w:rPr>
                <w:sz w:val="12"/>
                <w:szCs w:val="12"/>
                <w:color w:val="auto"/>
              </w:rPr>
            </w:pPr>
          </w:p>
        </w:tc>
        <w:tc>
          <w:tcPr>
            <w:tcW w:w="680" w:type="dxa"/>
            <w:vAlign w:val="bottom"/>
          </w:tcPr>
          <w:p>
            <w:pPr>
              <w:jc w:val="right"/>
              <w:ind w:right="480"/>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385</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361</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color w:val="auto"/>
              </w:rPr>
              <w:t>24</w:t>
            </w:r>
          </w:p>
        </w:tc>
        <w:tc>
          <w:tcPr>
            <w:tcW w:w="920" w:type="dxa"/>
            <w:vAlign w:val="bottom"/>
            <w:tcBorders>
              <w:top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264</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249</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121</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112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9</w:t>
            </w:r>
          </w:p>
        </w:tc>
        <w:tc>
          <w:tcPr>
            <w:tcW w:w="92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Programming revenue increased during the three months ended March 31, 2010 compared to same period in 2009 primarily due to growth in programming license fee revenue and advertising revenue. For both the three months ended March 31, 2010 and 2009, advertising accounted for approximately 40% of total Programming revenue. For both the three months ended March 31, 2010 and 2009, approximately 13% of our Programming revenue was generated from our Cable segment. These amounts are eliminated in our consolidated financial statements but are included in the amounts presented above.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color w:val="auto"/>
                <w:w w:val="99"/>
              </w:rPr>
              <w:t>Three Months Ended</w:t>
            </w:r>
          </w:p>
        </w:tc>
      </w:tr>
      <w:tr>
        <w:trPr>
          <w:trHeight w:val="17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4"/>
                <w:szCs w:val="14"/>
                <w:color w:val="auto"/>
              </w:rPr>
            </w:pPr>
          </w:p>
        </w:tc>
      </w:tr>
      <w:tr>
        <w:trPr>
          <w:trHeight w:val="143"/>
        </w:trPr>
        <w:tc>
          <w:tcPr>
            <w:tcW w:w="90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2"/>
                <w:szCs w:val="12"/>
                <w:color w:val="auto"/>
              </w:rPr>
            </w:pPr>
          </w:p>
        </w:tc>
        <w:tc>
          <w:tcPr>
            <w:tcW w:w="480" w:type="dxa"/>
            <w:vAlign w:val="bottom"/>
          </w:tcPr>
          <w:p>
            <w:pPr>
              <w:jc w:val="right"/>
              <w:ind w:right="118"/>
              <w:spacing w:after="0" w:line="143" w:lineRule="exact"/>
              <w:rPr>
                <w:sz w:val="20"/>
                <w:szCs w:val="20"/>
                <w:color w:val="auto"/>
              </w:rPr>
            </w:pPr>
            <w:r>
              <w:rPr>
                <w:rFonts w:ascii="Arial" w:cs="Arial" w:eastAsia="Arial" w:hAnsi="Arial"/>
                <w:sz w:val="14"/>
                <w:szCs w:val="14"/>
                <w:color w:val="auto"/>
                <w:w w:val="83"/>
              </w:rPr>
              <w:t>2010</w:t>
            </w:r>
          </w:p>
        </w:tc>
        <w:tc>
          <w:tcPr>
            <w:tcW w:w="700" w:type="dxa"/>
            <w:vAlign w:val="bottom"/>
          </w:tcPr>
          <w:p>
            <w:pPr>
              <w:spacing w:after="0"/>
              <w:rPr>
                <w:sz w:val="12"/>
                <w:szCs w:val="12"/>
                <w:color w:val="auto"/>
              </w:rPr>
            </w:pPr>
          </w:p>
        </w:tc>
        <w:tc>
          <w:tcPr>
            <w:tcW w:w="540" w:type="dxa"/>
            <w:vAlign w:val="bottom"/>
          </w:tcPr>
          <w:p>
            <w:pPr>
              <w:jc w:val="right"/>
              <w:ind w:right="156"/>
              <w:spacing w:after="0" w:line="143" w:lineRule="exact"/>
              <w:rPr>
                <w:sz w:val="20"/>
                <w:szCs w:val="20"/>
                <w:color w:val="auto"/>
              </w:rPr>
            </w:pPr>
            <w:r>
              <w:rPr>
                <w:rFonts w:ascii="Arial" w:cs="Arial" w:eastAsia="Arial" w:hAnsi="Arial"/>
                <w:sz w:val="14"/>
                <w:szCs w:val="14"/>
                <w:color w:val="auto"/>
                <w:w w:val="89"/>
              </w:rPr>
              <w:t>2009</w:t>
            </w: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(524)</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(465)</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(572)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interest expense for the three months ended March 31, 2010 compared to the same period in 2009 was due to the decrease in our average debt outstanding and decreases in interest rates on debt subject to variable interest rate swap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2010 and 2009 are presented in a table in Note 5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(expense) for the three months ended March 31, 2010 includes approximately $13 million of costs associated with the financing of the NBC Universal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months ended March 31, 2010 and 2009 reflects an effective income tax rate that differs from the federal statutory rate primarily due to state income taxes and interest on uncertain tax positions. Income tax expense for the three months ended March 31, 2009 was reduced by approximately $48 million related to accrued interest associated with the settlement of an uncertain tax position. We expect our 2010 annual effective tax rate to be approximately 40%.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1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r>
      <w:tr>
        <w:trPr>
          <w:trHeight w:val="17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4"/>
                <w:szCs w:val="14"/>
                <w:color w:val="auto"/>
              </w:rPr>
            </w:pPr>
          </w:p>
        </w:tc>
      </w:tr>
      <w:tr>
        <w:trPr>
          <w:trHeight w:val="143"/>
        </w:trPr>
        <w:tc>
          <w:tcPr>
            <w:tcW w:w="926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500" w:type="dxa"/>
            <w:vAlign w:val="bottom"/>
          </w:tcPr>
          <w:p>
            <w:pPr>
              <w:jc w:val="right"/>
              <w:ind w:right="577"/>
              <w:spacing w:after="0" w:line="143" w:lineRule="exact"/>
              <w:rPr>
                <w:sz w:val="20"/>
                <w:szCs w:val="20"/>
                <w:color w:val="auto"/>
              </w:rPr>
            </w:pPr>
            <w:r>
              <w:rPr>
                <w:rFonts w:ascii="Arial" w:cs="Arial" w:eastAsia="Arial" w:hAnsi="Arial"/>
                <w:sz w:val="14"/>
                <w:szCs w:val="14"/>
                <w:color w:val="auto"/>
              </w:rPr>
              <w:t>2010</w:t>
            </w:r>
          </w:p>
        </w:tc>
        <w:tc>
          <w:tcPr>
            <w:tcW w:w="660" w:type="dxa"/>
            <w:vAlign w:val="bottom"/>
          </w:tcPr>
          <w:p>
            <w:pPr>
              <w:jc w:val="right"/>
              <w:ind w:right="154"/>
              <w:spacing w:after="0" w:line="143"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Borders>
              <w:top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$ 1,935</w:t>
            </w:r>
          </w:p>
        </w:tc>
        <w:tc>
          <w:tcPr>
            <w:tcW w:w="66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9"/>
              </w:rPr>
              <w:t>$ 1,811</w:t>
            </w: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1,630</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1,633</w:t>
            </w:r>
          </w:p>
        </w:tc>
      </w:tr>
      <w:tr>
        <w:trPr>
          <w:trHeight w:val="210"/>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3,565</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3,444</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82</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(107)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(188)</w:t>
            </w: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3,540</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(615)</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(46)</w:t>
            </w: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27</w:t>
            </w:r>
          </w:p>
        </w:tc>
      </w:tr>
      <w:tr>
        <w:trPr>
          <w:trHeight w:val="217"/>
        </w:trPr>
        <w:tc>
          <w:tcPr>
            <w:tcW w:w="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$ 2,903</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9"/>
              </w:rPr>
              <w:t>$ 2,512</w:t>
            </w: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interest payments during the three months ended March 31, 2010 compared to the same period in 2009 was primarily due to the effects of our debt repayments and decreases in interest rates on debt subject to variable interest rate swap agreements.</w:t>
      </w:r>
    </w:p>
    <w:p>
      <w:pPr>
        <w:spacing w:after="0" w:line="3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decrease in income tax payments during the three months ended March 31, 2010 compared to the same period in 2009 was primarily due to a $140 million tax payment made in 2009 that related to 2008. During the three months ended March 31, 2010, we made a tax payment of $25 million that related to 2009.</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2010 consists primarily of cash paid for capital expenditures of $925 million, cash paid for intangible assets of $117 million and acquisitions of $172 million. Capital expenditures have been our most significant recurring investing activity and we expect that this will continue in the future.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three months ended March 31, 2010 consists primarily of proceeds from borrowings of $2.4 billion, partially offset by debt repurchases and repayments of $612 million, repurchases of our Class A Special common stock of $300 million and dividend payments of $268 million.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March 31, 2010, amounts available under all of our credit facilities totaled approximately $6.4 billion.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three months ended March 31, 2010, we repurchased approximately 19.2 million shares of our Class A Special common stock under our share repurchase authorization for $300 million. As of March 31, 2010, we had approximately $3.0 billion of availability remaining under our share repurchase authorization. We intend to complete repurchases under the current share repurchase authorization by the end of 2012, subject to market conditions.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2010, our Board of Directors approved a quarterly dividend of $0.0945 per share as part of our planned annual dividend of $0.378 per share. Approximately $267 million of dividends declared were paid in April 2010. We expect to continue to pay quarterly dividends, although each dividend is subject to approval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condensed consolidated financial statements.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2009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2009 Annual Report on Form 10-K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12 to our condensed consolidated financial statements of this Quarterly Report on Form 10-Q for a discussion of recent developments related to our legal proceedings.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2009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existing share repurchase authorization during the three months ended March 31, 2010.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80" w:type="dxa"/>
            <w:vAlign w:val="bottom"/>
          </w:tcPr>
          <w:p>
            <w:pPr>
              <w:spacing w:after="0"/>
              <w:rPr>
                <w:sz w:val="14"/>
                <w:szCs w:val="14"/>
                <w:color w:val="auto"/>
              </w:rPr>
            </w:pPr>
          </w:p>
        </w:tc>
        <w:tc>
          <w:tcPr>
            <w:tcW w:w="1180" w:type="dxa"/>
            <w:vAlign w:val="bottom"/>
          </w:tcPr>
          <w:p>
            <w:pPr>
              <w:jc w:val="center"/>
              <w:ind w:right="322"/>
              <w:spacing w:after="0"/>
              <w:rPr>
                <w:sz w:val="20"/>
                <w:szCs w:val="20"/>
                <w:color w:val="auto"/>
              </w:rPr>
            </w:pPr>
            <w:r>
              <w:rPr>
                <w:rFonts w:ascii="Arial" w:cs="Arial" w:eastAsia="Arial" w:hAnsi="Arial"/>
                <w:sz w:val="14"/>
                <w:szCs w:val="14"/>
                <w:color w:val="auto"/>
                <w:w w:val="92"/>
              </w:rPr>
              <w:t>Total Dollar</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20" w:type="dxa"/>
            <w:vAlign w:val="bottom"/>
          </w:tcPr>
          <w:p>
            <w:pPr>
              <w:jc w:val="center"/>
              <w:ind w:left="942"/>
              <w:spacing w:after="0" w:line="149" w:lineRule="exact"/>
              <w:rPr>
                <w:sz w:val="20"/>
                <w:szCs w:val="20"/>
                <w:color w:val="auto"/>
              </w:rPr>
            </w:pPr>
            <w:r>
              <w:rPr>
                <w:rFonts w:ascii="Arial" w:cs="Arial" w:eastAsia="Arial" w:hAnsi="Arial"/>
                <w:sz w:val="14"/>
                <w:szCs w:val="14"/>
                <w:color w:val="auto"/>
                <w:w w:val="89"/>
              </w:rPr>
              <w:t>Total</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380" w:type="dxa"/>
            <w:vAlign w:val="bottom"/>
          </w:tcPr>
          <w:p>
            <w:pPr>
              <w:spacing w:after="0"/>
              <w:rPr>
                <w:sz w:val="12"/>
                <w:szCs w:val="12"/>
                <w:color w:val="auto"/>
              </w:rPr>
            </w:pPr>
          </w:p>
        </w:tc>
        <w:tc>
          <w:tcPr>
            <w:tcW w:w="118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1"/>
              </w:rPr>
              <w:t>Amount</w:t>
            </w:r>
          </w:p>
        </w:tc>
        <w:tc>
          <w:tcPr>
            <w:tcW w:w="1640" w:type="dxa"/>
            <w:vAlign w:val="bottom"/>
            <w:gridSpan w:val="3"/>
          </w:tcPr>
          <w:p>
            <w:pPr>
              <w:jc w:val="center"/>
              <w:ind w:left="199"/>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20" w:type="dxa"/>
            <w:vAlign w:val="bottom"/>
          </w:tcPr>
          <w:p>
            <w:pPr>
              <w:jc w:val="center"/>
              <w:ind w:left="942"/>
              <w:spacing w:after="0" w:line="149" w:lineRule="exact"/>
              <w:rPr>
                <w:sz w:val="20"/>
                <w:szCs w:val="20"/>
                <w:color w:val="auto"/>
              </w:rPr>
            </w:pPr>
            <w:r>
              <w:rPr>
                <w:rFonts w:ascii="Arial" w:cs="Arial" w:eastAsia="Arial" w:hAnsi="Arial"/>
                <w:sz w:val="14"/>
                <w:szCs w:val="14"/>
                <w:color w:val="auto"/>
                <w:w w:val="88"/>
              </w:rPr>
              <w:t>Number</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Part of Publicly</w:t>
            </w:r>
          </w:p>
        </w:tc>
        <w:tc>
          <w:tcPr>
            <w:tcW w:w="380" w:type="dxa"/>
            <w:vAlign w:val="bottom"/>
          </w:tcPr>
          <w:p>
            <w:pPr>
              <w:spacing w:after="0"/>
              <w:rPr>
                <w:sz w:val="12"/>
                <w:szCs w:val="12"/>
                <w:color w:val="auto"/>
              </w:rPr>
            </w:pPr>
          </w:p>
        </w:tc>
        <w:tc>
          <w:tcPr>
            <w:tcW w:w="118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83"/>
              </w:rPr>
              <w:t>Purchased</w:t>
            </w:r>
          </w:p>
        </w:tc>
        <w:tc>
          <w:tcPr>
            <w:tcW w:w="1640" w:type="dxa"/>
            <w:vAlign w:val="bottom"/>
            <w:gridSpan w:val="3"/>
          </w:tcPr>
          <w:p>
            <w:pPr>
              <w:jc w:val="center"/>
              <w:ind w:left="179"/>
              <w:spacing w:after="0" w:line="149" w:lineRule="exact"/>
              <w:rPr>
                <w:sz w:val="20"/>
                <w:szCs w:val="20"/>
                <w:color w:val="auto"/>
              </w:rPr>
            </w:pPr>
            <w:r>
              <w:rPr>
                <w:rFonts w:ascii="Arial" w:cs="Arial" w:eastAsia="Arial" w:hAnsi="Arial"/>
                <w:sz w:val="14"/>
                <w:szCs w:val="14"/>
                <w:color w:val="auto"/>
                <w:w w:val="88"/>
              </w:rPr>
              <w:t>of Shares That May Yet</w:t>
            </w: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20" w:type="dxa"/>
            <w:vAlign w:val="bottom"/>
          </w:tcPr>
          <w:p>
            <w:pPr>
              <w:jc w:val="center"/>
              <w:ind w:left="962"/>
              <w:spacing w:after="0" w:line="149" w:lineRule="exact"/>
              <w:rPr>
                <w:sz w:val="20"/>
                <w:szCs w:val="20"/>
                <w:color w:val="auto"/>
              </w:rPr>
            </w:pPr>
            <w:r>
              <w:rPr>
                <w:rFonts w:ascii="Arial" w:cs="Arial" w:eastAsia="Arial" w:hAnsi="Arial"/>
                <w:sz w:val="14"/>
                <w:szCs w:val="14"/>
                <w:color w:val="auto"/>
                <w:w w:val="83"/>
              </w:rPr>
              <w:t>of Shares</w:t>
            </w:r>
          </w:p>
        </w:tc>
        <w:tc>
          <w:tcPr>
            <w:tcW w:w="1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Average Price</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380" w:type="dxa"/>
            <w:vAlign w:val="bottom"/>
          </w:tcPr>
          <w:p>
            <w:pPr>
              <w:spacing w:after="0"/>
              <w:rPr>
                <w:sz w:val="12"/>
                <w:szCs w:val="12"/>
                <w:color w:val="auto"/>
              </w:rPr>
            </w:pPr>
          </w:p>
        </w:tc>
        <w:tc>
          <w:tcPr>
            <w:tcW w:w="118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89"/>
              </w:rPr>
              <w:t>Under</w:t>
            </w:r>
          </w:p>
        </w:tc>
        <w:tc>
          <w:tcPr>
            <w:tcW w:w="3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Be Purchased Under</w:t>
            </w:r>
          </w:p>
        </w:tc>
      </w:tr>
      <w:tr>
        <w:trPr>
          <w:trHeight w:val="173"/>
        </w:trPr>
        <w:tc>
          <w:tcPr>
            <w:tcW w:w="27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420" w:type="dxa"/>
            <w:vAlign w:val="bottom"/>
          </w:tcPr>
          <w:p>
            <w:pPr>
              <w:jc w:val="center"/>
              <w:ind w:left="942"/>
              <w:spacing w:after="0"/>
              <w:rPr>
                <w:sz w:val="20"/>
                <w:szCs w:val="20"/>
                <w:color w:val="auto"/>
              </w:rPr>
            </w:pPr>
            <w:r>
              <w:rPr>
                <w:rFonts w:ascii="Arial" w:cs="Arial" w:eastAsia="Arial" w:hAnsi="Arial"/>
                <w:sz w:val="14"/>
                <w:szCs w:val="14"/>
                <w:color w:val="auto"/>
                <w:w w:val="83"/>
              </w:rPr>
              <w:t>Purchased</w:t>
            </w:r>
          </w:p>
        </w:tc>
        <w:tc>
          <w:tcPr>
            <w:tcW w:w="380" w:type="dxa"/>
            <w:vAlign w:val="bottom"/>
          </w:tcPr>
          <w:p>
            <w:pPr>
              <w:spacing w:after="0"/>
              <w:rPr>
                <w:sz w:val="15"/>
                <w:szCs w:val="15"/>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color w:val="auto"/>
                <w:w w:val="85"/>
              </w:rPr>
              <w:t>Per Share</w:t>
            </w:r>
          </w:p>
        </w:tc>
        <w:tc>
          <w:tcPr>
            <w:tcW w:w="1680" w:type="dxa"/>
            <w:vAlign w:val="bottom"/>
          </w:tcPr>
          <w:p>
            <w:pPr>
              <w:jc w:val="center"/>
              <w:spacing w:after="0"/>
              <w:rPr>
                <w:sz w:val="20"/>
                <w:szCs w:val="20"/>
                <w:color w:val="auto"/>
              </w:rPr>
            </w:pPr>
            <w:r>
              <w:rPr>
                <w:rFonts w:ascii="Arial" w:cs="Arial" w:eastAsia="Arial" w:hAnsi="Arial"/>
                <w:sz w:val="14"/>
                <w:szCs w:val="14"/>
                <w:color w:val="auto"/>
                <w:w w:val="90"/>
              </w:rPr>
              <w:t>Authorization</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89"/>
              </w:rPr>
              <w:t>the Authorization</w:t>
            </w:r>
          </w:p>
        </w:tc>
        <w:tc>
          <w:tcPr>
            <w:tcW w:w="38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the Authorization(a)</w:t>
            </w: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January 1-31, 2010</w:t>
            </w:r>
          </w:p>
        </w:tc>
        <w:tc>
          <w:tcPr>
            <w:tcW w:w="242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3,340,975,279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February 1-28, 2010</w:t>
            </w:r>
          </w:p>
        </w:tc>
        <w:tc>
          <w:tcPr>
            <w:tcW w:w="2420" w:type="dxa"/>
            <w:vAlign w:val="bottom"/>
          </w:tcPr>
          <w:p>
            <w:pPr>
              <w:jc w:val="right"/>
              <w:ind w:right="202"/>
              <w:spacing w:after="0"/>
              <w:rPr>
                <w:sz w:val="20"/>
                <w:szCs w:val="20"/>
                <w:color w:val="auto"/>
              </w:rPr>
            </w:pPr>
            <w:r>
              <w:rPr>
                <w:rFonts w:ascii="Arial" w:cs="Arial" w:eastAsia="Arial" w:hAnsi="Arial"/>
                <w:sz w:val="18"/>
                <w:szCs w:val="18"/>
                <w:color w:val="auto"/>
              </w:rPr>
              <w:t>9,709,681</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15.45</w:t>
            </w:r>
          </w:p>
        </w:tc>
        <w:tc>
          <w:tcPr>
            <w:tcW w:w="1680" w:type="dxa"/>
            <w:vAlign w:val="bottom"/>
          </w:tcPr>
          <w:p>
            <w:pPr>
              <w:jc w:val="right"/>
              <w:ind w:right="223"/>
              <w:spacing w:after="0"/>
              <w:rPr>
                <w:sz w:val="20"/>
                <w:szCs w:val="20"/>
                <w:color w:val="auto"/>
              </w:rPr>
            </w:pPr>
            <w:r>
              <w:rPr>
                <w:rFonts w:ascii="Arial" w:cs="Arial" w:eastAsia="Arial" w:hAnsi="Arial"/>
                <w:sz w:val="18"/>
                <w:szCs w:val="18"/>
                <w:color w:val="auto"/>
              </w:rPr>
              <w:t>9,709,681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02"/>
              <w:spacing w:after="0"/>
              <w:rPr>
                <w:sz w:val="20"/>
                <w:szCs w:val="20"/>
                <w:color w:val="auto"/>
              </w:rPr>
            </w:pPr>
            <w:r>
              <w:rPr>
                <w:rFonts w:ascii="Arial" w:cs="Arial" w:eastAsia="Arial" w:hAnsi="Arial"/>
                <w:sz w:val="18"/>
                <w:szCs w:val="18"/>
                <w:color w:val="auto"/>
                <w:w w:val="87"/>
              </w:rPr>
              <w:t>150,000,000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3,190,975,279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March 1-31, 2010</w:t>
            </w:r>
          </w:p>
        </w:tc>
        <w:tc>
          <w:tcPr>
            <w:tcW w:w="242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9,484,912</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15.81</w:t>
            </w:r>
          </w:p>
        </w:tc>
        <w:tc>
          <w:tcPr>
            <w:tcW w:w="168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9,484,912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w w:val="87"/>
              </w:rPr>
              <w:t>150,000,000</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3,040,975,279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19,194,593</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15.63</w:t>
            </w: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19,194,593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w w:val="87"/>
              </w:rPr>
              <w:t>300,000,000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3,040,975,279</w:t>
            </w:r>
          </w:p>
        </w:tc>
        <w:tc>
          <w:tcPr>
            <w:tcW w:w="20" w:type="dxa"/>
            <w:vAlign w:val="bottom"/>
            <w:tcBorders>
              <w:bottom w:val="single" w:sz="8" w:color="auto"/>
            </w:tcBorders>
          </w:tcPr>
          <w:p>
            <w:pPr>
              <w:spacing w:after="0"/>
              <w:rPr>
                <w:sz w:val="18"/>
                <w:szCs w:val="18"/>
                <w:color w:val="auto"/>
              </w:rPr>
            </w:pP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the existing share repurchase authorization. Under this authorization, we may repurchase shares in the open market or in private transactions, subject to market conditions. The current share repurchase authorization does not have an expiration date. As of March 31, 2010, we had approximately $3.0 billion of availability remaining under our share repurchase authorization. We intend to complete repurchases under the current share repurchase authorization by the end of 2012, subject to market conditions.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2010 does not include any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2"/>
          <w:szCs w:val="12"/>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00" w:hanging="129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302 of the Sarbanes-Oxley Act of 2002.</w:t>
      </w:r>
    </w:p>
    <w:p>
      <w:pPr>
        <w:spacing w:after="0" w:line="7" w:lineRule="exact"/>
        <w:rPr>
          <w:rFonts w:ascii="Arial" w:cs="Arial" w:eastAsia="Arial" w:hAnsi="Arial"/>
          <w:sz w:val="18"/>
          <w:szCs w:val="18"/>
          <w:color w:val="auto"/>
        </w:rPr>
      </w:pPr>
    </w:p>
    <w:p>
      <w:pPr>
        <w:ind w:left="1300" w:hanging="129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10.1*</w:t>
            </w:r>
          </w:p>
        </w:tc>
        <w:tc>
          <w:tcPr>
            <w:tcW w:w="10560" w:type="dxa"/>
            <w:vAlign w:val="bottom"/>
          </w:tcPr>
          <w:p>
            <w:pPr>
              <w:ind w:left="440"/>
              <w:spacing w:after="0"/>
              <w:rPr>
                <w:sz w:val="20"/>
                <w:szCs w:val="20"/>
                <w:color w:val="auto"/>
              </w:rPr>
            </w:pPr>
            <w:r>
              <w:rPr>
                <w:rFonts w:ascii="Arial" w:cs="Arial" w:eastAsia="Arial" w:hAnsi="Arial"/>
                <w:sz w:val="18"/>
                <w:szCs w:val="18"/>
                <w:color w:val="auto"/>
              </w:rPr>
              <w:t>Comcast Corporation 2002 Restricted Stock Plan, as amended and restated effective February 22, 2010.</w:t>
            </w:r>
          </w:p>
        </w:tc>
      </w:tr>
      <w:tr>
        <w:trPr>
          <w:trHeight w:val="216"/>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10.2*</w:t>
            </w:r>
          </w:p>
        </w:tc>
        <w:tc>
          <w:tcPr>
            <w:tcW w:w="10560" w:type="dxa"/>
            <w:vAlign w:val="bottom"/>
          </w:tcPr>
          <w:p>
            <w:pPr>
              <w:ind w:left="440"/>
              <w:spacing w:after="0"/>
              <w:rPr>
                <w:sz w:val="20"/>
                <w:szCs w:val="20"/>
                <w:color w:val="auto"/>
              </w:rPr>
            </w:pPr>
            <w:r>
              <w:rPr>
                <w:rFonts w:ascii="Arial" w:cs="Arial" w:eastAsia="Arial" w:hAnsi="Arial"/>
                <w:sz w:val="18"/>
                <w:szCs w:val="18"/>
                <w:color w:val="auto"/>
              </w:rPr>
              <w:t>Comcast Corporation Retirement-Investment Plan, as amended and restated effective January 1, 2010.</w:t>
            </w:r>
          </w:p>
        </w:tc>
      </w:tr>
      <w:tr>
        <w:trPr>
          <w:trHeight w:val="216"/>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10.3*</w:t>
            </w:r>
          </w:p>
        </w:tc>
        <w:tc>
          <w:tcPr>
            <w:tcW w:w="10560" w:type="dxa"/>
            <w:vAlign w:val="bottom"/>
          </w:tcPr>
          <w:p>
            <w:pPr>
              <w:ind w:left="440"/>
              <w:spacing w:after="0"/>
              <w:rPr>
                <w:sz w:val="20"/>
                <w:szCs w:val="20"/>
                <w:color w:val="auto"/>
              </w:rPr>
            </w:pPr>
            <w:r>
              <w:rPr>
                <w:rFonts w:ascii="Arial" w:cs="Arial" w:eastAsia="Arial" w:hAnsi="Arial"/>
                <w:sz w:val="18"/>
                <w:szCs w:val="18"/>
                <w:color w:val="auto"/>
                <w:w w:val="89"/>
              </w:rPr>
              <w:t>Amendment No. 1 to Employment Agreement between Comcast Corporation and Arthur R. Block, dated as of January 26, 2010 (incorporated</w:t>
            </w:r>
          </w:p>
        </w:tc>
      </w:tr>
      <w:tr>
        <w:trPr>
          <w:trHeight w:val="216"/>
        </w:trPr>
        <w:tc>
          <w:tcPr>
            <w:tcW w:w="860" w:type="dxa"/>
            <w:vAlign w:val="bottom"/>
          </w:tcPr>
          <w:p>
            <w:pPr>
              <w:spacing w:after="0"/>
              <w:rPr>
                <w:sz w:val="18"/>
                <w:szCs w:val="18"/>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by reference to Exhibit 10.38 to our Annual Report on Form 10-K for the year ended December 31, 2009).</w:t>
            </w:r>
          </w:p>
        </w:tc>
      </w:tr>
      <w:tr>
        <w:trPr>
          <w:trHeight w:val="222"/>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10.4*</w:t>
            </w:r>
          </w:p>
        </w:tc>
        <w:tc>
          <w:tcPr>
            <w:tcW w:w="10560" w:type="dxa"/>
            <w:vAlign w:val="bottom"/>
          </w:tcPr>
          <w:p>
            <w:pPr>
              <w:ind w:left="440"/>
              <w:spacing w:after="0"/>
              <w:rPr>
                <w:sz w:val="20"/>
                <w:szCs w:val="20"/>
                <w:color w:val="auto"/>
              </w:rPr>
            </w:pPr>
            <w:r>
              <w:rPr>
                <w:rFonts w:ascii="Arial" w:cs="Arial" w:eastAsia="Arial" w:hAnsi="Arial"/>
                <w:sz w:val="18"/>
                <w:szCs w:val="18"/>
                <w:color w:val="auto"/>
              </w:rPr>
              <w:t>Form of Restricted Stock Unit Award under the Comcast Corporation 2002 Restricted Stock Plan.</w:t>
            </w:r>
          </w:p>
        </w:tc>
      </w:tr>
    </w:tbl>
    <w:p>
      <w:pPr>
        <w:jc w:val="both"/>
        <w:ind w:left="1300" w:hanging="1292"/>
        <w:spacing w:after="0" w:line="29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2010, filed with the Securities and Exchange Commission on April 28, 2010, formatted in XBRL (eXtensible Business Reporting Language): (i) the Condensed Consolidated Balance Sheet; (ii) the Condensed Consolidated Statement of Operations; (iii) the Condensed Consolidated Statement of Cash Flows; (iv) the Condensed Consolidated Statement of Changes in Equity; (v) the Condensed Consolidated Statement of Comprehensive Income and (vi)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5620" w:right="5600" w:hanging="5612"/>
        <w:spacing w:after="0" w:line="525" w:lineRule="auto"/>
        <w:tabs>
          <w:tab w:leader="none" w:pos="4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22, 2010)</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February 22, 2010.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89" w:lineRule="auto"/>
        <w:tabs>
          <w:tab w:leader="none" w:pos="705"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2(ee)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jc w:val="both"/>
        <w:ind w:right="120" w:firstLine="464"/>
        <w:spacing w:after="0" w:line="259"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33" w:name="page34"/>
    <w:bookmarkEnd w:id="33"/>
    <w:p>
      <w:pPr>
        <w:ind w:left="172" w:hanging="172"/>
        <w:spacing w:after="0"/>
        <w:tabs>
          <w:tab w:leader="none" w:pos="17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8" w:right="60" w:firstLine="464"/>
        <w:spacing w:after="0" w:line="332" w:lineRule="auto"/>
        <w:tabs>
          <w:tab w:leader="none" w:pos="687"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85" w:lineRule="exact"/>
        <w:rPr>
          <w:rFonts w:ascii="Arial" w:cs="Arial" w:eastAsia="Arial" w:hAnsi="Arial"/>
          <w:sz w:val="16"/>
          <w:szCs w:val="16"/>
          <w:color w:val="auto"/>
        </w:rPr>
      </w:pPr>
    </w:p>
    <w:p>
      <w:pPr>
        <w:ind w:left="-8" w:right="60" w:firstLine="464"/>
        <w:spacing w:after="0" w:line="298" w:lineRule="auto"/>
        <w:tabs>
          <w:tab w:leader="none" w:pos="6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right="20" w:firstLine="464"/>
        <w:spacing w:after="0" w:line="256" w:lineRule="auto"/>
        <w:tabs>
          <w:tab w:leader="none" w:pos="6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500" w:firstLine="464"/>
        <w:spacing w:after="0" w:line="268" w:lineRule="auto"/>
        <w:tabs>
          <w:tab w:leader="none" w:pos="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90" w:lineRule="exact"/>
        <w:rPr>
          <w:rFonts w:ascii="Arial" w:cs="Arial" w:eastAsia="Arial" w:hAnsi="Arial"/>
          <w:sz w:val="18"/>
          <w:szCs w:val="18"/>
          <w:color w:val="auto"/>
        </w:rPr>
      </w:pPr>
    </w:p>
    <w:p>
      <w:pPr>
        <w:ind w:left="1912" w:hanging="440"/>
        <w:spacing w:after="0" w:line="298" w:lineRule="auto"/>
        <w:tabs>
          <w:tab w:leader="none" w:pos="1912" w:val="left"/>
        </w:tabs>
        <w:numPr>
          <w:ilvl w:val="3"/>
          <w:numId w:val="19"/>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Diversification Elections and Special Diversification Elections made before January 1, 2010 shall be the interest rate that, when compounded annually pursuant to rules established by the Committee from time to time, is mathematically equivalent to 8% per annum, compounded annually, or such other interest rate established by the Committee from time to time, provided that</w:t>
      </w:r>
    </w:p>
    <w:p>
      <w:pPr>
        <w:spacing w:after="0" w:line="31" w:lineRule="exact"/>
        <w:rPr>
          <w:rFonts w:ascii="Arial" w:cs="Arial" w:eastAsia="Arial" w:hAnsi="Arial"/>
          <w:sz w:val="16"/>
          <w:szCs w:val="16"/>
          <w:color w:val="auto"/>
        </w:rPr>
      </w:pPr>
    </w:p>
    <w:p>
      <w:pPr>
        <w:ind w:left="1912" w:hanging="440"/>
        <w:spacing w:after="0" w:line="268" w:lineRule="auto"/>
        <w:tabs>
          <w:tab w:leader="none" w:pos="1912"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Diversification Elections and Special Diversification</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74" w:right="339" w:bottom="1440" w:gutter="0" w:footer="0" w:header="0"/>
        </w:sectPr>
      </w:pPr>
    </w:p>
    <w:bookmarkStart w:id="34" w:name="page35"/>
    <w:bookmarkEnd w:id="34"/>
    <w:p>
      <w:pPr>
        <w:ind w:left="1880"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Elections made after December 31, 2009 shall be the “Applicable Interest Rate” under the Comcast Corporation 2005 Deferred Compensation Plan as in effect for active participants in such Plan from time to time.</w:t>
      </w:r>
    </w:p>
    <w:p>
      <w:pPr>
        <w:spacing w:after="0" w:line="51" w:lineRule="exact"/>
        <w:rPr>
          <w:sz w:val="20"/>
          <w:szCs w:val="20"/>
          <w:color w:val="auto"/>
        </w:rPr>
      </w:pPr>
    </w:p>
    <w:p>
      <w:pPr>
        <w:ind w:left="1440"/>
        <w:spacing w:after="0" w:line="259" w:lineRule="auto"/>
        <w:rPr>
          <w:sz w:val="20"/>
          <w:szCs w:val="20"/>
          <w:color w:val="auto"/>
        </w:rPr>
      </w:pPr>
      <w:r>
        <w:rPr>
          <w:rFonts w:ascii="Arial" w:cs="Arial" w:eastAsia="Arial" w:hAnsi="Arial"/>
          <w:sz w:val="18"/>
          <w:szCs w:val="18"/>
          <w:color w:val="auto"/>
        </w:rPr>
        <w:t>The effective date of any reduction in the Applicable Interest Rate shall not precede the later of: (A)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59" w:lineRule="exact"/>
        <w:rPr>
          <w:sz w:val="20"/>
          <w:szCs w:val="20"/>
          <w:color w:val="auto"/>
        </w:rPr>
      </w:pPr>
    </w:p>
    <w:p>
      <w:pPr>
        <w:ind w:left="1420" w:right="40" w:hanging="567"/>
        <w:spacing w:after="0" w:line="291"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20" w:lineRule="exact"/>
        <w:rPr>
          <w:rFonts w:ascii="Arial" w:cs="Arial" w:eastAsia="Arial" w:hAnsi="Arial"/>
          <w:sz w:val="16"/>
          <w:szCs w:val="16"/>
          <w:color w:val="auto"/>
        </w:rPr>
      </w:pPr>
    </w:p>
    <w:p>
      <w:pPr>
        <w:ind w:left="-60" w:right="420" w:firstLine="464"/>
        <w:spacing w:after="0" w:line="268" w:lineRule="auto"/>
        <w:tabs>
          <w:tab w:leader="none" w:pos="6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hanging="567"/>
        <w:spacing w:after="0" w:line="255"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2" w:lineRule="exact"/>
        <w:rPr>
          <w:sz w:val="20"/>
          <w:szCs w:val="20"/>
          <w:color w:val="auto"/>
        </w:rPr>
      </w:pPr>
    </w:p>
    <w:p>
      <w:pPr>
        <w:ind w:left="1420" w:right="360" w:hanging="567"/>
        <w:spacing w:after="0" w:line="332" w:lineRule="auto"/>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80" w:right="299" w:bottom="1440" w:gutter="0" w:footer="0" w:header="0"/>
        </w:sectPr>
      </w:pPr>
    </w:p>
    <w:bookmarkStart w:id="35" w:name="page36"/>
    <w:bookmarkEnd w:id="35"/>
    <w:p>
      <w:pPr>
        <w:ind w:left="700" w:hanging="2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0" w:right="160" w:firstLine="464"/>
        <w:spacing w:after="0" w:line="256" w:lineRule="auto"/>
        <w:tabs>
          <w:tab w:leader="none" w:pos="6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740" w:hanging="29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firstLine="464"/>
        <w:spacing w:after="0" w:line="290" w:lineRule="auto"/>
        <w:tabs>
          <w:tab w:leader="none" w:pos="6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36" w:name="page37"/>
    <w:bookmarkEnd w:id="36"/>
    <w:p>
      <w:pPr>
        <w:ind w:left="640" w:hanging="2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right="140" w:hanging="567"/>
        <w:spacing w:after="0" w:line="268"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(A) the date on which an Initial Election is filed with the Committee; and (B) the first day of the calendar year in which such Initial Election filed.</w:t>
      </w:r>
    </w:p>
    <w:p>
      <w:pPr>
        <w:spacing w:after="0" w:line="50" w:lineRule="exact"/>
        <w:rPr>
          <w:rFonts w:ascii="Arial" w:cs="Arial" w:eastAsia="Arial" w:hAnsi="Arial"/>
          <w:sz w:val="18"/>
          <w:szCs w:val="18"/>
          <w:color w:val="auto"/>
        </w:rPr>
      </w:pPr>
    </w:p>
    <w:p>
      <w:pPr>
        <w:ind w:left="1420" w:right="160" w:hanging="567"/>
        <w:spacing w:after="0" w:line="268"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50" w:lineRule="exact"/>
        <w:rPr>
          <w:rFonts w:ascii="Arial" w:cs="Arial" w:eastAsia="Arial" w:hAnsi="Arial"/>
          <w:sz w:val="18"/>
          <w:szCs w:val="18"/>
          <w:color w:val="auto"/>
        </w:rPr>
      </w:pPr>
    </w:p>
    <w:p>
      <w:pPr>
        <w:ind w:left="1420" w:hanging="567"/>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20" w:right="400" w:hanging="567"/>
        <w:spacing w:after="0" w:line="268"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1" w:lineRule="exact"/>
        <w:rPr>
          <w:rFonts w:ascii="Arial" w:cs="Arial" w:eastAsia="Arial" w:hAnsi="Arial"/>
          <w:sz w:val="18"/>
          <w:szCs w:val="18"/>
          <w:color w:val="auto"/>
        </w:rPr>
      </w:pPr>
    </w:p>
    <w:p>
      <w:pPr>
        <w:ind w:left="620" w:hanging="216"/>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hanging="567"/>
        <w:spacing w:after="0" w:line="259"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 (52) weeks in any twenty-four (24) consecutive-month period; or</w:t>
      </w:r>
    </w:p>
    <w:p>
      <w:pPr>
        <w:spacing w:after="0" w:line="59" w:lineRule="exact"/>
        <w:rPr>
          <w:rFonts w:ascii="Arial" w:cs="Arial" w:eastAsia="Arial" w:hAnsi="Arial"/>
          <w:sz w:val="18"/>
          <w:szCs w:val="18"/>
          <w:color w:val="auto"/>
        </w:rPr>
      </w:pPr>
    </w:p>
    <w:p>
      <w:pPr>
        <w:ind w:left="1420" w:right="220" w:hanging="567"/>
        <w:spacing w:after="0" w:line="268"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hanging="567"/>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20" w:hanging="567"/>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left="-60" w:firstLine="464"/>
        <w:spacing w:after="0" w:line="259" w:lineRule="auto"/>
        <w:tabs>
          <w:tab w:leader="none" w:pos="6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80" w:right="299" w:bottom="1440" w:gutter="0" w:footer="0" w:header="0"/>
        </w:sectPr>
      </w:pPr>
    </w:p>
    <w:bookmarkStart w:id="37" w:name="page38"/>
    <w:bookmarkEnd w:id="37"/>
    <w:p>
      <w:pPr>
        <w:ind w:left="700" w:hanging="2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580" w:hanging="567"/>
        <w:spacing w:after="0" w:line="357" w:lineRule="auto"/>
        <w:tabs>
          <w:tab w:leader="none" w:pos="1460" w:val="left"/>
        </w:tabs>
        <w:numPr>
          <w:ilvl w:val="1"/>
          <w:numId w:val="25"/>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60" w:right="40" w:hanging="567"/>
        <w:spacing w:after="0" w:line="259" w:lineRule="auto"/>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60" w:hanging="567"/>
        <w:spacing w:after="0"/>
        <w:tabs>
          <w:tab w:leader="none" w:pos="14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left="-20" w:right="280" w:firstLine="464"/>
        <w:spacing w:after="0" w:line="332" w:lineRule="auto"/>
        <w:tabs>
          <w:tab w:leader="none" w:pos="7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left="-20" w:right="520" w:firstLine="464"/>
        <w:spacing w:after="0" w:line="268" w:lineRule="auto"/>
        <w:tabs>
          <w:tab w:leader="none" w:pos="7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60" w:hanging="316"/>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left="-20" w:firstLine="464"/>
        <w:spacing w:after="0" w:line="291" w:lineRule="auto"/>
        <w:tabs>
          <w:tab w:leader="none" w:pos="7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20" w:lineRule="exact"/>
        <w:rPr>
          <w:rFonts w:ascii="Arial" w:cs="Arial" w:eastAsia="Arial" w:hAnsi="Arial"/>
          <w:sz w:val="16"/>
          <w:szCs w:val="16"/>
          <w:color w:val="auto"/>
        </w:rPr>
      </w:pPr>
    </w:p>
    <w:p>
      <w:pPr>
        <w:ind w:left="-20" w:firstLine="464"/>
        <w:spacing w:after="0" w:line="298" w:lineRule="auto"/>
        <w:tabs>
          <w:tab w:leader="none" w:pos="7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40" w:lineRule="exact"/>
        <w:rPr>
          <w:sz w:val="20"/>
          <w:szCs w:val="20"/>
          <w:color w:val="auto"/>
        </w:rPr>
      </w:pPr>
    </w:p>
    <w:p>
      <w:pPr>
        <w:ind w:right="400" w:firstLine="464"/>
        <w:spacing w:after="0" w:line="259" w:lineRule="auto"/>
        <w:tabs>
          <w:tab w:leader="none" w:pos="7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right="140" w:firstLine="464"/>
        <w:spacing w:after="0" w:line="259" w:lineRule="auto"/>
        <w:tabs>
          <w:tab w:leader="none" w:pos="7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40" w:lineRule="exact"/>
        <w:rPr>
          <w:rFonts w:ascii="Arial" w:cs="Arial" w:eastAsia="Arial" w:hAnsi="Arial"/>
          <w:sz w:val="18"/>
          <w:szCs w:val="18"/>
          <w:color w:val="auto"/>
        </w:rPr>
      </w:pPr>
    </w:p>
    <w:p>
      <w:pPr>
        <w:ind w:right="200" w:firstLine="464"/>
        <w:spacing w:after="0" w:line="268" w:lineRule="auto"/>
        <w:tabs>
          <w:tab w:leader="none" w:pos="7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100" w:firstLine="464"/>
        <w:spacing w:after="0" w:line="268" w:lineRule="auto"/>
        <w:tabs>
          <w:tab w:leader="none" w:pos="7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20" w:right="160" w:hanging="440"/>
        <w:spacing w:after="0" w:line="268" w:lineRule="auto"/>
        <w:tabs>
          <w:tab w:leader="none" w:pos="19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 (i); over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3"/>
          <w:numId w:val="2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500" w:right="240" w:firstLine="389"/>
        <w:spacing w:after="0" w:line="259" w:lineRule="auto"/>
        <w:tabs>
          <w:tab w:leader="none" w:pos="2146"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ind w:left="1500" w:right="120" w:firstLine="389"/>
        <w:spacing w:after="0" w:line="298" w:lineRule="auto"/>
        <w:tabs>
          <w:tab w:leader="none" w:pos="2146"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500" w:firstLine="389"/>
        <w:spacing w:after="0" w:line="306" w:lineRule="auto"/>
        <w:tabs>
          <w:tab w:leader="none" w:pos="21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0" w:name="page41"/>
    <w:bookmarkEnd w:id="40"/>
    <w:p>
      <w:pPr>
        <w:ind w:left="-40" w:right="40" w:firstLine="464"/>
        <w:spacing w:after="0" w:line="256" w:lineRule="auto"/>
        <w:tabs>
          <w:tab w:leader="none" w:pos="75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760" w:hanging="336"/>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00" w:hanging="2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720" w:hanging="29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94" w:lineRule="exact"/>
        <w:rPr>
          <w:rFonts w:ascii="Arial" w:cs="Arial" w:eastAsia="Arial" w:hAnsi="Arial"/>
          <w:sz w:val="16"/>
          <w:szCs w:val="16"/>
          <w:color w:val="auto"/>
        </w:rPr>
      </w:pPr>
    </w:p>
    <w:p>
      <w:pPr>
        <w:ind w:left="680" w:hanging="25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760" w:hanging="336"/>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760" w:hanging="336"/>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40" w:right="120" w:hanging="567"/>
        <w:spacing w:after="0" w:line="370" w:lineRule="auto"/>
        <w:tabs>
          <w:tab w:leader="none" w:pos="1440" w:val="left"/>
        </w:tabs>
        <w:numPr>
          <w:ilvl w:val="1"/>
          <w:numId w:val="30"/>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2" w:lineRule="exact"/>
        <w:rPr>
          <w:rFonts w:ascii="Arial" w:cs="Arial" w:eastAsia="Arial" w:hAnsi="Arial"/>
          <w:sz w:val="15"/>
          <w:szCs w:val="15"/>
          <w:color w:val="auto"/>
        </w:rPr>
      </w:pPr>
    </w:p>
    <w:p>
      <w:pPr>
        <w:ind w:left="840" w:hanging="41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40" w:right="180" w:firstLine="464"/>
        <w:spacing w:after="0" w:line="256" w:lineRule="auto"/>
        <w:tabs>
          <w:tab w:leader="none" w:pos="7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43" w:lineRule="exact"/>
        <w:rPr>
          <w:rFonts w:ascii="Arial" w:cs="Arial" w:eastAsia="Arial" w:hAnsi="Arial"/>
          <w:sz w:val="18"/>
          <w:szCs w:val="18"/>
          <w:color w:val="auto"/>
        </w:rPr>
      </w:pPr>
    </w:p>
    <w:p>
      <w:pPr>
        <w:ind w:left="-40" w:firstLine="464"/>
        <w:spacing w:after="0" w:line="259" w:lineRule="auto"/>
        <w:tabs>
          <w:tab w:leader="none" w:pos="7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41" w:name="page42"/>
    <w:bookmarkEnd w:id="41"/>
    <w:p>
      <w:pPr>
        <w:ind w:firstLine="464"/>
        <w:spacing w:after="0" w:line="268" w:lineRule="auto"/>
        <w:tabs>
          <w:tab w:leader="none" w:pos="773"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right="100" w:firstLine="464"/>
        <w:spacing w:after="0" w:line="332" w:lineRule="auto"/>
        <w:tabs>
          <w:tab w:leader="none" w:pos="8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80" w:hanging="416"/>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280" w:firstLine="464"/>
        <w:spacing w:after="0" w:line="332" w:lineRule="auto"/>
        <w:tabs>
          <w:tab w:leader="none" w:pos="8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right="100" w:firstLine="464"/>
        <w:spacing w:after="0" w:line="332" w:lineRule="auto"/>
        <w:tabs>
          <w:tab w:leader="none" w:pos="88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60" w:hanging="396"/>
        <w:spacing w:after="0"/>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RIGHTS TO BE GRANTED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that may be granted under the Plan are:</w:t>
      </w:r>
    </w:p>
    <w:p>
      <w:pPr>
        <w:spacing w:after="0" w:line="171" w:lineRule="exact"/>
        <w:rPr>
          <w:sz w:val="20"/>
          <w:szCs w:val="20"/>
          <w:color w:val="auto"/>
        </w:rPr>
      </w:pPr>
    </w:p>
    <w:p>
      <w:pPr>
        <w:ind w:right="80" w:firstLine="464"/>
        <w:spacing w:after="0" w:line="268" w:lineRule="auto"/>
        <w:tabs>
          <w:tab w:leader="none" w:pos="6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right="320" w:firstLine="464"/>
        <w:spacing w:after="0" w:line="259" w:lineRule="auto"/>
        <w:tabs>
          <w:tab w:leader="none" w:pos="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ind w:right="40" w:firstLine="464"/>
        <w:spacing w:after="0" w:line="370" w:lineRule="auto"/>
        <w:tabs>
          <w:tab w:leader="none" w:pos="695" w:val="left"/>
        </w:tabs>
        <w:numPr>
          <w:ilvl w:val="1"/>
          <w:numId w:val="34"/>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74 million Shares in the aggregate may be issued under the Plan pursuant to the grant of Awards. The Shares issued under the Plan may, at the Company’s option, be either Shares held in treasury or Shares originally issued for such purpose.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42" w:name="page43"/>
    <w:bookmarkEnd w:id="42"/>
    <w:p>
      <w:pPr>
        <w:jc w:val="both"/>
        <w:ind w:left="460" w:right="100" w:firstLine="443"/>
        <w:spacing w:after="0" w:line="306" w:lineRule="auto"/>
        <w:tabs>
          <w:tab w:leader="none" w:pos="1147" w:val="left"/>
        </w:tabs>
        <w:numPr>
          <w:ilvl w:val="2"/>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81" w:lineRule="exact"/>
        <w:rPr>
          <w:rFonts w:ascii="Arial" w:cs="Arial" w:eastAsia="Arial" w:hAnsi="Arial"/>
          <w:sz w:val="16"/>
          <w:szCs w:val="16"/>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firstLine="464"/>
        <w:spacing w:after="0" w:line="370" w:lineRule="auto"/>
        <w:tabs>
          <w:tab w:leader="none" w:pos="695"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90" w:lineRule="exact"/>
        <w:rPr>
          <w:rFonts w:ascii="Arial" w:cs="Arial" w:eastAsia="Arial" w:hAnsi="Arial"/>
          <w:sz w:val="18"/>
          <w:szCs w:val="18"/>
          <w:color w:val="auto"/>
        </w:rPr>
      </w:pPr>
    </w:p>
    <w:p>
      <w:pPr>
        <w:ind w:left="1820" w:right="40" w:hanging="678"/>
        <w:spacing w:after="0" w:line="256" w:lineRule="auto"/>
        <w:tabs>
          <w:tab w:leader="none" w:pos="1820" w:val="left"/>
        </w:tabs>
        <w:numPr>
          <w:ilvl w:val="3"/>
          <w:numId w:val="36"/>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820" w:right="520" w:hanging="678"/>
        <w:spacing w:after="0" w:line="268" w:lineRule="auto"/>
        <w:tabs>
          <w:tab w:leader="none" w:pos="1820" w:val="left"/>
        </w:tabs>
        <w:numPr>
          <w:ilvl w:val="3"/>
          <w:numId w:val="36"/>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80" w:firstLine="464"/>
        <w:spacing w:after="0" w:line="332"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3" w:name="page44"/>
    <w:bookmarkEnd w:id="4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07" w:lineRule="exact"/>
        <w:rPr>
          <w:sz w:val="20"/>
          <w:szCs w:val="20"/>
          <w:color w:val="auto"/>
        </w:rPr>
      </w:pPr>
    </w:p>
    <w:p>
      <w:pPr>
        <w:ind w:left="680" w:hanging="21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a Section 16(b) Officer, is reserved to the Committee.</w:t>
      </w:r>
    </w:p>
    <w:p>
      <w:pPr>
        <w:spacing w:after="0" w:line="62" w:lineRule="exact"/>
        <w:rPr>
          <w:rFonts w:ascii="Arial" w:cs="Arial" w:eastAsia="Arial" w:hAnsi="Arial"/>
          <w:sz w:val="18"/>
          <w:szCs w:val="18"/>
          <w:color w:val="auto"/>
        </w:rPr>
      </w:pPr>
    </w:p>
    <w:p>
      <w:pPr>
        <w:ind w:left="1480" w:right="20" w:hanging="567"/>
        <w:spacing w:after="0" w:line="255"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480" w:right="80" w:hanging="567"/>
        <w:spacing w:after="0" w:line="306"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jc w:val="both"/>
        <w:ind w:left="1480" w:right="180" w:hanging="567"/>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Special Diversification Elections</w:t>
      </w:r>
      <w:r>
        <w:rPr>
          <w:rFonts w:ascii="Arial" w:cs="Arial" w:eastAsia="Arial" w:hAnsi="Arial"/>
          <w:sz w:val="18"/>
          <w:szCs w:val="18"/>
          <w:color w:val="auto"/>
        </w:rPr>
        <w:t>. Notwithstanding Paragraph 5(f)(i) or Paragraph 5(f)(ii), the Committee may delegate to an officer of the Company, or a committee of two or more officers of the Company, discretion under the Plan to authorize Special Diversification Elections made after December 31, 2009.</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the case of delegation under Paragraph 5(f)(ii), the delegate shall cease to serve as Chairman of the Committee or serve as 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4" w:name="page45"/>
    <w:bookmarkEnd w:id="44"/>
    <w:p>
      <w:pPr>
        <w:ind w:left="148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of the Company for any reason, as the case may be and in the case of delegation under Paragraph 5(f)(iii), the delegate shall cease to serve as an employee of the Company for any reason; or</w:t>
      </w:r>
    </w:p>
    <w:p>
      <w:pPr>
        <w:spacing w:after="0" w:line="51" w:lineRule="exact"/>
        <w:rPr>
          <w:sz w:val="20"/>
          <w:szCs w:val="20"/>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Awards may be granted only to Eligible Employees and Non-Employee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RESTRICTED STOCK AND RESTRICTED STOCK UNIT AWARDS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12, 2019.</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right="34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5" w:name="page46"/>
    <w:bookmarkEnd w:id="4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20" w:lineRule="exact"/>
        <w:rPr>
          <w:sz w:val="20"/>
          <w:szCs w:val="20"/>
          <w:color w:val="auto"/>
        </w:rPr>
      </w:pPr>
    </w:p>
    <w:p>
      <w:pPr>
        <w:ind w:right="140" w:firstLine="464"/>
        <w:spacing w:after="0" w:line="306" w:lineRule="auto"/>
        <w:tabs>
          <w:tab w:leader="none" w:pos="67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DEFERRAL ELECTIONS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has occurred, as provided by the Committee in the Award, consistent, however, with the following:</w:t>
      </w:r>
    </w:p>
    <w:p>
      <w:pPr>
        <w:spacing w:after="0" w:line="171"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25" w:lineRule="exact"/>
        <w:rPr>
          <w:rFonts w:ascii="Arial" w:cs="Arial" w:eastAsia="Arial" w:hAnsi="Arial"/>
          <w:sz w:val="16"/>
          <w:szCs w:val="16"/>
          <w:color w:val="auto"/>
        </w:rPr>
      </w:pPr>
    </w:p>
    <w:p>
      <w:pPr>
        <w:ind w:left="1480" w:right="100" w:hanging="567"/>
        <w:spacing w:after="0" w:line="254"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Deadline for Initial Election</w:t>
      </w:r>
      <w:r>
        <w:rPr>
          <w:rFonts w:ascii="Arial" w:cs="Arial" w:eastAsia="Arial" w:hAnsi="Arial"/>
          <w:sz w:val="18"/>
          <w:szCs w:val="18"/>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44" w:lineRule="exact"/>
        <w:rPr>
          <w:rFonts w:ascii="Arial" w:cs="Arial" w:eastAsia="Arial" w:hAnsi="Arial"/>
          <w:sz w:val="18"/>
          <w:szCs w:val="18"/>
          <w:color w:val="auto"/>
        </w:rPr>
      </w:pPr>
    </w:p>
    <w:p>
      <w:pPr>
        <w:ind w:right="80" w:firstLine="464"/>
        <w:spacing w:after="0" w:line="332"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Effect of Failure of Vesting Date to Occur</w:t>
      </w:r>
      <w:r>
        <w:rPr>
          <w:rFonts w:ascii="Arial" w:cs="Arial" w:eastAsia="Arial" w:hAnsi="Arial"/>
          <w:sz w:val="16"/>
          <w:szCs w:val="16"/>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85" w:lineRule="exact"/>
        <w:rPr>
          <w:rFonts w:ascii="Arial" w:cs="Arial" w:eastAsia="Arial" w:hAnsi="Arial"/>
          <w:sz w:val="16"/>
          <w:szCs w:val="16"/>
          <w:color w:val="auto"/>
        </w:rPr>
      </w:pPr>
    </w:p>
    <w:p>
      <w:pPr>
        <w:ind w:right="120" w:firstLine="464"/>
        <w:spacing w:after="0" w:line="254"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44"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7" w:name="page48"/>
    <w:bookmarkEnd w:id="47"/>
    <w:p>
      <w:pPr>
        <w:jc w:val="both"/>
        <w:ind w:left="1440"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 w:lineRule="exact"/>
        <w:rPr>
          <w:sz w:val="20"/>
          <w:szCs w:val="20"/>
          <w:color w:val="auto"/>
        </w:rPr>
      </w:pPr>
    </w:p>
    <w:p>
      <w:pPr>
        <w:ind w:left="1440" w:right="60" w:hanging="567"/>
        <w:spacing w:after="0" w:line="289" w:lineRule="auto"/>
        <w:tabs>
          <w:tab w:leader="none" w:pos="1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37" w:lineRule="exact"/>
        <w:rPr>
          <w:rFonts w:ascii="Arial" w:cs="Arial" w:eastAsia="Arial" w:hAnsi="Arial"/>
          <w:sz w:val="16"/>
          <w:szCs w:val="16"/>
          <w:color w:val="auto"/>
        </w:rPr>
      </w:pPr>
    </w:p>
    <w:p>
      <w:pPr>
        <w:ind w:left="1440" w:hanging="567"/>
        <w:spacing w:after="0" w:line="298" w:lineRule="auto"/>
        <w:tabs>
          <w:tab w:leader="none" w:pos="1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1440" w:right="40" w:hanging="567"/>
        <w:spacing w:after="0" w:line="256" w:lineRule="auto"/>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43" w:lineRule="exact"/>
        <w:rPr>
          <w:sz w:val="20"/>
          <w:szCs w:val="20"/>
          <w:color w:val="auto"/>
        </w:rPr>
      </w:pPr>
    </w:p>
    <w:p>
      <w:pPr>
        <w:ind w:left="-40" w:right="220" w:firstLine="464"/>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 for the 12-month period following a Change of Control, the Committee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48" w:name="page49"/>
    <w:bookmarkEnd w:id="48"/>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62" w:lineRule="exact"/>
        <w:rPr>
          <w:sz w:val="20"/>
          <w:szCs w:val="20"/>
          <w:color w:val="auto"/>
        </w:rPr>
      </w:pPr>
    </w:p>
    <w:p>
      <w:pPr>
        <w:jc w:val="both"/>
        <w:ind w:right="500" w:firstLine="464"/>
        <w:spacing w:after="0" w:line="370" w:lineRule="auto"/>
        <w:tabs>
          <w:tab w:leader="none" w:pos="676"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2" w:lineRule="exact"/>
        <w:rPr>
          <w:rFonts w:ascii="Arial" w:cs="Arial" w:eastAsia="Arial" w:hAnsi="Arial"/>
          <w:sz w:val="15"/>
          <w:szCs w:val="15"/>
          <w:color w:val="auto"/>
        </w:rPr>
      </w:pPr>
    </w:p>
    <w:p>
      <w:pPr>
        <w:ind w:right="74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13"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Book Accounts</w:t>
      </w:r>
      <w:r>
        <w:rPr>
          <w:rFonts w:ascii="Arial" w:cs="Arial" w:eastAsia="Arial" w:hAnsi="Arial"/>
          <w:sz w:val="16"/>
          <w:szCs w:val="16"/>
          <w:color w:val="auto"/>
        </w:rPr>
        <w:t>. An Account shall be established for each Grantee who makes an Election. Deferred Stock Units shall be credited to the Account as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49" w:name="page50"/>
    <w:bookmarkEnd w:id="4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07" w:lineRule="exact"/>
        <w:rPr>
          <w:sz w:val="20"/>
          <w:szCs w:val="20"/>
          <w:color w:val="auto"/>
        </w:rPr>
      </w:pPr>
    </w:p>
    <w:p>
      <w:pPr>
        <w:ind w:firstLine="464"/>
        <w:spacing w:after="0" w:line="268"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0" w:lineRule="exact"/>
        <w:rPr>
          <w:rFonts w:ascii="Arial" w:cs="Arial" w:eastAsia="Arial" w:hAnsi="Arial"/>
          <w:sz w:val="18"/>
          <w:szCs w:val="18"/>
          <w:color w:val="auto"/>
        </w:rPr>
      </w:pPr>
    </w:p>
    <w:p>
      <w:pPr>
        <w:ind w:left="1480" w:right="80" w:hanging="567"/>
        <w:spacing w:after="0" w:line="294"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480" w:right="200" w:hanging="567"/>
        <w:spacing w:after="0" w:line="291"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39" w:lineRule="exact"/>
        <w:rPr>
          <w:rFonts w:ascii="Arial" w:cs="Arial" w:eastAsia="Arial" w:hAnsi="Arial"/>
          <w:sz w:val="16"/>
          <w:szCs w:val="16"/>
          <w:color w:val="auto"/>
        </w:rPr>
      </w:pPr>
    </w:p>
    <w:p>
      <w:pPr>
        <w:ind w:left="1480" w:right="180" w:hanging="567"/>
        <w:spacing w:after="0" w:line="303"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Pursuant to rules established under Section 409A relating to certain “Transition Elections,” to the extent provided by the Committee or its delegate, a Grantee may, on or before December 31, 2008, (A) with respect to all or any portion of his or her Grandfathered Amount under the Plan as in effect on December 31, 2004 that is scheduled to commence to be distributed under the Plan after December 31, 2008, and</w:t>
      </w:r>
    </w:p>
    <w:p>
      <w:pPr>
        <w:spacing w:after="0" w:line="1" w:lineRule="exact"/>
        <w:rPr>
          <w:rFonts w:ascii="Arial" w:cs="Arial" w:eastAsia="Arial" w:hAnsi="Arial"/>
          <w:sz w:val="15"/>
          <w:szCs w:val="15"/>
          <w:color w:val="auto"/>
        </w:rPr>
      </w:pPr>
    </w:p>
    <w:p>
      <w:pPr>
        <w:ind w:left="1480" w:right="260"/>
        <w:spacing w:after="0" w:line="302" w:lineRule="auto"/>
        <w:rPr>
          <w:rFonts w:ascii="Arial" w:cs="Arial" w:eastAsia="Arial" w:hAnsi="Arial"/>
          <w:sz w:val="15"/>
          <w:szCs w:val="15"/>
          <w:color w:val="auto"/>
        </w:rPr>
      </w:pPr>
      <w:r>
        <w:rPr>
          <w:rFonts w:ascii="Arial" w:cs="Arial" w:eastAsia="Arial" w:hAnsi="Arial"/>
          <w:sz w:val="16"/>
          <w:szCs w:val="16"/>
          <w:color w:val="auto"/>
        </w:rPr>
        <w:t>(B)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50" w:name="page51"/>
    <w:bookmarkEnd w:id="50"/>
    <w:p>
      <w:pPr>
        <w:ind w:left="1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140" w:lineRule="exact"/>
        <w:rPr>
          <w:sz w:val="20"/>
          <w:szCs w:val="20"/>
          <w:color w:val="auto"/>
        </w:rPr>
      </w:pPr>
    </w:p>
    <w:p>
      <w:pPr>
        <w:ind w:left="-20" w:right="240" w:firstLine="464"/>
        <w:spacing w:after="0" w:line="268" w:lineRule="auto"/>
        <w:tabs>
          <w:tab w:leader="none" w:pos="64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00" w:hanging="567"/>
        <w:spacing w:after="0" w:line="298" w:lineRule="auto"/>
        <w:tabs>
          <w:tab w:leader="none" w:pos="146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or its delegate.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460" w:right="180" w:hanging="567"/>
        <w:spacing w:after="0" w:line="256"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62" w:lineRule="exact"/>
        <w:rPr>
          <w:rFonts w:ascii="Arial" w:cs="Arial" w:eastAsia="Arial" w:hAnsi="Arial"/>
          <w:sz w:val="18"/>
          <w:szCs w:val="18"/>
          <w:color w:val="auto"/>
        </w:rPr>
      </w:pPr>
    </w:p>
    <w:p>
      <w:pPr>
        <w:ind w:left="1460" w:right="80" w:hanging="567"/>
        <w:spacing w:after="0" w:line="283" w:lineRule="auto"/>
        <w:tabs>
          <w:tab w:leader="none" w:pos="146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ind w:left="1460" w:right="180"/>
        <w:spacing w:after="0" w:line="254"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80" w:right="239" w:bottom="1440" w:gutter="0" w:footer="0" w:header="0"/>
        </w:sectPr>
      </w:pPr>
    </w:p>
    <w:bookmarkStart w:id="51" w:name="page52"/>
    <w:bookmarkEnd w:id="51"/>
    <w:p>
      <w:pPr>
        <w:ind w:left="1016" w:right="40" w:hanging="567"/>
        <w:spacing w:after="0" w:line="294" w:lineRule="auto"/>
        <w:tabs>
          <w:tab w:leader="none" w:pos="101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15" w:lineRule="exact"/>
        <w:rPr>
          <w:rFonts w:ascii="Arial" w:cs="Arial" w:eastAsia="Arial" w:hAnsi="Arial"/>
          <w:sz w:val="16"/>
          <w:szCs w:val="16"/>
          <w:color w:val="auto"/>
        </w:rPr>
      </w:pPr>
    </w:p>
    <w:p>
      <w:pPr>
        <w:ind w:left="-464" w:firstLine="464"/>
        <w:spacing w:after="0" w:line="290" w:lineRule="auto"/>
        <w:tabs>
          <w:tab w:leader="none" w:pos="20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or its delegate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42" w:lineRule="exact"/>
        <w:rPr>
          <w:sz w:val="20"/>
          <w:szCs w:val="20"/>
          <w:color w:val="auto"/>
        </w:rPr>
      </w:pPr>
    </w:p>
    <w:tbl>
      <w:tblPr>
        <w:tblLayout w:type="fixed"/>
        <w:tblInd w:w="9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6"/>
              </w:rPr>
              <w:t>Distributable Percentage of</w:t>
            </w: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23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7"/>
              </w:rPr>
              <w:t>Corresponding Income Fund 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the third anniversary of a</w:t>
            </w:r>
          </w:p>
        </w:tc>
        <w:tc>
          <w:tcPr>
            <w:tcW w:w="464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Diversification Election</w:t>
            </w:r>
          </w:p>
        </w:tc>
        <w:tc>
          <w:tcPr>
            <w:tcW w:w="232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040" w:type="dxa"/>
            <w:vAlign w:val="bottom"/>
            <w:gridSpan w:val="3"/>
          </w:tcPr>
          <w:p>
            <w:pPr>
              <w:spacing w:after="0"/>
              <w:rPr>
                <w:sz w:val="20"/>
                <w:szCs w:val="20"/>
                <w:color w:val="auto"/>
              </w:rPr>
            </w:pPr>
            <w:r>
              <w:rPr>
                <w:rFonts w:ascii="Arial" w:cs="Arial" w:eastAsia="Arial" w:hAnsi="Arial"/>
                <w:sz w:val="18"/>
                <w:szCs w:val="18"/>
                <w:color w:val="auto"/>
              </w:rPr>
              <w:t>After the third anniversary of a</w:t>
            </w:r>
          </w:p>
        </w:tc>
        <w:tc>
          <w:tcPr>
            <w:tcW w:w="4640" w:type="dxa"/>
            <w:vAlign w:val="bottom"/>
            <w:gridSpan w:val="2"/>
          </w:tcPr>
          <w:p>
            <w:pPr>
              <w:jc w:val="center"/>
              <w:ind w:left="2192"/>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Diversification Election and on or before the</w:t>
            </w: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fourth anniversary of a Diversification Election</w:t>
            </w: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the fourth anniversary of a</w:t>
            </w:r>
          </w:p>
        </w:tc>
        <w:tc>
          <w:tcPr>
            <w:tcW w:w="464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Diversification Election and on or before the</w:t>
            </w: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anniversary of a Diversification Election</w:t>
            </w:r>
          </w:p>
        </w:tc>
        <w:tc>
          <w:tcPr>
            <w:tcW w:w="232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4040" w:type="dxa"/>
            <w:vAlign w:val="bottom"/>
            <w:gridSpan w:val="3"/>
          </w:tcPr>
          <w:p>
            <w:pPr>
              <w:spacing w:after="0"/>
              <w:rPr>
                <w:sz w:val="20"/>
                <w:szCs w:val="20"/>
                <w:color w:val="auto"/>
              </w:rPr>
            </w:pPr>
            <w:r>
              <w:rPr>
                <w:rFonts w:ascii="Arial" w:cs="Arial" w:eastAsia="Arial" w:hAnsi="Arial"/>
                <w:sz w:val="18"/>
                <w:szCs w:val="18"/>
                <w:color w:val="auto"/>
                <w:w w:val="95"/>
              </w:rPr>
              <w:t>After the fifth anniversary of a Diversification Election</w:t>
            </w:r>
          </w:p>
        </w:tc>
        <w:tc>
          <w:tcPr>
            <w:tcW w:w="4640" w:type="dxa"/>
            <w:vAlign w:val="bottom"/>
            <w:gridSpan w:val="2"/>
          </w:tcPr>
          <w:p>
            <w:pPr>
              <w:jc w:val="center"/>
              <w:ind w:left="2212"/>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right"/>
              <w:ind w:right="1792"/>
              <w:spacing w:after="0"/>
              <w:rPr>
                <w:sz w:val="20"/>
                <w:szCs w:val="20"/>
                <w:color w:val="auto"/>
              </w:rPr>
            </w:pPr>
            <w:r>
              <w:rPr>
                <w:rFonts w:ascii="Arial" w:cs="Arial" w:eastAsia="Arial" w:hAnsi="Arial"/>
                <w:sz w:val="18"/>
                <w:szCs w:val="18"/>
                <w:color w:val="auto"/>
              </w:rPr>
              <w:t>-20-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76"/>
          </w:cols>
          <w:pgMar w:left="704" w:top="280" w:right="319" w:bottom="1440" w:gutter="0" w:footer="0" w:header="0"/>
        </w:sectPr>
      </w:pPr>
    </w:p>
    <w:bookmarkStart w:id="52" w:name="page53"/>
    <w:bookmarkEnd w:id="52"/>
    <w:p>
      <w:pPr>
        <w:ind w:left="-8" w:right="300" w:firstLine="464"/>
        <w:spacing w:after="0" w:line="318" w:lineRule="auto"/>
        <w:tabs>
          <w:tab w:leader="none" w:pos="746"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left="-8" w:right="80" w:firstLine="464"/>
        <w:spacing w:after="0" w:line="306" w:lineRule="auto"/>
        <w:tabs>
          <w:tab w:leader="none" w:pos="697"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8" w:firstLine="464"/>
        <w:spacing w:after="0" w:line="294" w:lineRule="auto"/>
        <w:tabs>
          <w:tab w:leader="none" w:pos="697"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90" w:lineRule="exact"/>
        <w:rPr>
          <w:rFonts w:ascii="Arial" w:cs="Arial" w:eastAsia="Arial" w:hAnsi="Arial"/>
          <w:sz w:val="16"/>
          <w:szCs w:val="16"/>
          <w:color w:val="auto"/>
        </w:rPr>
      </w:pPr>
    </w:p>
    <w:p>
      <w:pPr>
        <w:ind w:left="172" w:hanging="172"/>
        <w:spacing w:after="0"/>
        <w:tabs>
          <w:tab w:leader="none" w:pos="17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left="-8" w:right="80" w:firstLine="464"/>
        <w:spacing w:after="0" w:line="255" w:lineRule="auto"/>
        <w:tabs>
          <w:tab w:leader="none" w:pos="68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ind w:left="-8" w:right="180" w:firstLine="464"/>
        <w:spacing w:after="0" w:line="256" w:lineRule="auto"/>
        <w:tabs>
          <w:tab w:leader="none" w:pos="69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80" w:right="279" w:bottom="1440" w:gutter="0" w:footer="0" w:header="0"/>
        </w:sectPr>
      </w:pPr>
    </w:p>
    <w:bookmarkStart w:id="53" w:name="page54"/>
    <w:bookmarkEnd w:id="53"/>
    <w:p>
      <w:pPr>
        <w:ind w:left="240" w:hanging="236"/>
        <w:spacing w:after="0"/>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0" w:right="20" w:hanging="567"/>
        <w:spacing w:after="0" w:line="303" w:lineRule="auto"/>
        <w:tabs>
          <w:tab w:leader="none" w:pos="10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Arial" w:cs="Arial" w:eastAsia="Arial" w:hAnsi="Arial"/>
          <w:sz w:val="15"/>
          <w:szCs w:val="15"/>
          <w:color w:val="auto"/>
        </w:rPr>
      </w:pPr>
    </w:p>
    <w:p>
      <w:pPr>
        <w:ind w:left="1020" w:right="40"/>
        <w:spacing w:after="0" w:line="255" w:lineRule="auto"/>
        <w:rPr>
          <w:rFonts w:ascii="Arial" w:cs="Arial" w:eastAsia="Arial" w:hAnsi="Arial"/>
          <w:sz w:val="15"/>
          <w:szCs w:val="15"/>
          <w:color w:val="auto"/>
        </w:rPr>
      </w:pPr>
      <w:r>
        <w:rPr>
          <w:rFonts w:ascii="Arial" w:cs="Arial" w:eastAsia="Arial" w:hAnsi="Arial"/>
          <w:sz w:val="18"/>
          <w:szCs w:val="18"/>
          <w:color w:val="auto"/>
        </w:rPr>
        <w:t>(B)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3" w:lineRule="exact"/>
        <w:rPr>
          <w:rFonts w:ascii="Arial" w:cs="Arial" w:eastAsia="Arial" w:hAnsi="Arial"/>
          <w:sz w:val="15"/>
          <w:szCs w:val="15"/>
          <w:color w:val="auto"/>
        </w:rPr>
      </w:pPr>
    </w:p>
    <w:p>
      <w:pPr>
        <w:ind w:left="1020" w:hanging="567"/>
        <w:spacing w:after="0" w:line="285"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80" w:right="299" w:bottom="1440" w:gutter="0" w:footer="0" w:header="0"/>
        </w:sectPr>
      </w:pPr>
    </w:p>
    <w:bookmarkStart w:id="54" w:name="page55"/>
    <w:bookmarkEnd w:id="54"/>
    <w:p>
      <w:pPr>
        <w:ind w:left="148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available for subsequent grants under the Plan. The Committee may add such other requirements and limitations regarding elections pursuant to this Paragraph 9(c)(ii) as it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CAPITALIZATION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TERMINATING EVENTS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CLAIMS PROCEDURE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specific reason or reasons for the denial;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55" w:name="page56"/>
    <w:bookmarkEnd w:id="55"/>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reference to pertinent Plan provisions on which the denial is based;</w:t>
      </w:r>
    </w:p>
    <w:p>
      <w:pPr>
        <w:spacing w:after="0" w:line="171" w:lineRule="exact"/>
        <w:rPr>
          <w:rFonts w:ascii="Arial" w:cs="Arial" w:eastAsia="Arial" w:hAnsi="Arial"/>
          <w:sz w:val="18"/>
          <w:szCs w:val="18"/>
          <w:color w:val="auto"/>
        </w:rPr>
      </w:pPr>
    </w:p>
    <w:p>
      <w:pPr>
        <w:ind w:right="640" w:firstLine="464"/>
        <w:spacing w:after="0" w:line="268"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REPAYMENT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Section 16(b) Officer or former Section 16(b) Officer, or to effect the cancellation of unvested Restricted Stock or unvested Restricted Stock Units, if</w:t>
      </w:r>
    </w:p>
    <w:p>
      <w:pPr>
        <w:spacing w:after="0" w:line="38" w:lineRule="exact"/>
        <w:rPr>
          <w:sz w:val="20"/>
          <w:szCs w:val="20"/>
          <w:color w:val="auto"/>
        </w:rPr>
      </w:pPr>
    </w:p>
    <w:p>
      <w:pPr>
        <w:ind w:right="40" w:firstLine="8"/>
        <w:spacing w:after="0" w:line="295"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AMENDMENT AND TERMINATION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 DATE AND TERM OF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February 22, 2010. The Plan shall expire on May 12, 2019, unless sooner terminated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280"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COMCAST CORPORATION RETIREMENT-INVESTMENT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Effective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TRANSITION AND 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6"/>
        </w:trPr>
        <w:tc>
          <w:tcPr>
            <w:tcW w:w="17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420" w:type="dxa"/>
            <w:vAlign w:val="bottom"/>
          </w:tcPr>
          <w:p>
            <w:pPr>
              <w:ind w:left="320"/>
              <w:spacing w:after="0"/>
              <w:rPr>
                <w:sz w:val="20"/>
                <w:szCs w:val="20"/>
                <w:color w:val="auto"/>
              </w:rPr>
            </w:pPr>
            <w:r>
              <w:rPr>
                <w:rFonts w:ascii="Arial" w:cs="Arial" w:eastAsia="Arial" w:hAnsi="Arial"/>
                <w:sz w:val="18"/>
                <w:szCs w:val="18"/>
                <w:color w:val="auto"/>
              </w:rPr>
              <w:t>Rights Affected and Preservation of Accrued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420" w:type="dxa"/>
            <w:vAlign w:val="bottom"/>
          </w:tcPr>
          <w:p>
            <w:pPr>
              <w:ind w:left="320"/>
              <w:spacing w:after="0"/>
              <w:rPr>
                <w:sz w:val="20"/>
                <w:szCs w:val="20"/>
                <w:color w:val="auto"/>
              </w:rPr>
            </w:pPr>
            <w:r>
              <w:rPr>
                <w:rFonts w:ascii="Arial" w:cs="Arial" w:eastAsia="Arial" w:hAnsi="Arial"/>
                <w:sz w:val="18"/>
                <w:szCs w:val="18"/>
                <w:color w:val="auto"/>
              </w:rPr>
              <w:t>Year of Eligibility Service for Special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420" w:type="dxa"/>
            <w:vAlign w:val="bottom"/>
          </w:tcPr>
          <w:p>
            <w:pPr>
              <w:ind w:left="320"/>
              <w:spacing w:after="0"/>
              <w:rPr>
                <w:sz w:val="20"/>
                <w:szCs w:val="20"/>
                <w:color w:val="auto"/>
              </w:rPr>
            </w:pPr>
            <w:r>
              <w:rPr>
                <w:rFonts w:ascii="Arial" w:cs="Arial" w:eastAsia="Arial" w:hAnsi="Arial"/>
                <w:sz w:val="18"/>
                <w:szCs w:val="18"/>
                <w:color w:val="auto"/>
              </w:rPr>
              <w:t>Eligibility to Participate –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420" w:type="dxa"/>
            <w:vAlign w:val="bottom"/>
          </w:tcPr>
          <w:p>
            <w:pPr>
              <w:ind w:left="320"/>
              <w:spacing w:after="0"/>
              <w:rPr>
                <w:sz w:val="20"/>
                <w:szCs w:val="20"/>
                <w:color w:val="auto"/>
              </w:rPr>
            </w:pPr>
            <w:r>
              <w:rPr>
                <w:rFonts w:ascii="Arial" w:cs="Arial" w:eastAsia="Arial" w:hAnsi="Arial"/>
                <w:sz w:val="18"/>
                <w:szCs w:val="18"/>
                <w:color w:val="auto"/>
              </w:rPr>
              <w:t>Election to Make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2.4A.</w:t>
            </w:r>
          </w:p>
        </w:tc>
        <w:tc>
          <w:tcPr>
            <w:tcW w:w="9420" w:type="dxa"/>
            <w:vAlign w:val="bottom"/>
          </w:tcPr>
          <w:p>
            <w:pPr>
              <w:ind w:left="320"/>
              <w:spacing w:after="0"/>
              <w:rPr>
                <w:sz w:val="20"/>
                <w:szCs w:val="20"/>
                <w:color w:val="auto"/>
              </w:rPr>
            </w:pPr>
            <w:r>
              <w:rPr>
                <w:rFonts w:ascii="Arial" w:cs="Arial" w:eastAsia="Arial" w:hAnsi="Arial"/>
                <w:sz w:val="18"/>
                <w:szCs w:val="18"/>
                <w:color w:val="auto"/>
              </w:rPr>
              <w:t>Automatic Enrollment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420" w:type="dxa"/>
            <w:vAlign w:val="bottom"/>
          </w:tcPr>
          <w:p>
            <w:pPr>
              <w:ind w:left="320"/>
              <w:spacing w:after="0"/>
              <w:rPr>
                <w:sz w:val="20"/>
                <w:szCs w:val="20"/>
                <w:color w:val="auto"/>
              </w:rPr>
            </w:pPr>
            <w:r>
              <w:rPr>
                <w:rFonts w:ascii="Arial" w:cs="Arial" w:eastAsia="Arial" w:hAnsi="Arial"/>
                <w:sz w:val="18"/>
                <w:szCs w:val="18"/>
                <w:color w:val="auto"/>
              </w:rPr>
              <w:t>Participation in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420" w:type="dxa"/>
            <w:vAlign w:val="bottom"/>
          </w:tcPr>
          <w:p>
            <w:pPr>
              <w:ind w:left="320"/>
              <w:spacing w:after="0"/>
              <w:rPr>
                <w:sz w:val="20"/>
                <w:szCs w:val="20"/>
                <w:color w:val="auto"/>
              </w:rPr>
            </w:pPr>
            <w:r>
              <w:rPr>
                <w:rFonts w:ascii="Arial" w:cs="Arial" w:eastAsia="Arial" w:hAnsi="Arial"/>
                <w:sz w:val="18"/>
                <w:szCs w:val="18"/>
                <w:color w:val="auto"/>
              </w:rPr>
              <w:t>Eligibility to Participate –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420" w:type="dxa"/>
            <w:vAlign w:val="bottom"/>
          </w:tcPr>
          <w:p>
            <w:pPr>
              <w:ind w:left="320"/>
              <w:spacing w:after="0"/>
              <w:rPr>
                <w:sz w:val="20"/>
                <w:szCs w:val="20"/>
                <w:color w:val="auto"/>
              </w:rPr>
            </w:pPr>
            <w:r>
              <w:rPr>
                <w:rFonts w:ascii="Arial" w:cs="Arial" w:eastAsia="Arial" w:hAnsi="Arial"/>
                <w:sz w:val="18"/>
                <w:szCs w:val="18"/>
                <w:color w:val="auto"/>
              </w:rPr>
              <w:t>Data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7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9420" w:type="dxa"/>
            <w:vAlign w:val="bottom"/>
          </w:tcPr>
          <w:p>
            <w:pPr>
              <w:ind w:left="320"/>
              <w:spacing w:after="0"/>
              <w:rPr>
                <w:sz w:val="20"/>
                <w:szCs w:val="20"/>
                <w:color w:val="auto"/>
              </w:rPr>
            </w:pPr>
            <w:r>
              <w:rPr>
                <w:rFonts w:ascii="Arial" w:cs="Arial" w:eastAsia="Arial" w:hAnsi="Arial"/>
                <w:sz w:val="18"/>
                <w:szCs w:val="18"/>
                <w:color w:val="auto"/>
              </w:rPr>
              <w:t>Credit for Qualified Military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 CONTRIBUTIONS TO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26"/>
        </w:trPr>
        <w:tc>
          <w:tcPr>
            <w:tcW w:w="17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420" w:type="dxa"/>
            <w:vAlign w:val="bottom"/>
          </w:tcPr>
          <w:p>
            <w:pPr>
              <w:ind w:left="320"/>
              <w:spacing w:after="0"/>
              <w:rPr>
                <w:sz w:val="20"/>
                <w:szCs w:val="20"/>
                <w:color w:val="auto"/>
              </w:rPr>
            </w:pPr>
            <w:r>
              <w:rPr>
                <w:rFonts w:ascii="Arial" w:cs="Arial" w:eastAsia="Arial" w:hAnsi="Arial"/>
                <w:sz w:val="18"/>
                <w:szCs w:val="18"/>
                <w:color w:val="auto"/>
              </w:rPr>
              <w:t>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420" w:type="dxa"/>
            <w:vAlign w:val="bottom"/>
          </w:tcPr>
          <w:p>
            <w:pPr>
              <w:ind w:left="320"/>
              <w:spacing w:after="0"/>
              <w:rPr>
                <w:sz w:val="20"/>
                <w:szCs w:val="20"/>
                <w:color w:val="auto"/>
              </w:rPr>
            </w:pPr>
            <w:r>
              <w:rPr>
                <w:rFonts w:ascii="Arial" w:cs="Arial" w:eastAsia="Arial" w:hAnsi="Arial"/>
                <w:sz w:val="18"/>
                <w:szCs w:val="18"/>
                <w:color w:val="auto"/>
              </w:rPr>
              <w:t>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420" w:type="dxa"/>
            <w:vAlign w:val="bottom"/>
          </w:tcPr>
          <w:p>
            <w:pPr>
              <w:ind w:left="320"/>
              <w:spacing w:after="0"/>
              <w:rPr>
                <w:sz w:val="20"/>
                <w:szCs w:val="20"/>
                <w:color w:val="auto"/>
              </w:rPr>
            </w:pPr>
            <w:r>
              <w:rPr>
                <w:rFonts w:ascii="Arial" w:cs="Arial" w:eastAsia="Arial" w:hAnsi="Arial"/>
                <w:sz w:val="18"/>
                <w:szCs w:val="18"/>
                <w:color w:val="auto"/>
              </w:rPr>
              <w:t>Change of Percentage Rate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420" w:type="dxa"/>
            <w:vAlign w:val="bottom"/>
          </w:tcPr>
          <w:p>
            <w:pPr>
              <w:ind w:left="320"/>
              <w:spacing w:after="0"/>
              <w:rPr>
                <w:sz w:val="20"/>
                <w:szCs w:val="20"/>
                <w:color w:val="auto"/>
              </w:rPr>
            </w:pPr>
            <w:r>
              <w:rPr>
                <w:rFonts w:ascii="Arial" w:cs="Arial" w:eastAsia="Arial" w:hAnsi="Arial"/>
                <w:sz w:val="18"/>
                <w:szCs w:val="18"/>
                <w:color w:val="auto"/>
              </w:rPr>
              <w:t>Discontinuance of Pre-Tax Contributions and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420" w:type="dxa"/>
            <w:vAlign w:val="bottom"/>
          </w:tcPr>
          <w:p>
            <w:pPr>
              <w:ind w:left="320"/>
              <w:spacing w:after="0"/>
              <w:rPr>
                <w:sz w:val="20"/>
                <w:szCs w:val="20"/>
                <w:color w:val="auto"/>
              </w:rPr>
            </w:pPr>
            <w:r>
              <w:rPr>
                <w:rFonts w:ascii="Arial" w:cs="Arial" w:eastAsia="Arial" w:hAnsi="Arial"/>
                <w:sz w:val="18"/>
                <w:szCs w:val="18"/>
                <w:color w:val="auto"/>
              </w:rPr>
              <w:t>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420" w:type="dxa"/>
            <w:vAlign w:val="bottom"/>
          </w:tcPr>
          <w:p>
            <w:pPr>
              <w:ind w:left="320"/>
              <w:spacing w:after="0"/>
              <w:rPr>
                <w:sz w:val="20"/>
                <w:szCs w:val="20"/>
                <w:color w:val="auto"/>
              </w:rPr>
            </w:pPr>
            <w:r>
              <w:rPr>
                <w:rFonts w:ascii="Arial" w:cs="Arial" w:eastAsia="Arial" w:hAnsi="Arial"/>
                <w:sz w:val="18"/>
                <w:szCs w:val="18"/>
                <w:color w:val="auto"/>
              </w:rPr>
              <w:t>Timing and Deductibility of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420" w:type="dxa"/>
            <w:vAlign w:val="bottom"/>
          </w:tcPr>
          <w:p>
            <w:pPr>
              <w:ind w:left="320"/>
              <w:spacing w:after="0"/>
              <w:rPr>
                <w:sz w:val="20"/>
                <w:szCs w:val="20"/>
                <w:color w:val="auto"/>
              </w:rPr>
            </w:pPr>
            <w:r>
              <w:rPr>
                <w:rFonts w:ascii="Arial" w:cs="Arial" w:eastAsia="Arial" w:hAnsi="Arial"/>
                <w:sz w:val="18"/>
                <w:szCs w:val="18"/>
                <w:color w:val="auto"/>
              </w:rPr>
              <w:t>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9420" w:type="dxa"/>
            <w:vAlign w:val="bottom"/>
          </w:tcPr>
          <w:p>
            <w:pPr>
              <w:ind w:left="320"/>
              <w:spacing w:after="0"/>
              <w:rPr>
                <w:sz w:val="20"/>
                <w:szCs w:val="20"/>
                <w:color w:val="auto"/>
              </w:rPr>
            </w:pPr>
            <w:r>
              <w:rPr>
                <w:rFonts w:ascii="Arial" w:cs="Arial" w:eastAsia="Arial" w:hAnsi="Arial"/>
                <w:sz w:val="18"/>
                <w:szCs w:val="18"/>
                <w:color w:val="auto"/>
              </w:rPr>
              <w:t>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9420" w:type="dxa"/>
            <w:vAlign w:val="bottom"/>
          </w:tcPr>
          <w:p>
            <w:pPr>
              <w:ind w:left="320"/>
              <w:spacing w:after="0"/>
              <w:rPr>
                <w:sz w:val="20"/>
                <w:szCs w:val="20"/>
                <w:color w:val="auto"/>
              </w:rPr>
            </w:pPr>
            <w:r>
              <w:rPr>
                <w:rFonts w:ascii="Arial" w:cs="Arial" w:eastAsia="Arial" w:hAnsi="Arial"/>
                <w:sz w:val="18"/>
                <w:szCs w:val="18"/>
                <w:color w:val="auto"/>
              </w:rPr>
              <w:t>Prevention of Violation of 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420" w:type="dxa"/>
            <w:vAlign w:val="bottom"/>
          </w:tcPr>
          <w:p>
            <w:pPr>
              <w:ind w:left="320"/>
              <w:spacing w:after="0"/>
              <w:rPr>
                <w:sz w:val="20"/>
                <w:szCs w:val="20"/>
                <w:color w:val="auto"/>
              </w:rPr>
            </w:pPr>
            <w:r>
              <w:rPr>
                <w:rFonts w:ascii="Arial" w:cs="Arial" w:eastAsia="Arial" w:hAnsi="Arial"/>
                <w:sz w:val="18"/>
                <w:szCs w:val="18"/>
                <w:color w:val="auto"/>
              </w:rPr>
              <w:t>Maximum Allocation.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72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420" w:type="dxa"/>
            <w:vAlign w:val="bottom"/>
          </w:tcPr>
          <w:p>
            <w:pPr>
              <w:ind w:left="320"/>
              <w:spacing w:after="0"/>
              <w:rPr>
                <w:sz w:val="20"/>
                <w:szCs w:val="20"/>
                <w:color w:val="auto"/>
              </w:rPr>
            </w:pPr>
            <w:r>
              <w:rPr>
                <w:rFonts w:ascii="Arial" w:cs="Arial" w:eastAsia="Arial" w:hAnsi="Arial"/>
                <w:sz w:val="18"/>
                <w:szCs w:val="18"/>
                <w:color w:val="auto"/>
              </w:rPr>
              <w:t>Safe Harbor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 PARTICIPANTS’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6"/>
        </w:trPr>
        <w:tc>
          <w:tcPr>
            <w:tcW w:w="17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420" w:type="dxa"/>
            <w:vAlign w:val="bottom"/>
          </w:tcPr>
          <w:p>
            <w:pPr>
              <w:ind w:left="320"/>
              <w:spacing w:after="0"/>
              <w:rPr>
                <w:sz w:val="20"/>
                <w:szCs w:val="20"/>
                <w:color w:val="auto"/>
              </w:rPr>
            </w:pPr>
            <w:r>
              <w:rPr>
                <w:rFonts w:ascii="Arial" w:cs="Arial" w:eastAsia="Arial" w:hAnsi="Arial"/>
                <w:sz w:val="18"/>
                <w:szCs w:val="18"/>
                <w:color w:val="auto"/>
              </w:rPr>
              <w:t>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420" w:type="dxa"/>
            <w:vAlign w:val="bottom"/>
          </w:tcPr>
          <w:p>
            <w:pPr>
              <w:ind w:left="320"/>
              <w:spacing w:after="0"/>
              <w:rPr>
                <w:sz w:val="20"/>
                <w:szCs w:val="20"/>
                <w:color w:val="auto"/>
              </w:rPr>
            </w:pPr>
            <w:r>
              <w:rPr>
                <w:rFonts w:ascii="Arial" w:cs="Arial" w:eastAsia="Arial" w:hAnsi="Arial"/>
                <w:sz w:val="18"/>
                <w:szCs w:val="18"/>
                <w:color w:val="auto"/>
              </w:rPr>
              <w:t>Valuation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420" w:type="dxa"/>
            <w:vAlign w:val="bottom"/>
          </w:tcPr>
          <w:p>
            <w:pPr>
              <w:ind w:left="320"/>
              <w:spacing w:after="0"/>
              <w:rPr>
                <w:sz w:val="20"/>
                <w:szCs w:val="20"/>
                <w:color w:val="auto"/>
              </w:rPr>
            </w:pPr>
            <w:r>
              <w:rPr>
                <w:rFonts w:ascii="Arial" w:cs="Arial" w:eastAsia="Arial" w:hAnsi="Arial"/>
                <w:sz w:val="18"/>
                <w:szCs w:val="18"/>
                <w:color w:val="auto"/>
              </w:rPr>
              <w:t>Apportionment of Gain or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7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9420" w:type="dxa"/>
            <w:vAlign w:val="bottom"/>
          </w:tcPr>
          <w:p>
            <w:pPr>
              <w:ind w:left="320"/>
              <w:spacing w:after="0"/>
              <w:rPr>
                <w:sz w:val="20"/>
                <w:szCs w:val="20"/>
                <w:color w:val="auto"/>
              </w:rPr>
            </w:pPr>
            <w:r>
              <w:rPr>
                <w:rFonts w:ascii="Arial" w:cs="Arial" w:eastAsia="Arial" w:hAnsi="Arial"/>
                <w:sz w:val="18"/>
                <w:szCs w:val="18"/>
                <w:color w:val="auto"/>
              </w:rPr>
              <w:t>Accounting for Allocations.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26"/>
        </w:trPr>
        <w:tc>
          <w:tcPr>
            <w:tcW w:w="17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420" w:type="dxa"/>
            <w:vAlign w:val="bottom"/>
          </w:tcPr>
          <w:p>
            <w:pPr>
              <w:ind w:left="32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420" w:type="dxa"/>
            <w:vAlign w:val="bottom"/>
          </w:tcPr>
          <w:p>
            <w:pPr>
              <w:ind w:left="320"/>
              <w:spacing w:after="0"/>
              <w:rPr>
                <w:sz w:val="20"/>
                <w:szCs w:val="20"/>
                <w:color w:val="auto"/>
              </w:rPr>
            </w:pPr>
            <w:r>
              <w:rPr>
                <w:rFonts w:ascii="Arial" w:cs="Arial" w:eastAsia="Arial" w:hAnsi="Arial"/>
                <w:sz w:val="18"/>
                <w:szCs w:val="18"/>
                <w:color w:val="auto"/>
              </w:rPr>
              <w:t>Separation from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2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420" w:type="dxa"/>
            <w:vAlign w:val="bottom"/>
          </w:tcPr>
          <w:p>
            <w:pPr>
              <w:ind w:left="320"/>
              <w:spacing w:after="0"/>
              <w:rPr>
                <w:sz w:val="20"/>
                <w:szCs w:val="20"/>
                <w:color w:val="auto"/>
              </w:rPr>
            </w:pPr>
            <w:r>
              <w:rPr>
                <w:rFonts w:ascii="Arial" w:cs="Arial" w:eastAsia="Arial" w:hAnsi="Arial"/>
                <w:sz w:val="18"/>
                <w:szCs w:val="18"/>
                <w:color w:val="auto"/>
              </w:rPr>
              <w:t>Death</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72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9420" w:type="dxa"/>
            <w:vAlign w:val="bottom"/>
          </w:tcPr>
          <w:p>
            <w:pPr>
              <w:ind w:left="320"/>
              <w:spacing w:after="0"/>
              <w:rPr>
                <w:sz w:val="20"/>
                <w:szCs w:val="20"/>
                <w:color w:val="auto"/>
              </w:rPr>
            </w:pPr>
            <w:r>
              <w:rPr>
                <w:rFonts w:ascii="Arial" w:cs="Arial" w:eastAsia="Arial" w:hAnsi="Arial"/>
                <w:sz w:val="18"/>
                <w:szCs w:val="18"/>
                <w:color w:val="auto"/>
              </w:rPr>
              <w:t>Total Disability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ind w:left="440"/>
              <w:spacing w:after="0"/>
              <w:rPr>
                <w:sz w:val="20"/>
                <w:szCs w:val="20"/>
                <w:color w:val="auto"/>
              </w:rPr>
            </w:pPr>
            <w:r>
              <w:rPr>
                <w:rFonts w:ascii="Arial" w:cs="Arial" w:eastAsia="Arial" w:hAnsi="Arial"/>
                <w:sz w:val="18"/>
                <w:szCs w:val="18"/>
                <w:color w:val="auto"/>
              </w:rPr>
              <w:t>Section 5.5.</w:t>
            </w:r>
          </w:p>
        </w:tc>
        <w:tc>
          <w:tcPr>
            <w:tcW w:w="9200" w:type="dxa"/>
            <w:vAlign w:val="bottom"/>
            <w:vMerge w:val="restart"/>
          </w:tcPr>
          <w:p>
            <w:pPr>
              <w:ind w:left="60"/>
              <w:spacing w:after="0"/>
              <w:rPr>
                <w:sz w:val="20"/>
                <w:szCs w:val="20"/>
                <w:color w:val="auto"/>
              </w:rPr>
            </w:pPr>
            <w:r>
              <w:rPr>
                <w:rFonts w:ascii="Arial" w:cs="Arial" w:eastAsia="Arial" w:hAnsi="Arial"/>
                <w:sz w:val="18"/>
                <w:szCs w:val="18"/>
                <w:color w:val="auto"/>
              </w:rPr>
              <w:t>Valuation for Distribution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940" w:type="dxa"/>
            <w:vAlign w:val="bottom"/>
            <w:vMerge w:val="continue"/>
          </w:tcPr>
          <w:p>
            <w:pPr>
              <w:spacing w:after="0"/>
              <w:rPr>
                <w:sz w:val="17"/>
                <w:szCs w:val="17"/>
                <w:color w:val="auto"/>
              </w:rPr>
            </w:pPr>
          </w:p>
        </w:tc>
        <w:tc>
          <w:tcPr>
            <w:tcW w:w="920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9200" w:type="dxa"/>
            <w:vAlign w:val="bottom"/>
          </w:tcPr>
          <w:p>
            <w:pPr>
              <w:ind w:left="60"/>
              <w:spacing w:after="0"/>
              <w:rPr>
                <w:sz w:val="20"/>
                <w:szCs w:val="20"/>
                <w:color w:val="auto"/>
              </w:rPr>
            </w:pPr>
            <w:r>
              <w:rPr>
                <w:rFonts w:ascii="Arial" w:cs="Arial" w:eastAsia="Arial" w:hAnsi="Arial"/>
                <w:sz w:val="18"/>
                <w:szCs w:val="18"/>
                <w:color w:val="auto"/>
              </w:rPr>
              <w:t>Timing of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200" w:type="dxa"/>
            <w:vAlign w:val="bottom"/>
          </w:tcPr>
          <w:p>
            <w:pPr>
              <w:ind w:left="60"/>
              <w:spacing w:after="0"/>
              <w:rPr>
                <w:sz w:val="20"/>
                <w:szCs w:val="20"/>
                <w:color w:val="auto"/>
              </w:rPr>
            </w:pPr>
            <w:r>
              <w:rPr>
                <w:rFonts w:ascii="Arial" w:cs="Arial" w:eastAsia="Arial" w:hAnsi="Arial"/>
                <w:sz w:val="18"/>
                <w:szCs w:val="18"/>
                <w:color w:val="auto"/>
              </w:rPr>
              <w:t>Mode of Distribution of Retirement or Disability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9200" w:type="dxa"/>
            <w:vAlign w:val="bottom"/>
          </w:tcPr>
          <w:p>
            <w:pPr>
              <w:ind w:left="60"/>
              <w:spacing w:after="0"/>
              <w:rPr>
                <w:sz w:val="20"/>
                <w:szCs w:val="20"/>
                <w:color w:val="auto"/>
              </w:rPr>
            </w:pPr>
            <w:r>
              <w:rPr>
                <w:rFonts w:ascii="Arial" w:cs="Arial" w:eastAsia="Arial" w:hAnsi="Arial"/>
                <w:sz w:val="18"/>
                <w:szCs w:val="18"/>
                <w:color w:val="auto"/>
              </w:rPr>
              <w:t>Rules for Election of Optional Mode of Retirement or Disability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9200" w:type="dxa"/>
            <w:vAlign w:val="bottom"/>
          </w:tcPr>
          <w:p>
            <w:pPr>
              <w:ind w:left="60"/>
              <w:spacing w:after="0"/>
              <w:rPr>
                <w:sz w:val="20"/>
                <w:szCs w:val="20"/>
                <w:color w:val="auto"/>
              </w:rPr>
            </w:pPr>
            <w:r>
              <w:rPr>
                <w:rFonts w:ascii="Arial" w:cs="Arial" w:eastAsia="Arial" w:hAnsi="Arial"/>
                <w:sz w:val="18"/>
                <w:szCs w:val="18"/>
                <w:color w:val="auto"/>
              </w:rPr>
              <w:t>Death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9200" w:type="dxa"/>
            <w:vAlign w:val="bottom"/>
          </w:tcPr>
          <w:p>
            <w:pPr>
              <w:ind w:left="60"/>
              <w:spacing w:after="0"/>
              <w:rPr>
                <w:sz w:val="20"/>
                <w:szCs w:val="20"/>
                <w:color w:val="auto"/>
              </w:rPr>
            </w:pPr>
            <w:r>
              <w:rPr>
                <w:rFonts w:ascii="Arial" w:cs="Arial" w:eastAsia="Arial" w:hAnsi="Arial"/>
                <w:sz w:val="18"/>
                <w:szCs w:val="18"/>
                <w:color w:val="auto"/>
              </w:rPr>
              <w:t>Explanations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 Designation.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9200" w:type="dxa"/>
            <w:vAlign w:val="bottom"/>
          </w:tcPr>
          <w:p>
            <w:pPr>
              <w:ind w:left="60"/>
              <w:spacing w:after="0"/>
              <w:rPr>
                <w:sz w:val="20"/>
                <w:szCs w:val="20"/>
                <w:color w:val="auto"/>
              </w:rPr>
            </w:pPr>
            <w:r>
              <w:rPr>
                <w:rFonts w:ascii="Arial" w:cs="Arial" w:eastAsia="Arial" w:hAnsi="Arial"/>
                <w:sz w:val="18"/>
                <w:szCs w:val="18"/>
                <w:color w:val="auto"/>
              </w:rPr>
              <w:t>Recalculation of Life Expectancy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9200" w:type="dxa"/>
            <w:vAlign w:val="bottom"/>
          </w:tcPr>
          <w:p>
            <w:pPr>
              <w:ind w:left="60"/>
              <w:spacing w:after="0"/>
              <w:rPr>
                <w:sz w:val="20"/>
                <w:szCs w:val="20"/>
                <w:color w:val="auto"/>
              </w:rPr>
            </w:pPr>
            <w:r>
              <w:rPr>
                <w:rFonts w:ascii="Arial" w:cs="Arial" w:eastAsia="Arial" w:hAnsi="Arial"/>
                <w:sz w:val="18"/>
                <w:szCs w:val="18"/>
                <w:color w:val="auto"/>
              </w:rPr>
              <w:t>Transfer of Account to Other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9200" w:type="dxa"/>
            <w:vAlign w:val="bottom"/>
          </w:tcPr>
          <w:p>
            <w:pPr>
              <w:ind w:left="60"/>
              <w:spacing w:after="0"/>
              <w:rPr>
                <w:sz w:val="20"/>
                <w:szCs w:val="20"/>
                <w:color w:val="auto"/>
              </w:rPr>
            </w:pPr>
            <w:r>
              <w:rPr>
                <w:rFonts w:ascii="Arial" w:cs="Arial" w:eastAsia="Arial" w:hAnsi="Arial"/>
                <w:sz w:val="18"/>
                <w:szCs w:val="18"/>
                <w:color w:val="auto"/>
              </w:rPr>
              <w:t>Section 401(a)(9)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w w:val="99"/>
              </w:rPr>
              <w:t>ARTICLE VI - VESTING</w:t>
            </w:r>
          </w:p>
        </w:tc>
        <w:tc>
          <w:tcPr>
            <w:tcW w:w="9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26"/>
        </w:trPr>
        <w:tc>
          <w:tcPr>
            <w:tcW w:w="194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200" w:type="dxa"/>
            <w:vAlign w:val="bottom"/>
          </w:tcPr>
          <w:p>
            <w:pPr>
              <w:ind w:left="60"/>
              <w:spacing w:after="0"/>
              <w:rPr>
                <w:sz w:val="20"/>
                <w:szCs w:val="20"/>
                <w:color w:val="auto"/>
              </w:rPr>
            </w:pPr>
            <w:r>
              <w:rPr>
                <w:rFonts w:ascii="Arial" w:cs="Arial" w:eastAsia="Arial" w:hAnsi="Arial"/>
                <w:sz w:val="18"/>
                <w:szCs w:val="18"/>
                <w:color w:val="auto"/>
              </w:rPr>
              <w:t>Nonforfeitable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9200" w:type="dxa"/>
            <w:vAlign w:val="bottom"/>
          </w:tcPr>
          <w:p>
            <w:pPr>
              <w:ind w:left="60"/>
              <w:spacing w:after="0"/>
              <w:rPr>
                <w:sz w:val="20"/>
                <w:szCs w:val="20"/>
                <w:color w:val="auto"/>
              </w:rPr>
            </w:pPr>
            <w:r>
              <w:rPr>
                <w:rFonts w:ascii="Arial" w:cs="Arial" w:eastAsia="Arial" w:hAnsi="Arial"/>
                <w:sz w:val="18"/>
                <w:szCs w:val="18"/>
                <w:color w:val="auto"/>
              </w:rPr>
              <w:t>Years of Service for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9200" w:type="dxa"/>
            <w:vAlign w:val="bottom"/>
          </w:tcPr>
          <w:p>
            <w:pPr>
              <w:ind w:left="60"/>
              <w:spacing w:after="0"/>
              <w:rPr>
                <w:sz w:val="20"/>
                <w:szCs w:val="20"/>
                <w:color w:val="auto"/>
              </w:rPr>
            </w:pPr>
            <w:r>
              <w:rPr>
                <w:rFonts w:ascii="Arial" w:cs="Arial" w:eastAsia="Arial" w:hAnsi="Arial"/>
                <w:sz w:val="18"/>
                <w:szCs w:val="18"/>
                <w:color w:val="auto"/>
              </w:rPr>
              <w:t>Breaks in Service and Loss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9200" w:type="dxa"/>
            <w:vAlign w:val="bottom"/>
          </w:tcPr>
          <w:p>
            <w:pPr>
              <w:ind w:left="60"/>
              <w:spacing w:after="0"/>
              <w:rPr>
                <w:sz w:val="20"/>
                <w:szCs w:val="20"/>
                <w:color w:val="auto"/>
              </w:rPr>
            </w:pPr>
            <w:r>
              <w:rPr>
                <w:rFonts w:ascii="Arial" w:cs="Arial" w:eastAsia="Arial" w:hAnsi="Arial"/>
                <w:sz w:val="18"/>
                <w:szCs w:val="18"/>
                <w:color w:val="auto"/>
              </w:rPr>
              <w:t>Restoration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9200" w:type="dxa"/>
            <w:vAlign w:val="bottom"/>
          </w:tcPr>
          <w:p>
            <w:pPr>
              <w:ind w:left="60"/>
              <w:spacing w:after="0"/>
              <w:rPr>
                <w:sz w:val="20"/>
                <w:szCs w:val="20"/>
                <w:color w:val="auto"/>
              </w:rPr>
            </w:pPr>
            <w:r>
              <w:rPr>
                <w:rFonts w:ascii="Arial" w:cs="Arial" w:eastAsia="Arial" w:hAnsi="Arial"/>
                <w:sz w:val="18"/>
                <w:szCs w:val="18"/>
                <w:color w:val="auto"/>
              </w:rPr>
              <w:t>Forfeitures and Restoration of Forfeited Amounts upon Reemployment.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 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26"/>
        </w:trPr>
        <w:tc>
          <w:tcPr>
            <w:tcW w:w="194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9200" w:type="dxa"/>
            <w:vAlign w:val="bottom"/>
          </w:tcPr>
          <w:p>
            <w:pPr>
              <w:ind w:left="60"/>
              <w:spacing w:after="0"/>
              <w:rPr>
                <w:sz w:val="20"/>
                <w:szCs w:val="20"/>
                <w:color w:val="auto"/>
              </w:rPr>
            </w:pPr>
            <w:r>
              <w:rPr>
                <w:rFonts w:ascii="Arial" w:cs="Arial" w:eastAsia="Arial" w:hAnsi="Arial"/>
                <w:sz w:val="18"/>
                <w:szCs w:val="18"/>
                <w:color w:val="auto"/>
              </w:rPr>
              <w:t>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9200" w:type="dxa"/>
            <w:vAlign w:val="bottom"/>
          </w:tcPr>
          <w:p>
            <w:pPr>
              <w:ind w:left="60"/>
              <w:spacing w:after="0"/>
              <w:rPr>
                <w:sz w:val="20"/>
                <w:szCs w:val="20"/>
                <w:color w:val="auto"/>
              </w:rPr>
            </w:pPr>
            <w:r>
              <w:rPr>
                <w:rFonts w:ascii="Arial" w:cs="Arial" w:eastAsia="Arial" w:hAnsi="Arial"/>
                <w:sz w:val="18"/>
                <w:szCs w:val="18"/>
                <w:color w:val="auto"/>
              </w:rPr>
              <w:t>Vesting and Distribution of Rollover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9200" w:type="dxa"/>
            <w:vAlign w:val="bottom"/>
          </w:tcPr>
          <w:p>
            <w:pPr>
              <w:ind w:left="60"/>
              <w:spacing w:after="0"/>
              <w:rPr>
                <w:sz w:val="20"/>
                <w:szCs w:val="20"/>
                <w:color w:val="auto"/>
              </w:rPr>
            </w:pPr>
            <w:r>
              <w:rPr>
                <w:rFonts w:ascii="Arial" w:cs="Arial" w:eastAsia="Arial" w:hAnsi="Arial"/>
                <w:sz w:val="18"/>
                <w:szCs w:val="18"/>
                <w:color w:val="auto"/>
              </w:rPr>
              <w:t>Additional Rollover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26"/>
        </w:trPr>
        <w:tc>
          <w:tcPr>
            <w:tcW w:w="194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9200" w:type="dxa"/>
            <w:vAlign w:val="bottom"/>
          </w:tcPr>
          <w:p>
            <w:pPr>
              <w:ind w:left="60"/>
              <w:spacing w:after="0"/>
              <w:rPr>
                <w:sz w:val="20"/>
                <w:szCs w:val="20"/>
                <w:color w:val="auto"/>
              </w:rPr>
            </w:pPr>
            <w:r>
              <w:rPr>
                <w:rFonts w:ascii="Arial" w:cs="Arial" w:eastAsia="Arial" w:hAnsi="Arial"/>
                <w:sz w:val="18"/>
                <w:szCs w:val="18"/>
                <w:color w:val="auto"/>
              </w:rPr>
              <w:t>Withdrawals Not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9200" w:type="dxa"/>
            <w:vAlign w:val="bottom"/>
          </w:tcPr>
          <w:p>
            <w:pPr>
              <w:ind w:left="60"/>
              <w:spacing w:after="0"/>
              <w:rPr>
                <w:sz w:val="20"/>
                <w:szCs w:val="20"/>
                <w:color w:val="auto"/>
              </w:rPr>
            </w:pPr>
            <w:r>
              <w:rPr>
                <w:rFonts w:ascii="Arial" w:cs="Arial" w:eastAsia="Arial" w:hAnsi="Arial"/>
                <w:sz w:val="18"/>
                <w:szCs w:val="18"/>
                <w:color w:val="auto"/>
              </w:rPr>
              <w:t>Withdrawals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9200" w:type="dxa"/>
            <w:vAlign w:val="bottom"/>
          </w:tcPr>
          <w:p>
            <w:pPr>
              <w:ind w:left="60"/>
              <w:spacing w:after="0"/>
              <w:rPr>
                <w:sz w:val="20"/>
                <w:szCs w:val="20"/>
                <w:color w:val="auto"/>
              </w:rPr>
            </w:pPr>
            <w:r>
              <w:rPr>
                <w:rFonts w:ascii="Arial" w:cs="Arial" w:eastAsia="Arial" w:hAnsi="Arial"/>
                <w:sz w:val="18"/>
                <w:szCs w:val="18"/>
                <w:color w:val="auto"/>
              </w:rPr>
              <w:t xml:space="preserve">Withdrawals On and After Attainment of Age 59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9200" w:type="dxa"/>
            <w:vAlign w:val="bottom"/>
          </w:tcPr>
          <w:p>
            <w:pPr>
              <w:ind w:left="60"/>
              <w:spacing w:after="0"/>
              <w:rPr>
                <w:sz w:val="20"/>
                <w:szCs w:val="20"/>
                <w:color w:val="auto"/>
              </w:rPr>
            </w:pPr>
            <w:r>
              <w:rPr>
                <w:rFonts w:ascii="Arial" w:cs="Arial" w:eastAsia="Arial" w:hAnsi="Arial"/>
                <w:sz w:val="18"/>
                <w:szCs w:val="18"/>
                <w:color w:val="auto"/>
              </w:rPr>
              <w:t>Amount and Payment of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9200" w:type="dxa"/>
            <w:vAlign w:val="bottom"/>
          </w:tcPr>
          <w:p>
            <w:pPr>
              <w:ind w:left="60"/>
              <w:spacing w:after="0"/>
              <w:rPr>
                <w:sz w:val="20"/>
                <w:szCs w:val="20"/>
                <w:color w:val="auto"/>
              </w:rPr>
            </w:pPr>
            <w:r>
              <w:rPr>
                <w:rFonts w:ascii="Arial" w:cs="Arial" w:eastAsia="Arial" w:hAnsi="Arial"/>
                <w:sz w:val="18"/>
                <w:szCs w:val="18"/>
                <w:color w:val="auto"/>
              </w:rPr>
              <w:t>Withdrawals Not Subject to Replacement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9200" w:type="dxa"/>
            <w:vAlign w:val="bottom"/>
          </w:tcPr>
          <w:p>
            <w:pPr>
              <w:ind w:left="60"/>
              <w:spacing w:after="0"/>
              <w:rPr>
                <w:sz w:val="20"/>
                <w:szCs w:val="20"/>
                <w:color w:val="auto"/>
              </w:rPr>
            </w:pPr>
            <w:r>
              <w:rPr>
                <w:rFonts w:ascii="Arial" w:cs="Arial" w:eastAsia="Arial" w:hAnsi="Arial"/>
                <w:sz w:val="18"/>
                <w:szCs w:val="18"/>
                <w:color w:val="auto"/>
              </w:rPr>
              <w:t>Pledged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8.7.</w:t>
            </w:r>
          </w:p>
        </w:tc>
        <w:tc>
          <w:tcPr>
            <w:tcW w:w="9200" w:type="dxa"/>
            <w:vAlign w:val="bottom"/>
          </w:tcPr>
          <w:p>
            <w:pPr>
              <w:ind w:left="60"/>
              <w:spacing w:after="0"/>
              <w:rPr>
                <w:sz w:val="20"/>
                <w:szCs w:val="20"/>
                <w:color w:val="auto"/>
              </w:rPr>
            </w:pPr>
            <w:r>
              <w:rPr>
                <w:rFonts w:ascii="Arial" w:cs="Arial" w:eastAsia="Arial" w:hAnsi="Arial"/>
                <w:sz w:val="18"/>
                <w:szCs w:val="18"/>
                <w:color w:val="auto"/>
              </w:rPr>
              <w:t>Investment Medium to be Charged with 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 LOANS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6"/>
        </w:trPr>
        <w:tc>
          <w:tcPr>
            <w:tcW w:w="194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9200" w:type="dxa"/>
            <w:vAlign w:val="bottom"/>
          </w:tcPr>
          <w:p>
            <w:pPr>
              <w:ind w:left="60"/>
              <w:spacing w:after="0"/>
              <w:rPr>
                <w:sz w:val="20"/>
                <w:szCs w:val="20"/>
                <w:color w:val="auto"/>
              </w:rPr>
            </w:pPr>
            <w:r>
              <w:rPr>
                <w:rFonts w:ascii="Arial" w:cs="Arial" w:eastAsia="Arial" w:hAnsi="Arial"/>
                <w:sz w:val="18"/>
                <w:szCs w:val="18"/>
                <w:color w:val="auto"/>
              </w:rPr>
              <w:t>Loan Application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9200" w:type="dxa"/>
            <w:vAlign w:val="bottom"/>
          </w:tcPr>
          <w:p>
            <w:pPr>
              <w:ind w:left="60"/>
              <w:spacing w:after="0"/>
              <w:rPr>
                <w:sz w:val="20"/>
                <w:szCs w:val="20"/>
                <w:color w:val="auto"/>
              </w:rPr>
            </w:pPr>
            <w:r>
              <w:rPr>
                <w:rFonts w:ascii="Arial" w:cs="Arial" w:eastAsia="Arial" w:hAnsi="Arial"/>
                <w:sz w:val="18"/>
                <w:szCs w:val="18"/>
                <w:color w:val="auto"/>
              </w:rPr>
              <w:t>Loan Approval.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9200" w:type="dxa"/>
            <w:vAlign w:val="bottom"/>
          </w:tcPr>
          <w:p>
            <w:pPr>
              <w:ind w:left="60"/>
              <w:spacing w:after="0"/>
              <w:rPr>
                <w:sz w:val="20"/>
                <w:szCs w:val="20"/>
                <w:color w:val="auto"/>
              </w:rPr>
            </w:pPr>
            <w:r>
              <w:rPr>
                <w:rFonts w:ascii="Arial" w:cs="Arial" w:eastAsia="Arial" w:hAnsi="Arial"/>
                <w:sz w:val="18"/>
                <w:szCs w:val="18"/>
                <w:color w:val="auto"/>
              </w:rPr>
              <w:t>Amount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9200" w:type="dxa"/>
            <w:vAlign w:val="bottom"/>
          </w:tcPr>
          <w:p>
            <w:pPr>
              <w:ind w:left="60"/>
              <w:spacing w:after="0"/>
              <w:rPr>
                <w:sz w:val="20"/>
                <w:szCs w:val="20"/>
                <w:color w:val="auto"/>
              </w:rPr>
            </w:pPr>
            <w:r>
              <w:rPr>
                <w:rFonts w:ascii="Arial" w:cs="Arial" w:eastAsia="Arial" w:hAnsi="Arial"/>
                <w:sz w:val="18"/>
                <w:szCs w:val="18"/>
                <w:color w:val="auto"/>
              </w:rPr>
              <w:t>Terms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9200" w:type="dxa"/>
            <w:vAlign w:val="bottom"/>
          </w:tcPr>
          <w:p>
            <w:pPr>
              <w:ind w:left="60"/>
              <w:spacing w:after="0"/>
              <w:rPr>
                <w:sz w:val="20"/>
                <w:szCs w:val="20"/>
                <w:color w:val="auto"/>
              </w:rPr>
            </w:pPr>
            <w:r>
              <w:rPr>
                <w:rFonts w:ascii="Arial" w:cs="Arial" w:eastAsia="Arial" w:hAnsi="Arial"/>
                <w:sz w:val="18"/>
                <w:szCs w:val="18"/>
                <w:color w:val="auto"/>
              </w:rPr>
              <w:t>Enforcement.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9200" w:type="dxa"/>
            <w:vAlign w:val="bottom"/>
          </w:tcPr>
          <w:p>
            <w:pPr>
              <w:ind w:left="60"/>
              <w:spacing w:after="0"/>
              <w:rPr>
                <w:sz w:val="20"/>
                <w:szCs w:val="20"/>
                <w:color w:val="auto"/>
              </w:rPr>
            </w:pPr>
            <w:r>
              <w:rPr>
                <w:rFonts w:ascii="Arial" w:cs="Arial" w:eastAsia="Arial" w:hAnsi="Arial"/>
                <w:sz w:val="18"/>
                <w:szCs w:val="18"/>
                <w:color w:val="auto"/>
              </w:rPr>
              <w:t>Additional Rules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 - 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6"/>
        </w:trPr>
        <w:tc>
          <w:tcPr>
            <w:tcW w:w="194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200" w:type="dxa"/>
            <w:vAlign w:val="bottom"/>
          </w:tcPr>
          <w:p>
            <w:pPr>
              <w:ind w:left="60"/>
              <w:spacing w:after="0"/>
              <w:rPr>
                <w:sz w:val="20"/>
                <w:szCs w:val="20"/>
                <w:color w:val="auto"/>
              </w:rPr>
            </w:pPr>
            <w:r>
              <w:rPr>
                <w:rFonts w:ascii="Arial" w:cs="Arial" w:eastAsia="Arial" w:hAnsi="Arial"/>
                <w:sz w:val="18"/>
                <w:szCs w:val="18"/>
                <w:color w:val="auto"/>
              </w:rPr>
              <w:t>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94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200" w:type="dxa"/>
            <w:vAlign w:val="bottom"/>
          </w:tcPr>
          <w:p>
            <w:pPr>
              <w:ind w:left="60"/>
              <w:spacing w:after="0"/>
              <w:rPr>
                <w:sz w:val="20"/>
                <w:szCs w:val="20"/>
                <w:color w:val="auto"/>
              </w:rPr>
            </w:pPr>
            <w:r>
              <w:rPr>
                <w:rFonts w:ascii="Arial" w:cs="Arial" w:eastAsia="Arial" w:hAnsi="Arial"/>
                <w:sz w:val="18"/>
                <w:szCs w:val="18"/>
                <w:color w:val="auto"/>
              </w:rPr>
              <w:t>Duties and Powers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440"/>
              <w:spacing w:after="0"/>
              <w:rPr>
                <w:sz w:val="20"/>
                <w:szCs w:val="20"/>
                <w:color w:val="auto"/>
              </w:rPr>
            </w:pPr>
            <w:r>
              <w:rPr>
                <w:rFonts w:ascii="Arial" w:cs="Arial" w:eastAsia="Arial" w:hAnsi="Arial"/>
                <w:sz w:val="18"/>
                <w:szCs w:val="18"/>
                <w:color w:val="auto"/>
              </w:rPr>
              <w:t>Section 10.3.</w:t>
            </w:r>
          </w:p>
        </w:tc>
        <w:tc>
          <w:tcPr>
            <w:tcW w:w="9140" w:type="dxa"/>
            <w:vAlign w:val="bottom"/>
            <w:vMerge w:val="restart"/>
          </w:tcPr>
          <w:p>
            <w:pPr>
              <w:spacing w:after="0"/>
              <w:rPr>
                <w:sz w:val="20"/>
                <w:szCs w:val="20"/>
                <w:color w:val="auto"/>
              </w:rPr>
            </w:pPr>
            <w:r>
              <w:rPr>
                <w:rFonts w:ascii="Arial" w:cs="Arial" w:eastAsia="Arial" w:hAnsi="Arial"/>
                <w:sz w:val="18"/>
                <w:szCs w:val="18"/>
                <w:color w:val="auto"/>
              </w:rPr>
              <w:t>Functioning of Committee.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2000" w:type="dxa"/>
            <w:vAlign w:val="bottom"/>
            <w:vMerge w:val="continue"/>
          </w:tcPr>
          <w:p>
            <w:pPr>
              <w:spacing w:after="0"/>
              <w:rPr>
                <w:sz w:val="17"/>
                <w:szCs w:val="17"/>
                <w:color w:val="auto"/>
              </w:rPr>
            </w:pPr>
          </w:p>
        </w:tc>
        <w:tc>
          <w:tcPr>
            <w:tcW w:w="91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140" w:type="dxa"/>
            <w:vAlign w:val="bottom"/>
          </w:tcPr>
          <w:p>
            <w:pPr>
              <w:spacing w:after="0"/>
              <w:rPr>
                <w:sz w:val="20"/>
                <w:szCs w:val="20"/>
                <w:color w:val="auto"/>
              </w:rPr>
            </w:pPr>
            <w:r>
              <w:rPr>
                <w:rFonts w:ascii="Arial" w:cs="Arial" w:eastAsia="Arial" w:hAnsi="Arial"/>
                <w:sz w:val="18"/>
                <w:szCs w:val="18"/>
                <w:color w:val="auto"/>
              </w:rPr>
              <w:t>Allocation and Delegation of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9140" w:type="dxa"/>
            <w:vAlign w:val="bottom"/>
          </w:tcPr>
          <w:p>
            <w:pPr>
              <w:spacing w:after="0"/>
              <w:rPr>
                <w:sz w:val="20"/>
                <w:szCs w:val="20"/>
                <w:color w:val="auto"/>
              </w:rPr>
            </w:pPr>
            <w:r>
              <w:rPr>
                <w:rFonts w:ascii="Arial" w:cs="Arial" w:eastAsia="Arial" w:hAnsi="Arial"/>
                <w:sz w:val="18"/>
                <w:szCs w:val="18"/>
                <w:color w:val="auto"/>
              </w:rPr>
              <w:t>Plan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9140" w:type="dxa"/>
            <w:vAlign w:val="bottom"/>
          </w:tcPr>
          <w:p>
            <w:pPr>
              <w:spacing w:after="0"/>
              <w:rPr>
                <w:sz w:val="20"/>
                <w:szCs w:val="20"/>
                <w:color w:val="auto"/>
              </w:rPr>
            </w:pPr>
            <w:r>
              <w:rPr>
                <w:rFonts w:ascii="Arial" w:cs="Arial" w:eastAsia="Arial" w:hAnsi="Arial"/>
                <w:sz w:val="18"/>
                <w:szCs w:val="18"/>
                <w:color w:val="auto"/>
              </w:rPr>
              <w:t>Information to be Supplied by a Participating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9140" w:type="dxa"/>
            <w:vAlign w:val="bottom"/>
          </w:tcPr>
          <w:p>
            <w:pPr>
              <w:spacing w:after="0"/>
              <w:rPr>
                <w:sz w:val="20"/>
                <w:szCs w:val="20"/>
                <w:color w:val="auto"/>
              </w:rPr>
            </w:pPr>
            <w:r>
              <w:rPr>
                <w:rFonts w:ascii="Arial" w:cs="Arial" w:eastAsia="Arial" w:hAnsi="Arial"/>
                <w:sz w:val="18"/>
                <w:szCs w:val="18"/>
                <w:color w:val="auto"/>
              </w:rPr>
              <w:t>Disputes.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9140" w:type="dxa"/>
            <w:vAlign w:val="bottom"/>
          </w:tcPr>
          <w:p>
            <w:pPr>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w w:val="96"/>
              </w:rPr>
              <w:t>ARTICLE XI - THE FUND</w:t>
            </w:r>
          </w:p>
        </w:tc>
        <w:tc>
          <w:tcPr>
            <w:tcW w:w="91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140" w:type="dxa"/>
            <w:vAlign w:val="bottom"/>
          </w:tcPr>
          <w:p>
            <w:pPr>
              <w:spacing w:after="0"/>
              <w:rPr>
                <w:sz w:val="20"/>
                <w:szCs w:val="20"/>
                <w:color w:val="auto"/>
              </w:rPr>
            </w:pPr>
            <w:r>
              <w:rPr>
                <w:rFonts w:ascii="Arial" w:cs="Arial" w:eastAsia="Arial" w:hAnsi="Arial"/>
                <w:sz w:val="18"/>
                <w:szCs w:val="18"/>
                <w:color w:val="auto"/>
              </w:rPr>
              <w:t>Designation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9140" w:type="dxa"/>
            <w:vAlign w:val="bottom"/>
          </w:tcPr>
          <w:p>
            <w:pPr>
              <w:spacing w:after="0"/>
              <w:rPr>
                <w:sz w:val="20"/>
                <w:szCs w:val="20"/>
                <w:color w:val="auto"/>
              </w:rPr>
            </w:pPr>
            <w:r>
              <w:rPr>
                <w:rFonts w:ascii="Arial" w:cs="Arial" w:eastAsia="Arial" w:hAnsi="Arial"/>
                <w:sz w:val="18"/>
                <w:szCs w:val="18"/>
                <w:color w:val="auto"/>
              </w:rPr>
              <w:t>Exclusive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9140" w:type="dxa"/>
            <w:vAlign w:val="bottom"/>
          </w:tcPr>
          <w:p>
            <w:pPr>
              <w:spacing w:after="0"/>
              <w:rPr>
                <w:sz w:val="20"/>
                <w:szCs w:val="20"/>
                <w:color w:val="auto"/>
              </w:rPr>
            </w:pPr>
            <w:r>
              <w:rPr>
                <w:rFonts w:ascii="Arial" w:cs="Arial" w:eastAsia="Arial" w:hAnsi="Arial"/>
                <w:sz w:val="18"/>
                <w:szCs w:val="18"/>
                <w:color w:val="auto"/>
              </w:rPr>
              <w:t>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11.4.</w:t>
            </w:r>
          </w:p>
        </w:tc>
        <w:tc>
          <w:tcPr>
            <w:tcW w:w="9140" w:type="dxa"/>
            <w:vAlign w:val="bottom"/>
          </w:tcPr>
          <w:p>
            <w:pPr>
              <w:spacing w:after="0"/>
              <w:rPr>
                <w:sz w:val="20"/>
                <w:szCs w:val="20"/>
                <w:color w:val="auto"/>
              </w:rPr>
            </w:pPr>
            <w:r>
              <w:rPr>
                <w:rFonts w:ascii="Arial" w:cs="Arial" w:eastAsia="Arial" w:hAnsi="Arial"/>
                <w:sz w:val="18"/>
                <w:szCs w:val="18"/>
                <w:color w:val="auto"/>
              </w:rPr>
              <w:t>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11.5.</w:t>
            </w:r>
          </w:p>
        </w:tc>
        <w:tc>
          <w:tcPr>
            <w:tcW w:w="914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 AMENDMENT OR TERMINATION OF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12.1.</w:t>
            </w:r>
          </w:p>
        </w:tc>
        <w:tc>
          <w:tcPr>
            <w:tcW w:w="9140" w:type="dxa"/>
            <w:vAlign w:val="bottom"/>
          </w:tcPr>
          <w:p>
            <w:pPr>
              <w:spacing w:after="0"/>
              <w:rPr>
                <w:sz w:val="20"/>
                <w:szCs w:val="20"/>
                <w:color w:val="auto"/>
              </w:rPr>
            </w:pPr>
            <w:r>
              <w:rPr>
                <w:rFonts w:ascii="Arial" w:cs="Arial" w:eastAsia="Arial" w:hAnsi="Arial"/>
                <w:sz w:val="18"/>
                <w:szCs w:val="18"/>
                <w:color w:val="auto"/>
              </w:rPr>
              <w:t>Power of 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12.2.</w:t>
            </w:r>
          </w:p>
        </w:tc>
        <w:tc>
          <w:tcPr>
            <w:tcW w:w="9140" w:type="dxa"/>
            <w:vAlign w:val="bottom"/>
          </w:tcPr>
          <w:p>
            <w:pPr>
              <w:spacing w:after="0"/>
              <w:rPr>
                <w:sz w:val="20"/>
                <w:szCs w:val="20"/>
                <w:color w:val="auto"/>
              </w:rPr>
            </w:pPr>
            <w:r>
              <w:rPr>
                <w:rFonts w:ascii="Arial" w:cs="Arial" w:eastAsia="Arial" w:hAnsi="Arial"/>
                <w:sz w:val="18"/>
                <w:szCs w:val="18"/>
                <w:color w:val="auto"/>
              </w:rPr>
              <w:t>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 TOP-HEAVY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13.1.</w:t>
            </w:r>
          </w:p>
        </w:tc>
        <w:tc>
          <w:tcPr>
            <w:tcW w:w="9140" w:type="dxa"/>
            <w:vAlign w:val="bottom"/>
          </w:tcPr>
          <w:p>
            <w:pPr>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13.2.</w:t>
            </w:r>
          </w:p>
        </w:tc>
        <w:tc>
          <w:tcPr>
            <w:tcW w:w="9140" w:type="dxa"/>
            <w:vAlign w:val="bottom"/>
          </w:tcPr>
          <w:p>
            <w:pPr>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13.3.</w:t>
            </w:r>
          </w:p>
        </w:tc>
        <w:tc>
          <w:tcPr>
            <w:tcW w:w="9140" w:type="dxa"/>
            <w:vAlign w:val="bottom"/>
          </w:tcPr>
          <w:p>
            <w:pPr>
              <w:spacing w:after="0"/>
              <w:rPr>
                <w:sz w:val="20"/>
                <w:szCs w:val="20"/>
                <w:color w:val="auto"/>
              </w:rPr>
            </w:pPr>
            <w:r>
              <w:rPr>
                <w:rFonts w:ascii="Arial" w:cs="Arial" w:eastAsia="Arial" w:hAnsi="Arial"/>
                <w:sz w:val="18"/>
                <w:szCs w:val="18"/>
                <w:color w:val="auto"/>
              </w:rPr>
              <w:t>Minimum Contribution for Non-Key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13.4.</w:t>
            </w:r>
          </w:p>
        </w:tc>
        <w:tc>
          <w:tcPr>
            <w:tcW w:w="9140" w:type="dxa"/>
            <w:vAlign w:val="bottom"/>
          </w:tcPr>
          <w:p>
            <w:pPr>
              <w:spacing w:after="0"/>
              <w:rPr>
                <w:sz w:val="20"/>
                <w:szCs w:val="20"/>
                <w:color w:val="auto"/>
              </w:rPr>
            </w:pPr>
            <w:r>
              <w:rPr>
                <w:rFonts w:ascii="Arial" w:cs="Arial" w:eastAsia="Arial" w:hAnsi="Arial"/>
                <w:sz w:val="18"/>
                <w:szCs w:val="18"/>
                <w:color w:val="auto"/>
              </w:rPr>
              <w:t>Social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XIV - 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14.1.</w:t>
            </w:r>
          </w:p>
        </w:tc>
        <w:tc>
          <w:tcPr>
            <w:tcW w:w="9140" w:type="dxa"/>
            <w:vAlign w:val="bottom"/>
          </w:tcPr>
          <w:p>
            <w:pPr>
              <w:spacing w:after="0"/>
              <w:rPr>
                <w:sz w:val="20"/>
                <w:szCs w:val="20"/>
                <w:color w:val="auto"/>
              </w:rPr>
            </w:pPr>
            <w:r>
              <w:rPr>
                <w:rFonts w:ascii="Arial" w:cs="Arial" w:eastAsia="Arial" w:hAnsi="Arial"/>
                <w:sz w:val="18"/>
                <w:szCs w:val="18"/>
                <w:color w:val="auto"/>
              </w:rPr>
              <w:t>No Employment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14.2.</w:t>
            </w:r>
          </w:p>
        </w:tc>
        <w:tc>
          <w:tcPr>
            <w:tcW w:w="9140" w:type="dxa"/>
            <w:vAlign w:val="bottom"/>
          </w:tcPr>
          <w:p>
            <w:pPr>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14.3.</w:t>
            </w:r>
          </w:p>
        </w:tc>
        <w:tc>
          <w:tcPr>
            <w:tcW w:w="9140" w:type="dxa"/>
            <w:vAlign w:val="bottom"/>
          </w:tcPr>
          <w:p>
            <w:pPr>
              <w:spacing w:after="0"/>
              <w:rPr>
                <w:sz w:val="20"/>
                <w:szCs w:val="20"/>
                <w:color w:val="auto"/>
              </w:rPr>
            </w:pPr>
            <w:r>
              <w:rPr>
                <w:rFonts w:ascii="Arial" w:cs="Arial" w:eastAsia="Arial" w:hAnsi="Arial"/>
                <w:sz w:val="18"/>
                <w:szCs w:val="18"/>
                <w:color w:val="auto"/>
              </w:rPr>
              <w:t>Severability of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14.4.</w:t>
            </w:r>
          </w:p>
        </w:tc>
        <w:tc>
          <w:tcPr>
            <w:tcW w:w="9140" w:type="dxa"/>
            <w:vAlign w:val="bottom"/>
          </w:tcPr>
          <w:p>
            <w:pPr>
              <w:spacing w:after="0"/>
              <w:rPr>
                <w:sz w:val="20"/>
                <w:szCs w:val="20"/>
                <w:color w:val="auto"/>
              </w:rPr>
            </w:pPr>
            <w:r>
              <w:rPr>
                <w:rFonts w:ascii="Arial" w:cs="Arial" w:eastAsia="Arial" w:hAnsi="Arial"/>
                <w:sz w:val="18"/>
                <w:szCs w:val="18"/>
                <w:color w:val="auto"/>
              </w:rPr>
              <w:t>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14.5.</w:t>
            </w:r>
          </w:p>
        </w:tc>
        <w:tc>
          <w:tcPr>
            <w:tcW w:w="9140" w:type="dxa"/>
            <w:vAlign w:val="bottom"/>
          </w:tcPr>
          <w:p>
            <w:pPr>
              <w:spacing w:after="0"/>
              <w:rPr>
                <w:sz w:val="20"/>
                <w:szCs w:val="20"/>
                <w:color w:val="auto"/>
              </w:rPr>
            </w:pPr>
            <w:r>
              <w:rPr>
                <w:rFonts w:ascii="Arial" w:cs="Arial" w:eastAsia="Arial" w:hAnsi="Arial"/>
                <w:sz w:val="18"/>
                <w:szCs w:val="18"/>
                <w:color w:val="auto"/>
              </w:rPr>
              <w:t>Spendthrift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14.6.</w:t>
            </w:r>
          </w:p>
        </w:tc>
        <w:tc>
          <w:tcPr>
            <w:tcW w:w="9140" w:type="dxa"/>
            <w:vAlign w:val="bottom"/>
          </w:tcPr>
          <w:p>
            <w:pPr>
              <w:spacing w:after="0"/>
              <w:rPr>
                <w:sz w:val="20"/>
                <w:szCs w:val="20"/>
                <w:color w:val="auto"/>
              </w:rPr>
            </w:pPr>
            <w:r>
              <w:rPr>
                <w:rFonts w:ascii="Arial" w:cs="Arial" w:eastAsia="Arial" w:hAnsi="Arial"/>
                <w:sz w:val="18"/>
                <w:szCs w:val="18"/>
                <w:color w:val="auto"/>
              </w:rPr>
              <w:t>Incapacity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14.7.</w:t>
            </w:r>
          </w:p>
        </w:tc>
        <w:tc>
          <w:tcPr>
            <w:tcW w:w="9140" w:type="dxa"/>
            <w:vAlign w:val="bottom"/>
          </w:tcPr>
          <w:p>
            <w:pPr>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14.8.</w:t>
            </w:r>
          </w:p>
        </w:tc>
        <w:tc>
          <w:tcPr>
            <w:tcW w:w="9140" w:type="dxa"/>
            <w:vAlign w:val="bottom"/>
          </w:tcPr>
          <w:p>
            <w:pPr>
              <w:spacing w:after="0"/>
              <w:rPr>
                <w:sz w:val="20"/>
                <w:szCs w:val="20"/>
                <w:color w:val="auto"/>
              </w:rPr>
            </w:pPr>
            <w:r>
              <w:rPr>
                <w:rFonts w:ascii="Arial" w:cs="Arial" w:eastAsia="Arial" w:hAnsi="Arial"/>
                <w:sz w:val="18"/>
                <w:szCs w:val="18"/>
                <w:color w:val="auto"/>
              </w:rPr>
              <w:t>Missing Persons/Uncashed Checks.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14.9.</w:t>
            </w:r>
          </w:p>
        </w:tc>
        <w:tc>
          <w:tcPr>
            <w:tcW w:w="9140" w:type="dxa"/>
            <w:vAlign w:val="bottom"/>
          </w:tcPr>
          <w:p>
            <w:pPr>
              <w:spacing w:after="0"/>
              <w:rPr>
                <w:sz w:val="20"/>
                <w:szCs w:val="20"/>
                <w:color w:val="auto"/>
              </w:rPr>
            </w:pPr>
            <w:r>
              <w:rPr>
                <w:rFonts w:ascii="Arial" w:cs="Arial" w:eastAsia="Arial" w:hAnsi="Arial"/>
                <w:sz w:val="18"/>
                <w:szCs w:val="18"/>
                <w:color w:val="auto"/>
              </w:rPr>
              <w:t>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 - ADDITIONAL SERVICE CREDIT FOR FORMER EMPLOYEES OF CERTAIN ACQUIRED BUSINESSES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15.1.</w:t>
            </w:r>
          </w:p>
        </w:tc>
        <w:tc>
          <w:tcPr>
            <w:tcW w:w="9140" w:type="dxa"/>
            <w:vAlign w:val="bottom"/>
          </w:tcPr>
          <w:p>
            <w:pPr>
              <w:spacing w:after="0"/>
              <w:rPr>
                <w:sz w:val="20"/>
                <w:szCs w:val="20"/>
                <w:color w:val="auto"/>
              </w:rPr>
            </w:pPr>
            <w:r>
              <w:rPr>
                <w:rFonts w:ascii="Arial" w:cs="Arial" w:eastAsia="Arial" w:hAnsi="Arial"/>
                <w:sz w:val="18"/>
                <w:szCs w:val="18"/>
                <w:color w:val="auto"/>
              </w:rPr>
              <w:t>Additional Service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15.2.</w:t>
            </w:r>
          </w:p>
        </w:tc>
        <w:tc>
          <w:tcPr>
            <w:tcW w:w="9140" w:type="dxa"/>
            <w:vAlign w:val="bottom"/>
          </w:tcPr>
          <w:p>
            <w:pPr>
              <w:spacing w:after="0"/>
              <w:rPr>
                <w:sz w:val="20"/>
                <w:szCs w:val="20"/>
                <w:color w:val="auto"/>
              </w:rPr>
            </w:pPr>
            <w:r>
              <w:rPr>
                <w:rFonts w:ascii="Arial" w:cs="Arial" w:eastAsia="Arial" w:hAnsi="Arial"/>
                <w:sz w:val="18"/>
                <w:szCs w:val="18"/>
                <w:color w:val="auto"/>
              </w:rPr>
              <w:t>Listed Employer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15.3.</w:t>
            </w:r>
          </w:p>
        </w:tc>
        <w:tc>
          <w:tcPr>
            <w:tcW w:w="9140" w:type="dxa"/>
            <w:vAlign w:val="bottom"/>
          </w:tcPr>
          <w:p>
            <w:pPr>
              <w:spacing w:after="0"/>
              <w:rPr>
                <w:sz w:val="20"/>
                <w:szCs w:val="20"/>
                <w:color w:val="auto"/>
              </w:rPr>
            </w:pPr>
            <w:r>
              <w:rPr>
                <w:rFonts w:ascii="Arial" w:cs="Arial" w:eastAsia="Arial" w:hAnsi="Arial"/>
                <w:sz w:val="18"/>
                <w:szCs w:val="18"/>
                <w:color w:val="auto"/>
              </w:rPr>
              <w:t>Applicability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15.4.</w:t>
            </w:r>
          </w:p>
        </w:tc>
        <w:tc>
          <w:tcPr>
            <w:tcW w:w="9140" w:type="dxa"/>
            <w:vAlign w:val="bottom"/>
          </w:tcPr>
          <w:p>
            <w:pPr>
              <w:spacing w:after="0"/>
              <w:rPr>
                <w:sz w:val="20"/>
                <w:szCs w:val="20"/>
                <w:color w:val="auto"/>
              </w:rPr>
            </w:pPr>
            <w:r>
              <w:rPr>
                <w:rFonts w:ascii="Arial" w:cs="Arial" w:eastAsia="Arial" w:hAnsi="Arial"/>
                <w:sz w:val="18"/>
                <w:szCs w:val="18"/>
                <w:color w:val="auto"/>
              </w:rPr>
              <w:t>Limitation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 - COMCAST SPORTS NETWORK (PHILADELPHIA) L.P.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26"/>
        </w:trPr>
        <w:tc>
          <w:tcPr>
            <w:tcW w:w="2000" w:type="dxa"/>
            <w:vAlign w:val="bottom"/>
          </w:tcPr>
          <w:p>
            <w:pPr>
              <w:ind w:left="440"/>
              <w:spacing w:after="0"/>
              <w:rPr>
                <w:sz w:val="20"/>
                <w:szCs w:val="20"/>
                <w:color w:val="auto"/>
              </w:rPr>
            </w:pPr>
            <w:r>
              <w:rPr>
                <w:rFonts w:ascii="Arial" w:cs="Arial" w:eastAsia="Arial" w:hAnsi="Arial"/>
                <w:sz w:val="18"/>
                <w:szCs w:val="18"/>
                <w:color w:val="auto"/>
              </w:rPr>
              <w:t>Section 16.1.</w:t>
            </w:r>
          </w:p>
        </w:tc>
        <w:tc>
          <w:tcPr>
            <w:tcW w:w="9140" w:type="dxa"/>
            <w:vAlign w:val="bottom"/>
          </w:tcPr>
          <w:p>
            <w:pPr>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16.2.</w:t>
            </w:r>
          </w:p>
        </w:tc>
        <w:tc>
          <w:tcPr>
            <w:tcW w:w="9140" w:type="dxa"/>
            <w:vAlign w:val="bottom"/>
          </w:tcPr>
          <w:p>
            <w:pPr>
              <w:spacing w:after="0"/>
              <w:rPr>
                <w:sz w:val="20"/>
                <w:szCs w:val="20"/>
                <w:color w:val="auto"/>
              </w:rPr>
            </w:pPr>
            <w:r>
              <w:rPr>
                <w:rFonts w:ascii="Arial" w:cs="Arial" w:eastAsia="Arial" w:hAnsi="Arial"/>
                <w:sz w:val="18"/>
                <w:szCs w:val="18"/>
                <w:color w:val="auto"/>
              </w:rPr>
              <w:t>Eligibility and Vesting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rPr>
                <w:sz w:val="20"/>
                <w:szCs w:val="20"/>
                <w:color w:val="auto"/>
              </w:rPr>
            </w:pPr>
            <w:r>
              <w:rPr>
                <w:rFonts w:ascii="Arial" w:cs="Arial" w:eastAsia="Arial" w:hAnsi="Arial"/>
                <w:sz w:val="18"/>
                <w:szCs w:val="18"/>
                <w:color w:val="auto"/>
              </w:rPr>
              <w:t>Section 16.3.</w:t>
            </w:r>
          </w:p>
        </w:tc>
        <w:tc>
          <w:tcPr>
            <w:tcW w:w="9140" w:type="dxa"/>
            <w:vAlign w:val="bottom"/>
          </w:tcPr>
          <w:p>
            <w:pPr>
              <w:spacing w:after="0"/>
              <w:rPr>
                <w:sz w:val="20"/>
                <w:szCs w:val="20"/>
                <w:color w:val="auto"/>
              </w:rPr>
            </w:pPr>
            <w:r>
              <w:rPr>
                <w:rFonts w:ascii="Arial" w:cs="Arial" w:eastAsia="Arial" w:hAnsi="Arial"/>
                <w:sz w:val="18"/>
                <w:szCs w:val="18"/>
                <w:color w:val="auto"/>
              </w:rPr>
              <w:t>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2000" w:type="dxa"/>
            <w:vAlign w:val="bottom"/>
          </w:tcPr>
          <w:p>
            <w:pPr>
              <w:ind w:left="440"/>
              <w:spacing w:after="0"/>
              <w:rPr>
                <w:sz w:val="20"/>
                <w:szCs w:val="20"/>
                <w:color w:val="auto"/>
              </w:rPr>
            </w:pPr>
            <w:r>
              <w:rPr>
                <w:rFonts w:ascii="Arial" w:cs="Arial" w:eastAsia="Arial" w:hAnsi="Arial"/>
                <w:sz w:val="18"/>
                <w:szCs w:val="18"/>
                <w:color w:val="auto"/>
              </w:rPr>
              <w:t>Section 16.4.</w:t>
            </w:r>
          </w:p>
        </w:tc>
        <w:tc>
          <w:tcPr>
            <w:tcW w:w="9140" w:type="dxa"/>
            <w:vAlign w:val="bottom"/>
          </w:tcPr>
          <w:p>
            <w:pPr>
              <w:spacing w:after="0"/>
              <w:rPr>
                <w:sz w:val="20"/>
                <w:szCs w:val="20"/>
                <w:color w:val="auto"/>
              </w:rPr>
            </w:pPr>
            <w:r>
              <w:rPr>
                <w:rFonts w:ascii="Arial" w:cs="Arial" w:eastAsia="Arial" w:hAnsi="Arial"/>
                <w:sz w:val="18"/>
                <w:szCs w:val="18"/>
                <w:color w:val="auto"/>
              </w:rPr>
              <w:t>Separate Testing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COMCAST CORPORATION RETIREMENT-INVESTMENT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Effective January 1, 2010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Background</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90" w:lineRule="exact"/>
        <w:rPr>
          <w:sz w:val="20"/>
          <w:szCs w:val="20"/>
          <w:color w:val="auto"/>
        </w:rPr>
      </w:pPr>
    </w:p>
    <w:p>
      <w:pPr>
        <w:ind w:left="1480" w:hanging="567"/>
        <w:spacing w:after="0" w:line="268"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Barden Savings Plan, the Michigan Savings Plan, the Suburban Savings Plan and the profit sharing and cash or deferred arrangement portion of the Selkirk Plan were merged with and into this Plan – January 1, 1996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Prime Communications – Potomac LLC 401(k) Retirement &amp; Savings Plan and the Prime Cable 401(k) Savings and Security Plan – August 1, 2000</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171"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80"/>
          </w:cols>
          <w:pgMar w:left="240" w:top="280" w:right="279" w:bottom="1440" w:gutter="0" w:footer="0" w:header="0"/>
        </w:sectPr>
      </w:pPr>
    </w:p>
    <w:bookmarkStart w:id="62" w:name="page63"/>
    <w:bookmarkEnd w:id="62"/>
    <w:p>
      <w:pPr>
        <w:ind w:right="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90"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96"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Comcast Corporation hereby amends and restates The Comcast Corporation Retirement-Investment Plan, effective January 1, 2010, unless stated otherwise herein,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3" w:name="page64"/>
    <w:bookmarkEnd w:id="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remains tax exempt under section 501(a) of the Code. This amendment and restatement is intended to amend the Plan to comply in good faith with the provisions of the Pension Protection Act of 2006 (“PPA”), the Heroes Earnings Assistance and Relief Tax Act of 2008 (“HEART Act”) and the Worker, Retiree and Employer Recovery Act of 2008 (“WRER Act”).</w:t>
      </w:r>
    </w:p>
    <w:p>
      <w:pPr>
        <w:spacing w:after="0" w:line="134" w:lineRule="exact"/>
        <w:rPr>
          <w:sz w:val="20"/>
          <w:szCs w:val="20"/>
          <w:color w:val="auto"/>
        </w:rPr>
      </w:pPr>
    </w:p>
    <w:p>
      <w:pPr>
        <w:ind w:left="4060"/>
        <w:spacing w:after="0"/>
        <w:tabs>
          <w:tab w:leader="none" w:pos="4700" w:val="left"/>
          <w:tab w:leader="none" w:pos="5320" w:val="left"/>
          <w:tab w:leader="none" w:pos="5980" w:val="left"/>
          <w:tab w:leader="none" w:pos="6600" w:val="left"/>
          <w:tab w:leader="none" w:pos="7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3"/>
          <w:szCs w:val="13"/>
          <w:b w:val="1"/>
          <w:bCs w:val="1"/>
          <w:color w:val="auto"/>
        </w:rPr>
        <w:t>¿</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80" w:right="4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60" w:firstLine="913"/>
        <w:spacing w:after="0" w:line="335" w:lineRule="auto"/>
        <w:rPr>
          <w:sz w:val="20"/>
          <w:szCs w:val="20"/>
          <w:color w:val="auto"/>
        </w:rPr>
      </w:pPr>
      <w:r>
        <w:rPr>
          <w:rFonts w:ascii="Arial" w:cs="Arial" w:eastAsia="Arial" w:hAnsi="Arial"/>
          <w:sz w:val="15"/>
          <w:szCs w:val="15"/>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8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40" w:lineRule="exact"/>
        <w:rPr>
          <w:sz w:val="20"/>
          <w:szCs w:val="20"/>
          <w:color w:val="auto"/>
        </w:rPr>
      </w:pPr>
    </w:p>
    <w:p>
      <w:pPr>
        <w:ind w:right="6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Account</w:t>
      </w:r>
      <w:r>
        <w:rPr>
          <w:rFonts w:ascii="Arial" w:cs="Arial" w:eastAsia="Arial" w:hAnsi="Arial"/>
          <w:sz w:val="18"/>
          <w:szCs w:val="18"/>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are credited to this Account.</w:t>
      </w:r>
    </w:p>
    <w:p>
      <w:pPr>
        <w:spacing w:after="0" w:line="140"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 Account</w:t>
      </w:r>
      <w:r>
        <w:rPr>
          <w:rFonts w:ascii="Arial" w:cs="Arial" w:eastAsia="Arial" w:hAnsi="Arial"/>
          <w:sz w:val="18"/>
          <w:szCs w:val="18"/>
          <w:color w:val="auto"/>
        </w:rPr>
        <w:t>” – the Account to which are credited After-Tax Unmatched Contributions allocated to a Participant, adjustments for withdrawals and distributions, and the earnings, losses and expenses attributable thereto. In addition, amounts denominated as “Prior Plan Contributions” under the Plan prior to the Effective Date, as well as amounts denominated as “After-Tax Unmatched Contributions” under the CCCHI Plan, are credited to this Account.</w:t>
      </w:r>
    </w:p>
    <w:p>
      <w:pPr>
        <w:spacing w:after="0" w:line="143" w:lineRule="exact"/>
        <w:rPr>
          <w:sz w:val="20"/>
          <w:szCs w:val="20"/>
          <w:color w:val="auto"/>
        </w:rPr>
      </w:pPr>
    </w:p>
    <w:p>
      <w:pPr>
        <w:jc w:val="both"/>
        <w:ind w:right="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40" w:lineRule="exact"/>
        <w:rPr>
          <w:sz w:val="20"/>
          <w:szCs w:val="20"/>
          <w:color w:val="auto"/>
        </w:rPr>
      </w:pPr>
    </w:p>
    <w:p>
      <w:pPr>
        <w:jc w:val="both"/>
        <w:ind w:right="2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 Account</w:t>
      </w:r>
      <w:r>
        <w:rPr>
          <w:rFonts w:ascii="Arial" w:cs="Arial" w:eastAsia="Arial" w:hAnsi="Arial"/>
          <w:sz w:val="18"/>
          <w:szCs w:val="18"/>
          <w:color w:val="auto"/>
        </w:rPr>
        <w:t>” – the Account to which are credited Catch-Up Contributions allocated to a Participant, adjustments for withdrawals and distributions, and the earnings, losses and expenses attributable thereto. In addition, catch-up contributions allocated to a Participant under the Plan or the CCCHI prior to the Effective Date are allocated to this Account.</w:t>
      </w:r>
    </w:p>
    <w:p>
      <w:pPr>
        <w:spacing w:after="0" w:line="140" w:lineRule="exact"/>
        <w:rPr>
          <w:sz w:val="20"/>
          <w:szCs w:val="20"/>
          <w:color w:val="auto"/>
        </w:rPr>
      </w:pPr>
    </w:p>
    <w:p>
      <w:pPr>
        <w:ind w:right="22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 Account</w:t>
      </w:r>
      <w:r>
        <w:rPr>
          <w:rFonts w:ascii="Arial" w:cs="Arial" w:eastAsia="Arial" w:hAnsi="Arial"/>
          <w:sz w:val="18"/>
          <w:szCs w:val="18"/>
          <w:color w:val="auto"/>
        </w:rPr>
        <w:t>” – the Account to which are credited Matching Contributions allocated to a Participant, adjustments for withdrawals and distributions, and the earnings, losses and expenses attributable thereto. In addition, matching contributions under the Plan after December 31, 2000 and through the Effective Date, as well as matching contributions under the CCCHI Plan after December 31, 2002 and through the Effective Date are allocated to this Account.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5" w:name="page66"/>
    <w:bookmarkEnd w:id="65"/>
    <w:p>
      <w:pPr>
        <w:ind w:right="160" w:firstLine="148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Pre-Tax Matched Contribution Account</w:t>
      </w:r>
      <w:r>
        <w:rPr>
          <w:rFonts w:ascii="Arial" w:cs="Arial" w:eastAsia="Arial" w:hAnsi="Arial"/>
          <w:sz w:val="18"/>
          <w:szCs w:val="18"/>
          <w:color w:val="auto"/>
        </w:rPr>
        <w:t>” – the Account to which are credited a Participant’s Pre-Tax Matched Contributions, adjustments for withdrawals and distributions, and the earnings, losses and expenses attributable thereto. In addition, amounts denominated as “Salary Reduction Contributions” under the Plan prior to the Effective Date that were matched, as well as amounts denominated as “Pre-Tax Matched Contributions” under the CCCHI Plan are credited to this Account.</w:t>
      </w:r>
    </w:p>
    <w:p>
      <w:pPr>
        <w:spacing w:after="0" w:line="143"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43" w:lineRule="exact"/>
        <w:rPr>
          <w:sz w:val="20"/>
          <w:szCs w:val="20"/>
          <w:color w:val="auto"/>
        </w:rPr>
      </w:pPr>
    </w:p>
    <w:p>
      <w:pPr>
        <w:ind w:right="14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85" w:lineRule="exact"/>
        <w:rPr>
          <w:sz w:val="20"/>
          <w:szCs w:val="20"/>
          <w:color w:val="auto"/>
        </w:rPr>
      </w:pPr>
    </w:p>
    <w:p>
      <w:pPr>
        <w:ind w:right="34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85" w:lineRule="exact"/>
        <w:rPr>
          <w:sz w:val="20"/>
          <w:szCs w:val="20"/>
          <w:color w:val="auto"/>
        </w:rPr>
      </w:pPr>
    </w:p>
    <w:p>
      <w:pPr>
        <w:jc w:val="both"/>
        <w:ind w:right="1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40"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Rollover Account</w:t>
      </w:r>
      <w:r>
        <w:rPr>
          <w:rFonts w:ascii="Arial" w:cs="Arial" w:eastAsia="Arial" w:hAnsi="Arial"/>
          <w:sz w:val="16"/>
          <w:szCs w:val="16"/>
          <w:color w:val="auto"/>
        </w:rPr>
        <w:t>” – the Account to which are credited a Participant’s Taxable Rollover Contributions, adjustments for withdrawals and distributions, and the earnings, losses and expenses attributable thereto. In addition, amounts denominated as “Rollover Contributions” under the Plan prior to the Effective Date, as well as amounts denominated as “Taxable Rollover Contributions” under the CCCHI Plan are credited to this Account.</w:t>
      </w:r>
    </w:p>
    <w:p>
      <w:pPr>
        <w:spacing w:after="0" w:line="10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1740" w:hanging="24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171" w:lineRule="exact"/>
        <w:rPr>
          <w:rFonts w:ascii="Arial" w:cs="Arial" w:eastAsia="Arial" w:hAnsi="Arial"/>
          <w:sz w:val="18"/>
          <w:szCs w:val="18"/>
          <w:color w:val="auto"/>
        </w:rPr>
      </w:pPr>
    </w:p>
    <w:p>
      <w:pPr>
        <w:ind w:right="20" w:firstLine="1948"/>
        <w:spacing w:after="0" w:line="306" w:lineRule="auto"/>
        <w:tabs>
          <w:tab w:leader="none" w:pos="2189"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171" w:lineRule="exact"/>
        <w:rPr>
          <w:sz w:val="20"/>
          <w:szCs w:val="20"/>
          <w:color w:val="auto"/>
        </w:rPr>
      </w:pPr>
    </w:p>
    <w:p>
      <w:pPr>
        <w:ind w:left="1740" w:hanging="248"/>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General.</w:t>
      </w:r>
    </w:p>
    <w:p>
      <w:pPr>
        <w:spacing w:after="0" w:line="171" w:lineRule="exact"/>
        <w:rPr>
          <w:rFonts w:ascii="Arial" w:cs="Arial" w:eastAsia="Arial" w:hAnsi="Arial"/>
          <w:sz w:val="18"/>
          <w:szCs w:val="18"/>
          <w:color w:val="auto"/>
        </w:rPr>
      </w:pPr>
    </w:p>
    <w:p>
      <w:pPr>
        <w:ind w:right="300" w:firstLine="1948"/>
        <w:spacing w:after="0" w:line="268" w:lineRule="auto"/>
        <w:tabs>
          <w:tab w:leader="none" w:pos="21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31" w:lineRule="exact"/>
        <w:rPr>
          <w:rFonts w:ascii="Arial" w:cs="Arial" w:eastAsia="Arial" w:hAnsi="Arial"/>
          <w:sz w:val="18"/>
          <w:szCs w:val="18"/>
          <w:color w:val="auto"/>
        </w:rPr>
      </w:pPr>
    </w:p>
    <w:p>
      <w:pPr>
        <w:ind w:right="60" w:firstLine="1948"/>
        <w:spacing w:after="0" w:line="268" w:lineRule="auto"/>
        <w:tabs>
          <w:tab w:leader="none" w:pos="21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member of an affiliated service group, as determined under section 414(m) of the Code, of which such Participating Company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a member; and</w:t>
      </w:r>
    </w:p>
    <w:p>
      <w:pPr>
        <w:spacing w:after="0" w:line="164" w:lineRule="exact"/>
        <w:rPr>
          <w:rFonts w:ascii="Arial" w:cs="Arial" w:eastAsia="Arial" w:hAnsi="Arial"/>
          <w:sz w:val="16"/>
          <w:szCs w:val="16"/>
          <w:color w:val="auto"/>
        </w:rPr>
      </w:pPr>
    </w:p>
    <w:p>
      <w:pPr>
        <w:ind w:right="300" w:firstLine="1948"/>
        <w:spacing w:after="0" w:line="268" w:lineRule="auto"/>
        <w:tabs>
          <w:tab w:leader="none" w:pos="21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31" w:lineRule="exact"/>
        <w:rPr>
          <w:rFonts w:ascii="Arial" w:cs="Arial" w:eastAsia="Arial" w:hAnsi="Arial"/>
          <w:sz w:val="18"/>
          <w:szCs w:val="18"/>
          <w:color w:val="auto"/>
        </w:rPr>
      </w:pPr>
    </w:p>
    <w:p>
      <w:pPr>
        <w:ind w:right="20" w:firstLine="1492"/>
        <w:spacing w:after="0" w:line="259" w:lineRule="auto"/>
        <w:tabs>
          <w:tab w:leader="none" w:pos="17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40" w:lineRule="exact"/>
        <w:rPr>
          <w:rFonts w:ascii="Arial" w:cs="Arial" w:eastAsia="Arial" w:hAnsi="Arial"/>
          <w:sz w:val="18"/>
          <w:szCs w:val="18"/>
          <w:color w:val="auto"/>
        </w:rPr>
      </w:pPr>
    </w:p>
    <w:p>
      <w:pPr>
        <w:ind w:firstLine="1492"/>
        <w:spacing w:after="0" w:line="298" w:lineRule="auto"/>
        <w:tabs>
          <w:tab w:leader="none" w:pos="172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not constitute taxable income to the Participant when distributed or withdrawn.</w:t>
      </w:r>
    </w:p>
    <w:p>
      <w:pPr>
        <w:spacing w:after="0" w:line="13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After-Tax Unmatched Contributions are not eligible for Broadband Heritage Matching Contributions.</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or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4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as reflected on the records of the Company. An employee’s Annual Rate of Pay shall not include sales commissions or other similar payments or awards.</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3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68" w:name="page69"/>
    <w:bookmarkEnd w:id="68"/>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and referenced as “Broadband Heritage Matching Contributions” pursuant to the Plan as in effect on December 31, 2009.</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means for any eligible Participant, contributions on his behalf as provided in Section 3.1.3 that are made in accordance with, and subject to the limitations of, section 414(v) of the Code.</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individuals appointed to supervise the administration of the Plan, as provided in Article X of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171" w:lineRule="exact"/>
        <w:rPr>
          <w:sz w:val="20"/>
          <w:szCs w:val="20"/>
          <w:color w:val="auto"/>
        </w:rPr>
      </w:pPr>
    </w:p>
    <w:p>
      <w:pPr>
        <w:ind w:firstLine="1492"/>
        <w:spacing w:after="0" w:line="289" w:lineRule="auto"/>
        <w:tabs>
          <w:tab w:leader="none" w:pos="17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otherwise provided below in this definition, and subject to the limitations set forth in subsection (c) of this definition, his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the purposes of Article XIII and Section 3.9, subject to the limitations set forth in subsection (c) of this definition, the Employee’s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wages as reported 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9" w:name="page70"/>
    <w:bookmarkEnd w:id="69"/>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W-2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116" w:lineRule="exact"/>
        <w:rPr>
          <w:sz w:val="20"/>
          <w:szCs w:val="20"/>
          <w:color w:val="auto"/>
        </w:rPr>
      </w:pPr>
    </w:p>
    <w:p>
      <w:pPr>
        <w:ind w:right="240" w:firstLine="1492"/>
        <w:spacing w:after="0" w:line="268"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Only compensation not in excess of $200,000, as adjusted for cost-of-living increases in accordance with section 401(a)(17)(B) of the Code, shall be considered for all purposes under the Plan.</w:t>
      </w:r>
    </w:p>
    <w:p>
      <w:pPr>
        <w:spacing w:after="0" w:line="131" w:lineRule="exact"/>
        <w:rPr>
          <w:rFonts w:ascii="Arial" w:cs="Arial" w:eastAsia="Arial" w:hAnsi="Arial"/>
          <w:sz w:val="18"/>
          <w:szCs w:val="18"/>
          <w:color w:val="auto"/>
        </w:rPr>
      </w:pPr>
    </w:p>
    <w:p>
      <w:pPr>
        <w:ind w:firstLine="1492"/>
        <w:spacing w:after="0" w:line="289" w:lineRule="auto"/>
        <w:tabs>
          <w:tab w:leader="none" w:pos="17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purposes of Article III, except Section 3.9,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18" w:lineRule="exact"/>
        <w:rPr>
          <w:rFonts w:ascii="Arial" w:cs="Arial" w:eastAsia="Arial" w:hAnsi="Arial"/>
          <w:sz w:val="16"/>
          <w:szCs w:val="16"/>
          <w:color w:val="auto"/>
        </w:rPr>
      </w:pPr>
    </w:p>
    <w:p>
      <w:pPr>
        <w:ind w:right="500" w:firstLine="1492"/>
        <w:spacing w:after="0" w:line="259"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1740" w:hanging="248"/>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Early Entry Eligible Employee’s Matching Contributions, plus</w:t>
      </w:r>
    </w:p>
    <w:p>
      <w:pPr>
        <w:spacing w:after="0" w:line="171" w:lineRule="exact"/>
        <w:rPr>
          <w:rFonts w:ascii="Arial" w:cs="Arial" w:eastAsia="Arial" w:hAnsi="Arial"/>
          <w:sz w:val="18"/>
          <w:szCs w:val="18"/>
          <w:color w:val="auto"/>
        </w:rPr>
      </w:pPr>
    </w:p>
    <w:p>
      <w:pPr>
        <w:ind w:right="40" w:firstLine="1948"/>
        <w:spacing w:after="0" w:line="256" w:lineRule="auto"/>
        <w:tabs>
          <w:tab w:leader="none" w:pos="21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70" w:name="page71"/>
    <w:bookmarkEnd w:id="70"/>
    <w:p>
      <w:pPr>
        <w:ind w:right="100" w:firstLine="1948"/>
        <w:spacing w:after="0" w:line="256" w:lineRule="auto"/>
        <w:tabs>
          <w:tab w:leader="none" w:pos="2189"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any Employee who is (a) employed by a Participating Company and designated on the books and records of such Participating Company as an employee and (b) not covered by a collective bargaining agreement, unless such agreement specifically provides for participation hereunder. The following individuals shall not be Covered Employees: (a) an individual who is treated as an Employee solely by reason of being a Leased Employee; (b) an individual who is not on an employee payroll of a Participating Company or the Participating Company does report such individual’s wages on Form W-2; (c)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(d) an individual who is not classified by the Participating Company as an employee, even if such individual is retroactively recharacterized as an employee by a third party or a Participating Company.</w:t>
      </w:r>
    </w:p>
    <w:p>
      <w:pPr>
        <w:spacing w:after="0" w:line="118"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Union Employee (Broadband)</w:t>
      </w:r>
      <w:r>
        <w:rPr>
          <w:rFonts w:ascii="Arial" w:cs="Arial" w:eastAsia="Arial" w:hAnsi="Arial"/>
          <w:sz w:val="16"/>
          <w:szCs w:val="16"/>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2.3.1,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171"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2.3, whether or not he is an Active Participant, and who has remained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1" w:name="page72"/>
    <w:bookmarkEnd w:id="7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Employee at all times thereafter. Notwithstanding anything herein to the contrary, for the period extending from the consummation of the transaction described in the Agreement and Plan of Merger pursuant to which Golfnow Inc. will merge with an indirect subsidiary of Comcast Corporation to June 1, 2008, the term “Eligible Employee” shall not include any individual who becomes an employee of a Participating Company as the result of the acquisition by a Participating Company of the business of Golfnow Inc.</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who is employed by a Participating Company or an Affiliated Company or an individual who is a Leased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paid.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Highly Compensated Early Entry Eligible Employee</w:t>
      </w:r>
      <w:r>
        <w:rPr>
          <w:rFonts w:ascii="Arial" w:cs="Arial" w:eastAsia="Arial" w:hAnsi="Arial"/>
          <w:sz w:val="16"/>
          <w:szCs w:val="16"/>
          <w:color w:val="auto"/>
        </w:rPr>
        <w:t>” means an Early Entry Eligible Employee who is (or is treated as) a Highly Compensated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171" w:lineRule="exact"/>
        <w:rPr>
          <w:sz w:val="20"/>
          <w:szCs w:val="20"/>
          <w:color w:val="auto"/>
        </w:rPr>
      </w:pPr>
    </w:p>
    <w:p>
      <w:pPr>
        <w:ind w:left="1740" w:hanging="248"/>
        <w:spacing w:after="0"/>
        <w:tabs>
          <w:tab w:leader="none" w:pos="1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was a five-percent owner, as defined in section 416(i) of the Code at any time during the Plan Year or preceding Plan Year; or</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preceding Plan Year received more than $80,000 (as indexed) in Compensation from a Participating Company or an Affiliated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171" w:lineRule="exact"/>
        <w:rPr>
          <w:sz w:val="20"/>
          <w:szCs w:val="20"/>
          <w:color w:val="auto"/>
        </w:rPr>
      </w:pPr>
    </w:p>
    <w:p>
      <w:pPr>
        <w:ind w:left="1740" w:hanging="248"/>
        <w:spacing w:after="0"/>
        <w:tabs>
          <w:tab w:leader="none" w:pos="1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171" w:lineRule="exact"/>
        <w:rPr>
          <w:rFonts w:ascii="Arial" w:cs="Arial" w:eastAsia="Arial" w:hAnsi="Arial"/>
          <w:sz w:val="18"/>
          <w:szCs w:val="18"/>
          <w:color w:val="auto"/>
        </w:rPr>
      </w:pPr>
    </w:p>
    <w:p>
      <w:pPr>
        <w:ind w:firstLine="1948"/>
        <w:spacing w:after="0" w:line="268" w:lineRule="auto"/>
        <w:tabs>
          <w:tab w:leader="none" w:pos="2189"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31" w:lineRule="exact"/>
        <w:rPr>
          <w:rFonts w:ascii="Arial" w:cs="Arial" w:eastAsia="Arial" w:hAnsi="Arial"/>
          <w:sz w:val="18"/>
          <w:szCs w:val="18"/>
          <w:color w:val="auto"/>
        </w:rPr>
      </w:pPr>
    </w:p>
    <w:p>
      <w:pPr>
        <w:ind w:right="380" w:firstLine="1948"/>
        <w:spacing w:after="0" w:line="268" w:lineRule="auto"/>
        <w:tabs>
          <w:tab w:leader="none" w:pos="2189"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189"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80" w:right="399" w:bottom="1440" w:gutter="0" w:footer="0" w:header="0"/>
        </w:sectPr>
      </w:pPr>
    </w:p>
    <w:bookmarkStart w:id="72" w:name="page73"/>
    <w:bookmarkEnd w:id="72"/>
    <w:p>
      <w:pPr>
        <w:ind w:left="1740" w:hanging="248"/>
        <w:spacing w:after="0"/>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to the contrary in subsection (a) notwithstanding:</w:t>
      </w:r>
    </w:p>
    <w:p>
      <w:pPr>
        <w:spacing w:after="0" w:line="171" w:lineRule="exact"/>
        <w:rPr>
          <w:rFonts w:ascii="Arial" w:cs="Arial" w:eastAsia="Arial" w:hAnsi="Arial"/>
          <w:sz w:val="18"/>
          <w:szCs w:val="18"/>
          <w:color w:val="auto"/>
        </w:rPr>
      </w:pPr>
    </w:p>
    <w:p>
      <w:pPr>
        <w:ind w:right="200" w:firstLine="1948"/>
        <w:spacing w:after="0" w:line="259" w:lineRule="auto"/>
        <w:tabs>
          <w:tab w:leader="none" w:pos="21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40" w:lineRule="exact"/>
        <w:rPr>
          <w:rFonts w:ascii="Arial" w:cs="Arial" w:eastAsia="Arial" w:hAnsi="Arial"/>
          <w:sz w:val="18"/>
          <w:szCs w:val="18"/>
          <w:color w:val="auto"/>
        </w:rPr>
      </w:pPr>
    </w:p>
    <w:p>
      <w:pPr>
        <w:ind w:right="180" w:firstLine="1948"/>
        <w:spacing w:after="0" w:line="268" w:lineRule="auto"/>
        <w:tabs>
          <w:tab w:leader="none" w:pos="21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 Hours of Service shall be credited to an Employee with respect to payments solely to reimburse for medical or medically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 expenses.</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 of Labor Reg.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§2530.200b-2(b) and (c).</w:t>
      </w:r>
    </w:p>
    <w:p>
      <w:pPr>
        <w:spacing w:after="0" w:line="164" w:lineRule="exact"/>
        <w:rPr>
          <w:rFonts w:ascii="Arial" w:cs="Arial" w:eastAsia="Arial" w:hAnsi="Arial"/>
          <w:sz w:val="16"/>
          <w:szCs w:val="16"/>
          <w:color w:val="auto"/>
        </w:rPr>
      </w:pPr>
    </w:p>
    <w:p>
      <w:pPr>
        <w:ind w:right="80" w:firstLine="1948"/>
        <w:spacing w:after="0" w:line="259" w:lineRule="auto"/>
        <w:tabs>
          <w:tab w:leader="none" w:pos="21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Employee</w:t>
      </w:r>
      <w:r>
        <w:rPr>
          <w:rFonts w:ascii="Arial" w:cs="Arial" w:eastAsia="Arial" w:hAnsi="Arial"/>
          <w:sz w:val="16"/>
          <w:szCs w:val="16"/>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73" w:name="page74"/>
    <w:bookmarkEnd w:id="7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means the amounts contributed by the Company pursuant to Sections 3.5.1(a) and (b).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each subsidiary of the Company which is eligible to file a consolidated federal income tax return with the Company (except to the extent that the Board or its authorized delegate determines otherwise as reflected on Exhibit A,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113" w:lineRule="exact"/>
        <w:rPr>
          <w:sz w:val="20"/>
          <w:szCs w:val="20"/>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period beginning June 17, 2009 and ending December 31, 2009, New England Cable News and its subsidiaries.</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74" w:name="page75"/>
    <w:bookmarkEnd w:id="74"/>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each 12-consecutive month period that begins on January 1st and ends on the next following December 31st.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171" w:lineRule="exact"/>
        <w:rPr>
          <w:sz w:val="20"/>
          <w:szCs w:val="20"/>
          <w:color w:val="auto"/>
        </w:rPr>
      </w:pPr>
    </w:p>
    <w:p>
      <w:pPr>
        <w:jc w:val="both"/>
        <w:ind w:right="20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Pre-Tax Matched Contributions</w:t>
      </w:r>
      <w:r>
        <w:rPr>
          <w:rFonts w:ascii="Arial" w:cs="Arial" w:eastAsia="Arial" w:hAnsi="Arial"/>
          <w:sz w:val="15"/>
          <w:szCs w:val="15"/>
          <w:color w:val="auto"/>
        </w:rPr>
        <w:t>” means an amount that a Participant elects to have deducted on a pre-tax basis from his or her Compensation and contributed to the Plan under a pay reduction election pursuant to Article IV. Pre-Tax Matched Contributions are eligible for Company Matching Contributions.</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means an amount that a Participant elects to have deducted on a pre-tax basis from his or her Compensation and contributed to the Plan under a pay reduction election pursuant to Article IV. Pre-Tax Unmatched Contributions are not eligible for Company Matching Contributions.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14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Matching Contributions (Unvested)</w:t>
      </w:r>
      <w:r>
        <w:rPr>
          <w:rFonts w:ascii="Arial" w:cs="Arial" w:eastAsia="Arial" w:hAnsi="Arial"/>
          <w:sz w:val="18"/>
          <w:szCs w:val="18"/>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14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w:t>
      </w:r>
    </w:p>
    <w:p>
      <w:pPr>
        <w:spacing w:after="0" w:line="2" w:lineRule="exact"/>
        <w:rPr>
          <w:sz w:val="20"/>
          <w:szCs w:val="20"/>
          <w:color w:val="auto"/>
        </w:rPr>
      </w:pPr>
    </w:p>
    <w:p>
      <w:pPr>
        <w:ind w:left="5560" w:right="4000" w:hanging="5552"/>
        <w:spacing w:after="0" w:line="433"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Lenfest Group Retirement Plan, and (3) the tax-qualified defined contribution plans of Greater Media. -14-</w:t>
      </w:r>
    </w:p>
    <w:p>
      <w:pPr>
        <w:sectPr>
          <w:pgSz w:w="11900" w:h="16838" w:orient="portrait"/>
          <w:cols w:equalWidth="0" w:num="1">
            <w:col w:w="11420"/>
          </w:cols>
          <w:pgMar w:left="240" w:top="280" w:right="239" w:bottom="1440" w:gutter="0" w:footer="0" w:header="0"/>
        </w:sectPr>
      </w:pPr>
    </w:p>
    <w:bookmarkStart w:id="75" w:name="page76"/>
    <w:bookmarkEnd w:id="7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3.9.4.</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171" w:lineRule="exact"/>
        <w:rPr>
          <w:sz w:val="20"/>
          <w:szCs w:val="20"/>
          <w:color w:val="auto"/>
        </w:rPr>
      </w:pPr>
    </w:p>
    <w:p>
      <w:pPr>
        <w:ind w:right="20" w:firstLine="1492"/>
        <w:spacing w:after="0" w:line="259" w:lineRule="auto"/>
        <w:tabs>
          <w:tab w:leader="none" w:pos="17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80" w:firstLine="1492"/>
        <w:spacing w:after="0" w:line="268" w:lineRule="auto"/>
        <w:tabs>
          <w:tab w:leader="none" w:pos="17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2</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620" w:firstLine="1492"/>
        <w:spacing w:after="0" w:line="268" w:lineRule="auto"/>
        <w:tabs>
          <w:tab w:leader="none" w:pos="17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107" w:lineRule="exact"/>
        <w:rPr>
          <w:sz w:val="20"/>
          <w:szCs w:val="20"/>
          <w:color w:val="auto"/>
        </w:rPr>
      </w:pPr>
    </w:p>
    <w:p>
      <w:pPr>
        <w:jc w:val="both"/>
        <w:ind w:right="180" w:firstLine="1492"/>
        <w:spacing w:after="0" w:line="256" w:lineRule="auto"/>
        <w:tabs>
          <w:tab w:leader="none" w:pos="17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43" w:lineRule="exact"/>
        <w:rPr>
          <w:rFonts w:ascii="Arial" w:cs="Arial" w:eastAsia="Arial" w:hAnsi="Arial"/>
          <w:sz w:val="18"/>
          <w:szCs w:val="18"/>
          <w:color w:val="auto"/>
        </w:rPr>
      </w:pPr>
    </w:p>
    <w:p>
      <w:pPr>
        <w:ind w:right="60" w:firstLine="1492"/>
        <w:spacing w:after="0" w:line="256" w:lineRule="auto"/>
        <w:tabs>
          <w:tab w:leader="none" w:pos="17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Employee</w:t>
      </w:r>
      <w:r>
        <w:rPr>
          <w:rFonts w:ascii="Arial" w:cs="Arial" w:eastAsia="Arial" w:hAnsi="Arial"/>
          <w:sz w:val="18"/>
          <w:szCs w:val="18"/>
          <w:color w:val="auto"/>
        </w:rPr>
        <w:t>” means an Employee whose regularly scheduled paid work week does not exceed 20 hours, or whose employment is classified as “temporary” or “intermittent,” both in accordance with uniformly applied personnel policies.</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6" w:name="page77"/>
    <w:bookmarkEnd w:id="7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Disability</w:t>
      </w:r>
      <w:r>
        <w:rPr>
          <w:rFonts w:ascii="Arial" w:cs="Arial" w:eastAsia="Arial" w:hAnsi="Arial"/>
          <w:sz w:val="16"/>
          <w:szCs w:val="16"/>
          <w:color w:val="auto"/>
        </w:rPr>
        <w:t>” means, with respect to any Participant, the earlier to occur of (a) the Participant qualifying for Social Security disability benefits or</w:t>
      </w:r>
    </w:p>
    <w:p>
      <w:pPr>
        <w:spacing w:after="0" w:line="38" w:lineRule="exact"/>
        <w:rPr>
          <w:sz w:val="20"/>
          <w:szCs w:val="20"/>
          <w:color w:val="auto"/>
        </w:rPr>
      </w:pPr>
    </w:p>
    <w:p>
      <w:pPr>
        <w:ind w:right="440" w:firstLine="8"/>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Participant becoming eligible for and receiving benefits under a long-term disability program sponsored by a Participating Company or an Affiliated Company.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the New York Stock Exchange is open for trading, or such other day as the Committee shall determine.</w:t>
      </w:r>
    </w:p>
    <w:p>
      <w:pPr>
        <w:spacing w:after="0" w:line="19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Eligibility Service</w:t>
      </w:r>
      <w:r>
        <w:rPr>
          <w:rFonts w:ascii="Arial" w:cs="Arial" w:eastAsia="Arial" w:hAnsi="Arial"/>
          <w:sz w:val="18"/>
          <w:szCs w:val="18"/>
          <w:color w:val="auto"/>
        </w:rPr>
        <w:t>” means, for any Special Employee, a credit used to determine his eligibility to participate under the Plan, as further described in Section 2.2.</w:t>
      </w:r>
    </w:p>
    <w:p>
      <w:pPr>
        <w:spacing w:after="0" w:line="132" w:lineRule="exact"/>
        <w:rPr>
          <w:sz w:val="20"/>
          <w:szCs w:val="20"/>
          <w:color w:val="auto"/>
        </w:rPr>
      </w:pPr>
    </w:p>
    <w:p>
      <w:pPr>
        <w:jc w:val="center"/>
        <w:ind w:left="440" w:right="7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Service</w:t>
      </w:r>
      <w:r>
        <w:rPr>
          <w:rFonts w:ascii="Arial" w:cs="Arial" w:eastAsia="Arial" w:hAnsi="Arial"/>
          <w:sz w:val="18"/>
          <w:szCs w:val="18"/>
          <w:color w:val="auto"/>
        </w:rPr>
        <w:t>” means, for any Employee, a credit used to determine his vested status under the Plan, as further described in Section 6.2. -16-</w:t>
      </w:r>
    </w:p>
    <w:p>
      <w:pPr>
        <w:sectPr>
          <w:pgSz w:w="11900" w:h="16838" w:orient="portrait"/>
          <w:cols w:equalWidth="0" w:num="1">
            <w:col w:w="11400"/>
          </w:cols>
          <w:pgMar w:left="240" w:top="280"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TRANSITION AND ELIGIBILITY TO PARTICIPATE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Year of Eligibility Service for Special Employees</w:t>
      </w:r>
      <w:r>
        <w:rPr>
          <w:rFonts w:ascii="Arial" w:cs="Arial" w:eastAsia="Arial" w:hAnsi="Arial"/>
          <w:sz w:val="18"/>
          <w:szCs w:val="18"/>
          <w:color w:val="auto"/>
        </w:rPr>
        <w:t>.</w:t>
      </w:r>
    </w:p>
    <w:p>
      <w:pPr>
        <w:spacing w:after="0" w:line="90"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2.2.1. A Special Employee shall be credited with a Year of Eligibility Service as of the close of the 12-consecutive-month period that begins on his Employment Commencement Date if he is credited with 1,000 or more Hours of Service during such period.</w:t>
      </w:r>
    </w:p>
    <w:p>
      <w:pPr>
        <w:spacing w:after="0" w:line="132" w:lineRule="exact"/>
        <w:rPr>
          <w:sz w:val="20"/>
          <w:szCs w:val="20"/>
          <w:color w:val="auto"/>
        </w:rPr>
      </w:pPr>
    </w:p>
    <w:p>
      <w:pPr>
        <w:ind w:right="300" w:firstLine="1484"/>
        <w:spacing w:after="0" w:line="268" w:lineRule="auto"/>
        <w:rPr>
          <w:sz w:val="20"/>
          <w:szCs w:val="20"/>
          <w:color w:val="auto"/>
        </w:rPr>
      </w:pPr>
      <w:r>
        <w:rPr>
          <w:rFonts w:ascii="Arial" w:cs="Arial" w:eastAsia="Arial" w:hAnsi="Arial"/>
          <w:sz w:val="18"/>
          <w:szCs w:val="18"/>
          <w:color w:val="auto"/>
        </w:rPr>
        <w:t>2.2.2. A Special Employee who is not credited with 1,000 Hours of Service during such period shall be credited with a Year of Eligibility Service as of the close of the first Plan Year in which he is credited with 1,000 or more Hours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Eligibility to Participate – Pre-Tax Contributions</w:t>
      </w:r>
      <w:r>
        <w:rPr>
          <w:rFonts w:ascii="Arial" w:cs="Arial" w:eastAsia="Arial" w:hAnsi="Arial"/>
          <w:sz w:val="18"/>
          <w:szCs w:val="18"/>
          <w:color w:val="auto"/>
        </w:rPr>
        <w:t>.</w:t>
      </w:r>
    </w:p>
    <w:p>
      <w:pPr>
        <w:spacing w:after="0" w:line="90"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2.3.1. Each Covered Employee as of the Effective Date who was eligible to participate in the Plan in the CCCHI Plan immediately prior to the Effective Date shall continue to be an Eligible Employee as of the Effective Date.</w:t>
      </w:r>
    </w:p>
    <w:p>
      <w:pPr>
        <w:spacing w:after="0" w:line="132" w:lineRule="exact"/>
        <w:rPr>
          <w:sz w:val="20"/>
          <w:szCs w:val="20"/>
          <w:color w:val="auto"/>
        </w:rPr>
      </w:pPr>
    </w:p>
    <w:p>
      <w:pPr>
        <w:ind w:right="700" w:firstLine="1484"/>
        <w:spacing w:after="0" w:line="268" w:lineRule="auto"/>
        <w:rPr>
          <w:sz w:val="20"/>
          <w:szCs w:val="20"/>
          <w:color w:val="auto"/>
        </w:rPr>
      </w:pPr>
      <w:r>
        <w:rPr>
          <w:rFonts w:ascii="Arial" w:cs="Arial" w:eastAsia="Arial" w:hAnsi="Arial"/>
          <w:sz w:val="18"/>
          <w:szCs w:val="18"/>
          <w:color w:val="auto"/>
        </w:rPr>
        <w:t>2.3.2. Each Covered Employee who was not eligible to participate immediately prior to the Effective Date shall become an Eligible Employee on the Entry Date next following:</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his completion of a Period of Service of at least six months, if he is other than a Special Employee or a Covered Union Employee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(Broadband);</w:t>
      </w:r>
    </w:p>
    <w:p>
      <w:pPr>
        <w:spacing w:after="0" w:line="165" w:lineRule="exact"/>
        <w:rPr>
          <w:sz w:val="20"/>
          <w:szCs w:val="20"/>
          <w:color w:val="auto"/>
        </w:rPr>
      </w:pPr>
    </w:p>
    <w:p>
      <w:pPr>
        <w:ind w:left="2200" w:hanging="252"/>
        <w:spacing w:after="0"/>
        <w:tabs>
          <w:tab w:leader="none" w:pos="2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his completion of one Year of Eligibility Service, if he is a Special Employee but not Covered Union Employee (Broadband); or</w:t>
      </w:r>
    </w:p>
    <w:p>
      <w:pPr>
        <w:spacing w:after="0" w:line="194" w:lineRule="exact"/>
        <w:rPr>
          <w:rFonts w:ascii="Arial" w:cs="Arial" w:eastAsia="Arial" w:hAnsi="Arial"/>
          <w:sz w:val="16"/>
          <w:szCs w:val="16"/>
          <w:color w:val="auto"/>
        </w:rPr>
      </w:pPr>
    </w:p>
    <w:p>
      <w:pPr>
        <w:ind w:firstLine="1948"/>
        <w:spacing w:after="0" w:line="256" w:lineRule="auto"/>
        <w:tabs>
          <w:tab w:leader="none" w:pos="21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his completion of one month of Service, if he is a Covered Union Employee (Broadband);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 Covered Union Employee (Broadband) who, as of the date after the Effective Date that he or she ceases to be a Covered Union Employee (Broadband), does not satisfy the eligibility requirements of the preceding subsections (a) or (b), as applicable, must satisfy such requirements in order to be eligible to make Pre-Tax Contributions after such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8" w:name="page79"/>
    <w:bookmarkEnd w:id="7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effective July 1, 2007, a Covered Employee shall become an Eligible Employee on the first of the month next following his completion of a Period of Service of three months.</w:t>
      </w:r>
    </w:p>
    <w:p>
      <w:pPr>
        <w:spacing w:after="0" w:line="132"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2.3.3. If an individual is not a Covered Employee on the Entry Date next following the date he meets the requirements of Section 2.3.2, he shall become an Eligible Employee as of the first date thereafter on which he is a Covered Employee.</w:t>
      </w:r>
    </w:p>
    <w:p>
      <w:pPr>
        <w:spacing w:after="0" w:line="132" w:lineRule="exact"/>
        <w:rPr>
          <w:sz w:val="20"/>
          <w:szCs w:val="20"/>
          <w:color w:val="auto"/>
        </w:rPr>
      </w:pPr>
    </w:p>
    <w:p>
      <w:pPr>
        <w:ind w:right="360" w:firstLine="1484"/>
        <w:spacing w:after="0" w:line="256" w:lineRule="auto"/>
        <w:rPr>
          <w:sz w:val="20"/>
          <w:szCs w:val="20"/>
          <w:color w:val="auto"/>
        </w:rPr>
      </w:pPr>
      <w:r>
        <w:rPr>
          <w:rFonts w:ascii="Arial" w:cs="Arial" w:eastAsia="Arial" w:hAnsi="Arial"/>
          <w:sz w:val="18"/>
          <w:szCs w:val="18"/>
          <w:color w:val="auto"/>
        </w:rPr>
        <w:t>2.3.4. If a Covered Employee does not satisfy the requirements of Section 2.3.2 prior to incurring a Severance from Service Date, but is rehired prior to incurring a One-Year Period of Severance, the prior Period of Service shall be considered for purposes of satisfying the requirements of Section 2.3.2.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2.3.5.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Election to Make Pre-Tax Contributions</w:t>
      </w:r>
      <w:r>
        <w:rPr>
          <w:rFonts w:ascii="Arial" w:cs="Arial" w:eastAsia="Arial" w:hAnsi="Arial"/>
          <w:sz w:val="15"/>
          <w:szCs w:val="15"/>
          <w:color w:val="auto"/>
        </w:rPr>
        <w:t>. Each Eligible Employee may elect to make Pre-Tax Contributions and become an Active Participant by filing a notice in accordance with Section 14.9 of such election with the Committee. Such notice shall authorize the Participating Company to reduce such Eligible Employee’s cash remuneration by an amount determined in accordance with Section 3.1 and to make Pre-Tax Contributions on such Eligible Employee’s behalf in the amount of such reduction. Such election shall be effective as soon as administratively practicable following receipt of his election by the Committee.</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2.4A.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and become an Active Participant pursuant to Section 2.4 will be automatically enrolled in the Plan on the first of the month next following the Eligible Employee’s completion of three months of service,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Severance from Service Date are not considered Eligible Employees for purposes of the automatic enrollment provisions described in this Section 2.4A.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2.5. </w:t>
      </w:r>
      <w:r>
        <w:rPr>
          <w:rFonts w:ascii="Arial" w:cs="Arial" w:eastAsia="Arial" w:hAnsi="Arial"/>
          <w:sz w:val="18"/>
          <w:szCs w:val="18"/>
          <w:u w:val="single" w:color="auto"/>
          <w:color w:val="auto"/>
        </w:rPr>
        <w:t>Participation in Matching Contributions</w:t>
      </w:r>
      <w:r>
        <w:rPr>
          <w:rFonts w:ascii="Arial" w:cs="Arial" w:eastAsia="Arial" w:hAnsi="Arial"/>
          <w:sz w:val="18"/>
          <w:szCs w:val="18"/>
          <w:color w:val="auto"/>
        </w:rPr>
        <w:t>.</w:t>
      </w:r>
    </w:p>
    <w:p>
      <w:pPr>
        <w:spacing w:after="0" w:line="90" w:lineRule="exact"/>
        <w:rPr>
          <w:sz w:val="20"/>
          <w:szCs w:val="20"/>
          <w:color w:val="auto"/>
        </w:rPr>
      </w:pPr>
    </w:p>
    <w:p>
      <w:pPr>
        <w:ind w:right="700" w:firstLine="1484"/>
        <w:spacing w:after="0" w:line="268" w:lineRule="auto"/>
        <w:rPr>
          <w:sz w:val="20"/>
          <w:szCs w:val="20"/>
          <w:color w:val="auto"/>
        </w:rPr>
      </w:pPr>
      <w:r>
        <w:rPr>
          <w:rFonts w:ascii="Arial" w:cs="Arial" w:eastAsia="Arial" w:hAnsi="Arial"/>
          <w:sz w:val="18"/>
          <w:szCs w:val="18"/>
          <w:color w:val="auto"/>
        </w:rPr>
        <w:t>2.5.1. If an Active Participant was eligible to share in Matching Contributions immediately prior to the Effective Date, such Active Participant shall continue to be eligible to share in Matching Contributions as of the Effective Date.</w:t>
      </w:r>
    </w:p>
    <w:p>
      <w:pPr>
        <w:spacing w:after="0" w:line="132" w:lineRule="exact"/>
        <w:rPr>
          <w:sz w:val="20"/>
          <w:szCs w:val="20"/>
          <w:color w:val="auto"/>
        </w:rPr>
      </w:pPr>
    </w:p>
    <w:p>
      <w:pPr>
        <w:ind w:right="80" w:firstLine="1484"/>
        <w:spacing w:after="0" w:line="332" w:lineRule="auto"/>
        <w:rPr>
          <w:sz w:val="20"/>
          <w:szCs w:val="20"/>
          <w:color w:val="auto"/>
        </w:rPr>
      </w:pPr>
      <w:r>
        <w:rPr>
          <w:rFonts w:ascii="Arial" w:cs="Arial" w:eastAsia="Arial" w:hAnsi="Arial"/>
          <w:sz w:val="16"/>
          <w:szCs w:val="16"/>
          <w:color w:val="auto"/>
        </w:rPr>
        <w:t>2.5.2. If Salary Reduction Contributions are made on behalf of an Active Participant in any Plan Year, such Active Participant shall share in any Matching Contributions under Section 3.4 beginning on the Entry Date next following completion of a Period of Service of three months.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Eligibility to Participate – After-Tax Contributions</w:t>
      </w:r>
      <w:r>
        <w:rPr>
          <w:rFonts w:ascii="Arial" w:cs="Arial" w:eastAsia="Arial" w:hAnsi="Arial"/>
          <w:sz w:val="18"/>
          <w:szCs w:val="18"/>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2.4.</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CONTRIBUTIONS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90" w:lineRule="exact"/>
        <w:rPr>
          <w:sz w:val="20"/>
          <w:szCs w:val="20"/>
          <w:color w:val="auto"/>
        </w:rPr>
      </w:pPr>
    </w:p>
    <w:p>
      <w:pPr>
        <w:ind w:right="240" w:firstLine="1484"/>
        <w:spacing w:after="0" w:line="290" w:lineRule="auto"/>
        <w:rPr>
          <w:sz w:val="20"/>
          <w:szCs w:val="20"/>
          <w:color w:val="auto"/>
        </w:rPr>
      </w:pPr>
      <w:r>
        <w:rPr>
          <w:rFonts w:ascii="Arial" w:cs="Arial" w:eastAsia="Arial" w:hAnsi="Arial"/>
          <w:sz w:val="16"/>
          <w:szCs w:val="16"/>
          <w:color w:val="auto"/>
        </w:rPr>
        <w:t>3.1.1. When an Eligible Employee files an election under Section 2.4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half percentage (0.5%). An automatically enrolled Eligible Employee’s Pre-Tax Contributions will be equal to two percent (2%) of the Eligible Employee’s Compensation unless such percentage is changed by the Eligible Employee in accordance with Section 3.3 and subject to Section 3.8.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118"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3.1.2. Pre-Tax Contributions made on behalf of an Eligible Employee under this Plan, together with elective deferrals under any other plan or arrangement maintained by any Participating Company or Affiliated Company, shall not exceed $12,000 (as adjusted in accordance with section 402(g) of the Code and regulations thereunder) for any calendar year. To the extent necessary to satisfy this limitation for any year:</w:t>
      </w:r>
    </w:p>
    <w:p>
      <w:pPr>
        <w:spacing w:after="0" w:line="107" w:lineRule="exact"/>
        <w:rPr>
          <w:sz w:val="20"/>
          <w:szCs w:val="20"/>
          <w:color w:val="auto"/>
        </w:rPr>
      </w:pPr>
    </w:p>
    <w:p>
      <w:pPr>
        <w:ind w:left="2180" w:hanging="232"/>
        <w:spacing w:after="0"/>
        <w:tabs>
          <w:tab w:leader="none" w:pos="2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171" w:lineRule="exact"/>
        <w:rPr>
          <w:rFonts w:ascii="Arial" w:cs="Arial" w:eastAsia="Arial" w:hAnsi="Arial"/>
          <w:sz w:val="18"/>
          <w:szCs w:val="18"/>
          <w:color w:val="auto"/>
        </w:rPr>
      </w:pPr>
    </w:p>
    <w:p>
      <w:pPr>
        <w:ind w:right="180" w:firstLine="1948"/>
        <w:spacing w:after="0" w:line="306" w:lineRule="auto"/>
        <w:tabs>
          <w:tab w:leader="none" w:pos="21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113"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Eligible Employees who have attained Age 50 before the close of any Plan Year shall be eligible to make Catch-Up Contributions. Catch-Up Contributions shall be expressed as a percentage of Compensation (rounded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81" w:name="page82"/>
    <w:bookmarkEnd w:id="8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nearer half percentage (0.5%)) but shall not be limited by the maximum deferral percentage imposed in Section 3.1.1. Furthermore, they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3.4.</w:t>
      </w:r>
    </w:p>
    <w:p>
      <w:pPr>
        <w:spacing w:after="0" w:line="113"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After-Tax Contributions</w:t>
      </w:r>
      <w:r>
        <w:rPr>
          <w:rFonts w:ascii="Arial" w:cs="Arial" w:eastAsia="Arial" w:hAnsi="Arial"/>
          <w:sz w:val="16"/>
          <w:szCs w:val="16"/>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and/or 3.2, as applicable, to any percentage permitted by Sections 3.1.1 or 3.2, and such percentage shall remain in effect until so changed. Any such change shall become effective as soon as administratively practicable following receipt of the change by the Committee.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Discontinuance of Pre-Tax Contributions and After-Tax Contributions</w:t>
      </w:r>
      <w:r>
        <w:rPr>
          <w:rFonts w:ascii="Arial" w:cs="Arial" w:eastAsia="Arial" w:hAnsi="Arial"/>
          <w:sz w:val="18"/>
          <w:szCs w:val="18"/>
          <w:color w:val="auto"/>
        </w:rPr>
        <w:t>. A Participant may discontinue his Pre-Tax Contributions or After-Tax Contributions at any time. Such discontinuance shall become effective as soon as administratively practicable following receipt of the discontinuance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3.5.1. Subject to Sections 2.5, 3.5.1(c), 3.8 and 3.9, the Participating Company shall contribute to the Fund for each Payroll Period:</w:t>
      </w:r>
    </w:p>
    <w:p>
      <w:pPr>
        <w:spacing w:after="0" w:line="194" w:lineRule="exact"/>
        <w:rPr>
          <w:sz w:val="20"/>
          <w:szCs w:val="20"/>
          <w:color w:val="auto"/>
        </w:rPr>
      </w:pPr>
    </w:p>
    <w:p>
      <w:pPr>
        <w:ind w:right="80" w:firstLine="1948"/>
        <w:spacing w:after="0" w:line="256" w:lineRule="auto"/>
        <w:tabs>
          <w:tab w:leader="none" w:pos="21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of his Compensation for such Payroll Period.</w:t>
      </w:r>
    </w:p>
    <w:p>
      <w:pPr>
        <w:spacing w:after="0" w:line="143" w:lineRule="exact"/>
        <w:rPr>
          <w:rFonts w:ascii="Arial" w:cs="Arial" w:eastAsia="Arial" w:hAnsi="Arial"/>
          <w:sz w:val="18"/>
          <w:szCs w:val="18"/>
          <w:color w:val="auto"/>
        </w:rPr>
      </w:pPr>
    </w:p>
    <w:p>
      <w:pPr>
        <w:jc w:val="both"/>
        <w:ind w:right="160" w:firstLine="1948"/>
        <w:spacing w:after="0" w:line="256" w:lineRule="auto"/>
        <w:tabs>
          <w:tab w:leader="none" w:pos="21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143" w:lineRule="exact"/>
        <w:rPr>
          <w:rFonts w:ascii="Arial" w:cs="Arial" w:eastAsia="Arial" w:hAnsi="Arial"/>
          <w:sz w:val="18"/>
          <w:szCs w:val="18"/>
          <w:color w:val="auto"/>
        </w:rPr>
      </w:pPr>
    </w:p>
    <w:p>
      <w:pPr>
        <w:ind w:right="100" w:firstLine="1948"/>
        <w:spacing w:after="0" w:line="259" w:lineRule="auto"/>
        <w:tabs>
          <w:tab w:leader="none" w:pos="21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Section 3.5.1,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82" w:name="page83"/>
    <w:bookmarkEnd w:id="8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Notwithstanding the foregoing, the maximum total Matching Contribution for any Plan Year for any Participant who is (i) a Highly Compensated Employee (other than a Covered Union Employee (Comcast) or a Covered Union Employee (Broadband)) and (ii) whose Annual Rate of Pay as of the last day of the preceding calendar year is more than $200,000, shall be $10,000.</w:t>
      </w:r>
    </w:p>
    <w:p>
      <w:pPr>
        <w:spacing w:after="0" w:line="120" w:lineRule="exact"/>
        <w:rPr>
          <w:sz w:val="20"/>
          <w:szCs w:val="20"/>
          <w:color w:val="auto"/>
        </w:rPr>
      </w:pPr>
    </w:p>
    <w:p>
      <w:pPr>
        <w:ind w:right="20" w:firstLine="1484"/>
        <w:spacing w:after="0" w:line="294" w:lineRule="auto"/>
        <w:rPr>
          <w:sz w:val="20"/>
          <w:szCs w:val="20"/>
          <w:color w:val="auto"/>
        </w:rPr>
      </w:pPr>
      <w:r>
        <w:rPr>
          <w:rFonts w:ascii="Arial" w:cs="Arial" w:eastAsia="Arial" w:hAnsi="Arial"/>
          <w:sz w:val="16"/>
          <w:szCs w:val="16"/>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 Section 3.9.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Timing and Deductibility of Contributions</w:t>
      </w:r>
      <w:r>
        <w:rPr>
          <w:rFonts w:ascii="Arial" w:cs="Arial" w:eastAsia="Arial" w:hAnsi="Arial"/>
          <w:sz w:val="18"/>
          <w:szCs w:val="18"/>
          <w:color w:val="auto"/>
        </w:rPr>
        <w:t>. Matching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After-Tax Rollover Contributions and Taxable Rollover Contributions will be remitted to the Trustee as soon as practicable.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Fund</w:t>
      </w:r>
      <w:r>
        <w:rPr>
          <w:rFonts w:ascii="Arial" w:cs="Arial" w:eastAsia="Arial" w:hAnsi="Arial"/>
          <w:sz w:val="16"/>
          <w:szCs w:val="16"/>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171" w:lineRule="exact"/>
        <w:rPr>
          <w:sz w:val="20"/>
          <w:szCs w:val="20"/>
          <w:color w:val="auto"/>
        </w:rPr>
      </w:pPr>
    </w:p>
    <w:p>
      <w:pPr>
        <w:ind w:right="480" w:firstLine="1484"/>
        <w:spacing w:after="0" w:line="268" w:lineRule="auto"/>
        <w:rPr>
          <w:sz w:val="20"/>
          <w:szCs w:val="20"/>
          <w:color w:val="auto"/>
        </w:rPr>
      </w:pPr>
      <w:r>
        <w:rPr>
          <w:rFonts w:ascii="Arial" w:cs="Arial" w:eastAsia="Arial" w:hAnsi="Arial"/>
          <w:sz w:val="18"/>
          <w:szCs w:val="18"/>
          <w:color w:val="auto"/>
        </w:rPr>
        <w:t>3.8.1. For any Plan Year, the Average Actual Deferral Percentage for the Highly Compensated Early Entry Eligible Employees for the current Plan Year shall not exceed the greater of:</w:t>
      </w:r>
    </w:p>
    <w:p>
      <w:pPr>
        <w:spacing w:after="0" w:line="132" w:lineRule="exact"/>
        <w:rPr>
          <w:sz w:val="20"/>
          <w:szCs w:val="20"/>
          <w:color w:val="auto"/>
        </w:rPr>
      </w:pPr>
    </w:p>
    <w:p>
      <w:pPr>
        <w:ind w:left="2180" w:hanging="232"/>
        <w:spacing w:after="0"/>
        <w:tabs>
          <w:tab w:leader="none" w:pos="2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one hundred twenty-five percent (125%) of the Average Actual Deferral Percentage for all other Early Entry Eligible Employees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the preceding Plan Year;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83" w:name="page84"/>
    <w:bookmarkEnd w:id="83"/>
    <w:p>
      <w:pPr>
        <w:ind w:left="2200" w:hanging="252"/>
        <w:spacing w:after="0"/>
        <w:tabs>
          <w:tab w:leader="none" w:pos="220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lesser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two hundred percent (200%) of the Average Actual Deferral Percentage for all other Early Entry Eligible Employees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preceding Plan Year; or</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two percent (2%) plus the Average Actual Deferral Percentage for all other Early Entry Eligible Employees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preceding Plan Year.</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3.8.2. For any Plan Year, the Average Contribution Percentage for the Highly Compensated Early Entry Eligible Employees for the current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 shall not exceed the greater of:</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one hundred twenty-five percent (125%) of the Average Contribution Percentage for all other Early Entry Eligible Employees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preceding Plan Year; or</w:t>
      </w:r>
    </w:p>
    <w:p>
      <w:pPr>
        <w:spacing w:after="0" w:line="165" w:lineRule="exact"/>
        <w:rPr>
          <w:sz w:val="20"/>
          <w:szCs w:val="20"/>
          <w:color w:val="auto"/>
        </w:rPr>
      </w:pPr>
    </w:p>
    <w:p>
      <w:pPr>
        <w:ind w:left="2200" w:hanging="252"/>
        <w:spacing w:after="0"/>
        <w:tabs>
          <w:tab w:leader="none" w:pos="2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two hundred percent (200%) of the Average Contribution Percentage for all other Early Entry Eligible Employees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preceding Plan Year; or</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two percent (2%) plus the Average Contribution Percentage for all other Early Entry Eligible Employees for the preceding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w:t>
      </w:r>
    </w:p>
    <w:p>
      <w:pPr>
        <w:spacing w:after="0" w:line="165"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3.8.3. If the Plan and any other plan(s) maintained by a Participating Company or an Affiliated Company are treated as a single plan for purposes of section 401(a)(4) or section 410(b) of the Code, the limitations in Sections 3.8.1 and 3.8.2 shall be applied by treating the Plan and such other plan(s) as a single plan.</w:t>
      </w:r>
    </w:p>
    <w:p>
      <w:pPr>
        <w:spacing w:after="0" w:line="140" w:lineRule="exact"/>
        <w:rPr>
          <w:sz w:val="20"/>
          <w:szCs w:val="20"/>
          <w:color w:val="auto"/>
        </w:rPr>
      </w:pPr>
    </w:p>
    <w:p>
      <w:pPr>
        <w:ind w:right="620" w:firstLine="1484"/>
        <w:spacing w:after="0" w:line="268" w:lineRule="auto"/>
        <w:rPr>
          <w:sz w:val="20"/>
          <w:szCs w:val="20"/>
          <w:color w:val="auto"/>
        </w:rPr>
      </w:pPr>
      <w:r>
        <w:rPr>
          <w:rFonts w:ascii="Arial" w:cs="Arial" w:eastAsia="Arial" w:hAnsi="Arial"/>
          <w:sz w:val="18"/>
          <w:szCs w:val="18"/>
          <w:color w:val="auto"/>
        </w:rPr>
        <w:t>3.8.4. The application of this Section shall satisfy sections 401(k) and 401(m) of the Code and regulations thereunder and such other requirements as may be prescribed by the Secretary of the Treasury.</w:t>
      </w:r>
    </w:p>
    <w:p>
      <w:pPr>
        <w:spacing w:after="0" w:line="132" w:lineRule="exact"/>
        <w:rPr>
          <w:sz w:val="20"/>
          <w:szCs w:val="20"/>
          <w:color w:val="auto"/>
        </w:rPr>
      </w:pPr>
    </w:p>
    <w:p>
      <w:pPr>
        <w:ind w:right="100" w:firstLine="1484"/>
        <w:spacing w:after="0" w:line="306" w:lineRule="auto"/>
        <w:rPr>
          <w:sz w:val="20"/>
          <w:szCs w:val="20"/>
          <w:color w:val="auto"/>
        </w:rPr>
      </w:pPr>
      <w:r>
        <w:rPr>
          <w:rFonts w:ascii="Arial" w:cs="Arial" w:eastAsia="Arial" w:hAnsi="Arial"/>
          <w:sz w:val="16"/>
          <w:szCs w:val="16"/>
          <w:color w:val="auto"/>
        </w:rPr>
        <w:t>3.8.5. The test set forth in Section 3.8.1 must be satisfied separately with respect to (1) Early Entry Eligible Employees who are not covered by a collective bargaining agreement and (2) Early Entry Eligible Employees who are covered by a collective bargaining agreement. The test set forth in Section 3.8.2 must be satisfied only with respect to Early Entry Eligible Employees who are not covered by a collective bargaining agreement.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Prevention of Violation of Limitation on Pre-Tax Contributions and Matching Contributions</w:t>
      </w:r>
      <w:r>
        <w:rPr>
          <w:rFonts w:ascii="Arial" w:cs="Arial" w:eastAsia="Arial" w:hAnsi="Arial"/>
          <w:sz w:val="18"/>
          <w:szCs w:val="18"/>
          <w:color w:val="auto"/>
        </w:rPr>
        <w:t>. The Committee shall monitor the level of Participants’ Pre-Tax Contributions, Matching Contributions and elective deferrals, employee contributions, and employer matching contributions under any other qualified retirement plan maintained by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84" w:name="page85"/>
    <w:bookmarkEnd w:id="84"/>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Participating Company or any Affiliated Company to insure against exceeding the limits of Section 3.8.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3.8.1 and/or (ii) some or all of the Highly Compensated Early Entry Eligible Employees’ Matching Contributions to reduce the Average Contribution Percentage of the Highly Compensated Early Entry Eligible Employees to the extent necessary to satisfy Section 3.8.2. If the Committee determines after the end of the Plan Year that the limits of Section 3.8 may be or have been exceeded, it shall take the appropriate following action for such Plan Year:</w:t>
      </w:r>
    </w:p>
    <w:p>
      <w:pPr>
        <w:spacing w:after="0" w:line="120"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3.9.1.(a) The Average Actual Deferral Percentage for the Highly Compensated Early Entry Eligible Employees shall be reduced to the extent necessary to satisfy Section 3.8.1.</w:t>
      </w:r>
    </w:p>
    <w:p>
      <w:pPr>
        <w:spacing w:after="0" w:line="132" w:lineRule="exact"/>
        <w:rPr>
          <w:sz w:val="20"/>
          <w:szCs w:val="20"/>
          <w:color w:val="auto"/>
        </w:rPr>
      </w:pPr>
    </w:p>
    <w:p>
      <w:pPr>
        <w:ind w:right="80" w:firstLine="1948"/>
        <w:spacing w:after="0" w:line="291" w:lineRule="auto"/>
        <w:tabs>
          <w:tab w:leader="none" w:pos="21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3.8.1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20" w:lineRule="exact"/>
        <w:rPr>
          <w:rFonts w:ascii="Arial" w:cs="Arial" w:eastAsia="Arial" w:hAnsi="Arial"/>
          <w:sz w:val="16"/>
          <w:szCs w:val="16"/>
          <w:color w:val="auto"/>
        </w:rPr>
      </w:pPr>
    </w:p>
    <w:p>
      <w:pPr>
        <w:ind w:right="120" w:firstLine="1948"/>
        <w:spacing w:after="0" w:line="291" w:lineRule="auto"/>
        <w:tabs>
          <w:tab w:leader="none" w:pos="21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20"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3.9.2.(a) The Average Contribution Percentage for the Highly Compensated Early Entry Eligible Employees shall be reduced to the extent necessary to satisfy at least one of the tests in Section 3.8.2.</w:t>
      </w:r>
    </w:p>
    <w:p>
      <w:pPr>
        <w:spacing w:after="0" w:line="132" w:lineRule="exact"/>
        <w:rPr>
          <w:sz w:val="20"/>
          <w:szCs w:val="20"/>
          <w:color w:val="auto"/>
        </w:rPr>
      </w:pPr>
    </w:p>
    <w:p>
      <w:pPr>
        <w:ind w:right="40" w:firstLine="1948"/>
        <w:spacing w:after="0" w:line="306" w:lineRule="auto"/>
        <w:tabs>
          <w:tab w:leader="none" w:pos="21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3.8.2 to be satisfied, if each Highly Compensated Early Entry Eligible Employee with a higher Contribution Percentage had instead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85" w:name="page86"/>
    <w:bookmarkEnd w:id="85"/>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43" w:lineRule="exact"/>
        <w:rPr>
          <w:sz w:val="20"/>
          <w:szCs w:val="20"/>
          <w:color w:val="auto"/>
        </w:rPr>
      </w:pPr>
    </w:p>
    <w:p>
      <w:pPr>
        <w:ind w:right="180" w:firstLine="1948"/>
        <w:spacing w:after="0" w:line="289" w:lineRule="auto"/>
        <w:tabs>
          <w:tab w:leader="none" w:pos="21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18"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3.9.3. If the Plan and any other plan maintained by a Participating Company or an Affiliated Company are treated as a single plan pursuant to Section 3.8.3, the Committee shall coordinate corrective actions under the Plan and such other plan for the year.</w:t>
      </w:r>
    </w:p>
    <w:p>
      <w:pPr>
        <w:spacing w:after="0" w:line="132"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color w:val="auto"/>
        </w:rPr>
        <w:t>3.9.4.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171"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132" w:lineRule="exact"/>
        <w:rPr>
          <w:sz w:val="20"/>
          <w:szCs w:val="20"/>
          <w:color w:val="auto"/>
        </w:rPr>
      </w:pPr>
    </w:p>
    <w:p>
      <w:pPr>
        <w:ind w:right="140" w:firstLine="1484"/>
        <w:spacing w:after="0" w:line="306" w:lineRule="auto"/>
        <w:rPr>
          <w:sz w:val="20"/>
          <w:szCs w:val="20"/>
          <w:color w:val="auto"/>
        </w:rPr>
      </w:pPr>
      <w:r>
        <w:rPr>
          <w:rFonts w:ascii="Arial" w:cs="Arial" w:eastAsia="Arial" w:hAnsi="Arial"/>
          <w:sz w:val="16"/>
          <w:szCs w:val="16"/>
          <w:color w:val="auto"/>
        </w:rPr>
        <w:t>3.10.2. If the amounts otherwise allocable to a Participant’s Account under the Plan would exceed the limitations set forth in section 415(c) of the Code as a result of the reallocation of forfeitures, a reasonable error in estimating the Participant’s Compensation, a reasonable error in determining the amount of Pre-Tax Contributions or After-Tax Contributions that may be made with respect to the Participant under the limits, or such other circumstances 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86" w:name="page87"/>
    <w:bookmarkEnd w:id="86"/>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by law, the Committee shall determine which portion, if any, of such excess amount is attributable to the Participant’s Pre-Tax Contributions, After-Tax Contributions or Matching Contributions, until such amount has been exhausted, and shall take the following steps to correct such violation: Excess Pre-Tax Contributions, After-Tax Contributions, and Matching Contributions and earnings thereon shall be paid to the Participant as soon as is administratively feasible. Effective for Plan Years beginning after July 1, 2007, notwithstanding any provision of the Plan to the contrary, if the annual additions (within the meaning of Code § 415) are exceeded for any Participant, then the Plan may only correct such excess in accordance with the Employee Plans Compliance Resolution System (EPCRS) as set forth in Revenue Procedure 2008-50 or any superseding guidance, including, but not limited to, the preamble of the final Code §415 regulations.</w:t>
      </w:r>
    </w:p>
    <w:p>
      <w:pPr>
        <w:spacing w:after="0" w:line="105"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3.10.3. Effective for Plan Years beginning after July 1, 2007, payments made by the later of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Any distribution of excess contributions made pursuant to this Section 3 will include earnings attributable to such contributions as required by, and as determined in accordance with, applicable Regulations of the Department of the Treasury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PARTICIPANTS’ ACCOUNTS</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Apportionment of Gain or Loss</w:t>
      </w:r>
      <w:r>
        <w:rPr>
          <w:rFonts w:ascii="Arial" w:cs="Arial" w:eastAsia="Arial" w:hAnsi="Arial"/>
          <w:sz w:val="15"/>
          <w:szCs w:val="15"/>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171" w:lineRule="exact"/>
        <w:rPr>
          <w:sz w:val="20"/>
          <w:szCs w:val="20"/>
          <w:color w:val="auto"/>
        </w:rPr>
      </w:pPr>
    </w:p>
    <w:p>
      <w:pPr>
        <w:ind w:right="300" w:firstLine="1948"/>
        <w:spacing w:after="0" w:line="268" w:lineRule="auto"/>
        <w:tabs>
          <w:tab w:leader="none" w:pos="21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31" w:lineRule="exact"/>
        <w:rPr>
          <w:rFonts w:ascii="Arial" w:cs="Arial" w:eastAsia="Arial" w:hAnsi="Arial"/>
          <w:sz w:val="18"/>
          <w:szCs w:val="18"/>
          <w:color w:val="auto"/>
        </w:rPr>
      </w:pPr>
    </w:p>
    <w:p>
      <w:pPr>
        <w:ind w:right="40" w:firstLine="1948"/>
        <w:spacing w:after="0" w:line="298" w:lineRule="auto"/>
        <w:tabs>
          <w:tab w:leader="none" w:pos="21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88" w:name="page89"/>
    <w:bookmarkEnd w:id="8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Participant entitled to share in such allocation that are to be invested in Company Stock to the sum of such items for all such Participants. The items referenced in the preceding sentence are (i) all Pre-Tax Contributions, (ii) all After-Tax Contributions, (iii) all Matching Contributions, Prior Broadband Heritage Matching Contributions, (iv) all Taxable Rollover Contributions and After-Tax Rollover Contributions, (v) all repayments of loans pursuant to Article IX of the Plan, (vi) funds that were to be invested in Company Stock as of the preceding Valuation Date but were not and (vii) income earned with respect to such funds.</w:t>
      </w:r>
    </w:p>
    <w:p>
      <w:pPr>
        <w:spacing w:after="0" w:line="113" w:lineRule="exact"/>
        <w:rPr>
          <w:sz w:val="20"/>
          <w:szCs w:val="20"/>
          <w:color w:val="auto"/>
        </w:rPr>
      </w:pPr>
    </w:p>
    <w:p>
      <w:pPr>
        <w:ind w:firstLine="1948"/>
        <w:spacing w:after="0" w:line="268" w:lineRule="auto"/>
        <w:tabs>
          <w:tab w:leader="none" w:pos="21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31" w:lineRule="exact"/>
        <w:rPr>
          <w:rFonts w:ascii="Arial" w:cs="Arial" w:eastAsia="Arial" w:hAnsi="Arial"/>
          <w:sz w:val="18"/>
          <w:szCs w:val="18"/>
          <w:color w:val="auto"/>
        </w:rPr>
      </w:pPr>
    </w:p>
    <w:p>
      <w:pPr>
        <w:ind w:right="80" w:firstLine="1948"/>
        <w:spacing w:after="0" w:line="298" w:lineRule="auto"/>
        <w:tabs>
          <w:tab w:leader="none" w:pos="21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80" w:right="3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132"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5.6.1. Except as provided in Section 5.6.2, if the Participant’s nonforfeitable interest in his Account is $5,000 or less, or the Participant has reached his Early Retirement Date or Normal Retirement Date, the Participant’s Benefit Commencement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90" w:name="page91"/>
    <w:bookmarkEnd w:id="90"/>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the earliest practicable date following the Valuation Date coincident with or next following 30 days after his Severance from Service Date. Notwithstanding the preceding provisions of this Section 5.6.1, except in the case of a Participant whose nonforfeitable interest in his Account does not exceed $5,000, if the Participant does not consent to such distribution, distribution of his benefits shall commence on any later date elected by the Participant that is not later than his Required Beginning Date.</w:t>
      </w:r>
    </w:p>
    <w:p>
      <w:pPr>
        <w:spacing w:after="0" w:line="143" w:lineRule="exact"/>
        <w:rPr>
          <w:sz w:val="20"/>
          <w:szCs w:val="20"/>
          <w:color w:val="auto"/>
        </w:rPr>
      </w:pPr>
    </w:p>
    <w:p>
      <w:pPr>
        <w:ind w:firstLine="1484"/>
        <w:spacing w:after="0" w:line="309" w:lineRule="auto"/>
        <w:rPr>
          <w:sz w:val="20"/>
          <w:szCs w:val="20"/>
          <w:color w:val="auto"/>
        </w:rPr>
      </w:pPr>
      <w:r>
        <w:rPr>
          <w:rFonts w:ascii="Arial" w:cs="Arial" w:eastAsia="Arial" w:hAnsi="Arial"/>
          <w:sz w:val="15"/>
          <w:szCs w:val="15"/>
          <w:color w:val="auto"/>
        </w:rPr>
        <w:t>5.6.2. If the Participant has not reached his Early Retirement Date or Normal Retirement Date and his nonforfeitable interest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 Beginning Date, at which time his nonforfeitable interest shall commence to be paid to him. A Participant’s election to receive payment prior to his Required Beginning Date may be made no earlier than 180 days (effective for Plan Years beginning on or before January 1, 2006, 90 days) prior to the Benefit Commencement Date elected by the Participant. The Committee shall supply to each Participant who is subject to this Section 5.6.2, written information relating to (1) his right to defer distribution until his Required Beginning Date; (2) the material features of the modes of payment available to him; and (3) the relative values of such modes of payment. Such notice shall be furnished not less than 30 days nor more than 180 days (effective for Plan Years beginning on or before January 1, 2006, 90 days) prior to the date of any distribution that occurs prior to the earlier of his death or his Normal Retirement Date.</w:t>
      </w:r>
    </w:p>
    <w:p>
      <w:pPr>
        <w:spacing w:after="0" w:line="10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Effective March 28, 2005,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in accordance with this Section 5.6.1,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143"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171"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132" w:lineRule="exact"/>
        <w:rPr>
          <w:sz w:val="20"/>
          <w:szCs w:val="20"/>
          <w:color w:val="auto"/>
        </w:rPr>
      </w:pPr>
    </w:p>
    <w:p>
      <w:pPr>
        <w:ind w:right="160" w:firstLine="1948"/>
        <w:spacing w:after="0" w:line="268" w:lineRule="auto"/>
        <w:tabs>
          <w:tab w:leader="none" w:pos="2179"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 Participant whose nonforfeitable interest in his Account exceeds $5,000, approximately equal annual or quarterly installments over a period not to exceed the lesser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91" w:name="page92"/>
    <w:bookmarkEnd w:id="91"/>
    <w:p>
      <w:pPr>
        <w:ind w:right="280" w:firstLine="2404"/>
        <w:spacing w:after="0" w:line="268" w:lineRule="auto"/>
        <w:tabs>
          <w:tab w:leader="none" w:pos="2645"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life expectancy of the Participant or the joint and survivor life expectancy of the Participant and his beneficiary (with such life expectancy to be determined in accordance with applicable regulations under the Code); or</w:t>
      </w:r>
    </w:p>
    <w:p>
      <w:pPr>
        <w:spacing w:after="0" w:line="131" w:lineRule="exact"/>
        <w:rPr>
          <w:rFonts w:ascii="Arial" w:cs="Arial" w:eastAsia="Arial" w:hAnsi="Arial"/>
          <w:sz w:val="18"/>
          <w:szCs w:val="18"/>
          <w:color w:val="auto"/>
        </w:rPr>
      </w:pPr>
    </w:p>
    <w:p>
      <w:pPr>
        <w:ind w:right="180" w:firstLine="2404"/>
        <w:spacing w:after="0" w:line="268" w:lineRule="auto"/>
        <w:tabs>
          <w:tab w:leader="none" w:pos="26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unless the sole beneficiary is the Participant’s spouse, the maximum number of years permitted by section 401(a)(9) of the Code and the applicable regulations; or</w:t>
      </w:r>
    </w:p>
    <w:p>
      <w:pPr>
        <w:spacing w:after="0" w:line="131" w:lineRule="exact"/>
        <w:rPr>
          <w:rFonts w:ascii="Arial" w:cs="Arial" w:eastAsia="Arial" w:hAnsi="Arial"/>
          <w:sz w:val="18"/>
          <w:szCs w:val="18"/>
          <w:color w:val="auto"/>
        </w:rPr>
      </w:pPr>
    </w:p>
    <w:p>
      <w:pPr>
        <w:ind w:right="60" w:firstLine="1948"/>
        <w:spacing w:after="0" w:line="268" w:lineRule="auto"/>
        <w:tabs>
          <w:tab w:leader="none" w:pos="2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single sum payment in cash, except that a Participant may elect to receive the portion of his Account invested in Company Stock and/or Investment Stock in the form of shares.</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case of a Participant who was a participant in the CCCHI Plan, a Participant may withdraw up to ninety-five percent</w:t>
      </w:r>
    </w:p>
    <w:p>
      <w:pPr>
        <w:spacing w:after="0" w:line="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(95%) of his Account, in increments of not less than $500. A surviving beneficiary of such a Participant may also make withdrawal in accordance with this Section 5.7.1(c).</w:t>
      </w:r>
    </w:p>
    <w:p>
      <w:pPr>
        <w:spacing w:after="0" w:line="138"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171"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132" w:lineRule="exact"/>
        <w:rPr>
          <w:sz w:val="20"/>
          <w:szCs w:val="20"/>
          <w:color w:val="auto"/>
        </w:rPr>
      </w:pPr>
    </w:p>
    <w:p>
      <w:pPr>
        <w:ind w:right="60" w:firstLine="1948"/>
        <w:spacing w:after="0" w:line="259" w:lineRule="auto"/>
        <w:tabs>
          <w:tab w:leader="none" w:pos="2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140" w:lineRule="exact"/>
        <w:rPr>
          <w:rFonts w:ascii="Arial" w:cs="Arial" w:eastAsia="Arial" w:hAnsi="Arial"/>
          <w:sz w:val="18"/>
          <w:szCs w:val="18"/>
          <w:color w:val="auto"/>
        </w:rPr>
      </w:pPr>
    </w:p>
    <w:p>
      <w:pPr>
        <w:ind w:firstLine="2404"/>
        <w:spacing w:after="0" w:line="268" w:lineRule="auto"/>
        <w:tabs>
          <w:tab w:leader="none" w:pos="26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single sum payment in cash, except that a beneficiary may elect to receive the portion of the Account invested in Company Stock and/or Investment Stock in the form of shares; or</w:t>
      </w:r>
    </w:p>
    <w:p>
      <w:pPr>
        <w:spacing w:after="0" w:line="131" w:lineRule="exact"/>
        <w:rPr>
          <w:rFonts w:ascii="Arial" w:cs="Arial" w:eastAsia="Arial" w:hAnsi="Arial"/>
          <w:sz w:val="18"/>
          <w:szCs w:val="18"/>
          <w:color w:val="auto"/>
        </w:rPr>
      </w:pPr>
    </w:p>
    <w:p>
      <w:pPr>
        <w:ind w:right="160" w:firstLine="2404"/>
        <w:spacing w:after="0" w:line="294" w:lineRule="auto"/>
        <w:tabs>
          <w:tab w:leader="none" w:pos="26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92" w:name="page93"/>
    <w:bookmarkEnd w:id="9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5.9.2. Payment of death benefits payable under Section 5.3 shall commence as soon as practicable following the death of the Participant.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180 days (effective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Years beginning on or before January 1, 2006, 90 days) before his Benefit Commencement Date a written explanation of:</w:t>
      </w:r>
    </w:p>
    <w:p>
      <w:pPr>
        <w:spacing w:after="0" w:line="165"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5.10.3. the rights of the Participant’s spouse with respect to the Participant’s election of certain optional modes of payment; and</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5.10.4. the Participant’s right to revoke an election to receive an optional mode of payment and the effect of such revocation.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171"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5.11.2. No designation, revocation, or change of beneficiaries shall be valid and effective unless and until filed with the Committee.</w:t>
      </w:r>
    </w:p>
    <w:p>
      <w:pPr>
        <w:spacing w:after="0" w:line="194"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93" w:name="page94"/>
    <w:bookmarkEnd w:id="93"/>
    <w:p>
      <w:pPr>
        <w:ind w:right="220" w:firstLine="19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(a)(1) such spouse (or the spouse’s legal guardian if the spouse is legally incompetent) executes a written instrument whereby such spouse consents not to receive such benefit and consents either:</w:t>
      </w:r>
    </w:p>
    <w:p>
      <w:pPr>
        <w:spacing w:after="0" w:line="132" w:lineRule="exact"/>
        <w:rPr>
          <w:sz w:val="20"/>
          <w:szCs w:val="20"/>
          <w:color w:val="auto"/>
        </w:rPr>
      </w:pPr>
    </w:p>
    <w:p>
      <w:pPr>
        <w:ind w:left="3180" w:hanging="205"/>
        <w:spacing w:after="0"/>
        <w:tabs>
          <w:tab w:leader="none" w:pos="31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171" w:lineRule="exact"/>
        <w:rPr>
          <w:rFonts w:ascii="Arial" w:cs="Arial" w:eastAsia="Arial" w:hAnsi="Arial"/>
          <w:sz w:val="18"/>
          <w:szCs w:val="18"/>
          <w:color w:val="auto"/>
        </w:rPr>
      </w:pPr>
    </w:p>
    <w:p>
      <w:pPr>
        <w:ind w:left="3240" w:hanging="265"/>
        <w:spacing w:after="0"/>
        <w:tabs>
          <w:tab w:leader="none" w:pos="3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instrument acknowledges the effect of the election to which the Spouse’s consent is being given; and</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171" w:lineRule="exact"/>
        <w:rPr>
          <w:rFonts w:ascii="Arial" w:cs="Arial" w:eastAsia="Arial" w:hAnsi="Arial"/>
          <w:sz w:val="18"/>
          <w:szCs w:val="18"/>
          <w:color w:val="auto"/>
        </w:rPr>
      </w:pPr>
    </w:p>
    <w:p>
      <w:pPr>
        <w:ind w:firstLine="2404"/>
        <w:spacing w:after="0" w:line="370" w:lineRule="auto"/>
        <w:tabs>
          <w:tab w:leader="none" w:pos="2645" w:val="left"/>
        </w:tabs>
        <w:numPr>
          <w:ilvl w:val="1"/>
          <w:numId w:val="90"/>
        </w:numPr>
        <w:rPr>
          <w:rFonts w:ascii="Arial" w:cs="Arial" w:eastAsia="Arial" w:hAnsi="Arial"/>
          <w:sz w:val="15"/>
          <w:szCs w:val="15"/>
          <w:color w:val="auto"/>
        </w:rPr>
      </w:pPr>
      <w:r>
        <w:rPr>
          <w:rFonts w:ascii="Arial" w:cs="Arial" w:eastAsia="Arial" w:hAnsi="Arial"/>
          <w:sz w:val="15"/>
          <w:szCs w:val="15"/>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62" w:lineRule="exact"/>
        <w:rPr>
          <w:rFonts w:ascii="Arial" w:cs="Arial" w:eastAsia="Arial" w:hAnsi="Arial"/>
          <w:sz w:val="15"/>
          <w:szCs w:val="15"/>
          <w:color w:val="auto"/>
        </w:rPr>
      </w:pPr>
    </w:p>
    <w:p>
      <w:pPr>
        <w:ind w:right="140" w:firstLine="1948"/>
        <w:spacing w:after="0" w:line="268" w:lineRule="auto"/>
        <w:tabs>
          <w:tab w:leader="none" w:pos="21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 For purposes of this Section 5.11.3, the term “spouse” shall include an individual of the same sex as the Participant, provided that the Participant and such other individual are legally married pursuant to applicable law of a state or other jurisdiction, and the state or other jurisdiction in which the Participant resides recognizes Participant and such other individual as spouses of each other.</w:t>
      </w:r>
    </w:p>
    <w:p>
      <w:pPr>
        <w:spacing w:after="0" w:line="116" w:lineRule="exact"/>
        <w:rPr>
          <w:sz w:val="20"/>
          <w:szCs w:val="20"/>
          <w:color w:val="auto"/>
        </w:rPr>
      </w:pPr>
    </w:p>
    <w:p>
      <w:pPr>
        <w:ind w:right="420" w:firstLine="1484"/>
        <w:spacing w:after="0" w:line="306" w:lineRule="auto"/>
        <w:rPr>
          <w:sz w:val="20"/>
          <w:szCs w:val="20"/>
          <w:color w:val="auto"/>
        </w:rPr>
      </w:pPr>
      <w:r>
        <w:rPr>
          <w:rFonts w:ascii="Arial" w:cs="Arial" w:eastAsia="Arial" w:hAnsi="Arial"/>
          <w:sz w:val="16"/>
          <w:szCs w:val="16"/>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80" w:right="319" w:bottom="1440" w:gutter="0" w:footer="0" w:header="0"/>
        </w:sectPr>
      </w:pPr>
    </w:p>
    <w:bookmarkStart w:id="94" w:name="page95"/>
    <w:bookmarkEnd w:id="94"/>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140"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85" w:lineRule="exact"/>
        <w:rPr>
          <w:sz w:val="20"/>
          <w:szCs w:val="20"/>
          <w:color w:val="auto"/>
        </w:rPr>
      </w:pPr>
    </w:p>
    <w:p>
      <w:pPr>
        <w:ind w:right="460" w:firstLine="1484"/>
        <w:spacing w:after="0" w:line="268" w:lineRule="auto"/>
        <w:rPr>
          <w:sz w:val="20"/>
          <w:szCs w:val="20"/>
          <w:color w:val="auto"/>
        </w:rPr>
      </w:pPr>
      <w:r>
        <w:rPr>
          <w:rFonts w:ascii="Arial" w:cs="Arial" w:eastAsia="Arial" w:hAnsi="Arial"/>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132"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4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32" w:lineRule="exact"/>
        <w:rPr>
          <w:sz w:val="20"/>
          <w:szCs w:val="20"/>
          <w:color w:val="auto"/>
        </w:rPr>
      </w:pPr>
    </w:p>
    <w:p>
      <w:pPr>
        <w:jc w:val="both"/>
        <w:ind w:right="20" w:firstLine="1484"/>
        <w:spacing w:after="0" w:line="268"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17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5.13.1.(a)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140" w:lineRule="exact"/>
        <w:rPr>
          <w:sz w:val="20"/>
          <w:szCs w:val="20"/>
          <w:color w:val="auto"/>
        </w:rPr>
      </w:pPr>
    </w:p>
    <w:p>
      <w:pPr>
        <w:ind w:left="2660" w:hanging="256"/>
        <w:spacing w:after="0"/>
        <w:tabs>
          <w:tab w:leader="none" w:pos="2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retirement annuity described in section 408(b) of the Code (other than an endowment contract),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 rollover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165" w:lineRule="exact"/>
        <w:rPr>
          <w:sz w:val="20"/>
          <w:szCs w:val="20"/>
          <w:color w:val="auto"/>
        </w:rPr>
      </w:pPr>
    </w:p>
    <w:p>
      <w:pPr>
        <w:ind w:left="2660" w:hanging="256"/>
        <w:spacing w:after="0"/>
        <w:tabs>
          <w:tab w:leader="none" w:pos="2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171" w:lineRule="exact"/>
        <w:rPr>
          <w:rFonts w:ascii="Arial" w:cs="Arial" w:eastAsia="Arial" w:hAnsi="Arial"/>
          <w:sz w:val="18"/>
          <w:szCs w:val="18"/>
          <w:color w:val="auto"/>
        </w:rPr>
      </w:pPr>
    </w:p>
    <w:p>
      <w:pPr>
        <w:jc w:val="both"/>
        <w:ind w:right="140" w:firstLine="2404"/>
        <w:spacing w:after="0" w:line="259" w:lineRule="auto"/>
        <w:tabs>
          <w:tab w:leader="none" w:pos="26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95" w:name="page96"/>
    <w:bookmarkEnd w:id="95"/>
    <w:p>
      <w:pPr>
        <w:ind w:left="2200" w:hanging="252"/>
        <w:spacing w:after="0"/>
        <w:tabs>
          <w:tab w:leader="none" w:pos="2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Non-spouse beneficiary rollover right.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distributions after December 31, 2009, a non-spouse beneficiary who is a “designated beneficiary” under Code §401(a)</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(9)(E) and the regulations thereunder, by a direct rollover, may rollover all or any portion of his or her distribution to an individual retirement account which the beneficiary establishes for purposes of receiving the distribution. In order to be able to rollover the distribution, the distribution otherwise must satisfy the requirements for an eligible rollover distribution as described in the Plan.</w:t>
      </w:r>
    </w:p>
    <w:p>
      <w:pPr>
        <w:spacing w:after="0" w:line="144" w:lineRule="exact"/>
        <w:rPr>
          <w:rFonts w:ascii="Arial" w:cs="Arial" w:eastAsia="Arial" w:hAnsi="Arial"/>
          <w:sz w:val="16"/>
          <w:szCs w:val="16"/>
          <w:color w:val="auto"/>
        </w:rPr>
      </w:pPr>
    </w:p>
    <w:p>
      <w:pPr>
        <w:ind w:right="120" w:firstLine="2404"/>
        <w:spacing w:after="0" w:line="332" w:lineRule="auto"/>
        <w:tabs>
          <w:tab w:leader="none" w:pos="2645"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the Participant’s named beneficiary is a trust, the Plan may make a direct rollover to an individual retirement account on behalf of the trust, provided the trust satisfies the requirements to be a designated beneficiary within the meaning of Code §401(a)(9)(E).</w:t>
      </w:r>
    </w:p>
    <w:p>
      <w:pPr>
        <w:spacing w:after="0" w:line="85" w:lineRule="exact"/>
        <w:rPr>
          <w:rFonts w:ascii="Arial" w:cs="Arial" w:eastAsia="Arial" w:hAnsi="Arial"/>
          <w:sz w:val="16"/>
          <w:szCs w:val="16"/>
          <w:color w:val="auto"/>
        </w:rPr>
      </w:pPr>
    </w:p>
    <w:p>
      <w:pPr>
        <w:ind w:right="80" w:firstLine="2404"/>
        <w:spacing w:after="0" w:line="255" w:lineRule="auto"/>
        <w:tabs>
          <w:tab w:leader="none" w:pos="2645"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143"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5.13.2. The Participant or beneficiary must specify the name of the plan to which the Participant or beneficiary wishes to have the amount transferred, on a form and in a manner prescribed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171" w:lineRule="exact"/>
        <w:rPr>
          <w:sz w:val="20"/>
          <w:szCs w:val="20"/>
          <w:color w:val="auto"/>
        </w:rPr>
      </w:pPr>
    </w:p>
    <w:p>
      <w:pPr>
        <w:ind w:left="2180" w:hanging="232"/>
        <w:spacing w:after="0"/>
        <w:tabs>
          <w:tab w:leader="none" w:pos="21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period equal to the life or life expectancy of the Participant or the joint lives or life expectancy of the Participant and his beneficiary;</w:t>
      </w:r>
    </w:p>
    <w:p>
      <w:pPr>
        <w:spacing w:after="0" w:line="164" w:lineRule="exact"/>
        <w:rPr>
          <w:rFonts w:ascii="Arial" w:cs="Arial" w:eastAsia="Arial" w:hAnsi="Arial"/>
          <w:sz w:val="18"/>
          <w:szCs w:val="18"/>
          <w:color w:val="auto"/>
        </w:rPr>
      </w:pPr>
    </w:p>
    <w:p>
      <w:pPr>
        <w:ind w:right="100" w:firstLine="1948"/>
        <w:spacing w:after="0" w:line="268" w:lineRule="auto"/>
        <w:tabs>
          <w:tab w:leader="none" w:pos="217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96" w:name="page97"/>
    <w:bookmarkEnd w:id="96"/>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such other distributions as may be exempted by applicable statute or regulation from the requirements of section 401(a)(31)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firstLine="1948"/>
        <w:spacing w:after="0" w:line="290" w:lineRule="auto"/>
        <w:tabs>
          <w:tab w:leader="none" w:pos="215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 For taxable years beginning after December 31, 2006, a Participant may elect to transfer after-tax employee contributions by means of a direct rollover to a qualified plan or to a 403(b) plan that agrees to account separately for amounts so transferred, including accounting separately for the portion of such distribution which is includible in gross income and the portion of such distribution which is not includible in gross income.</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Nonforfeitable Amounts</w:t>
      </w:r>
      <w:r>
        <w:rPr>
          <w:rFonts w:ascii="Arial" w:cs="Arial" w:eastAsia="Arial" w:hAnsi="Arial"/>
          <w:sz w:val="18"/>
          <w:szCs w:val="18"/>
          <w:color w:val="auto"/>
        </w:rPr>
        <w:t>. A Participant shall have a 100% nonforfeitable interest at all times in the following Accounts: (1) After-Tax Matched Contribution Account, (2) After-Tax Unmatched Contribution Account, (3) Catch-Up Contribution Account, (4) Matching Contribution Account, (5) After-Tax Rollover Account, (6) Pre-Tax Matched Contribution Account, (7) Pre-Tax Unmatched Contribution Account, (8) Prior Company Matching Contribution Account (Vested), (9) QNEC Account, and (10) Taxable Rollover Account. A Participant shall have such nonforfeitable interest in all other Accounts as determined pursuant to the rules of the Plan as in effect on December 31,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171" w:lineRule="exact"/>
        <w:rPr>
          <w:sz w:val="20"/>
          <w:szCs w:val="20"/>
          <w:color w:val="auto"/>
        </w:rPr>
      </w:pPr>
    </w:p>
    <w:p>
      <w:pPr>
        <w:jc w:val="both"/>
        <w:ind w:right="120" w:firstLine="1484"/>
        <w:spacing w:after="0" w:line="370" w:lineRule="auto"/>
        <w:rPr>
          <w:sz w:val="20"/>
          <w:szCs w:val="20"/>
          <w:color w:val="auto"/>
        </w:rPr>
      </w:pPr>
      <w:r>
        <w:rPr>
          <w:rFonts w:ascii="Arial" w:cs="Arial" w:eastAsia="Arial" w:hAnsi="Arial"/>
          <w:sz w:val="15"/>
          <w:szCs w:val="15"/>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62" w:lineRule="exact"/>
        <w:rPr>
          <w:sz w:val="20"/>
          <w:szCs w:val="20"/>
          <w:color w:val="auto"/>
        </w:rPr>
      </w:pPr>
    </w:p>
    <w:p>
      <w:pPr>
        <w:ind w:right="340" w:firstLine="1484"/>
        <w:spacing w:after="0" w:line="268" w:lineRule="auto"/>
        <w:rPr>
          <w:sz w:val="20"/>
          <w:szCs w:val="20"/>
          <w:color w:val="auto"/>
        </w:rPr>
      </w:pPr>
      <w:r>
        <w:rPr>
          <w:rFonts w:ascii="Arial" w:cs="Arial" w:eastAsia="Arial" w:hAnsi="Arial"/>
          <w:sz w:val="18"/>
          <w:szCs w:val="18"/>
          <w:color w:val="auto"/>
        </w:rPr>
        <w:t>6.2.2. Years of Service shall be calculated on the basis that 30 days equals a completed month or one-twelfth (1/12) of a year and twelve completed months equal one year.</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40"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6.2.5. Notwithstanding any provision of the Plan to the contrary, an Employee shall not be credited with Years of Service for the same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twice.</w:t>
      </w:r>
    </w:p>
    <w:p>
      <w:pPr>
        <w:spacing w:after="0" w:line="16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98" w:name="page99"/>
    <w:bookmarkEnd w:id="98"/>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6.3.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171"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6.5.1. If a Participant who has had a Severance from Service Date does not thereafter complete an Hour of Service before the end of the Plan Year in which occurs the earlier of:</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the date on which he receives or is deemed to receive a distribution of his entire nonforfeitable interest in his Account, which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 than 100%; or</w:t>
      </w:r>
    </w:p>
    <w:p>
      <w:pPr>
        <w:spacing w:after="0" w:line="165" w:lineRule="exact"/>
        <w:rPr>
          <w:sz w:val="20"/>
          <w:szCs w:val="20"/>
          <w:color w:val="auto"/>
        </w:rPr>
      </w:pPr>
    </w:p>
    <w:p>
      <w:pPr>
        <w:ind w:right="100" w:firstLine="1948"/>
        <w:spacing w:after="0" w:line="298" w:lineRule="auto"/>
        <w:tabs>
          <w:tab w:leader="none" w:pos="218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date on which he incurs his fifth consecutive One-Year Period of Severance, his Broadband Heritage Matching Contribution Account and his Prior Company Matching Contribution Account (Unvested) shall be closed, and the forfeitable amount held therein shall be forfeited. For purposes of this Section 6.5.1, a Participant who has a Severance from Service Date at a time when his nonforfeitable interest in the Plan is zero shall be deemed to have received a distribution described in Section 6.5.1(a) on such Severance from Service Date.</w:t>
      </w:r>
    </w:p>
    <w:p>
      <w:pPr>
        <w:spacing w:after="0" w:line="113" w:lineRule="exact"/>
        <w:rPr>
          <w:sz w:val="20"/>
          <w:szCs w:val="20"/>
          <w:color w:val="auto"/>
        </w:rPr>
      </w:pPr>
    </w:p>
    <w:p>
      <w:pPr>
        <w:jc w:val="both"/>
        <w:ind w:right="60" w:firstLine="1484"/>
        <w:spacing w:after="0" w:line="332" w:lineRule="auto"/>
        <w:rPr>
          <w:sz w:val="20"/>
          <w:szCs w:val="20"/>
          <w:color w:val="auto"/>
        </w:rPr>
      </w:pPr>
      <w:r>
        <w:rPr>
          <w:rFonts w:ascii="Arial" w:cs="Arial" w:eastAsia="Arial" w:hAnsi="Arial"/>
          <w:sz w:val="16"/>
          <w:szCs w:val="16"/>
          <w:color w:val="auto"/>
        </w:rPr>
        <w:t>6.5.2. Amounts forfeited from a Participant’s Broadband Heritage Matching Contribution Account and Prior Company Matching Contribution Account (Unvested) under Section 6.5.1 shall be used to reduce future Matching Contributions and/or Broadband Heritage Matching Contributions.</w:t>
      </w:r>
    </w:p>
    <w:p>
      <w:pPr>
        <w:spacing w:after="0" w:line="85" w:lineRule="exact"/>
        <w:rPr>
          <w:sz w:val="20"/>
          <w:szCs w:val="20"/>
          <w:color w:val="auto"/>
        </w:rPr>
      </w:pPr>
    </w:p>
    <w:p>
      <w:pPr>
        <w:jc w:val="both"/>
        <w:ind w:right="60" w:firstLine="1484"/>
        <w:spacing w:after="0" w:line="283" w:lineRule="auto"/>
        <w:rPr>
          <w:sz w:val="20"/>
          <w:szCs w:val="20"/>
          <w:color w:val="auto"/>
        </w:rPr>
      </w:pPr>
      <w:r>
        <w:rPr>
          <w:rFonts w:ascii="Arial" w:cs="Arial" w:eastAsia="Arial" w:hAnsi="Arial"/>
          <w:sz w:val="16"/>
          <w:szCs w:val="16"/>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Broadband Heritage Matching Contribution Account and/or Prior Company Matching Contribution Account, if, and only if, he repays the full amount of such distribution (if any) prior to the earlier of (1) the fifth anniversary of the date on which he subsequently becomes a Covered Employee or</w:t>
      </w:r>
    </w:p>
    <w:p>
      <w:pPr>
        <w:spacing w:after="0" w:line="3" w:lineRule="exact"/>
        <w:rPr>
          <w:sz w:val="20"/>
          <w:szCs w:val="20"/>
          <w:color w:val="auto"/>
        </w:rPr>
      </w:pPr>
    </w:p>
    <w:p>
      <w:pPr>
        <w:ind w:firstLine="8"/>
        <w:spacing w:after="0" w:line="290" w:lineRule="auto"/>
        <w:tabs>
          <w:tab w:leader="none" w:pos="24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6.5.3 shall be credited to the Participant’s After-Tax Unmatched 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99" w:name="page100"/>
    <w:bookmarkEnd w:id="99"/>
    <w:p>
      <w:pPr>
        <w:ind w:right="160" w:firstLine="148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43" w:lineRule="exact"/>
        <w:rPr>
          <w:sz w:val="20"/>
          <w:szCs w:val="20"/>
          <w:color w:val="auto"/>
        </w:rPr>
      </w:pPr>
    </w:p>
    <w:p>
      <w:pPr>
        <w:ind w:left="2180" w:hanging="232"/>
        <w:spacing w:after="0"/>
        <w:tabs>
          <w:tab w:leader="none" w:pos="2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171" w:lineRule="exact"/>
        <w:rPr>
          <w:rFonts w:ascii="Arial" w:cs="Arial" w:eastAsia="Arial" w:hAnsi="Arial"/>
          <w:sz w:val="18"/>
          <w:szCs w:val="18"/>
          <w:color w:val="auto"/>
        </w:rPr>
      </w:pPr>
    </w:p>
    <w:p>
      <w:pPr>
        <w:ind w:right="20" w:firstLine="1948"/>
        <w:spacing w:after="0" w:line="298" w:lineRule="auto"/>
        <w:tabs>
          <w:tab w:leader="none" w:pos="218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1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6.5.5. If a Participant has had five consecutive One-Year Periods of Severance and again becomes a Covered Employee, the amount forfeited under Section 6.5.1 shall not be restored to his new Account under any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ROLLOVER CONTRIBUTIONS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43" w:lineRule="exact"/>
        <w:rPr>
          <w:sz w:val="20"/>
          <w:szCs w:val="20"/>
          <w:color w:val="auto"/>
        </w:rPr>
      </w:pPr>
    </w:p>
    <w:p>
      <w:pPr>
        <w:ind w:right="40" w:firstLine="1484"/>
        <w:spacing w:after="0" w:line="268"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(a)(1) the distribution being transferred must come directly from the fiduciary of the plan of the former employer, or</w:t>
      </w:r>
    </w:p>
    <w:p>
      <w:pPr>
        <w:spacing w:after="0" w:line="171" w:lineRule="exact"/>
        <w:rPr>
          <w:sz w:val="20"/>
          <w:szCs w:val="20"/>
          <w:color w:val="auto"/>
        </w:rPr>
      </w:pPr>
    </w:p>
    <w:p>
      <w:pPr>
        <w:ind w:right="160" w:firstLine="2404"/>
        <w:spacing w:after="0" w:line="259" w:lineRule="auto"/>
        <w:tabs>
          <w:tab w:leader="none" w:pos="264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40" w:lineRule="exact"/>
        <w:rPr>
          <w:rFonts w:ascii="Arial" w:cs="Arial" w:eastAsia="Arial" w:hAnsi="Arial"/>
          <w:sz w:val="18"/>
          <w:szCs w:val="18"/>
          <w:color w:val="auto"/>
        </w:rPr>
      </w:pPr>
    </w:p>
    <w:p>
      <w:pPr>
        <w:ind w:right="120" w:firstLine="1948"/>
        <w:spacing w:after="0" w:line="268" w:lineRule="auto"/>
        <w:tabs>
          <w:tab w:leader="none" w:pos="21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31" w:lineRule="exact"/>
        <w:rPr>
          <w:rFonts w:ascii="Arial" w:cs="Arial" w:eastAsia="Arial" w:hAnsi="Arial"/>
          <w:sz w:val="18"/>
          <w:szCs w:val="18"/>
          <w:color w:val="auto"/>
        </w:rPr>
      </w:pPr>
    </w:p>
    <w:p>
      <w:pPr>
        <w:ind w:right="80" w:firstLine="1948"/>
        <w:spacing w:after="0" w:line="256" w:lineRule="auto"/>
        <w:tabs>
          <w:tab w:leader="none" w:pos="21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43" w:lineRule="exact"/>
        <w:rPr>
          <w:rFonts w:ascii="Arial" w:cs="Arial" w:eastAsia="Arial" w:hAnsi="Arial"/>
          <w:sz w:val="18"/>
          <w:szCs w:val="18"/>
          <w:color w:val="auto"/>
        </w:rPr>
      </w:pPr>
    </w:p>
    <w:p>
      <w:pPr>
        <w:ind w:right="60" w:firstLine="1948"/>
        <w:spacing w:after="0" w:line="268" w:lineRule="auto"/>
        <w:tabs>
          <w:tab w:leader="none" w:pos="21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171"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7.2.1. The distributions transferred by or for a Covered Employee from another qualified retirement plan or from an individual retirement account shall be credited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01" w:name="page102"/>
    <w:bookmarkEnd w:id="10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Employee’s After-Tax Rollover Account and/or Taxable Rollover Account, as applicable. A Covered Employee shall be fully vested at all times in his After-Tax Rollover Account and Taxable Rollover Account.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7.2.2. A Covered Employee’s After-Tax Rollover Account and Taxable Rollover Account shall be distributed as otherwise provided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WITHDRAWALS</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Withdrawals Not Subject to Section 401(k) Restrictions</w:t>
      </w:r>
      <w:r>
        <w:rPr>
          <w:rFonts w:ascii="Arial" w:cs="Arial" w:eastAsia="Arial" w:hAnsi="Arial"/>
          <w:sz w:val="16"/>
          <w:szCs w:val="16"/>
          <w:color w:val="auto"/>
        </w:rPr>
        <w:t xml:space="preserve">. A Participant who is an active Employee and has not attained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may withdraw, in accordance with rules prescribed by the Committee and uniformly applied, up to the total value of the following Accounts:</w:t>
      </w:r>
    </w:p>
    <w:p>
      <w:pPr>
        <w:spacing w:after="0" w:line="85"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8.1.2. After-Tax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8.1.3. After-Tax Rollover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8.1.4. Taxable Rollover Contribution Account;</w:t>
      </w:r>
    </w:p>
    <w:p>
      <w:pPr>
        <w:spacing w:after="0" w:line="171"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8.1.5.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85" w:lineRule="exact"/>
        <w:rPr>
          <w:sz w:val="20"/>
          <w:szCs w:val="20"/>
          <w:color w:val="auto"/>
        </w:rPr>
      </w:pPr>
    </w:p>
    <w:p>
      <w:pPr>
        <w:ind w:right="380" w:firstLine="1484"/>
        <w:spacing w:after="0" w:line="268" w:lineRule="auto"/>
        <w:rPr>
          <w:sz w:val="20"/>
          <w:szCs w:val="20"/>
          <w:color w:val="auto"/>
        </w:rPr>
      </w:pPr>
      <w:r>
        <w:rPr>
          <w:rFonts w:ascii="Arial" w:cs="Arial" w:eastAsia="Arial" w:hAnsi="Arial"/>
          <w:sz w:val="18"/>
          <w:szCs w:val="18"/>
          <w:color w:val="auto"/>
        </w:rPr>
        <w:t>8.1.6. Prior Company Matching Contribution Account (Vested), provided that contributions are not eligible for withdrawal if they were credited in the Plan Year of withdrawal or the two preceding Plan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171"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85" w:lineRule="exact"/>
        <w:rPr>
          <w:sz w:val="20"/>
          <w:szCs w:val="20"/>
          <w:color w:val="auto"/>
        </w:rPr>
      </w:pPr>
    </w:p>
    <w:p>
      <w:pPr>
        <w:ind w:right="60" w:firstLine="1948"/>
        <w:spacing w:after="0" w:line="332" w:lineRule="auto"/>
        <w:tabs>
          <w:tab w:leader="none" w:pos="217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85" w:lineRule="exact"/>
        <w:rPr>
          <w:rFonts w:ascii="Arial" w:cs="Arial" w:eastAsia="Arial" w:hAnsi="Arial"/>
          <w:sz w:val="16"/>
          <w:szCs w:val="16"/>
          <w:color w:val="auto"/>
        </w:rPr>
      </w:pPr>
    </w:p>
    <w:p>
      <w:pPr>
        <w:ind w:right="120" w:firstLine="1948"/>
        <w:spacing w:after="0" w:line="259" w:lineRule="auto"/>
        <w:tabs>
          <w:tab w:leader="none" w:pos="21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03" w:name="page104"/>
    <w:bookmarkEnd w:id="103"/>
    <w:p>
      <w:pPr>
        <w:ind w:left="2180" w:hanging="232"/>
        <w:spacing w:after="0"/>
        <w:tabs>
          <w:tab w:leader="none" w:pos="2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nonforfeitable portion of his Prior Company Matching Contribution Account (Unvested);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171" w:lineRule="exact"/>
        <w:rPr>
          <w:rFonts w:ascii="Arial" w:cs="Arial" w:eastAsia="Arial" w:hAnsi="Arial"/>
          <w:sz w:val="18"/>
          <w:szCs w:val="18"/>
          <w:color w:val="auto"/>
        </w:rPr>
      </w:pPr>
    </w:p>
    <w:p>
      <w:pPr>
        <w:ind w:right="200" w:firstLine="1948"/>
        <w:spacing w:after="0" w:line="268" w:lineRule="auto"/>
        <w:tabs>
          <w:tab w:leader="none" w:pos="217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 plus</w:t>
      </w:r>
    </w:p>
    <w:p>
      <w:pPr>
        <w:spacing w:after="0" w:line="131" w:lineRule="exact"/>
        <w:rPr>
          <w:rFonts w:ascii="Arial" w:cs="Arial" w:eastAsia="Arial" w:hAnsi="Arial"/>
          <w:sz w:val="18"/>
          <w:szCs w:val="18"/>
          <w:color w:val="auto"/>
        </w:rPr>
      </w:pPr>
    </w:p>
    <w:p>
      <w:pPr>
        <w:ind w:right="40" w:firstLine="1948"/>
        <w:spacing w:after="0" w:line="268" w:lineRule="auto"/>
        <w:tabs>
          <w:tab w:leader="none" w:pos="21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171" w:lineRule="exact"/>
        <w:rPr>
          <w:sz w:val="20"/>
          <w:szCs w:val="20"/>
          <w:color w:val="auto"/>
        </w:rPr>
      </w:pPr>
    </w:p>
    <w:p>
      <w:pPr>
        <w:ind w:left="2180" w:hanging="232"/>
        <w:spacing w:after="0"/>
        <w:tabs>
          <w:tab w:leader="none" w:pos="2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made on account of the Participant’s immediate and heavy financial need (as defined in Section 8.2.3);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171" w:lineRule="exact"/>
        <w:rPr>
          <w:sz w:val="20"/>
          <w:szCs w:val="20"/>
          <w:color w:val="auto"/>
        </w:rPr>
      </w:pPr>
    </w:p>
    <w:p>
      <w:pPr>
        <w:ind w:right="620" w:firstLine="1484"/>
        <w:spacing w:after="0" w:line="268" w:lineRule="auto"/>
        <w:rPr>
          <w:sz w:val="20"/>
          <w:szCs w:val="20"/>
          <w:color w:val="auto"/>
        </w:rPr>
      </w:pPr>
      <w:r>
        <w:rPr>
          <w:rFonts w:ascii="Arial" w:cs="Arial" w:eastAsia="Arial" w:hAnsi="Arial"/>
          <w:sz w:val="18"/>
          <w:szCs w:val="18"/>
          <w:color w:val="auto"/>
        </w:rPr>
        <w:t>8.2.3. A withdrawal under Section 8.2.1 will be deemed to be on account of an immediate and heavy financial need if the Participant requests such withdrawal on account of:</w:t>
      </w:r>
    </w:p>
    <w:p>
      <w:pPr>
        <w:spacing w:after="0" w:line="132" w:lineRule="exact"/>
        <w:rPr>
          <w:sz w:val="20"/>
          <w:szCs w:val="20"/>
          <w:color w:val="auto"/>
        </w:rPr>
      </w:pPr>
    </w:p>
    <w:p>
      <w:pPr>
        <w:ind w:right="60" w:firstLine="1948"/>
        <w:spacing w:after="0" w:line="259" w:lineRule="auto"/>
        <w:tabs>
          <w:tab w:leader="none" w:pos="21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 (ii) necessary for such individuals to obtain such medical care;</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costs directly related to the purchase (excluding mortgage payments) of a principal residence of the Participant;</w:t>
      </w:r>
    </w:p>
    <w:p>
      <w:pPr>
        <w:spacing w:after="0" w:line="171" w:lineRule="exact"/>
        <w:rPr>
          <w:rFonts w:ascii="Arial" w:cs="Arial" w:eastAsia="Arial" w:hAnsi="Arial"/>
          <w:sz w:val="18"/>
          <w:szCs w:val="18"/>
          <w:color w:val="auto"/>
        </w:rPr>
      </w:pPr>
    </w:p>
    <w:p>
      <w:pPr>
        <w:ind w:right="420" w:firstLine="1948"/>
        <w:spacing w:after="0" w:line="332" w:lineRule="auto"/>
        <w:tabs>
          <w:tab w:leader="none" w:pos="217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85" w:lineRule="exact"/>
        <w:rPr>
          <w:rFonts w:ascii="Arial" w:cs="Arial" w:eastAsia="Arial" w:hAnsi="Arial"/>
          <w:sz w:val="16"/>
          <w:szCs w:val="16"/>
          <w:color w:val="auto"/>
        </w:rPr>
      </w:pPr>
    </w:p>
    <w:p>
      <w:pPr>
        <w:ind w:left="2200" w:hanging="252"/>
        <w:spacing w:after="0"/>
        <w:tabs>
          <w:tab w:leader="none" w:pos="22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need to prevent the eviction of the Participant from his principal residence or foreclosure on the mortgage of his principal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residence;</w:t>
      </w:r>
    </w:p>
    <w:p>
      <w:pPr>
        <w:spacing w:after="0" w:line="164" w:lineRule="exact"/>
        <w:rPr>
          <w:rFonts w:ascii="Arial" w:cs="Arial" w:eastAsia="Arial" w:hAnsi="Arial"/>
          <w:sz w:val="16"/>
          <w:szCs w:val="16"/>
          <w:color w:val="auto"/>
        </w:rPr>
      </w:pPr>
    </w:p>
    <w:p>
      <w:pPr>
        <w:ind w:firstLine="1948"/>
        <w:spacing w:after="0" w:line="268" w:lineRule="auto"/>
        <w:tabs>
          <w:tab w:leader="none" w:pos="21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04" w:name="page105"/>
    <w:bookmarkEnd w:id="104"/>
    <w:p>
      <w:pPr>
        <w:ind w:right="100" w:firstLine="1929"/>
        <w:spacing w:after="0" w:line="298" w:lineRule="auto"/>
        <w:tabs>
          <w:tab w:leader="none" w:pos="2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112" w:lineRule="exact"/>
        <w:rPr>
          <w:rFonts w:ascii="Arial" w:cs="Arial" w:eastAsia="Arial" w:hAnsi="Arial"/>
          <w:sz w:val="16"/>
          <w:szCs w:val="16"/>
          <w:color w:val="auto"/>
        </w:rPr>
      </w:pPr>
    </w:p>
    <w:p>
      <w:pPr>
        <w:ind w:left="2200" w:hanging="252"/>
        <w:spacing w:after="0"/>
        <w:tabs>
          <w:tab w:leader="none" w:pos="2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such other circumstances or events as may be prescribed by the Secretary of the Treasury or his or her delegate.</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171" w:lineRule="exact"/>
        <w:rPr>
          <w:sz w:val="20"/>
          <w:szCs w:val="20"/>
          <w:color w:val="auto"/>
        </w:rPr>
      </w:pPr>
    </w:p>
    <w:p>
      <w:pPr>
        <w:ind w:right="160" w:firstLine="1948"/>
        <w:spacing w:after="0" w:line="332" w:lineRule="auto"/>
        <w:tabs>
          <w:tab w:leader="none" w:pos="217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85" w:lineRule="exact"/>
        <w:rPr>
          <w:rFonts w:ascii="Arial" w:cs="Arial" w:eastAsia="Arial" w:hAnsi="Arial"/>
          <w:sz w:val="16"/>
          <w:szCs w:val="16"/>
          <w:color w:val="auto"/>
        </w:rPr>
      </w:pPr>
    </w:p>
    <w:p>
      <w:pPr>
        <w:ind w:right="40" w:firstLine="1948"/>
        <w:spacing w:after="0" w:line="268" w:lineRule="auto"/>
        <w:tabs>
          <w:tab w:leader="none" w:pos="21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171" w:lineRule="exact"/>
        <w:rPr>
          <w:sz w:val="20"/>
          <w:szCs w:val="20"/>
          <w:color w:val="auto"/>
        </w:rPr>
      </w:pPr>
    </w:p>
    <w:p>
      <w:pPr>
        <w:ind w:right="40" w:firstLine="1484"/>
        <w:spacing w:after="0" w:line="289" w:lineRule="auto"/>
        <w:rPr>
          <w:sz w:val="20"/>
          <w:szCs w:val="20"/>
          <w:color w:val="auto"/>
        </w:rPr>
      </w:pPr>
      <w:r>
        <w:rPr>
          <w:rFonts w:ascii="Arial" w:cs="Arial" w:eastAsia="Arial" w:hAnsi="Arial"/>
          <w:sz w:val="16"/>
          <w:szCs w:val="16"/>
          <w:color w:val="auto"/>
        </w:rPr>
        <w:t xml:space="preserve">8.2.5. If a Participant withdraws any amount from his Pre-Tax Matched Contribution Account, Pre-Tax Unmatched Contribution Account or Catch-Up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pacing w:after="0" w:line="118" w:lineRule="exact"/>
        <w:rPr>
          <w:sz w:val="20"/>
          <w:szCs w:val="20"/>
          <w:color w:val="auto"/>
        </w:rPr>
      </w:pPr>
    </w:p>
    <w:p>
      <w:pPr>
        <w:ind w:right="20" w:firstLine="1948"/>
        <w:spacing w:after="0" w:line="259" w:lineRule="auto"/>
        <w:tabs>
          <w:tab w:leader="none" w:pos="21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05" w:name="page106"/>
    <w:bookmarkEnd w:id="105"/>
    <w:p>
      <w:pPr>
        <w:ind w:right="60" w:firstLine="1948"/>
        <w:spacing w:after="0" w:line="305" w:lineRule="auto"/>
        <w:tabs>
          <w:tab w:leader="none" w:pos="2189" w:val="left"/>
        </w:tabs>
        <w:numPr>
          <w:ilvl w:val="1"/>
          <w:numId w:val="10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who is a Covered Union Employee (Broadband) for only a portion of a Plan Year and, thereafter, remains an Eligible Employee (other than a Covered Union Employee (Broadband)), shall have the twelve-month suspension period lifted on the latest of (1) September 15, 2003,</w:t>
      </w:r>
    </w:p>
    <w:p>
      <w:pPr>
        <w:ind w:left="260" w:hanging="252"/>
        <w:spacing w:after="0"/>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completion of a six-month suspension period, or (3) decertification of such Covered Union Employee’s union.</w:t>
      </w:r>
    </w:p>
    <w:p>
      <w:pPr>
        <w:spacing w:after="0" w:line="165"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Withdrawals On and After Attainment of Age 59</w:t>
      </w:r>
      <w:r>
        <w:rPr>
          <w:rFonts w:ascii="Arial" w:cs="Arial" w:eastAsia="Arial" w:hAnsi="Arial"/>
          <w:sz w:val="16"/>
          <w:szCs w:val="16"/>
          <w:color w:val="auto"/>
        </w:rPr>
        <w:t xml:space="preserve"> </w:t>
      </w:r>
      <w:r>
        <w:rPr>
          <w:rFonts w:ascii="Arial" w:cs="Arial" w:eastAsia="Arial" w:hAnsi="Arial"/>
          <w:sz w:val="10"/>
          <w:szCs w:val="10"/>
          <w:u w:val="single" w:color="auto"/>
          <w:color w:val="auto"/>
        </w:rPr>
        <w:t>1</w:t>
      </w:r>
      <w:r>
        <w:rPr>
          <w:rFonts w:ascii="Arial" w:cs="Arial" w:eastAsia="Arial" w:hAnsi="Arial"/>
          <w:sz w:val="16"/>
          <w:szCs w:val="16"/>
          <w:u w:val="single" w:color="auto"/>
          <w:color w:val="auto"/>
        </w:rPr>
        <w:t>/</w:t>
      </w:r>
      <w:r>
        <w:rPr>
          <w:rFonts w:ascii="Arial" w:cs="Arial" w:eastAsia="Arial" w:hAnsi="Arial"/>
          <w:sz w:val="12"/>
          <w:szCs w:val="12"/>
          <w:u w:val="single" w:color="auto"/>
          <w:color w:val="auto"/>
        </w:rPr>
        <w:t>2</w:t>
      </w:r>
      <w:r>
        <w:rPr>
          <w:rFonts w:ascii="Arial" w:cs="Arial" w:eastAsia="Arial" w:hAnsi="Arial"/>
          <w:sz w:val="16"/>
          <w:szCs w:val="16"/>
          <w:color w:val="auto"/>
        </w:rPr>
        <w:t xml:space="preserve">. Upon his attainment of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a Participant who is an Active Participant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 After-Tax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8.3.2. After-Tax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8.3.3. After-Tax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8.3.4. Taxable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8.3.5. Prior Company Matching Contribution Account (Vested);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8.3.7. Pre-Tax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8.3.8. Pre-Tax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8.3.9.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8.3.10. Broadband Heritage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8.3.11. Catch-Up Contribution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06" w:name="page107"/>
    <w:bookmarkEnd w:id="106"/>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8.4. </w:t>
      </w:r>
      <w:r>
        <w:rPr>
          <w:rFonts w:ascii="Arial" w:cs="Arial" w:eastAsia="Arial" w:hAnsi="Arial"/>
          <w:sz w:val="16"/>
          <w:szCs w:val="16"/>
          <w:u w:val="single" w:color="auto"/>
          <w:color w:val="auto"/>
        </w:rPr>
        <w:t>Amount and Payment of Withdrawals</w:t>
      </w:r>
      <w:r>
        <w:rPr>
          <w:rFonts w:ascii="Arial" w:cs="Arial" w:eastAsia="Arial" w:hAnsi="Arial"/>
          <w:sz w:val="16"/>
          <w:szCs w:val="16"/>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Withdrawals Not Subject to Replacement</w:t>
      </w:r>
      <w:r>
        <w:rPr>
          <w:rFonts w:ascii="Arial" w:cs="Arial" w:eastAsia="Arial" w:hAnsi="Arial"/>
          <w:sz w:val="16"/>
          <w:szCs w:val="16"/>
          <w:color w:val="auto"/>
        </w:rPr>
        <w:t>. A Participant may not replace any portion of his Accounts withdrawn under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Pledged Amounts</w:t>
      </w:r>
      <w:r>
        <w:rPr>
          <w:rFonts w:ascii="Arial" w:cs="Arial" w:eastAsia="Arial" w:hAnsi="Arial"/>
          <w:sz w:val="16"/>
          <w:szCs w:val="16"/>
          <w:color w:val="auto"/>
        </w:rPr>
        <w:t>. No amount that has been pledged as security for a loan under Article IX may be withdrawn under this Article.</w:t>
      </w:r>
    </w:p>
    <w:p>
      <w:pPr>
        <w:spacing w:after="0" w:line="194"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Investment Medium to be Charged with Withdrawal</w:t>
      </w:r>
      <w:r>
        <w:rPr>
          <w:rFonts w:ascii="Arial" w:cs="Arial" w:eastAsia="Arial" w:hAnsi="Arial"/>
          <w:sz w:val="16"/>
          <w:szCs w:val="16"/>
          <w:color w:val="auto"/>
        </w:rPr>
        <w:t>. Any withdrawal by a Participant under this Article shall be charged against the Investment Media in which such Participant’s Accounts are invested in such priority as shall be established by the Committee.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 TO PARTICIPANTS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171"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9.2.1. No application for a loan shall be approved for any Participant unless at least six months have elapsed since the date he has repaid in full any prior loan from the Plan.</w:t>
      </w:r>
    </w:p>
    <w:p>
      <w:pPr>
        <w:spacing w:after="0" w:line="132" w:lineRule="exact"/>
        <w:rPr>
          <w:sz w:val="20"/>
          <w:szCs w:val="20"/>
          <w:color w:val="auto"/>
        </w:rPr>
      </w:pPr>
    </w:p>
    <w:p>
      <w:pPr>
        <w:ind w:right="240" w:firstLine="1484"/>
        <w:spacing w:after="0" w:line="306" w:lineRule="auto"/>
        <w:rPr>
          <w:sz w:val="20"/>
          <w:szCs w:val="20"/>
          <w:color w:val="auto"/>
        </w:rPr>
      </w:pPr>
      <w:r>
        <w:rPr>
          <w:rFonts w:ascii="Arial" w:cs="Arial" w:eastAsia="Arial" w:hAnsi="Arial"/>
          <w:sz w:val="16"/>
          <w:szCs w:val="16"/>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20"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85" w:lineRule="exact"/>
        <w:rPr>
          <w:sz w:val="20"/>
          <w:szCs w:val="20"/>
          <w:color w:val="auto"/>
        </w:rPr>
      </w:pPr>
    </w:p>
    <w:p>
      <w:pPr>
        <w:ind w:left="2180" w:hanging="232"/>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171" w:lineRule="exact"/>
        <w:rPr>
          <w:rFonts w:ascii="Arial" w:cs="Arial" w:eastAsia="Arial" w:hAnsi="Arial"/>
          <w:sz w:val="18"/>
          <w:szCs w:val="18"/>
          <w:color w:val="auto"/>
        </w:rPr>
      </w:pPr>
    </w:p>
    <w:p>
      <w:pPr>
        <w:ind w:right="40" w:firstLine="2404"/>
        <w:spacing w:after="0" w:line="268" w:lineRule="auto"/>
        <w:tabs>
          <w:tab w:leader="none" w:pos="26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08" w:name="page109"/>
    <w:bookmarkEnd w:id="108"/>
    <w:p>
      <w:pPr>
        <w:ind w:left="2660" w:hanging="256"/>
        <w:spacing w:after="0"/>
        <w:tabs>
          <w:tab w:leader="none" w:pos="2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outstanding balance of loans made to the Participant on the date such loan is made to the Participant; or</w:t>
      </w:r>
    </w:p>
    <w:p>
      <w:pPr>
        <w:spacing w:after="0" w:line="171" w:lineRule="exact"/>
        <w:rPr>
          <w:rFonts w:ascii="Arial" w:cs="Arial" w:eastAsia="Arial" w:hAnsi="Arial"/>
          <w:sz w:val="18"/>
          <w:szCs w:val="18"/>
          <w:color w:val="auto"/>
        </w:rPr>
      </w:pPr>
    </w:p>
    <w:p>
      <w:pPr>
        <w:ind w:right="420" w:firstLine="1948"/>
        <w:spacing w:after="0" w:line="268" w:lineRule="auto"/>
        <w:tabs>
          <w:tab w:leader="none" w:pos="21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43"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43"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as a result of a corporate transaction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18"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period of repayment for any loan shall not exceed a total of 60 months, unless an extension is permitted in accordance with section 72(p) of the Code and the regulations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09" w:name="page110"/>
    <w:bookmarkEnd w:id="10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9.4.5. If, and only if:</w:t>
      </w:r>
    </w:p>
    <w:p>
      <w:pPr>
        <w:spacing w:after="0" w:line="171" w:lineRule="exact"/>
        <w:rPr>
          <w:sz w:val="20"/>
          <w:szCs w:val="20"/>
          <w:color w:val="auto"/>
        </w:rPr>
      </w:pPr>
    </w:p>
    <w:p>
      <w:pPr>
        <w:ind w:left="2180" w:hanging="232"/>
        <w:spacing w:after="0"/>
        <w:tabs>
          <w:tab w:leader="none" w:pos="2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Participant dies;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Participant (other than a Participant who continues to be a party in interest) has a Severance from Service Date;</w:t>
      </w:r>
    </w:p>
    <w:p>
      <w:pPr>
        <w:spacing w:after="0" w:line="194" w:lineRule="exact"/>
        <w:rPr>
          <w:rFonts w:ascii="Arial" w:cs="Arial" w:eastAsia="Arial" w:hAnsi="Arial"/>
          <w:sz w:val="16"/>
          <w:szCs w:val="16"/>
          <w:color w:val="auto"/>
        </w:rPr>
      </w:pPr>
    </w:p>
    <w:p>
      <w:pPr>
        <w:ind w:right="120" w:firstLine="1948"/>
        <w:spacing w:after="0" w:line="259" w:lineRule="auto"/>
        <w:tabs>
          <w:tab w:leader="none" w:pos="21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164" w:lineRule="exact"/>
        <w:rPr>
          <w:rFonts w:ascii="Arial" w:cs="Arial" w:eastAsia="Arial" w:hAnsi="Arial"/>
          <w:sz w:val="16"/>
          <w:szCs w:val="16"/>
          <w:color w:val="auto"/>
        </w:rPr>
      </w:pPr>
    </w:p>
    <w:p>
      <w:pPr>
        <w:ind w:left="2160" w:hanging="212"/>
        <w:spacing w:after="0"/>
        <w:tabs>
          <w:tab w:leader="none" w:pos="2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Participant fails to pay any installment of the loan when due and the Committee elects to treat such failure as default;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other event occurs which the Committee, in its sole discretion, believes may jeopardize the repayment of the loan;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71" w:lineRule="exact"/>
        <w:rPr>
          <w:sz w:val="20"/>
          <w:szCs w:val="20"/>
          <w:color w:val="auto"/>
        </w:rPr>
      </w:pPr>
    </w:p>
    <w:p>
      <w:pPr>
        <w:jc w:val="both"/>
        <w:ind w:right="260" w:firstLine="1484"/>
        <w:spacing w:after="0" w:line="298" w:lineRule="auto"/>
        <w:rPr>
          <w:sz w:val="20"/>
          <w:szCs w:val="20"/>
          <w:color w:val="auto"/>
        </w:rPr>
      </w:pPr>
      <w:r>
        <w:rPr>
          <w:rFonts w:ascii="Arial" w:cs="Arial" w:eastAsia="Arial" w:hAnsi="Arial"/>
          <w:sz w:val="16"/>
          <w:szCs w:val="16"/>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13" w:lineRule="exact"/>
        <w:rPr>
          <w:sz w:val="20"/>
          <w:szCs w:val="20"/>
          <w:color w:val="auto"/>
        </w:rPr>
      </w:pPr>
    </w:p>
    <w:p>
      <w:pPr>
        <w:ind w:right="100" w:firstLine="1484"/>
        <w:spacing w:after="0" w:line="335" w:lineRule="auto"/>
        <w:rPr>
          <w:sz w:val="20"/>
          <w:szCs w:val="20"/>
          <w:color w:val="auto"/>
        </w:rPr>
      </w:pPr>
      <w:r>
        <w:rPr>
          <w:rFonts w:ascii="Arial" w:cs="Arial" w:eastAsia="Arial" w:hAnsi="Arial"/>
          <w:sz w:val="15"/>
          <w:szCs w:val="15"/>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280" w:right="339" w:bottom="1440" w:gutter="0" w:footer="0" w:header="0"/>
        </w:sectPr>
      </w:pPr>
    </w:p>
    <w:bookmarkStart w:id="110" w:name="page111"/>
    <w:bookmarkEnd w:id="110"/>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at such time as the Participant has a Severance from Service Date. Such action shall not operate as a waiver of the rights of the Company, the Committee, the Trustee, or the Plan under applicable law.</w:t>
      </w:r>
    </w:p>
    <w:p>
      <w:pPr>
        <w:spacing w:after="0" w:line="132"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280" w:right="37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Committee</w:t>
      </w:r>
      <w:r>
        <w:rPr>
          <w:rFonts w:ascii="Arial" w:cs="Arial" w:eastAsia="Arial" w:hAnsi="Arial"/>
          <w:sz w:val="16"/>
          <w:szCs w:val="16"/>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171"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10.2.2. The Committee shall have all other duties and powers necessary or desirable to administer the Plan, including, but not limited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2180" w:hanging="232"/>
        <w:spacing w:after="0"/>
        <w:tabs>
          <w:tab w:leader="none" w:pos="2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171" w:lineRule="exact"/>
        <w:rPr>
          <w:rFonts w:ascii="Arial" w:cs="Arial" w:eastAsia="Arial" w:hAnsi="Arial"/>
          <w:sz w:val="18"/>
          <w:szCs w:val="18"/>
          <w:color w:val="auto"/>
        </w:rPr>
      </w:pPr>
    </w:p>
    <w:p>
      <w:pPr>
        <w:ind w:right="280" w:firstLine="1948"/>
        <w:spacing w:after="0" w:line="268" w:lineRule="auto"/>
        <w:tabs>
          <w:tab w:leader="none" w:pos="218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 Plan;</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112" w:name="page113"/>
    <w:bookmarkEnd w:id="112"/>
    <w:p>
      <w:pPr>
        <w:ind w:right="380" w:firstLine="1948"/>
        <w:spacing w:after="0" w:line="268" w:lineRule="auto"/>
        <w:tabs>
          <w:tab w:leader="none" w:pos="2179"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appoint, discharge and periodically monitor the performance of third party administrators, insurers, service providers, other agents, consultants, accountants and attorneys in the administration of the Plan;</w:t>
      </w:r>
    </w:p>
    <w:p>
      <w:pPr>
        <w:spacing w:after="0" w:line="131" w:lineRule="exact"/>
        <w:rPr>
          <w:rFonts w:ascii="Arial" w:cs="Arial" w:eastAsia="Arial" w:hAnsi="Arial"/>
          <w:sz w:val="18"/>
          <w:szCs w:val="18"/>
          <w:color w:val="auto"/>
        </w:rPr>
      </w:pPr>
    </w:p>
    <w:p>
      <w:pPr>
        <w:ind w:left="2160" w:hanging="212"/>
        <w:spacing w:after="0"/>
        <w:tabs>
          <w:tab w:leader="none" w:pos="2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determine whether any domestic relations order received by the Plan is a qualified domestic relations order as provided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414(p) of the Code;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prepare and file any reports or returns with respect to the Plan required by the Code, ERISA or any other law;</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 or amend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rules and regulations;</w:t>
      </w:r>
    </w:p>
    <w:p>
      <w:pPr>
        <w:spacing w:after="0" w:line="164" w:lineRule="exact"/>
        <w:rPr>
          <w:rFonts w:ascii="Arial" w:cs="Arial" w:eastAsia="Arial" w:hAnsi="Arial"/>
          <w:sz w:val="16"/>
          <w:szCs w:val="16"/>
          <w:color w:val="auto"/>
        </w:rPr>
      </w:pPr>
    </w:p>
    <w:p>
      <w:pPr>
        <w:ind w:firstLine="1948"/>
        <w:spacing w:after="0" w:line="268" w:lineRule="auto"/>
        <w:tabs>
          <w:tab w:leader="none" w:pos="21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171" w:lineRule="exact"/>
        <w:rPr>
          <w:rFonts w:ascii="Arial" w:cs="Arial" w:eastAsia="Arial" w:hAnsi="Arial"/>
          <w:sz w:val="18"/>
          <w:szCs w:val="18"/>
          <w:color w:val="auto"/>
        </w:rPr>
      </w:pPr>
    </w:p>
    <w:p>
      <w:pPr>
        <w:ind w:left="2240" w:hanging="292"/>
        <w:spacing w:after="0"/>
        <w:tabs>
          <w:tab w:leader="none" w:pos="2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10.2.3. The Committee shall have exclusive authority and discretion to manage and control the assets of the Plan, including, but not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the following</w:t>
      </w:r>
    </w:p>
    <w:p>
      <w:pPr>
        <w:spacing w:after="0" w:line="165" w:lineRule="exact"/>
        <w:rPr>
          <w:sz w:val="20"/>
          <w:szCs w:val="20"/>
          <w:color w:val="auto"/>
        </w:rPr>
      </w:pPr>
    </w:p>
    <w:p>
      <w:pPr>
        <w:ind w:left="2180" w:hanging="232"/>
        <w:spacing w:after="0"/>
        <w:tabs>
          <w:tab w:leader="none" w:pos="2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establish the Plan’s overall investment policy, including asset allocation, investment policy statement or investment guidelines;</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direct such Trustee(s) with respect to the investment and management of the Plan’s assets, including any voting rights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held by the Trustee;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direct the Trustee to pay investment-related expenses properly chargeable to the Plan, including Trustee expenses;</w:t>
      </w:r>
    </w:p>
    <w:p>
      <w:pPr>
        <w:spacing w:after="0" w:line="171" w:lineRule="exact"/>
        <w:rPr>
          <w:rFonts w:ascii="Arial" w:cs="Arial" w:eastAsia="Arial" w:hAnsi="Arial"/>
          <w:sz w:val="18"/>
          <w:szCs w:val="18"/>
          <w:color w:val="auto"/>
        </w:rPr>
      </w:pPr>
    </w:p>
    <w:p>
      <w:pPr>
        <w:ind w:right="580" w:firstLine="1948"/>
        <w:spacing w:after="0" w:line="268" w:lineRule="auto"/>
        <w:tabs>
          <w:tab w:leader="none" w:pos="21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13" w:name="page114"/>
    <w:bookmarkEnd w:id="113"/>
    <w:p>
      <w:pPr>
        <w:ind w:firstLine="1948"/>
        <w:spacing w:after="0" w:line="268" w:lineRule="auto"/>
        <w:tabs>
          <w:tab w:leader="none" w:pos="21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131" w:lineRule="exact"/>
        <w:rPr>
          <w:rFonts w:ascii="Arial" w:cs="Arial" w:eastAsia="Arial" w:hAnsi="Arial"/>
          <w:sz w:val="18"/>
          <w:szCs w:val="18"/>
          <w:color w:val="auto"/>
        </w:rPr>
      </w:pPr>
    </w:p>
    <w:p>
      <w:pPr>
        <w:ind w:right="60" w:firstLine="1948"/>
        <w:spacing w:after="0" w:line="259" w:lineRule="auto"/>
        <w:tabs>
          <w:tab w:leader="none" w:pos="218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140" w:lineRule="exact"/>
        <w:rPr>
          <w:sz w:val="20"/>
          <w:szCs w:val="20"/>
          <w:color w:val="auto"/>
        </w:rPr>
      </w:pPr>
    </w:p>
    <w:p>
      <w:pPr>
        <w:ind w:right="100" w:firstLine="1484"/>
        <w:spacing w:after="0" w:line="256"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143" w:lineRule="exact"/>
        <w:rPr>
          <w:sz w:val="20"/>
          <w:szCs w:val="20"/>
          <w:color w:val="auto"/>
        </w:rPr>
      </w:pPr>
    </w:p>
    <w:p>
      <w:pPr>
        <w:ind w:right="340" w:firstLine="1948"/>
        <w:spacing w:after="0" w:line="268" w:lineRule="auto"/>
        <w:tabs>
          <w:tab w:leader="none" w:pos="21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 of benefits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 under the Plan;</w:t>
      </w:r>
    </w:p>
    <w:p>
      <w:pPr>
        <w:spacing w:after="0" w:line="164" w:lineRule="exact"/>
        <w:rPr>
          <w:rFonts w:ascii="Arial" w:cs="Arial" w:eastAsia="Arial" w:hAnsi="Arial"/>
          <w:sz w:val="16"/>
          <w:szCs w:val="16"/>
          <w:color w:val="auto"/>
        </w:rPr>
      </w:pPr>
    </w:p>
    <w:p>
      <w:pPr>
        <w:ind w:left="2180" w:hanging="232"/>
        <w:spacing w:after="0"/>
        <w:tabs>
          <w:tab w:leader="none" w:pos="2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171" w:lineRule="exact"/>
        <w:rPr>
          <w:rFonts w:ascii="Arial" w:cs="Arial" w:eastAsia="Arial" w:hAnsi="Arial"/>
          <w:sz w:val="18"/>
          <w:szCs w:val="18"/>
          <w:color w:val="auto"/>
        </w:rPr>
      </w:pPr>
    </w:p>
    <w:p>
      <w:pPr>
        <w:jc w:val="both"/>
        <w:ind w:right="360" w:firstLine="1948"/>
        <w:spacing w:after="0" w:line="256" w:lineRule="auto"/>
        <w:tabs>
          <w:tab w:leader="none" w:pos="21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43" w:lineRule="exact"/>
        <w:rPr>
          <w:rFonts w:ascii="Arial" w:cs="Arial" w:eastAsia="Arial" w:hAnsi="Arial"/>
          <w:sz w:val="18"/>
          <w:szCs w:val="18"/>
          <w:color w:val="auto"/>
        </w:rPr>
      </w:pPr>
    </w:p>
    <w:p>
      <w:pPr>
        <w:ind w:right="260" w:firstLine="1948"/>
        <w:spacing w:after="0" w:line="268" w:lineRule="auto"/>
        <w:tabs>
          <w:tab w:leader="none" w:pos="215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right="220" w:firstLine="1948"/>
        <w:spacing w:after="0" w:line="268" w:lineRule="auto"/>
        <w:tabs>
          <w:tab w:leader="none" w:pos="218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14" w:name="page115"/>
    <w:bookmarkEnd w:id="114"/>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to direct the Trustee to pay benefits and any Plan expenses properly chargeable to the Plan that are related to claims for benefits.</w:t>
      </w:r>
    </w:p>
    <w:p>
      <w:pPr>
        <w:spacing w:after="0" w:line="194" w:lineRule="exact"/>
        <w:rPr>
          <w:sz w:val="20"/>
          <w:szCs w:val="20"/>
          <w:color w:val="auto"/>
        </w:rPr>
      </w:pPr>
    </w:p>
    <w:p>
      <w:pPr>
        <w:ind w:firstLine="1484"/>
        <w:spacing w:after="0" w:line="335" w:lineRule="auto"/>
        <w:rPr>
          <w:sz w:val="20"/>
          <w:szCs w:val="20"/>
          <w:color w:val="auto"/>
        </w:rPr>
      </w:pPr>
      <w:r>
        <w:rPr>
          <w:rFonts w:ascii="Arial" w:cs="Arial" w:eastAsia="Arial" w:hAnsi="Arial"/>
          <w:sz w:val="15"/>
          <w:szCs w:val="15"/>
          <w:color w:val="auto"/>
        </w:rPr>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171" w:lineRule="exact"/>
        <w:rPr>
          <w:sz w:val="20"/>
          <w:szCs w:val="20"/>
          <w:color w:val="auto"/>
        </w:rPr>
      </w:pPr>
    </w:p>
    <w:p>
      <w:pPr>
        <w:ind w:right="320" w:firstLine="1484"/>
        <w:spacing w:after="0" w:line="33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85"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171"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144" w:lineRule="exact"/>
        <w:rPr>
          <w:sz w:val="20"/>
          <w:szCs w:val="20"/>
          <w:color w:val="auto"/>
        </w:rPr>
      </w:pPr>
    </w:p>
    <w:p>
      <w:pPr>
        <w:jc w:val="both"/>
        <w:ind w:right="180" w:firstLine="1484"/>
        <w:spacing w:after="0" w:line="306" w:lineRule="auto"/>
        <w:rPr>
          <w:sz w:val="20"/>
          <w:szCs w:val="20"/>
          <w:color w:val="auto"/>
        </w:rPr>
      </w:pPr>
      <w:r>
        <w:rPr>
          <w:rFonts w:ascii="Arial" w:cs="Arial" w:eastAsia="Arial" w:hAnsi="Arial"/>
          <w:sz w:val="16"/>
          <w:szCs w:val="16"/>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15" w:name="page116"/>
    <w:bookmarkEnd w:id="11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71"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132" w:lineRule="exact"/>
        <w:rPr>
          <w:sz w:val="20"/>
          <w:szCs w:val="20"/>
          <w:color w:val="auto"/>
        </w:rPr>
      </w:pPr>
    </w:p>
    <w:p>
      <w:pPr>
        <w:ind w:left="2180" w:hanging="232"/>
        <w:spacing w:after="0"/>
        <w:tabs>
          <w:tab w:leader="none" w:pos="2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description of any additional information necessary for the claimant to perfect the claim and an explanation of why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 is necessary; and</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claim for review.</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40" w:lineRule="exact"/>
        <w:rPr>
          <w:sz w:val="20"/>
          <w:szCs w:val="20"/>
          <w:color w:val="auto"/>
        </w:rPr>
      </w:pPr>
    </w:p>
    <w:p>
      <w:pPr>
        <w:ind w:right="80" w:firstLine="1484"/>
        <w:spacing w:after="0" w:line="255" w:lineRule="auto"/>
        <w:rPr>
          <w:sz w:val="20"/>
          <w:szCs w:val="20"/>
          <w:color w:val="auto"/>
        </w:rPr>
      </w:pPr>
      <w:r>
        <w:rPr>
          <w:rFonts w:ascii="Arial" w:cs="Arial" w:eastAsia="Arial" w:hAnsi="Arial"/>
          <w:sz w:val="18"/>
          <w:szCs w:val="18"/>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16" w:name="page117"/>
    <w:bookmarkEnd w:id="11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132" w:lineRule="exact"/>
        <w:rPr>
          <w:sz w:val="20"/>
          <w:szCs w:val="20"/>
          <w:color w:val="auto"/>
        </w:rPr>
      </w:pPr>
    </w:p>
    <w:p>
      <w:pPr>
        <w:ind w:right="80" w:firstLine="1484"/>
        <w:spacing w:after="0" w:line="294" w:lineRule="auto"/>
        <w:rPr>
          <w:sz w:val="20"/>
          <w:szCs w:val="20"/>
          <w:color w:val="auto"/>
        </w:rPr>
      </w:pPr>
      <w:r>
        <w:rPr>
          <w:rFonts w:ascii="Arial" w:cs="Arial" w:eastAsia="Arial" w:hAnsi="Arial"/>
          <w:sz w:val="16"/>
          <w:szCs w:val="16"/>
          <w:color w:val="auto"/>
        </w:rPr>
        <w:t xml:space="preserve">10.7.3. </w:t>
      </w:r>
      <w:r>
        <w:rPr>
          <w:rFonts w:ascii="Arial" w:cs="Arial" w:eastAsia="Arial" w:hAnsi="Arial"/>
          <w:sz w:val="16"/>
          <w:szCs w:val="16"/>
          <w:u w:val="single" w:color="auto"/>
          <w:color w:val="auto"/>
        </w:rPr>
        <w:t>Exhaustion and Limitations Period</w:t>
      </w:r>
      <w:r>
        <w:rPr>
          <w:rFonts w:ascii="Arial" w:cs="Arial" w:eastAsia="Arial" w:hAnsi="Arial"/>
          <w:sz w:val="16"/>
          <w:szCs w:val="16"/>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17" w:name="page118"/>
    <w:bookmarkEnd w:id="117"/>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Trustee</w:t>
      </w:r>
      <w:r>
        <w:rPr>
          <w:rFonts w:ascii="Arial" w:cs="Arial" w:eastAsia="Arial" w:hAnsi="Arial"/>
          <w:sz w:val="18"/>
          <w:szCs w:val="18"/>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71" w:lineRule="exact"/>
        <w:rPr>
          <w:sz w:val="20"/>
          <w:szCs w:val="20"/>
          <w:color w:val="auto"/>
        </w:rPr>
      </w:pPr>
    </w:p>
    <w:p>
      <w:pPr>
        <w:ind w:right="100" w:firstLine="1484"/>
        <w:spacing w:after="0" w:line="298"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13"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80" w:right="299" w:bottom="1440" w:gutter="0" w:footer="0" w:header="0"/>
        </w:sectPr>
      </w:pPr>
    </w:p>
    <w:bookmarkStart w:id="118" w:name="page119"/>
    <w:bookmarkEnd w:id="118"/>
    <w:p>
      <w:pPr>
        <w:ind w:right="28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11.5.4. The amounts contributed by all Participants to each Investment Medium shall be commingled for investment purposes.</w:t>
      </w:r>
    </w:p>
    <w:p>
      <w:pPr>
        <w:spacing w:after="0" w:line="194"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11.5.6. The Committee may limit the right of a Participant (a) to increase or decrease his contribution to a particular Investment Medium,</w:t>
      </w:r>
    </w:p>
    <w:p>
      <w:pPr>
        <w:spacing w:after="0" w:line="38" w:lineRule="exact"/>
        <w:rPr>
          <w:sz w:val="20"/>
          <w:szCs w:val="20"/>
          <w:color w:val="auto"/>
        </w:rPr>
      </w:pPr>
    </w:p>
    <w:p>
      <w:pPr>
        <w:jc w:val="both"/>
        <w:ind w:firstLine="8"/>
        <w:spacing w:after="0" w:line="255"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44" w:lineRule="exact"/>
        <w:rPr>
          <w:sz w:val="20"/>
          <w:szCs w:val="20"/>
          <w:color w:val="auto"/>
        </w:rPr>
      </w:pPr>
    </w:p>
    <w:p>
      <w:pPr>
        <w:jc w:val="both"/>
        <w:ind w:right="100" w:firstLine="1484"/>
        <w:spacing w:after="0" w:line="294"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 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280" w:right="339" w:bottom="1440" w:gutter="0" w:footer="0" w:header="0"/>
        </w:sectPr>
      </w:pPr>
    </w:p>
    <w:bookmarkStart w:id="119" w:name="page120"/>
    <w:bookmarkEnd w:id="119"/>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AMENDMENT OR TERMINATION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12.1.2. In addition,</w:t>
      </w:r>
    </w:p>
    <w:p>
      <w:pPr>
        <w:spacing w:after="0" w:line="171" w:lineRule="exact"/>
        <w:rPr>
          <w:sz w:val="20"/>
          <w:szCs w:val="20"/>
          <w:color w:val="auto"/>
        </w:rPr>
      </w:pPr>
    </w:p>
    <w:p>
      <w:pPr>
        <w:ind w:left="2180" w:hanging="232"/>
        <w:spacing w:after="0"/>
        <w:tabs>
          <w:tab w:leader="none" w:pos="2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171" w:lineRule="exact"/>
        <w:rPr>
          <w:rFonts w:ascii="Arial" w:cs="Arial" w:eastAsia="Arial" w:hAnsi="Arial"/>
          <w:sz w:val="18"/>
          <w:szCs w:val="18"/>
          <w:color w:val="auto"/>
        </w:rPr>
      </w:pPr>
    </w:p>
    <w:p>
      <w:pPr>
        <w:ind w:right="160" w:firstLine="2404"/>
        <w:spacing w:after="0" w:line="268" w:lineRule="auto"/>
        <w:tabs>
          <w:tab w:leader="none" w:pos="26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171" w:lineRule="exact"/>
        <w:rPr>
          <w:rFonts w:ascii="Arial" w:cs="Arial" w:eastAsia="Arial" w:hAnsi="Arial"/>
          <w:sz w:val="18"/>
          <w:szCs w:val="18"/>
          <w:color w:val="auto"/>
        </w:rPr>
      </w:pPr>
    </w:p>
    <w:p>
      <w:pPr>
        <w:ind w:right="40" w:firstLine="2404"/>
        <w:spacing w:after="0" w:line="259" w:lineRule="auto"/>
        <w:tabs>
          <w:tab w:leader="none" w:pos="270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40" w:lineRule="exact"/>
        <w:rPr>
          <w:rFonts w:ascii="Arial" w:cs="Arial" w:eastAsia="Arial" w:hAnsi="Arial"/>
          <w:sz w:val="18"/>
          <w:szCs w:val="18"/>
          <w:color w:val="auto"/>
        </w:rPr>
      </w:pPr>
    </w:p>
    <w:p>
      <w:pPr>
        <w:ind w:right="180" w:firstLine="2404"/>
        <w:spacing w:after="0" w:line="259" w:lineRule="auto"/>
        <w:tabs>
          <w:tab w:leader="none" w:pos="269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40" w:lineRule="exact"/>
        <w:rPr>
          <w:rFonts w:ascii="Arial" w:cs="Arial" w:eastAsia="Arial" w:hAnsi="Arial"/>
          <w:sz w:val="18"/>
          <w:szCs w:val="18"/>
          <w:color w:val="auto"/>
        </w:rPr>
      </w:pPr>
    </w:p>
    <w:p>
      <w:pPr>
        <w:ind w:left="2660" w:hanging="256"/>
        <w:spacing w:after="0"/>
        <w:tabs>
          <w:tab w:leader="none" w:pos="26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that is not expected to increase the costs of the Plan by more than $10 million annually based on a reasonable actuarial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estimate.</w:t>
      </w:r>
    </w:p>
    <w:p>
      <w:pPr>
        <w:spacing w:after="0" w:line="165" w:lineRule="exact"/>
        <w:rPr>
          <w:sz w:val="20"/>
          <w:szCs w:val="20"/>
          <w:color w:val="auto"/>
        </w:rPr>
      </w:pPr>
    </w:p>
    <w:p>
      <w:pPr>
        <w:ind w:right="180" w:firstLine="1484"/>
        <w:spacing w:after="0" w:line="306" w:lineRule="auto"/>
        <w:rPr>
          <w:sz w:val="20"/>
          <w:szCs w:val="20"/>
          <w:color w:val="auto"/>
        </w:rPr>
      </w:pPr>
      <w:r>
        <w:rPr>
          <w:rFonts w:ascii="Arial" w:cs="Arial" w:eastAsia="Arial" w:hAnsi="Arial"/>
          <w:sz w:val="16"/>
          <w:szCs w:val="16"/>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120" w:name="page121"/>
    <w:bookmarkEnd w:id="12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Merger</w:t>
      </w:r>
      <w:r>
        <w:rPr>
          <w:rFonts w:ascii="Arial" w:cs="Arial" w:eastAsia="Arial" w:hAnsi="Arial"/>
          <w:sz w:val="15"/>
          <w:szCs w:val="15"/>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121" w:name="page122"/>
    <w:bookmarkEnd w:id="121"/>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TOP-HEAVY PROVISIONS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171"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13.2.1. “</w:t>
      </w:r>
      <w:r>
        <w:rPr>
          <w:rFonts w:ascii="Arial" w:cs="Arial" w:eastAsia="Arial" w:hAnsi="Arial"/>
          <w:sz w:val="16"/>
          <w:szCs w:val="16"/>
          <w:u w:val="single" w:color="auto"/>
          <w:color w:val="auto"/>
        </w:rPr>
        <w:t>Aggregation Group</w:t>
      </w:r>
      <w:r>
        <w:rPr>
          <w:rFonts w:ascii="Arial" w:cs="Arial" w:eastAsia="Arial" w:hAnsi="Arial"/>
          <w:sz w:val="16"/>
          <w:szCs w:val="16"/>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85" w:lineRule="exact"/>
        <w:rPr>
          <w:sz w:val="20"/>
          <w:szCs w:val="20"/>
          <w:color w:val="auto"/>
        </w:rPr>
      </w:pPr>
    </w:p>
    <w:p>
      <w:pPr>
        <w:ind w:left="2180" w:hanging="232"/>
        <w:spacing w:after="0"/>
        <w:tabs>
          <w:tab w:leader="none" w:pos="2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which enables any plan in which a Key Employee participates to meet the requirements of sections 401(a)(4) or 410 of the Code;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ind w:right="40" w:firstLine="1948"/>
        <w:spacing w:after="0" w:line="332" w:lineRule="auto"/>
        <w:tabs>
          <w:tab w:leader="none" w:pos="21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171" w:lineRule="exact"/>
        <w:rPr>
          <w:sz w:val="20"/>
          <w:szCs w:val="20"/>
          <w:color w:val="auto"/>
        </w:rPr>
      </w:pPr>
    </w:p>
    <w:p>
      <w:pPr>
        <w:ind w:right="160" w:firstLine="1484"/>
        <w:spacing w:after="0" w:line="254"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$130,000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44" w:lineRule="exact"/>
        <w:rPr>
          <w:sz w:val="20"/>
          <w:szCs w:val="20"/>
          <w:color w:val="auto"/>
        </w:rPr>
      </w:pPr>
    </w:p>
    <w:p>
      <w:pPr>
        <w:ind w:right="260" w:firstLine="1484"/>
        <w:spacing w:after="0" w:line="332" w:lineRule="auto"/>
        <w:rPr>
          <w:sz w:val="20"/>
          <w:szCs w:val="20"/>
          <w:color w:val="auto"/>
        </w:rPr>
      </w:pPr>
      <w:r>
        <w:rPr>
          <w:rFonts w:ascii="Arial" w:cs="Arial" w:eastAsia="Arial" w:hAnsi="Arial"/>
          <w:sz w:val="16"/>
          <w:szCs w:val="16"/>
          <w:color w:val="auto"/>
        </w:rPr>
        <w:t>13.2.4. “</w:t>
      </w:r>
      <w:r>
        <w:rPr>
          <w:rFonts w:ascii="Arial" w:cs="Arial" w:eastAsia="Arial" w:hAnsi="Arial"/>
          <w:sz w:val="16"/>
          <w:szCs w:val="16"/>
          <w:u w:val="single" w:color="auto"/>
          <w:color w:val="auto"/>
        </w:rPr>
        <w:t>Key Employee Ratio</w:t>
      </w:r>
      <w:r>
        <w:rPr>
          <w:rFonts w:ascii="Arial" w:cs="Arial" w:eastAsia="Arial" w:hAnsi="Arial"/>
          <w:sz w:val="16"/>
          <w:szCs w:val="16"/>
          <w:color w:val="auto"/>
        </w:rPr>
        <w:t>” means, for any Determination Date, the ratio of the amount described in Section 13.2.4(a) to the amount described in Section 13.2.4(b), after deducting from each such amount any portion thereof described in Section 13.2.4(c), where:</w:t>
      </w:r>
    </w:p>
    <w:p>
      <w:pPr>
        <w:spacing w:after="0" w:line="85" w:lineRule="exact"/>
        <w:rPr>
          <w:sz w:val="20"/>
          <w:szCs w:val="20"/>
          <w:color w:val="auto"/>
        </w:rPr>
      </w:pPr>
    </w:p>
    <w:p>
      <w:pPr>
        <w:ind w:left="2180" w:hanging="232"/>
        <w:spacing w:after="0"/>
        <w:tabs>
          <w:tab w:leader="none" w:pos="2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present value of all accrued benefits of Key Employees under all qualified defined benefit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280" w:right="399" w:bottom="1440" w:gutter="0" w:footer="0" w:header="0"/>
        </w:sectPr>
      </w:pPr>
    </w:p>
    <w:bookmarkStart w:id="122" w:name="page123"/>
    <w:bookmarkEnd w:id="122"/>
    <w:p>
      <w:pPr>
        <w:ind w:left="2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the balances in all of the accounts of Key Employees under all qualified defined contribution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 and</w:t>
      </w:r>
    </w:p>
    <w:p>
      <w:pPr>
        <w:spacing w:after="0" w:line="165" w:lineRule="exact"/>
        <w:rPr>
          <w:sz w:val="20"/>
          <w:szCs w:val="20"/>
          <w:color w:val="auto"/>
        </w:rPr>
      </w:pPr>
    </w:p>
    <w:p>
      <w:pPr>
        <w:ind w:right="200" w:firstLine="2404"/>
        <w:spacing w:after="0" w:line="306" w:lineRule="auto"/>
        <w:tabs>
          <w:tab w:leader="none" w:pos="264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06" w:lineRule="exact"/>
        <w:rPr>
          <w:rFonts w:ascii="Arial" w:cs="Arial" w:eastAsia="Arial" w:hAnsi="Arial"/>
          <w:sz w:val="16"/>
          <w:szCs w:val="16"/>
          <w:color w:val="auto"/>
        </w:rPr>
      </w:pPr>
    </w:p>
    <w:p>
      <w:pPr>
        <w:ind w:left="2200" w:hanging="252"/>
        <w:spacing w:after="0"/>
        <w:tabs>
          <w:tab w:leader="none" w:pos="2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present value of all accrued benefits of all participants under all qualified defined benefit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 and</w:t>
      </w:r>
    </w:p>
    <w:p>
      <w:pPr>
        <w:spacing w:after="0" w:line="164" w:lineRule="exact"/>
        <w:rPr>
          <w:rFonts w:ascii="Arial" w:cs="Arial" w:eastAsia="Arial" w:hAnsi="Arial"/>
          <w:sz w:val="16"/>
          <w:szCs w:val="16"/>
          <w:color w:val="auto"/>
        </w:rPr>
      </w:pPr>
    </w:p>
    <w:p>
      <w:pPr>
        <w:ind w:firstLine="2404"/>
        <w:spacing w:after="0" w:line="259" w:lineRule="auto"/>
        <w:tabs>
          <w:tab w:leader="none" w:pos="264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right="500" w:firstLine="2404"/>
        <w:spacing w:after="0" w:line="268" w:lineRule="auto"/>
        <w:tabs>
          <w:tab w:leader="none" w:pos="264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31" w:lineRule="exact"/>
        <w:rPr>
          <w:rFonts w:ascii="Arial" w:cs="Arial" w:eastAsia="Arial" w:hAnsi="Arial"/>
          <w:sz w:val="18"/>
          <w:szCs w:val="18"/>
          <w:color w:val="auto"/>
        </w:rPr>
      </w:pPr>
    </w:p>
    <w:p>
      <w:pPr>
        <w:ind w:right="100" w:firstLine="2404"/>
        <w:spacing w:after="0" w:line="268" w:lineRule="auto"/>
        <w:tabs>
          <w:tab w:leader="none" w:pos="264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31" w:lineRule="exact"/>
        <w:rPr>
          <w:rFonts w:ascii="Arial" w:cs="Arial" w:eastAsia="Arial" w:hAnsi="Arial"/>
          <w:sz w:val="18"/>
          <w:szCs w:val="18"/>
          <w:color w:val="auto"/>
        </w:rPr>
      </w:pPr>
    </w:p>
    <w:p>
      <w:pPr>
        <w:ind w:right="400" w:firstLine="2404"/>
        <w:spacing w:after="0" w:line="268" w:lineRule="auto"/>
        <w:tabs>
          <w:tab w:leader="none" w:pos="264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80" w:right="279" w:bottom="1440" w:gutter="0" w:footer="0" w:header="0"/>
        </w:sectPr>
      </w:pPr>
    </w:p>
    <w:bookmarkStart w:id="123" w:name="page124"/>
    <w:bookmarkEnd w:id="12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171" w:lineRule="exact"/>
        <w:rPr>
          <w:sz w:val="20"/>
          <w:szCs w:val="20"/>
          <w:color w:val="auto"/>
        </w:rPr>
      </w:pPr>
    </w:p>
    <w:p>
      <w:pPr>
        <w:ind w:left="2180" w:hanging="232"/>
        <w:spacing w:after="0"/>
        <w:tabs>
          <w:tab w:leader="none" w:pos="21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171" w:lineRule="exact"/>
        <w:rPr>
          <w:sz w:val="20"/>
          <w:szCs w:val="20"/>
          <w:color w:val="auto"/>
        </w:rPr>
      </w:pPr>
    </w:p>
    <w:p>
      <w:pPr>
        <w:ind w:right="260" w:firstLine="1484"/>
        <w:spacing w:after="0" w:line="268"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32"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140" w:lineRule="exact"/>
        <w:rPr>
          <w:sz w:val="20"/>
          <w:szCs w:val="20"/>
          <w:color w:val="auto"/>
        </w:rPr>
      </w:pPr>
    </w:p>
    <w:p>
      <w:pPr>
        <w:ind w:left="2180" w:hanging="232"/>
        <w:spacing w:after="0"/>
        <w:tabs>
          <w:tab w:leader="none" w:pos="2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171" w:lineRule="exact"/>
        <w:rPr>
          <w:sz w:val="20"/>
          <w:szCs w:val="20"/>
          <w:color w:val="auto"/>
        </w:rPr>
      </w:pPr>
    </w:p>
    <w:p>
      <w:pPr>
        <w:ind w:right="720" w:firstLine="1484"/>
        <w:spacing w:after="0" w:line="268"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13.2.9. “</w:t>
      </w:r>
      <w:r>
        <w:rPr>
          <w:rFonts w:ascii="Arial" w:cs="Arial" w:eastAsia="Arial" w:hAnsi="Arial"/>
          <w:sz w:val="16"/>
          <w:szCs w:val="16"/>
          <w:u w:val="single" w:color="auto"/>
          <w:color w:val="auto"/>
        </w:rPr>
        <w:t>Year of Top-Heavy Service</w:t>
      </w:r>
      <w:r>
        <w:rPr>
          <w:rFonts w:ascii="Arial" w:cs="Arial" w:eastAsia="Arial" w:hAnsi="Arial"/>
          <w:sz w:val="16"/>
          <w:szCs w:val="16"/>
          <w:color w:val="auto"/>
        </w:rPr>
        <w:t>” means, for any Participant, a Plan Year in which he completes 1,000 or more Hours of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w:t>
      </w:r>
    </w:p>
    <w:p>
      <w:pPr>
        <w:spacing w:after="0" w:line="165" w:lineRule="exact"/>
        <w:rPr>
          <w:sz w:val="20"/>
          <w:szCs w:val="20"/>
          <w:color w:val="auto"/>
        </w:rPr>
      </w:pPr>
    </w:p>
    <w:p>
      <w:pPr>
        <w:ind w:left="2180" w:hanging="232"/>
        <w:spacing w:after="0"/>
        <w:tabs>
          <w:tab w:leader="none" w:pos="2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124" w:name="page125"/>
    <w:bookmarkEnd w:id="12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 requirements of section 416(c)(2) of the Code and the Plan. Employer matching contributions that are used to satisfy the minimum contribution requirements shall be treated as matching contributions for purposes of the actual contribution percentage test and other requirements of section 401(m) of the Code.</w:t>
      </w:r>
    </w:p>
    <w:p>
      <w:pPr>
        <w:spacing w:after="0" w:line="140"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44"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280" w:right="35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14.6. </w:t>
      </w:r>
      <w:r>
        <w:rPr>
          <w:rFonts w:ascii="Arial" w:cs="Arial" w:eastAsia="Arial" w:hAnsi="Arial"/>
          <w:sz w:val="16"/>
          <w:szCs w:val="16"/>
          <w:u w:val="single" w:color="auto"/>
          <w:color w:val="auto"/>
        </w:rPr>
        <w:t>Incapacity</w:t>
      </w:r>
      <w:r>
        <w:rPr>
          <w:rFonts w:ascii="Arial" w:cs="Arial" w:eastAsia="Arial" w:hAnsi="Arial"/>
          <w:sz w:val="16"/>
          <w:szCs w:val="16"/>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126" w:name="page127"/>
    <w:bookmarkEnd w:id="126"/>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14.8. </w:t>
      </w:r>
      <w:r>
        <w:rPr>
          <w:rFonts w:ascii="Arial" w:cs="Arial" w:eastAsia="Arial" w:hAnsi="Arial"/>
          <w:sz w:val="16"/>
          <w:szCs w:val="16"/>
          <w:u w:val="single" w:color="auto"/>
          <w:color w:val="auto"/>
        </w:rPr>
        <w:t>Missing Persons/Uncashed Checks</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118"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 xml:space="preserve">14.8.2. </w:t>
      </w:r>
      <w:r>
        <w:rPr>
          <w:rFonts w:ascii="Arial" w:cs="Arial" w:eastAsia="Arial" w:hAnsi="Arial"/>
          <w:sz w:val="16"/>
          <w:szCs w:val="16"/>
          <w:u w:val="single" w:color="auto"/>
          <w:color w:val="auto"/>
        </w:rPr>
        <w:t>Uncashed Checks</w:t>
      </w:r>
      <w:r>
        <w:rPr>
          <w:rFonts w:ascii="Arial" w:cs="Arial" w:eastAsia="Arial" w:hAnsi="Arial"/>
          <w:sz w:val="16"/>
          <w:szCs w:val="16"/>
          <w:color w:val="auto"/>
        </w:rPr>
        <w:t>. If a Participant requests payment of his benefits or if the Participant is automatically cashed out pursuant to Section 5.6.1, and such Participant does not cash the distribution check, the Administrator will take the following actions. For distribution checks issued prior to January 1, 2002, the distribution amount will be forfeited, subject to reinstatement in accordance with Treasury Regulation 1.411(a)-4(b)(6) or any successor regulation. For distribution checks issued after January 1, 2002,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1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Section 14.9. </w:t>
      </w:r>
      <w:r>
        <w:rPr>
          <w:rFonts w:ascii="Arial" w:cs="Arial" w:eastAsia="Arial" w:hAnsi="Arial"/>
          <w:sz w:val="16"/>
          <w:szCs w:val="16"/>
          <w:u w:val="single" w:color="auto"/>
          <w:color w:val="auto"/>
        </w:rPr>
        <w:t>Notice</w:t>
      </w:r>
      <w:r>
        <w:rPr>
          <w:rFonts w:ascii="Arial" w:cs="Arial" w:eastAsia="Arial" w:hAnsi="Arial"/>
          <w:sz w:val="16"/>
          <w:szCs w:val="16"/>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80" w:right="299" w:bottom="1440" w:gutter="0" w:footer="0" w:header="0"/>
        </w:sectPr>
      </w:pPr>
    </w:p>
    <w:bookmarkStart w:id="127" w:name="page128"/>
    <w:bookmarkEnd w:id="127"/>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ADDITIONAL SERVICE CREDIT FOR FORMER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0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Listed Employer</w:t>
      </w:r>
      <w:r>
        <w:rPr>
          <w:rFonts w:ascii="Arial" w:cs="Arial" w:eastAsia="Arial" w:hAnsi="Arial"/>
          <w:sz w:val="16"/>
          <w:szCs w:val="16"/>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 to the effective date of an entity being designated as a Listed Employer with which he was employed, unless he would have become a Participant at an earlier date without regard to this Article.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171"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Executed as of the 27th of October, 2009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A.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165" w:lineRule="exact"/>
        <w:rPr>
          <w:sz w:val="20"/>
          <w:szCs w:val="20"/>
          <w:color w:val="auto"/>
        </w:rPr>
      </w:pPr>
    </w:p>
    <w:p>
      <w:pPr>
        <w:ind w:left="1040" w:hanging="179"/>
        <w:spacing w:after="0"/>
        <w:tabs>
          <w:tab w:leader="none" w:pos="10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180" w:firstLine="1492"/>
        <w:spacing w:after="0" w:line="268" w:lineRule="auto"/>
        <w:tabs>
          <w:tab w:leader="none" w:pos="171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31" w:lineRule="exact"/>
        <w:rPr>
          <w:rFonts w:ascii="Arial" w:cs="Arial" w:eastAsia="Arial" w:hAnsi="Arial"/>
          <w:sz w:val="18"/>
          <w:szCs w:val="18"/>
          <w:color w:val="auto"/>
        </w:rPr>
      </w:pPr>
    </w:p>
    <w:p>
      <w:pPr>
        <w:ind w:left="1700" w:hanging="268"/>
        <w:spacing w:after="0"/>
        <w:tabs>
          <w:tab w:leader="none" w:pos="170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Schedule A will take precedence over any inconsistent provisions of the Plan.</w:t>
      </w:r>
    </w:p>
    <w:p>
      <w:pPr>
        <w:spacing w:after="0" w:line="171" w:lineRule="exact"/>
        <w:rPr>
          <w:rFonts w:ascii="Arial" w:cs="Arial" w:eastAsia="Arial" w:hAnsi="Arial"/>
          <w:sz w:val="18"/>
          <w:szCs w:val="18"/>
          <w:color w:val="auto"/>
        </w:rPr>
      </w:pPr>
    </w:p>
    <w:p>
      <w:pPr>
        <w:ind w:left="-60" w:right="240" w:firstLine="1492"/>
        <w:spacing w:after="0" w:line="268" w:lineRule="auto"/>
        <w:tabs>
          <w:tab w:leader="none" w:pos="170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31" w:lineRule="exact"/>
        <w:rPr>
          <w:rFonts w:ascii="Arial" w:cs="Arial" w:eastAsia="Arial" w:hAnsi="Arial"/>
          <w:sz w:val="18"/>
          <w:szCs w:val="18"/>
          <w:color w:val="auto"/>
        </w:rPr>
      </w:pPr>
    </w:p>
    <w:p>
      <w:pPr>
        <w:ind w:left="-60" w:right="200" w:firstLine="1492"/>
        <w:spacing w:after="0" w:line="259" w:lineRule="auto"/>
        <w:tabs>
          <w:tab w:leader="none" w:pos="171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140" w:lineRule="exact"/>
        <w:rPr>
          <w:rFonts w:ascii="Arial" w:cs="Arial" w:eastAsia="Arial" w:hAnsi="Arial"/>
          <w:sz w:val="18"/>
          <w:szCs w:val="18"/>
          <w:color w:val="auto"/>
        </w:rPr>
      </w:pPr>
    </w:p>
    <w:p>
      <w:pPr>
        <w:ind w:left="1040" w:hanging="179"/>
        <w:spacing w:after="0"/>
        <w:tabs>
          <w:tab w:leader="none" w:pos="10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140" w:firstLine="1492"/>
        <w:spacing w:after="0" w:line="268" w:lineRule="auto"/>
        <w:tabs>
          <w:tab w:leader="none" w:pos="171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31" w:lineRule="exact"/>
        <w:rPr>
          <w:rFonts w:ascii="Arial" w:cs="Arial" w:eastAsia="Arial" w:hAnsi="Arial"/>
          <w:sz w:val="18"/>
          <w:szCs w:val="18"/>
          <w:color w:val="auto"/>
        </w:rPr>
      </w:pPr>
    </w:p>
    <w:p>
      <w:pPr>
        <w:ind w:left="-60" w:right="60" w:firstLine="1492"/>
        <w:spacing w:after="0" w:line="268" w:lineRule="auto"/>
        <w:tabs>
          <w:tab w:leader="none" w:pos="170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31" w:lineRule="exact"/>
        <w:rPr>
          <w:rFonts w:ascii="Arial" w:cs="Arial" w:eastAsia="Arial" w:hAnsi="Arial"/>
          <w:sz w:val="18"/>
          <w:szCs w:val="18"/>
          <w:color w:val="auto"/>
        </w:rPr>
      </w:pPr>
    </w:p>
    <w:p>
      <w:pPr>
        <w:ind w:left="-60" w:firstLine="1948"/>
        <w:spacing w:after="0" w:line="259" w:lineRule="auto"/>
        <w:tabs>
          <w:tab w:leader="none" w:pos="2129"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if later.</w:t>
      </w:r>
    </w:p>
    <w:p>
      <w:pPr>
        <w:spacing w:after="0" w:line="140" w:lineRule="exact"/>
        <w:rPr>
          <w:rFonts w:ascii="Arial" w:cs="Arial" w:eastAsia="Arial" w:hAnsi="Arial"/>
          <w:sz w:val="18"/>
          <w:szCs w:val="18"/>
          <w:color w:val="auto"/>
        </w:rPr>
      </w:pPr>
    </w:p>
    <w:p>
      <w:pPr>
        <w:ind w:left="-60" w:right="220" w:firstLine="1948"/>
        <w:spacing w:after="0" w:line="306" w:lineRule="auto"/>
        <w:tabs>
          <w:tab w:leader="none" w:pos="2129" w:val="left"/>
        </w:tabs>
        <w:numPr>
          <w:ilvl w:val="2"/>
          <w:numId w:val="131"/>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06" w:lineRule="exact"/>
        <w:rPr>
          <w:rFonts w:ascii="Arial" w:cs="Arial" w:eastAsia="Arial" w:hAnsi="Arial"/>
          <w:sz w:val="16"/>
          <w:szCs w:val="16"/>
          <w:color w:val="auto"/>
        </w:rPr>
      </w:pPr>
    </w:p>
    <w:p>
      <w:pPr>
        <w:ind w:left="-60" w:right="60" w:firstLine="1948"/>
        <w:spacing w:after="0" w:line="332" w:lineRule="auto"/>
        <w:tabs>
          <w:tab w:leader="none" w:pos="2129" w:val="left"/>
        </w:tabs>
        <w:numPr>
          <w:ilvl w:val="2"/>
          <w:numId w:val="131"/>
        </w:numPr>
        <w:rPr>
          <w:rFonts w:ascii="Arial" w:cs="Arial" w:eastAsia="Arial" w:hAnsi="Arial"/>
          <w:sz w:val="16"/>
          <w:szCs w:val="16"/>
          <w:color w:val="auto"/>
        </w:rPr>
      </w:pPr>
      <w:r>
        <w:rPr>
          <w:rFonts w:ascii="Arial" w:cs="Arial" w:eastAsia="Arial" w:hAnsi="Arial"/>
          <w:sz w:val="16"/>
          <w:szCs w:val="16"/>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300" w:top="280" w:right="279" w:bottom="1440" w:gutter="0" w:footer="0" w:header="0"/>
        </w:sectPr>
      </w:pPr>
    </w:p>
    <w:bookmarkStart w:id="130" w:name="page131"/>
    <w:bookmarkEnd w:id="130"/>
    <w:p>
      <w:pPr>
        <w:ind w:right="340" w:firstLine="1948"/>
        <w:spacing w:after="0" w:line="259" w:lineRule="auto"/>
        <w:tabs>
          <w:tab w:leader="none" w:pos="21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40" w:lineRule="exact"/>
        <w:rPr>
          <w:sz w:val="20"/>
          <w:szCs w:val="20"/>
          <w:color w:val="auto"/>
        </w:rPr>
      </w:pPr>
    </w:p>
    <w:p>
      <w:pPr>
        <w:ind w:right="180" w:firstLine="913"/>
        <w:spacing w:after="0" w:line="302" w:lineRule="auto"/>
        <w:rPr>
          <w:sz w:val="20"/>
          <w:szCs w:val="20"/>
          <w:color w:val="auto"/>
        </w:rPr>
      </w:pPr>
      <w:r>
        <w:rPr>
          <w:rFonts w:ascii="Arial" w:cs="Arial" w:eastAsia="Arial" w:hAnsi="Arial"/>
          <w:sz w:val="15"/>
          <w:szCs w:val="15"/>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date distributions are considered to begin is the date distributions actually commence.</w:t>
      </w:r>
    </w:p>
    <w:p>
      <w:pPr>
        <w:spacing w:after="0" w:line="165" w:lineRule="exact"/>
        <w:rPr>
          <w:sz w:val="20"/>
          <w:szCs w:val="20"/>
          <w:color w:val="auto"/>
        </w:rPr>
      </w:pPr>
    </w:p>
    <w:p>
      <w:pPr>
        <w:jc w:val="both"/>
        <w:ind w:right="60" w:firstLine="1492"/>
        <w:spacing w:after="0" w:line="298" w:lineRule="auto"/>
        <w:tabs>
          <w:tab w:leader="none" w:pos="1761"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Forms of Distribution</w:t>
      </w:r>
      <w:r>
        <w:rPr>
          <w:rFonts w:ascii="Arial" w:cs="Arial" w:eastAsia="Arial" w:hAnsi="Arial"/>
          <w:sz w:val="16"/>
          <w:szCs w:val="16"/>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500" w:firstLine="1492"/>
        <w:spacing w:after="0" w:line="268" w:lineRule="auto"/>
        <w:tabs>
          <w:tab w:leader="none" w:pos="177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31" w:lineRule="exact"/>
        <w:rPr>
          <w:rFonts w:ascii="Arial" w:cs="Arial" w:eastAsia="Arial" w:hAnsi="Arial"/>
          <w:sz w:val="18"/>
          <w:szCs w:val="18"/>
          <w:color w:val="auto"/>
        </w:rPr>
      </w:pPr>
    </w:p>
    <w:p>
      <w:pPr>
        <w:ind w:right="200" w:firstLine="1948"/>
        <w:spacing w:after="0" w:line="332" w:lineRule="auto"/>
        <w:tabs>
          <w:tab w:leader="none" w:pos="2189"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85" w:lineRule="exact"/>
        <w:rPr>
          <w:rFonts w:ascii="Arial" w:cs="Arial" w:eastAsia="Arial" w:hAnsi="Arial"/>
          <w:sz w:val="16"/>
          <w:szCs w:val="16"/>
          <w:color w:val="auto"/>
        </w:rPr>
      </w:pPr>
    </w:p>
    <w:p>
      <w:pPr>
        <w:ind w:firstLine="1948"/>
        <w:spacing w:after="0" w:line="306" w:lineRule="auto"/>
        <w:tabs>
          <w:tab w:leader="none" w:pos="2189" w:val="left"/>
        </w:tabs>
        <w:numPr>
          <w:ilvl w:val="2"/>
          <w:numId w:val="134"/>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06" w:lineRule="exact"/>
        <w:rPr>
          <w:rFonts w:ascii="Arial" w:cs="Arial" w:eastAsia="Arial" w:hAnsi="Arial"/>
          <w:sz w:val="16"/>
          <w:szCs w:val="16"/>
          <w:color w:val="auto"/>
        </w:rPr>
      </w:pPr>
    </w:p>
    <w:p>
      <w:pPr>
        <w:jc w:val="both"/>
        <w:ind w:right="420" w:firstLine="1492"/>
        <w:spacing w:after="0" w:line="259" w:lineRule="auto"/>
        <w:tabs>
          <w:tab w:leader="none" w:pos="176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131" w:name="page132"/>
    <w:bookmarkEnd w:id="131"/>
    <w:p>
      <w:pPr>
        <w:ind w:left="1100" w:hanging="179"/>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Minimum Distributions After Participant’s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948"/>
        <w:spacing w:after="0" w:line="256" w:lineRule="auto"/>
        <w:tabs>
          <w:tab w:leader="none" w:pos="2189"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43" w:lineRule="exact"/>
        <w:rPr>
          <w:rFonts w:ascii="Arial" w:cs="Arial" w:eastAsia="Arial" w:hAnsi="Arial"/>
          <w:sz w:val="18"/>
          <w:szCs w:val="18"/>
          <w:color w:val="auto"/>
        </w:rPr>
      </w:pPr>
    </w:p>
    <w:p>
      <w:pPr>
        <w:ind w:left="2640" w:hanging="236"/>
        <w:spacing w:after="0"/>
        <w:tabs>
          <w:tab w:leader="none" w:pos="2640" w:val="left"/>
        </w:tabs>
        <w:numPr>
          <w:ilvl w:val="3"/>
          <w:numId w:val="135"/>
        </w:numPr>
        <w:rPr>
          <w:rFonts w:ascii="Arial" w:cs="Arial" w:eastAsia="Arial" w:hAnsi="Arial"/>
          <w:sz w:val="16"/>
          <w:szCs w:val="16"/>
          <w:color w:val="auto"/>
        </w:rPr>
      </w:pPr>
      <w:r>
        <w:rPr>
          <w:rFonts w:ascii="Arial" w:cs="Arial" w:eastAsia="Arial" w:hAnsi="Arial"/>
          <w:sz w:val="16"/>
          <w:szCs w:val="16"/>
          <w:color w:val="auto"/>
        </w:rPr>
        <w:t>The Participant’s remaining Life Expectancy is calculated using the Age of the Participant in the year of death, reduced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for each subsequent year.</w:t>
      </w:r>
    </w:p>
    <w:p>
      <w:pPr>
        <w:spacing w:after="0" w:line="164" w:lineRule="exact"/>
        <w:rPr>
          <w:rFonts w:ascii="Arial" w:cs="Arial" w:eastAsia="Arial" w:hAnsi="Arial"/>
          <w:sz w:val="16"/>
          <w:szCs w:val="16"/>
          <w:color w:val="auto"/>
        </w:rPr>
      </w:pPr>
    </w:p>
    <w:p>
      <w:pPr>
        <w:ind w:right="180" w:firstLine="2404"/>
        <w:spacing w:after="0" w:line="255" w:lineRule="auto"/>
        <w:tabs>
          <w:tab w:leader="none" w:pos="264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42" w:lineRule="exact"/>
        <w:rPr>
          <w:rFonts w:ascii="Arial" w:cs="Arial" w:eastAsia="Arial" w:hAnsi="Arial"/>
          <w:sz w:val="18"/>
          <w:szCs w:val="18"/>
          <w:color w:val="auto"/>
        </w:rPr>
      </w:pPr>
    </w:p>
    <w:p>
      <w:pPr>
        <w:ind w:right="520" w:firstLine="2404"/>
        <w:spacing w:after="0" w:line="259" w:lineRule="auto"/>
        <w:tabs>
          <w:tab w:leader="none" w:pos="263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40" w:lineRule="exact"/>
        <w:rPr>
          <w:rFonts w:ascii="Arial" w:cs="Arial" w:eastAsia="Arial" w:hAnsi="Arial"/>
          <w:sz w:val="18"/>
          <w:szCs w:val="18"/>
          <w:color w:val="auto"/>
        </w:rPr>
      </w:pPr>
    </w:p>
    <w:p>
      <w:pPr>
        <w:ind w:right="40" w:firstLine="1948"/>
        <w:spacing w:after="0" w:line="298" w:lineRule="auto"/>
        <w:tabs>
          <w:tab w:leader="none" w:pos="2189" w:val="left"/>
        </w:tabs>
        <w:numPr>
          <w:ilvl w:val="2"/>
          <w:numId w:val="135"/>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12" w:lineRule="exact"/>
        <w:rPr>
          <w:rFonts w:ascii="Arial" w:cs="Arial" w:eastAsia="Arial" w:hAnsi="Arial"/>
          <w:sz w:val="16"/>
          <w:szCs w:val="16"/>
          <w:color w:val="auto"/>
        </w:rPr>
      </w:pPr>
    </w:p>
    <w:p>
      <w:pPr>
        <w:ind w:left="1760" w:hanging="268"/>
        <w:spacing w:after="0"/>
        <w:tabs>
          <w:tab w:leader="none" w:pos="176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948"/>
        <w:spacing w:after="0" w:line="335" w:lineRule="auto"/>
        <w:tabs>
          <w:tab w:leader="none" w:pos="2189" w:val="left"/>
        </w:tabs>
        <w:numPr>
          <w:ilvl w:val="2"/>
          <w:numId w:val="135"/>
        </w:numPr>
        <w:rPr>
          <w:rFonts w:ascii="Arial" w:cs="Arial" w:eastAsia="Arial" w:hAnsi="Arial"/>
          <w:sz w:val="15"/>
          <w:szCs w:val="15"/>
          <w:color w:val="auto"/>
        </w:rPr>
      </w:pPr>
      <w:r>
        <w:rPr>
          <w:rFonts w:ascii="Arial" w:cs="Arial" w:eastAsia="Arial" w:hAnsi="Arial"/>
          <w:sz w:val="15"/>
          <w:szCs w:val="15"/>
          <w:u w:val="single" w:color="auto"/>
          <w:color w:val="auto"/>
        </w:rPr>
        <w:t>Participant Survived by Designated Beneficiary</w:t>
      </w:r>
      <w:r>
        <w:rPr>
          <w:rFonts w:ascii="Arial" w:cs="Arial" w:eastAsia="Arial" w:hAnsi="Arial"/>
          <w:sz w:val="15"/>
          <w:szCs w:val="15"/>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88" w:lineRule="exact"/>
        <w:rPr>
          <w:rFonts w:ascii="Arial" w:cs="Arial" w:eastAsia="Arial" w:hAnsi="Arial"/>
          <w:sz w:val="15"/>
          <w:szCs w:val="15"/>
          <w:color w:val="auto"/>
        </w:rPr>
      </w:pPr>
    </w:p>
    <w:p>
      <w:pPr>
        <w:ind w:right="120" w:firstLine="1948"/>
        <w:spacing w:after="0" w:line="259" w:lineRule="auto"/>
        <w:tabs>
          <w:tab w:leader="none" w:pos="2189"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132" w:name="page133"/>
    <w:bookmarkEnd w:id="132"/>
    <w:p>
      <w:pPr>
        <w:ind w:right="60" w:firstLine="1948"/>
        <w:spacing w:after="0" w:line="306" w:lineRule="auto"/>
        <w:tabs>
          <w:tab w:leader="none" w:pos="2189"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171" w:lineRule="exact"/>
        <w:rPr>
          <w:rFonts w:ascii="Arial" w:cs="Arial" w:eastAsia="Arial" w:hAnsi="Arial"/>
          <w:sz w:val="18"/>
          <w:szCs w:val="18"/>
          <w:color w:val="auto"/>
        </w:rPr>
      </w:pPr>
    </w:p>
    <w:p>
      <w:pPr>
        <w:ind w:right="360" w:firstLine="1492"/>
        <w:spacing w:after="0" w:line="294" w:lineRule="auto"/>
        <w:tabs>
          <w:tab w:leader="none" w:pos="1771"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Account Balance</w:t>
      </w:r>
      <w:r>
        <w:rPr>
          <w:rFonts w:ascii="Arial" w:cs="Arial" w:eastAsia="Arial" w:hAnsi="Arial"/>
          <w:sz w:val="16"/>
          <w:szCs w:val="16"/>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15" w:lineRule="exact"/>
        <w:rPr>
          <w:rFonts w:ascii="Arial" w:cs="Arial" w:eastAsia="Arial" w:hAnsi="Arial"/>
          <w:sz w:val="16"/>
          <w:szCs w:val="16"/>
          <w:color w:val="auto"/>
        </w:rPr>
      </w:pPr>
    </w:p>
    <w:p>
      <w:pPr>
        <w:ind w:right="440" w:firstLine="1492"/>
        <w:spacing w:after="0" w:line="268" w:lineRule="auto"/>
        <w:tabs>
          <w:tab w:leader="none" w:pos="1761"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the Plan and is the designated beneficiary under section 401(a)(9) of the Code and section 1.401(a)(9)-1, Q&amp;A-4, of the Treasury Regulations.</w:t>
      </w:r>
    </w:p>
    <w:p>
      <w:pPr>
        <w:spacing w:after="0" w:line="131" w:lineRule="exact"/>
        <w:rPr>
          <w:rFonts w:ascii="Arial" w:cs="Arial" w:eastAsia="Arial" w:hAnsi="Arial"/>
          <w:sz w:val="18"/>
          <w:szCs w:val="18"/>
          <w:color w:val="auto"/>
        </w:rPr>
      </w:pPr>
    </w:p>
    <w:p>
      <w:pPr>
        <w:ind w:firstLine="1492"/>
        <w:spacing w:after="0" w:line="253" w:lineRule="auto"/>
        <w:tabs>
          <w:tab w:leader="none" w:pos="1761"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47" w:lineRule="exact"/>
        <w:rPr>
          <w:rFonts w:ascii="Arial" w:cs="Arial" w:eastAsia="Arial" w:hAnsi="Arial"/>
          <w:sz w:val="18"/>
          <w:szCs w:val="18"/>
          <w:color w:val="auto"/>
        </w:rPr>
      </w:pPr>
    </w:p>
    <w:p>
      <w:pPr>
        <w:ind w:left="1780" w:hanging="288"/>
        <w:spacing w:after="0"/>
        <w:tabs>
          <w:tab w:leader="none" w:pos="178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Life Expectancy</w:t>
      </w:r>
      <w:r>
        <w:rPr>
          <w:rFonts w:ascii="Arial" w:cs="Arial" w:eastAsia="Arial" w:hAnsi="Arial"/>
          <w:sz w:val="16"/>
          <w:szCs w:val="16"/>
          <w:color w:val="auto"/>
        </w:rPr>
        <w:t>. Life expectancy as computed by use of the Single Life Table in section 1.401(a)(9)-9 of the Treasury Regulations.</w:t>
      </w:r>
    </w:p>
    <w:p>
      <w:pPr>
        <w:spacing w:after="0" w:line="194" w:lineRule="exact"/>
        <w:rPr>
          <w:rFonts w:ascii="Arial" w:cs="Arial" w:eastAsia="Arial" w:hAnsi="Arial"/>
          <w:sz w:val="16"/>
          <w:szCs w:val="16"/>
          <w:color w:val="auto"/>
        </w:rPr>
      </w:pPr>
    </w:p>
    <w:p>
      <w:pPr>
        <w:ind w:right="40" w:firstLine="1492"/>
        <w:spacing w:after="0" w:line="268" w:lineRule="auto"/>
        <w:tabs>
          <w:tab w:leader="none" w:pos="175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0" w:type="dxa"/>
            <w:vAlign w:val="bottom"/>
            <w:gridSpan w:val="2"/>
          </w:tcPr>
          <w:p>
            <w:pPr>
              <w:jc w:val="center"/>
              <w:ind w:right="3037"/>
              <w:spacing w:after="0"/>
              <w:rPr>
                <w:sz w:val="20"/>
                <w:szCs w:val="20"/>
                <w:color w:val="auto"/>
              </w:rPr>
            </w:pPr>
            <w:r>
              <w:rPr>
                <w:rFonts w:ascii="Arial" w:cs="Arial" w:eastAsia="Arial" w:hAnsi="Arial"/>
                <w:sz w:val="18"/>
                <w:szCs w:val="18"/>
                <w:color w:val="auto"/>
                <w:w w:val="96"/>
              </w:rPr>
              <w:t>APPENDIX A</w:t>
            </w:r>
          </w:p>
        </w:tc>
      </w:tr>
      <w:tr>
        <w:trPr>
          <w:trHeight w:val="353"/>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Union Location</w:t>
            </w:r>
          </w:p>
        </w:tc>
        <w:tc>
          <w:tcPr>
            <w:tcW w:w="720" w:type="dxa"/>
            <w:vAlign w:val="bottom"/>
          </w:tcPr>
          <w:p>
            <w:pPr>
              <w:spacing w:after="0"/>
              <w:rPr>
                <w:sz w:val="20"/>
                <w:szCs w:val="20"/>
                <w:color w:val="auto"/>
              </w:rPr>
            </w:pPr>
            <w:r>
              <w:rPr>
                <w:rFonts w:ascii="Arial" w:cs="Arial" w:eastAsia="Arial" w:hAnsi="Arial"/>
                <w:sz w:val="14"/>
                <w:szCs w:val="14"/>
                <w:b w:val="1"/>
                <w:bCs w:val="1"/>
                <w:color w:val="auto"/>
                <w:w w:val="89"/>
              </w:rPr>
              <w:t>Union Code</w:t>
            </w:r>
          </w:p>
        </w:tc>
        <w:tc>
          <w:tcPr>
            <w:tcW w:w="12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w w:val="91"/>
              </w:rPr>
              <w:t>Date of Cessation of Eligible Union Employee Status</w:t>
            </w:r>
          </w:p>
        </w:tc>
      </w:tr>
      <w:tr>
        <w:trPr>
          <w:trHeight w:val="216"/>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Modesto, CA</w:t>
            </w:r>
          </w:p>
        </w:tc>
        <w:tc>
          <w:tcPr>
            <w:tcW w:w="34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P039</w:t>
            </w:r>
          </w:p>
        </w:tc>
        <w:tc>
          <w:tcPr>
            <w:tcW w:w="120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17, 2003</w:t>
            </w:r>
          </w:p>
        </w:tc>
      </w:tr>
      <w:tr>
        <w:trPr>
          <w:trHeight w:val="316"/>
        </w:trPr>
        <w:tc>
          <w:tcPr>
            <w:tcW w:w="4360" w:type="dxa"/>
            <w:vAlign w:val="bottom"/>
            <w:gridSpan w:val="2"/>
          </w:tcPr>
          <w:p>
            <w:pPr>
              <w:spacing w:after="0"/>
              <w:rPr>
                <w:sz w:val="20"/>
                <w:szCs w:val="20"/>
                <w:color w:val="auto"/>
              </w:rPr>
            </w:pPr>
            <w:r>
              <w:rPr>
                <w:rFonts w:ascii="Arial" w:cs="Arial" w:eastAsia="Arial" w:hAnsi="Arial"/>
                <w:sz w:val="18"/>
                <w:szCs w:val="18"/>
                <w:color w:val="auto"/>
              </w:rPr>
              <w:t>LA West/Bellflower</w:t>
            </w:r>
          </w:p>
        </w:tc>
        <w:tc>
          <w:tcPr>
            <w:tcW w:w="720" w:type="dxa"/>
            <w:vAlign w:val="bottom"/>
          </w:tcPr>
          <w:p>
            <w:pPr>
              <w:spacing w:after="0"/>
              <w:rPr>
                <w:sz w:val="20"/>
                <w:szCs w:val="20"/>
                <w:color w:val="auto"/>
              </w:rPr>
            </w:pPr>
            <w:r>
              <w:rPr>
                <w:rFonts w:ascii="Arial" w:cs="Arial" w:eastAsia="Arial" w:hAnsi="Arial"/>
                <w:sz w:val="18"/>
                <w:szCs w:val="18"/>
                <w:color w:val="auto"/>
              </w:rPr>
              <w:t>P032</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Sacramento, CA</w:t>
            </w:r>
          </w:p>
        </w:tc>
        <w:tc>
          <w:tcPr>
            <w:tcW w:w="720" w:type="dxa"/>
            <w:vAlign w:val="bottom"/>
          </w:tcPr>
          <w:p>
            <w:pPr>
              <w:spacing w:after="0"/>
              <w:rPr>
                <w:sz w:val="20"/>
                <w:szCs w:val="20"/>
                <w:color w:val="auto"/>
              </w:rPr>
            </w:pPr>
            <w:r>
              <w:rPr>
                <w:rFonts w:ascii="Arial" w:cs="Arial" w:eastAsia="Arial" w:hAnsi="Arial"/>
                <w:sz w:val="18"/>
                <w:szCs w:val="18"/>
                <w:color w:val="auto"/>
              </w:rPr>
              <w:t>P030</w:t>
            </w:r>
          </w:p>
        </w:tc>
        <w:tc>
          <w:tcPr>
            <w:tcW w:w="12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August 17, 2003</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Needham, MA</w:t>
            </w:r>
          </w:p>
        </w:tc>
        <w:tc>
          <w:tcPr>
            <w:tcW w:w="720" w:type="dxa"/>
            <w:vAlign w:val="bottom"/>
          </w:tcPr>
          <w:p>
            <w:pPr>
              <w:spacing w:after="0"/>
              <w:rPr>
                <w:sz w:val="20"/>
                <w:szCs w:val="20"/>
                <w:color w:val="auto"/>
              </w:rPr>
            </w:pPr>
            <w:r>
              <w:rPr>
                <w:rFonts w:ascii="Arial" w:cs="Arial" w:eastAsia="Arial" w:hAnsi="Arial"/>
                <w:sz w:val="18"/>
                <w:szCs w:val="18"/>
                <w:color w:val="auto"/>
              </w:rPr>
              <w:t>P028</w:t>
            </w:r>
          </w:p>
        </w:tc>
        <w:tc>
          <w:tcPr>
            <w:tcW w:w="12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July 25, 2003</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Minneapolis (warehouse)</w:t>
            </w:r>
          </w:p>
        </w:tc>
        <w:tc>
          <w:tcPr>
            <w:tcW w:w="720" w:type="dxa"/>
            <w:vAlign w:val="bottom"/>
          </w:tcPr>
          <w:p>
            <w:pPr>
              <w:spacing w:after="0"/>
              <w:rPr>
                <w:sz w:val="20"/>
                <w:szCs w:val="20"/>
                <w:color w:val="auto"/>
              </w:rPr>
            </w:pPr>
            <w:r>
              <w:rPr>
                <w:rFonts w:ascii="Arial" w:cs="Arial" w:eastAsia="Arial" w:hAnsi="Arial"/>
                <w:sz w:val="18"/>
                <w:szCs w:val="18"/>
                <w:color w:val="auto"/>
              </w:rPr>
              <w:t>P038</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Canonsburg (Techs)</w:t>
            </w:r>
          </w:p>
        </w:tc>
        <w:tc>
          <w:tcPr>
            <w:tcW w:w="720" w:type="dxa"/>
            <w:vAlign w:val="bottom"/>
          </w:tcPr>
          <w:p>
            <w:pPr>
              <w:spacing w:after="0"/>
              <w:rPr>
                <w:sz w:val="20"/>
                <w:szCs w:val="20"/>
                <w:color w:val="auto"/>
              </w:rPr>
            </w:pPr>
            <w:r>
              <w:rPr>
                <w:rFonts w:ascii="Arial" w:cs="Arial" w:eastAsia="Arial" w:hAnsi="Arial"/>
                <w:sz w:val="18"/>
                <w:szCs w:val="18"/>
                <w:color w:val="auto"/>
              </w:rPr>
              <w:t>P027</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Canonsburg (CSRs)</w:t>
            </w:r>
          </w:p>
        </w:tc>
        <w:tc>
          <w:tcPr>
            <w:tcW w:w="720" w:type="dxa"/>
            <w:vAlign w:val="bottom"/>
          </w:tcPr>
          <w:p>
            <w:pPr>
              <w:spacing w:after="0"/>
              <w:rPr>
                <w:sz w:val="20"/>
                <w:szCs w:val="20"/>
                <w:color w:val="auto"/>
              </w:rPr>
            </w:pPr>
            <w:r>
              <w:rPr>
                <w:rFonts w:ascii="Arial" w:cs="Arial" w:eastAsia="Arial" w:hAnsi="Arial"/>
                <w:sz w:val="18"/>
                <w:szCs w:val="18"/>
                <w:color w:val="auto"/>
              </w:rPr>
              <w:t>P040</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Coraopolis (Techs)</w:t>
            </w:r>
          </w:p>
        </w:tc>
        <w:tc>
          <w:tcPr>
            <w:tcW w:w="720" w:type="dxa"/>
            <w:vAlign w:val="bottom"/>
          </w:tcPr>
          <w:p>
            <w:pPr>
              <w:spacing w:after="0"/>
              <w:rPr>
                <w:sz w:val="20"/>
                <w:szCs w:val="20"/>
                <w:color w:val="auto"/>
              </w:rPr>
            </w:pPr>
            <w:r>
              <w:rPr>
                <w:rFonts w:ascii="Arial" w:cs="Arial" w:eastAsia="Arial" w:hAnsi="Arial"/>
                <w:sz w:val="18"/>
                <w:szCs w:val="18"/>
                <w:color w:val="auto"/>
              </w:rPr>
              <w:t>P024</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Corliss (CSRs)</w:t>
            </w:r>
          </w:p>
        </w:tc>
        <w:tc>
          <w:tcPr>
            <w:tcW w:w="720" w:type="dxa"/>
            <w:vAlign w:val="bottom"/>
          </w:tcPr>
          <w:p>
            <w:pPr>
              <w:spacing w:after="0"/>
              <w:rPr>
                <w:sz w:val="20"/>
                <w:szCs w:val="20"/>
                <w:color w:val="auto"/>
              </w:rPr>
            </w:pPr>
            <w:r>
              <w:rPr>
                <w:rFonts w:ascii="Arial" w:cs="Arial" w:eastAsia="Arial" w:hAnsi="Arial"/>
                <w:sz w:val="18"/>
                <w:szCs w:val="18"/>
                <w:color w:val="auto"/>
              </w:rPr>
              <w:t>P022</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Corliss (Techs)</w:t>
            </w:r>
          </w:p>
        </w:tc>
        <w:tc>
          <w:tcPr>
            <w:tcW w:w="720" w:type="dxa"/>
            <w:vAlign w:val="bottom"/>
          </w:tcPr>
          <w:p>
            <w:pPr>
              <w:spacing w:after="0"/>
              <w:rPr>
                <w:sz w:val="20"/>
                <w:szCs w:val="20"/>
                <w:color w:val="auto"/>
              </w:rPr>
            </w:pPr>
            <w:r>
              <w:rPr>
                <w:rFonts w:ascii="Arial" w:cs="Arial" w:eastAsia="Arial" w:hAnsi="Arial"/>
                <w:sz w:val="18"/>
                <w:szCs w:val="18"/>
                <w:color w:val="auto"/>
              </w:rPr>
              <w:t>P022</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East Hills</w:t>
            </w:r>
          </w:p>
        </w:tc>
        <w:tc>
          <w:tcPr>
            <w:tcW w:w="720" w:type="dxa"/>
            <w:vAlign w:val="bottom"/>
          </w:tcPr>
          <w:p>
            <w:pPr>
              <w:spacing w:after="0"/>
              <w:rPr>
                <w:sz w:val="20"/>
                <w:szCs w:val="20"/>
                <w:color w:val="auto"/>
              </w:rPr>
            </w:pPr>
            <w:r>
              <w:rPr>
                <w:rFonts w:ascii="Arial" w:cs="Arial" w:eastAsia="Arial" w:hAnsi="Arial"/>
                <w:sz w:val="18"/>
                <w:szCs w:val="18"/>
                <w:color w:val="auto"/>
              </w:rPr>
              <w:t>P033</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Pittsburgh (Call Center)</w:t>
            </w:r>
          </w:p>
        </w:tc>
        <w:tc>
          <w:tcPr>
            <w:tcW w:w="720" w:type="dxa"/>
            <w:vAlign w:val="bottom"/>
          </w:tcPr>
          <w:p>
            <w:pPr>
              <w:spacing w:after="0"/>
              <w:rPr>
                <w:sz w:val="20"/>
                <w:szCs w:val="20"/>
                <w:color w:val="auto"/>
              </w:rPr>
            </w:pPr>
            <w:r>
              <w:rPr>
                <w:rFonts w:ascii="Arial" w:cs="Arial" w:eastAsia="Arial" w:hAnsi="Arial"/>
                <w:sz w:val="18"/>
                <w:szCs w:val="18"/>
                <w:color w:val="auto"/>
              </w:rPr>
              <w:t>P035</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South Hills (Techs)</w:t>
            </w:r>
          </w:p>
        </w:tc>
        <w:tc>
          <w:tcPr>
            <w:tcW w:w="720" w:type="dxa"/>
            <w:vAlign w:val="bottom"/>
          </w:tcPr>
          <w:p>
            <w:pPr>
              <w:spacing w:after="0"/>
              <w:rPr>
                <w:sz w:val="20"/>
                <w:szCs w:val="20"/>
                <w:color w:val="auto"/>
              </w:rPr>
            </w:pPr>
            <w:r>
              <w:rPr>
                <w:rFonts w:ascii="Arial" w:cs="Arial" w:eastAsia="Arial" w:hAnsi="Arial"/>
                <w:sz w:val="18"/>
                <w:szCs w:val="18"/>
                <w:color w:val="auto"/>
              </w:rPr>
              <w:t>P020</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South Hills (CSRs)</w:t>
            </w:r>
          </w:p>
        </w:tc>
        <w:tc>
          <w:tcPr>
            <w:tcW w:w="720" w:type="dxa"/>
            <w:vAlign w:val="bottom"/>
          </w:tcPr>
          <w:p>
            <w:pPr>
              <w:spacing w:after="0"/>
              <w:rPr>
                <w:sz w:val="20"/>
                <w:szCs w:val="20"/>
                <w:color w:val="auto"/>
              </w:rPr>
            </w:pPr>
            <w:r>
              <w:rPr>
                <w:rFonts w:ascii="Arial" w:cs="Arial" w:eastAsia="Arial" w:hAnsi="Arial"/>
                <w:sz w:val="18"/>
                <w:szCs w:val="18"/>
                <w:color w:val="auto"/>
              </w:rPr>
              <w:t>P021</w:t>
            </w: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65"/>
        </w:trPr>
        <w:tc>
          <w:tcPr>
            <w:tcW w:w="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-73-</w:t>
            </w:r>
          </w:p>
        </w:tc>
        <w:tc>
          <w:tcPr>
            <w:tcW w:w="3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4" w:name="page135"/>
    <w:bookmarkEnd w:id="13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of Entity</w:t>
            </w:r>
          </w:p>
        </w:tc>
        <w:tc>
          <w:tcPr>
            <w:tcW w:w="19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w w:val="93"/>
              </w:rPr>
              <w:t>Participating Company</w:t>
            </w:r>
          </w:p>
        </w:tc>
        <w:tc>
          <w:tcPr>
            <w:tcW w:w="2440" w:type="dxa"/>
            <w:vAlign w:val="bottom"/>
            <w:gridSpan w:val="2"/>
          </w:tcPr>
          <w:p>
            <w:pPr>
              <w:ind w:left="1420"/>
              <w:spacing w:after="0"/>
              <w:rPr>
                <w:sz w:val="20"/>
                <w:szCs w:val="20"/>
                <w:color w:val="auto"/>
              </w:rPr>
            </w:pPr>
            <w:r>
              <w:rPr>
                <w:rFonts w:ascii="Arial" w:cs="Arial" w:eastAsia="Arial" w:hAnsi="Arial"/>
                <w:sz w:val="14"/>
                <w:szCs w:val="14"/>
                <w:b w:val="1"/>
                <w:bCs w:val="1"/>
                <w:color w:val="auto"/>
                <w:w w:val="91"/>
              </w:rPr>
              <w:t>Listed Employer</w:t>
            </w:r>
          </w:p>
        </w:tc>
        <w:tc>
          <w:tcPr>
            <w:tcW w:w="194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Ad Sales Acquisitions</w:t>
            </w:r>
          </w:p>
        </w:tc>
        <w:tc>
          <w:tcPr>
            <w:tcW w:w="1440" w:type="dxa"/>
            <w:vAlign w:val="bottom"/>
          </w:tcPr>
          <w:p>
            <w:pPr>
              <w:spacing w:after="0"/>
              <w:rPr>
                <w:sz w:val="20"/>
                <w:szCs w:val="20"/>
                <w:color w:val="auto"/>
              </w:rPr>
            </w:pPr>
            <w:r>
              <w:rPr>
                <w:rFonts w:ascii="Arial" w:cs="Arial" w:eastAsia="Arial" w:hAnsi="Arial"/>
                <w:sz w:val="18"/>
                <w:szCs w:val="18"/>
                <w:color w:val="auto"/>
              </w:rPr>
              <w:t>YES</w:t>
            </w:r>
          </w:p>
        </w:tc>
        <w:tc>
          <w:tcPr>
            <w:tcW w:w="14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YES</w:t>
            </w:r>
          </w:p>
        </w:tc>
        <w:tc>
          <w:tcPr>
            <w:tcW w:w="1940" w:type="dxa"/>
            <w:vAlign w:val="bottom"/>
            <w:vMerge w:val="continue"/>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December 29, 2003</w:t>
            </w:r>
          </w:p>
        </w:tc>
        <w:tc>
          <w:tcPr>
            <w:tcW w:w="0" w:type="dxa"/>
            <w:vAlign w:val="bottom"/>
          </w:tcPr>
          <w:p>
            <w:pPr>
              <w:spacing w:after="0"/>
              <w:rPr>
                <w:sz w:val="1"/>
                <w:szCs w:val="1"/>
                <w:color w:val="auto"/>
              </w:rPr>
            </w:pPr>
          </w:p>
        </w:tc>
      </w:tr>
    </w:tbl>
    <w:p>
      <w:pPr>
        <w:ind w:left="100" w:hanging="92"/>
        <w:spacing w:after="0"/>
        <w:tabs>
          <w:tab w:leader="none" w:pos="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TeleMedia</w:t>
      </w:r>
    </w:p>
    <w:p>
      <w:pPr>
        <w:spacing w:after="0" w:line="1" w:lineRule="exact"/>
        <w:rPr>
          <w:rFonts w:ascii="Arial" w:cs="Arial" w:eastAsia="Arial" w:hAnsi="Arial"/>
          <w:sz w:val="18"/>
          <w:szCs w:val="18"/>
          <w:color w:val="auto"/>
        </w:rPr>
      </w:pPr>
    </w:p>
    <w:p>
      <w:pPr>
        <w:ind w:left="120" w:hanging="112"/>
        <w:spacing w:after="0"/>
        <w:tabs>
          <w:tab w:leader="none" w:pos="1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Charter Communications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Mediacom</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Cox Communications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Gemstar TV Guide</w:t>
            </w:r>
          </w:p>
        </w:tc>
        <w:tc>
          <w:tcPr>
            <w:tcW w:w="1880" w:type="dxa"/>
            <w:vAlign w:val="bottom"/>
          </w:tcPr>
          <w:p>
            <w:pPr>
              <w:ind w:left="380"/>
              <w:spacing w:after="0"/>
              <w:rPr>
                <w:sz w:val="20"/>
                <w:szCs w:val="20"/>
                <w:color w:val="auto"/>
              </w:rPr>
            </w:pPr>
            <w:r>
              <w:rPr>
                <w:rFonts w:ascii="Arial" w:cs="Arial" w:eastAsia="Arial" w:hAnsi="Arial"/>
                <w:sz w:val="18"/>
                <w:szCs w:val="18"/>
                <w:color w:val="auto"/>
              </w:rPr>
              <w:t>YES</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rPr>
              <w:t>April 1, 2004</w:t>
            </w:r>
          </w:p>
        </w:tc>
      </w:tr>
      <w:tr>
        <w:trPr>
          <w:trHeight w:val="318"/>
        </w:trPr>
        <w:tc>
          <w:tcPr>
            <w:tcW w:w="2500" w:type="dxa"/>
            <w:vAlign w:val="bottom"/>
          </w:tcPr>
          <w:p>
            <w:pPr>
              <w:spacing w:after="0"/>
              <w:rPr>
                <w:sz w:val="20"/>
                <w:szCs w:val="20"/>
                <w:color w:val="auto"/>
              </w:rPr>
            </w:pPr>
            <w:r>
              <w:rPr>
                <w:rFonts w:ascii="Arial" w:cs="Arial" w:eastAsia="Arial" w:hAnsi="Arial"/>
                <w:sz w:val="18"/>
                <w:szCs w:val="18"/>
                <w:color w:val="auto"/>
              </w:rPr>
              <w:t>US Cable Coastal of Texas LP</w:t>
            </w:r>
          </w:p>
        </w:tc>
        <w:tc>
          <w:tcPr>
            <w:tcW w:w="1880" w:type="dxa"/>
            <w:vAlign w:val="bottom"/>
          </w:tcPr>
          <w:p>
            <w:pPr>
              <w:ind w:left="380"/>
              <w:spacing w:after="0"/>
              <w:rPr>
                <w:sz w:val="20"/>
                <w:szCs w:val="20"/>
                <w:color w:val="auto"/>
              </w:rPr>
            </w:pPr>
            <w:r>
              <w:rPr>
                <w:rFonts w:ascii="Arial" w:cs="Arial" w:eastAsia="Arial" w:hAnsi="Arial"/>
                <w:sz w:val="18"/>
                <w:szCs w:val="18"/>
                <w:color w:val="auto"/>
              </w:rPr>
              <w:t>YES</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rPr>
              <w:t>May 1, 2004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(Georgia and South Carolina</w:t>
            </w:r>
          </w:p>
        </w:tc>
        <w:tc>
          <w:tcPr>
            <w:tcW w:w="1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properties only)</w:t>
            </w:r>
          </w:p>
        </w:tc>
        <w:tc>
          <w:tcPr>
            <w:tcW w:w="18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18"/>
        </w:trPr>
        <w:tc>
          <w:tcPr>
            <w:tcW w:w="2500" w:type="dxa"/>
            <w:vAlign w:val="bottom"/>
          </w:tcPr>
          <w:p>
            <w:pPr>
              <w:spacing w:after="0"/>
              <w:rPr>
                <w:sz w:val="20"/>
                <w:szCs w:val="20"/>
                <w:color w:val="auto"/>
              </w:rPr>
            </w:pPr>
            <w:r>
              <w:rPr>
                <w:rFonts w:ascii="Arial" w:cs="Arial" w:eastAsia="Arial" w:hAnsi="Arial"/>
                <w:sz w:val="18"/>
                <w:szCs w:val="18"/>
                <w:color w:val="auto"/>
              </w:rPr>
              <w:t>Tech TV, Inc.</w:t>
            </w:r>
          </w:p>
        </w:tc>
        <w:tc>
          <w:tcPr>
            <w:tcW w:w="1880" w:type="dxa"/>
            <w:vAlign w:val="bottom"/>
          </w:tcPr>
          <w:p>
            <w:pPr>
              <w:ind w:left="380"/>
              <w:spacing w:after="0"/>
              <w:rPr>
                <w:sz w:val="20"/>
                <w:szCs w:val="20"/>
                <w:color w:val="auto"/>
              </w:rPr>
            </w:pPr>
            <w:r>
              <w:rPr>
                <w:rFonts w:ascii="Arial" w:cs="Arial" w:eastAsia="Arial" w:hAnsi="Arial"/>
                <w:sz w:val="18"/>
                <w:szCs w:val="18"/>
                <w:color w:val="auto"/>
              </w:rPr>
              <w:t>NO</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w w:val="98"/>
              </w:rPr>
              <w:t>May 10, 2004</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(formerly Tech TV LLC)</w:t>
            </w:r>
          </w:p>
        </w:tc>
        <w:tc>
          <w:tcPr>
            <w:tcW w:w="18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38"/>
        </w:trPr>
        <w:tc>
          <w:tcPr>
            <w:tcW w:w="2500" w:type="dxa"/>
            <w:vAlign w:val="bottom"/>
          </w:tcPr>
          <w:p>
            <w:pPr>
              <w:spacing w:after="0"/>
              <w:rPr>
                <w:sz w:val="20"/>
                <w:szCs w:val="20"/>
                <w:color w:val="auto"/>
              </w:rPr>
            </w:pPr>
            <w:r>
              <w:rPr>
                <w:rFonts w:ascii="Arial" w:cs="Arial" w:eastAsia="Arial" w:hAnsi="Arial"/>
                <w:sz w:val="18"/>
                <w:szCs w:val="18"/>
                <w:color w:val="auto"/>
              </w:rPr>
              <w:t>Insight Communications</w:t>
            </w:r>
          </w:p>
        </w:tc>
        <w:tc>
          <w:tcPr>
            <w:tcW w:w="1880" w:type="dxa"/>
            <w:vAlign w:val="bottom"/>
          </w:tcPr>
          <w:p>
            <w:pPr>
              <w:ind w:left="380"/>
              <w:spacing w:after="0"/>
              <w:rPr>
                <w:sz w:val="20"/>
                <w:szCs w:val="20"/>
                <w:color w:val="auto"/>
              </w:rPr>
            </w:pPr>
            <w:r>
              <w:rPr>
                <w:rFonts w:ascii="Arial" w:cs="Arial" w:eastAsia="Arial" w:hAnsi="Arial"/>
                <w:sz w:val="18"/>
                <w:szCs w:val="18"/>
                <w:color w:val="auto"/>
              </w:rPr>
              <w:t>YES</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w w:val="89"/>
              </w:rPr>
              <w:t>August 1, 2004</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The International Channel</w:t>
            </w:r>
          </w:p>
        </w:tc>
        <w:tc>
          <w:tcPr>
            <w:tcW w:w="1880" w:type="dxa"/>
            <w:vAlign w:val="bottom"/>
          </w:tcPr>
          <w:p>
            <w:pPr>
              <w:ind w:left="380"/>
              <w:spacing w:after="0"/>
              <w:rPr>
                <w:sz w:val="20"/>
                <w:szCs w:val="20"/>
                <w:color w:val="auto"/>
              </w:rPr>
            </w:pPr>
            <w:r>
              <w:rPr>
                <w:rFonts w:ascii="Arial" w:cs="Arial" w:eastAsia="Arial" w:hAnsi="Arial"/>
                <w:sz w:val="18"/>
                <w:szCs w:val="18"/>
                <w:color w:val="auto"/>
              </w:rPr>
              <w:t>YES</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w w:val="89"/>
              </w:rPr>
              <w:t>August 1, 2004</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Target TV</w:t>
            </w:r>
          </w:p>
        </w:tc>
        <w:tc>
          <w:tcPr>
            <w:tcW w:w="1880" w:type="dxa"/>
            <w:vAlign w:val="bottom"/>
          </w:tcPr>
          <w:p>
            <w:pPr>
              <w:ind w:left="380"/>
              <w:spacing w:after="0"/>
              <w:rPr>
                <w:sz w:val="20"/>
                <w:szCs w:val="20"/>
                <w:color w:val="auto"/>
              </w:rPr>
            </w:pPr>
            <w:r>
              <w:rPr>
                <w:rFonts w:ascii="Arial" w:cs="Arial" w:eastAsia="Arial" w:hAnsi="Arial"/>
                <w:sz w:val="18"/>
                <w:szCs w:val="18"/>
                <w:color w:val="auto"/>
              </w:rPr>
              <w:t>YES</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w w:val="83"/>
              </w:rPr>
              <w:t>January 1, 2005</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Motorola</w:t>
            </w:r>
          </w:p>
        </w:tc>
        <w:tc>
          <w:tcPr>
            <w:tcW w:w="1880" w:type="dxa"/>
            <w:vAlign w:val="bottom"/>
          </w:tcPr>
          <w:p>
            <w:pPr>
              <w:ind w:left="380"/>
              <w:spacing w:after="0"/>
              <w:rPr>
                <w:sz w:val="20"/>
                <w:szCs w:val="20"/>
                <w:color w:val="auto"/>
              </w:rPr>
            </w:pPr>
            <w:r>
              <w:rPr>
                <w:rFonts w:ascii="Arial" w:cs="Arial" w:eastAsia="Arial" w:hAnsi="Arial"/>
                <w:sz w:val="18"/>
                <w:szCs w:val="18"/>
                <w:color w:val="auto"/>
              </w:rPr>
              <w:t>NO</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rPr>
              <w:t>April 1, 2005</w:t>
            </w:r>
          </w:p>
        </w:tc>
      </w:tr>
      <w:tr>
        <w:trPr>
          <w:trHeight w:val="318"/>
        </w:trPr>
        <w:tc>
          <w:tcPr>
            <w:tcW w:w="2500" w:type="dxa"/>
            <w:vAlign w:val="bottom"/>
          </w:tcPr>
          <w:p>
            <w:pPr>
              <w:spacing w:after="0"/>
              <w:rPr>
                <w:sz w:val="20"/>
                <w:szCs w:val="20"/>
                <w:color w:val="auto"/>
              </w:rPr>
            </w:pPr>
            <w:r>
              <w:rPr>
                <w:rFonts w:ascii="Arial" w:cs="Arial" w:eastAsia="Arial" w:hAnsi="Arial"/>
                <w:sz w:val="18"/>
                <w:szCs w:val="18"/>
                <w:color w:val="auto"/>
              </w:rPr>
              <w:t>Liberate Technologies</w:t>
            </w:r>
          </w:p>
        </w:tc>
        <w:tc>
          <w:tcPr>
            <w:tcW w:w="1880" w:type="dxa"/>
            <w:vAlign w:val="bottom"/>
          </w:tcPr>
          <w:p>
            <w:pPr>
              <w:ind w:left="380"/>
              <w:spacing w:after="0"/>
              <w:rPr>
                <w:sz w:val="20"/>
                <w:szCs w:val="20"/>
                <w:color w:val="auto"/>
              </w:rPr>
            </w:pPr>
            <w:r>
              <w:rPr>
                <w:rFonts w:ascii="Arial" w:cs="Arial" w:eastAsia="Arial" w:hAnsi="Arial"/>
                <w:sz w:val="18"/>
                <w:szCs w:val="18"/>
                <w:color w:val="auto"/>
              </w:rPr>
              <w:t>NO</w:t>
            </w:r>
          </w:p>
        </w:tc>
        <w:tc>
          <w:tcPr>
            <w:tcW w:w="3000" w:type="dxa"/>
            <w:vAlign w:val="bottom"/>
          </w:tcPr>
          <w:p>
            <w:pPr>
              <w:ind w:left="1360"/>
              <w:spacing w:after="0"/>
              <w:rPr>
                <w:sz w:val="20"/>
                <w:szCs w:val="20"/>
                <w:color w:val="auto"/>
              </w:rPr>
            </w:pPr>
            <w:r>
              <w:rPr>
                <w:rFonts w:ascii="Arial" w:cs="Arial" w:eastAsia="Arial" w:hAnsi="Arial"/>
                <w:sz w:val="18"/>
                <w:szCs w:val="18"/>
                <w:color w:val="auto"/>
              </w:rPr>
              <w:t>YES</w:t>
            </w:r>
          </w:p>
        </w:tc>
        <w:tc>
          <w:tcPr>
            <w:tcW w:w="2420" w:type="dxa"/>
            <w:vAlign w:val="bottom"/>
          </w:tcPr>
          <w:p>
            <w:pPr>
              <w:ind w:left="1320"/>
              <w:spacing w:after="0"/>
              <w:rPr>
                <w:sz w:val="20"/>
                <w:szCs w:val="20"/>
                <w:color w:val="auto"/>
              </w:rPr>
            </w:pPr>
            <w:r>
              <w:rPr>
                <w:rFonts w:ascii="Arial" w:cs="Arial" w:eastAsia="Arial" w:hAnsi="Arial"/>
                <w:sz w:val="18"/>
                <w:szCs w:val="18"/>
                <w:color w:val="auto"/>
              </w:rPr>
              <w:t>April 8, 2005</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(California employees only)</w:t>
            </w:r>
          </w:p>
        </w:tc>
        <w:tc>
          <w:tcPr>
            <w:tcW w:w="18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78"/>
        </w:trPr>
        <w:tc>
          <w:tcPr>
            <w:tcW w:w="2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0" w:type="dxa"/>
            <w:vAlign w:val="bottom"/>
          </w:tcPr>
          <w:p>
            <w:pPr>
              <w:ind w:left="1180"/>
              <w:spacing w:after="0"/>
              <w:rPr>
                <w:sz w:val="20"/>
                <w:szCs w:val="20"/>
                <w:color w:val="auto"/>
              </w:rPr>
            </w:pPr>
            <w:r>
              <w:rPr>
                <w:rFonts w:ascii="Arial" w:cs="Arial" w:eastAsia="Arial" w:hAnsi="Arial"/>
                <w:sz w:val="18"/>
                <w:szCs w:val="18"/>
                <w:color w:val="auto"/>
              </w:rPr>
              <w:t>-74-</w:t>
            </w:r>
          </w:p>
        </w:tc>
        <w:tc>
          <w:tcPr>
            <w:tcW w:w="242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1440" w:type="dxa"/>
            <w:vAlign w:val="bottom"/>
          </w:tcPr>
          <w:p>
            <w:pPr>
              <w:spacing w:after="0"/>
              <w:rPr>
                <w:sz w:val="20"/>
                <w:szCs w:val="20"/>
                <w:color w:val="auto"/>
              </w:rPr>
            </w:pPr>
            <w:r>
              <w:rPr>
                <w:rFonts w:ascii="Arial" w:cs="Arial" w:eastAsia="Arial" w:hAnsi="Arial"/>
                <w:sz w:val="14"/>
                <w:szCs w:val="14"/>
                <w:b w:val="1"/>
                <w:bCs w:val="1"/>
                <w:color w:val="auto"/>
                <w:w w:val="93"/>
              </w:rPr>
              <w:t>Participating Company</w:t>
            </w:r>
          </w:p>
        </w:tc>
        <w:tc>
          <w:tcPr>
            <w:tcW w:w="2440" w:type="dxa"/>
            <w:vAlign w:val="bottom"/>
            <w:gridSpan w:val="2"/>
          </w:tcPr>
          <w:p>
            <w:pPr>
              <w:ind w:left="1420"/>
              <w:spacing w:after="0"/>
              <w:rPr>
                <w:sz w:val="20"/>
                <w:szCs w:val="20"/>
                <w:color w:val="auto"/>
              </w:rPr>
            </w:pPr>
            <w:r>
              <w:rPr>
                <w:rFonts w:ascii="Arial" w:cs="Arial" w:eastAsia="Arial" w:hAnsi="Arial"/>
                <w:sz w:val="14"/>
                <w:szCs w:val="14"/>
                <w:b w:val="1"/>
                <w:bCs w:val="1"/>
                <w:color w:val="auto"/>
                <w:w w:val="91"/>
              </w:rPr>
              <w:t>Listed Employer</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0"/>
              </w:rPr>
              <w:t>Susquehanna</w:t>
            </w:r>
          </w:p>
        </w:tc>
        <w:tc>
          <w:tcPr>
            <w:tcW w:w="1960" w:type="dxa"/>
            <w:vAlign w:val="bottom"/>
          </w:tcPr>
          <w:p>
            <w:pPr>
              <w:ind w:left="60"/>
              <w:spacing w:after="0"/>
              <w:rPr>
                <w:sz w:val="20"/>
                <w:szCs w:val="20"/>
                <w:color w:val="auto"/>
              </w:rPr>
            </w:pPr>
            <w:r>
              <w:rPr>
                <w:rFonts w:ascii="Arial" w:cs="Arial" w:eastAsia="Arial" w:hAnsi="Arial"/>
                <w:sz w:val="18"/>
                <w:szCs w:val="18"/>
                <w:color w:val="auto"/>
              </w:rPr>
              <w:t>Cable Co.</w:t>
            </w: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w:t>
            </w:r>
          </w:p>
        </w:tc>
        <w:tc>
          <w:tcPr>
            <w:tcW w:w="14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Adelphia Communications</w:t>
            </w:r>
          </w:p>
        </w:tc>
        <w:tc>
          <w:tcPr>
            <w:tcW w:w="1640" w:type="dxa"/>
            <w:vAlign w:val="bottom"/>
          </w:tcPr>
          <w:p>
            <w:pPr>
              <w:ind w:left="280"/>
              <w:spacing w:after="0"/>
              <w:rPr>
                <w:sz w:val="20"/>
                <w:szCs w:val="20"/>
                <w:color w:val="auto"/>
              </w:rPr>
            </w:pPr>
            <w:r>
              <w:rPr>
                <w:rFonts w:ascii="Arial" w:cs="Arial" w:eastAsia="Arial" w:hAnsi="Arial"/>
                <w:sz w:val="18"/>
                <w:szCs w:val="18"/>
                <w:color w:val="auto"/>
              </w:rPr>
              <w:t>NO</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Corporation</w:t>
            </w:r>
          </w:p>
        </w:tc>
        <w:tc>
          <w:tcPr>
            <w:tcW w:w="164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756"/>
        </w:trPr>
        <w:tc>
          <w:tcPr>
            <w:tcW w:w="2600" w:type="dxa"/>
            <w:vAlign w:val="bottom"/>
          </w:tcPr>
          <w:p>
            <w:pPr>
              <w:spacing w:after="0"/>
              <w:rPr>
                <w:sz w:val="20"/>
                <w:szCs w:val="20"/>
                <w:color w:val="auto"/>
              </w:rPr>
            </w:pPr>
            <w:r>
              <w:rPr>
                <w:rFonts w:ascii="Arial" w:cs="Arial" w:eastAsia="Arial" w:hAnsi="Arial"/>
                <w:sz w:val="18"/>
                <w:szCs w:val="18"/>
                <w:color w:val="auto"/>
              </w:rPr>
              <w:t>Time Warner NY Cable LLC</w:t>
            </w:r>
          </w:p>
        </w:tc>
        <w:tc>
          <w:tcPr>
            <w:tcW w:w="1640" w:type="dxa"/>
            <w:vAlign w:val="bottom"/>
          </w:tcPr>
          <w:p>
            <w:pPr>
              <w:ind w:left="280"/>
              <w:spacing w:after="0"/>
              <w:rPr>
                <w:sz w:val="20"/>
                <w:szCs w:val="20"/>
                <w:color w:val="auto"/>
              </w:rPr>
            </w:pPr>
            <w:r>
              <w:rPr>
                <w:rFonts w:ascii="Arial" w:cs="Arial" w:eastAsia="Arial" w:hAnsi="Arial"/>
                <w:sz w:val="18"/>
                <w:szCs w:val="18"/>
                <w:color w:val="auto"/>
              </w:rPr>
              <w:t>NO</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756"/>
        </w:trPr>
        <w:tc>
          <w:tcPr>
            <w:tcW w:w="2600" w:type="dxa"/>
            <w:vAlign w:val="bottom"/>
          </w:tcPr>
          <w:p>
            <w:pPr>
              <w:spacing w:after="0"/>
              <w:rPr>
                <w:sz w:val="20"/>
                <w:szCs w:val="20"/>
                <w:color w:val="auto"/>
              </w:rPr>
            </w:pPr>
            <w:r>
              <w:rPr>
                <w:rFonts w:ascii="Arial" w:cs="Arial" w:eastAsia="Arial" w:hAnsi="Arial"/>
                <w:sz w:val="18"/>
                <w:szCs w:val="18"/>
                <w:color w:val="auto"/>
              </w:rPr>
              <w:t>thePlatform for Media, Inc.</w:t>
            </w:r>
          </w:p>
        </w:tc>
        <w:tc>
          <w:tcPr>
            <w:tcW w:w="1640" w:type="dxa"/>
            <w:vAlign w:val="bottom"/>
          </w:tcPr>
          <w:p>
            <w:pPr>
              <w:ind w:left="280"/>
              <w:spacing w:after="0"/>
              <w:rPr>
                <w:sz w:val="20"/>
                <w:szCs w:val="20"/>
                <w:color w:val="auto"/>
              </w:rPr>
            </w:pPr>
            <w:r>
              <w:rPr>
                <w:rFonts w:ascii="Arial" w:cs="Arial" w:eastAsia="Arial" w:hAnsi="Arial"/>
                <w:sz w:val="18"/>
                <w:szCs w:val="18"/>
                <w:color w:val="auto"/>
              </w:rPr>
              <w:t>YES</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Insight Media</w:t>
            </w:r>
          </w:p>
        </w:tc>
        <w:tc>
          <w:tcPr>
            <w:tcW w:w="1640" w:type="dxa"/>
            <w:vAlign w:val="bottom"/>
          </w:tcPr>
          <w:p>
            <w:pPr>
              <w:ind w:left="280"/>
              <w:spacing w:after="0"/>
              <w:rPr>
                <w:sz w:val="20"/>
                <w:szCs w:val="20"/>
                <w:color w:val="auto"/>
              </w:rPr>
            </w:pPr>
            <w:r>
              <w:rPr>
                <w:rFonts w:ascii="Arial" w:cs="Arial" w:eastAsia="Arial" w:hAnsi="Arial"/>
                <w:sz w:val="18"/>
                <w:szCs w:val="18"/>
                <w:color w:val="auto"/>
              </w:rPr>
              <w:t>NO</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w w:val="99"/>
              </w:rPr>
              <w:t>E! Entertainment Television, Inc.</w:t>
            </w:r>
          </w:p>
        </w:tc>
        <w:tc>
          <w:tcPr>
            <w:tcW w:w="1640" w:type="dxa"/>
            <w:vAlign w:val="bottom"/>
          </w:tcPr>
          <w:p>
            <w:pPr>
              <w:ind w:left="280"/>
              <w:spacing w:after="0"/>
              <w:rPr>
                <w:sz w:val="20"/>
                <w:szCs w:val="20"/>
                <w:color w:val="auto"/>
              </w:rPr>
            </w:pPr>
            <w:r>
              <w:rPr>
                <w:rFonts w:ascii="Arial" w:cs="Arial" w:eastAsia="Arial" w:hAnsi="Arial"/>
                <w:sz w:val="18"/>
                <w:szCs w:val="18"/>
                <w:color w:val="auto"/>
              </w:rPr>
              <w:t>NO</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New England Cable News</w:t>
            </w:r>
          </w:p>
        </w:tc>
        <w:tc>
          <w:tcPr>
            <w:tcW w:w="1640" w:type="dxa"/>
            <w:vAlign w:val="bottom"/>
          </w:tcPr>
          <w:p>
            <w:pPr>
              <w:ind w:left="280"/>
              <w:spacing w:after="0"/>
              <w:rPr>
                <w:sz w:val="20"/>
                <w:szCs w:val="20"/>
                <w:color w:val="auto"/>
              </w:rPr>
            </w:pPr>
            <w:r>
              <w:rPr>
                <w:rFonts w:ascii="Arial" w:cs="Arial" w:eastAsia="Arial" w:hAnsi="Arial"/>
                <w:sz w:val="18"/>
                <w:szCs w:val="18"/>
                <w:color w:val="auto"/>
              </w:rPr>
              <w:t>YES</w:t>
            </w:r>
          </w:p>
        </w:tc>
        <w:tc>
          <w:tcPr>
            <w:tcW w:w="2940" w:type="dxa"/>
            <w:vAlign w:val="bottom"/>
          </w:tcPr>
          <w:p>
            <w:pPr>
              <w:ind w:left="1500"/>
              <w:spacing w:after="0"/>
              <w:rPr>
                <w:sz w:val="20"/>
                <w:szCs w:val="20"/>
                <w:color w:val="auto"/>
              </w:rPr>
            </w:pPr>
            <w:r>
              <w:rPr>
                <w:rFonts w:ascii="Arial" w:cs="Arial" w:eastAsia="Arial" w:hAnsi="Arial"/>
                <w:sz w:val="18"/>
                <w:szCs w:val="18"/>
                <w:color w:val="auto"/>
              </w:rPr>
              <w:t>YES</w:t>
            </w:r>
          </w:p>
        </w:tc>
      </w:tr>
      <w:tr>
        <w:trPr>
          <w:trHeight w:val="502"/>
        </w:trPr>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NON-PARTICIPATING COMPANIES</w:t>
            </w:r>
          </w:p>
        </w:tc>
      </w:tr>
    </w:tbl>
    <w:p>
      <w:pPr>
        <w:spacing w:after="0" w:line="2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Company</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THOG Productions,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Previously excluded by action of the Board.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4"/>
          <w:szCs w:val="14"/>
          <w:b w:val="1"/>
          <w:bCs w:val="1"/>
          <w:u w:val="single" w:color="auto"/>
          <w:color w:val="auto"/>
        </w:rPr>
        <w:t>Effective Date</w:t>
      </w:r>
    </w:p>
    <w:p>
      <w:pPr>
        <w:spacing w:after="0" w:line="13"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69"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color w:val="auto"/>
        </w:rPr>
        <w:t>The period beginning on the Closing Date of the Adelphia Transaction and ending on the first anniversary thereof.</w:t>
      </w:r>
    </w:p>
    <w:p>
      <w:pPr>
        <w:spacing w:after="0" w:line="89"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The date immediately following the Closing Date of the Time Warner Transaction</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18, 2006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1, 2010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u w:val="single" w:color="auto"/>
          <w:color w:val="auto"/>
        </w:rPr>
        <w:t>Effective 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August 1, 2002*</w:t>
      </w:r>
    </w:p>
    <w:p>
      <w:pPr>
        <w:sectPr>
          <w:pgSz w:w="11900" w:h="16838" w:orient="portrait"/>
          <w:cols w:equalWidth="0" w:num="2">
            <w:col w:w="7640" w:space="720"/>
            <w:col w:w="3000"/>
          </w:cols>
          <w:pgMar w:left="240" w:top="275"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This is a Restricted Stock Unit Award (the “Award”) dated [Month/Day], [Year1]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13" w:lineRule="exact"/>
        <w:rPr>
          <w:sz w:val="20"/>
          <w:szCs w:val="20"/>
          <w:color w:val="auto"/>
        </w:rPr>
      </w:pPr>
    </w:p>
    <w:p>
      <w:pPr>
        <w:ind w:left="1100" w:hanging="179"/>
        <w:spacing w:after="0"/>
        <w:tabs>
          <w:tab w:leader="none" w:pos="110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194" w:lineRule="exact"/>
        <w:rPr>
          <w:rFonts w:ascii="Arial" w:cs="Arial" w:eastAsia="Arial" w:hAnsi="Arial"/>
          <w:sz w:val="16"/>
          <w:szCs w:val="16"/>
          <w:color w:val="auto"/>
        </w:rPr>
      </w:pPr>
    </w:p>
    <w:p>
      <w:pPr>
        <w:ind w:right="120" w:firstLine="1492"/>
        <w:spacing w:after="0" w:line="306" w:lineRule="auto"/>
        <w:tabs>
          <w:tab w:leader="none" w:pos="172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Grantee’s behalf.</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ectPr>
          <w:pgSz w:w="11900" w:h="16838" w:orient="portrait"/>
          <w:cols w:equalWidth="0" w:num="1">
            <w:col w:w="11420"/>
          </w:cols>
          <w:pgMar w:left="240" w:top="125" w:right="239" w:bottom="1440" w:gutter="0" w:footer="0" w:header="0"/>
        </w:sectPr>
      </w:pPr>
    </w:p>
    <w:bookmarkStart w:id="137" w:name="page138"/>
    <w:bookmarkEnd w:id="137"/>
    <w:p>
      <w:pPr>
        <w:ind w:firstLine="1492"/>
        <w:spacing w:after="0" w:line="285" w:lineRule="auto"/>
        <w:tabs>
          <w:tab w:leader="none" w:pos="1693"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Free Cash Flow</w:t>
      </w:r>
      <w:r>
        <w:rPr>
          <w:rFonts w:ascii="Arial" w:cs="Arial" w:eastAsia="Arial" w:hAnsi="Arial"/>
          <w:sz w:val="16"/>
          <w:szCs w:val="16"/>
          <w:color w:val="auto"/>
        </w:rPr>
        <w:t>” means the Company’s “Net Cash Provided by Operating Activities” (as stated in the Company’s Consolidated Statement of Cash Flows) reduced by capital expenditures and cash paid for intangible assets, and adjusted for any amounts related to certain nonoperating items, net of estimated tax benefits (such as income taxes on investment sales, and nonrecurring payments related to income taxes and litigation contingencies of acquired companies), provided that adjustments to “Net Cash Provided by Operating Activities” applied to determine “Free Cash Flow” for each year shall be determined consistently with the Company’s reconciliations of “Free Cash Flow” to the Company’s “Net Cash Provided by Operating Activities” for the Company’s calendar years ending after December 31, 2005 as reflected on Forms 8-K (with the exhibit that contains the press release that announces the Company’s earnings and other financial results for the preceding calendar year) filed annually thereafter by the Company, such that the “Free Cash Flow” for each year beginning after 2008 and before 2015 shall be determined on the same basis as for the Company’s calendar years ending after December 31, 2005, and that the comparison of “Free Cash Flow” for a calendar year to “Free Cash Flow” for the immediately preceding calendar year is determined to ensure comparability between amounts in the prior calendar year and the year to which the performance condition applies and without regard to extraordinary items or items unrelated to the Company’s operations. In the event there is a significant acquisition or disposition of any assets, business division, company or other business operations of the Company that is reasonably expected to have an effect on Free Cash Flow, the Committee shall adjust the Performance Goal to take into account the impact of such acquisition or disposition by increasing or decreasing such Performance Goal in the same proportion as Free Cash Flow of the Company would have been affected for the prior calendar year on a pro forma basis had such an acquisition or disposition occurred on the same date during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21" w:lineRule="exact"/>
        <w:rPr>
          <w:rFonts w:ascii="Arial" w:cs="Arial" w:eastAsia="Arial" w:hAnsi="Arial"/>
          <w:sz w:val="16"/>
          <w:szCs w:val="16"/>
          <w:color w:val="auto"/>
        </w:rPr>
      </w:pPr>
    </w:p>
    <w:p>
      <w:pPr>
        <w:ind w:left="1740" w:hanging="248"/>
        <w:spacing w:after="0"/>
        <w:tabs>
          <w:tab w:leader="none" w:pos="17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Summary Schedule.</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rFonts w:ascii="Arial" w:cs="Arial" w:eastAsia="Arial" w:hAnsi="Arial"/>
          <w:sz w:val="18"/>
          <w:szCs w:val="18"/>
          <w:color w:val="auto"/>
        </w:rPr>
      </w:pPr>
    </w:p>
    <w:p>
      <w:pPr>
        <w:ind w:right="40" w:firstLine="1492"/>
        <w:spacing w:after="0" w:line="268" w:lineRule="auto"/>
        <w:tabs>
          <w:tab w:leader="none" w:pos="178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31" w:lineRule="exact"/>
        <w:rPr>
          <w:rFonts w:ascii="Arial" w:cs="Arial" w:eastAsia="Arial" w:hAnsi="Arial"/>
          <w:sz w:val="18"/>
          <w:szCs w:val="18"/>
          <w:color w:val="auto"/>
        </w:rPr>
      </w:pPr>
    </w:p>
    <w:p>
      <w:pPr>
        <w:ind w:right="120" w:firstLine="1492"/>
        <w:spacing w:after="0" w:line="268" w:lineRule="auto"/>
        <w:tabs>
          <w:tab w:leader="none" w:pos="173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w:t>
      </w:r>
      <w:r>
        <w:rPr>
          <w:rFonts w:ascii="Arial" w:cs="Arial" w:eastAsia="Arial" w:hAnsi="Arial"/>
          <w:sz w:val="16"/>
          <w:szCs w:val="16"/>
          <w:color w:val="auto"/>
        </w:rPr>
        <w:t>” means Free Cash Flow for a calendar year that exceeds Free Cash Flow for the immediately preceding calendar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8" w:name="page139"/>
    <w:bookmarkEnd w:id="138"/>
    <w:p>
      <w:pPr>
        <w:ind w:left="1740" w:hanging="248"/>
        <w:spacing w:after="0"/>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65" w:lineRule="exact"/>
        <w:rPr>
          <w:sz w:val="20"/>
          <w:szCs w:val="20"/>
          <w:color w:val="auto"/>
        </w:rPr>
      </w:pPr>
    </w:p>
    <w:p>
      <w:pPr>
        <w:ind w:right="60" w:firstLine="1492"/>
        <w:spacing w:after="0" w:line="259" w:lineRule="auto"/>
        <w:tabs>
          <w:tab w:leader="none" w:pos="170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40" w:lineRule="exact"/>
        <w:rPr>
          <w:rFonts w:ascii="Arial" w:cs="Arial" w:eastAsia="Arial" w:hAnsi="Arial"/>
          <w:sz w:val="18"/>
          <w:szCs w:val="18"/>
          <w:color w:val="auto"/>
        </w:rPr>
      </w:pPr>
    </w:p>
    <w:p>
      <w:pPr>
        <w:ind w:left="1720" w:hanging="228"/>
        <w:spacing w:after="0"/>
        <w:tabs>
          <w:tab w:leader="none" w:pos="17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171" w:lineRule="exact"/>
        <w:rPr>
          <w:rFonts w:ascii="Arial" w:cs="Arial" w:eastAsia="Arial" w:hAnsi="Arial"/>
          <w:sz w:val="18"/>
          <w:szCs w:val="18"/>
          <w:color w:val="auto"/>
        </w:rPr>
      </w:pPr>
    </w:p>
    <w:p>
      <w:pPr>
        <w:ind w:right="240" w:firstLine="1492"/>
        <w:spacing w:after="0" w:line="268" w:lineRule="auto"/>
        <w:tabs>
          <w:tab w:leader="none" w:pos="173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right="160" w:firstLine="921"/>
        <w:spacing w:after="0" w:line="268" w:lineRule="auto"/>
        <w:tabs>
          <w:tab w:leader="none" w:pos="108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318" w:lineRule="auto"/>
        <w:tabs>
          <w:tab w:leader="none" w:pos="1722" w:val="left"/>
        </w:tabs>
        <w:numPr>
          <w:ilvl w:val="1"/>
          <w:numId w:val="143"/>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conditions as set forth on the attached Long-Term Incentive Awards Summary Schedule have been satisfied, and provided further that Grantee has complied with all applicable provisions of the HSR Act.</w:t>
      </w:r>
    </w:p>
    <w:p>
      <w:pPr>
        <w:spacing w:after="0" w:line="99" w:lineRule="exact"/>
        <w:rPr>
          <w:rFonts w:ascii="Arial" w:cs="Arial" w:eastAsia="Arial" w:hAnsi="Arial"/>
          <w:sz w:val="15"/>
          <w:szCs w:val="15"/>
          <w:color w:val="auto"/>
        </w:rPr>
      </w:pPr>
    </w:p>
    <w:p>
      <w:pPr>
        <w:ind w:right="80" w:firstLine="1492"/>
        <w:spacing w:after="0" w:line="298" w:lineRule="auto"/>
        <w:tabs>
          <w:tab w:leader="none" w:pos="173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Notwithstanding Paragraph 3(a)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139" w:name="page140"/>
    <w:bookmarkEnd w:id="139"/>
    <w:p>
      <w:pPr>
        <w:ind w:firstLine="1492"/>
        <w:spacing w:after="0" w:line="256" w:lineRule="auto"/>
        <w:tabs>
          <w:tab w:leader="none" w:pos="17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Restricted Stock Units would have vested pursuant to the Long-Term Incentive Awards Summary Schedule or Paragraph 3(b),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 3(b) on which Grantee has complied with all applicable provisions of the HSR Act.</w:t>
      </w:r>
    </w:p>
    <w:p>
      <w:pPr>
        <w:spacing w:after="0" w:line="143" w:lineRule="exact"/>
        <w:rPr>
          <w:rFonts w:ascii="Arial" w:cs="Arial" w:eastAsia="Arial" w:hAnsi="Arial"/>
          <w:sz w:val="18"/>
          <w:szCs w:val="18"/>
          <w:color w:val="auto"/>
        </w:rPr>
      </w:pPr>
    </w:p>
    <w:p>
      <w:pPr>
        <w:ind w:left="1100" w:hanging="179"/>
        <w:spacing w:after="0"/>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40" w:firstLine="1492"/>
        <w:spacing w:after="0" w:line="306" w:lineRule="auto"/>
        <w:tabs>
          <w:tab w:leader="none" w:pos="172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if Grantee terminates employment with the Company and all Subsidiaries during the Restricted Period, other than due to death or Disability, Grantee shall forfeit the Restricted Stock Units as of such termination of employment. Upon a forfeiture of the Restricted Stock Units as provided in this Paragraph 4, the Restricted Stock Units shall be deemed canceled.</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 Vesting Date has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171" w:lineRule="exact"/>
        <w:rPr>
          <w:sz w:val="20"/>
          <w:szCs w:val="20"/>
          <w:color w:val="auto"/>
        </w:rPr>
      </w:pPr>
    </w:p>
    <w:p>
      <w:pPr>
        <w:ind w:left="1740" w:hanging="248"/>
        <w:spacing w:after="0"/>
        <w:tabs>
          <w:tab w:leader="none" w:pos="17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948"/>
        <w:spacing w:after="0" w:line="259" w:lineRule="auto"/>
        <w:tabs>
          <w:tab w:leader="none" w:pos="2189"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40" w:lineRule="exact"/>
        <w:rPr>
          <w:rFonts w:ascii="Arial" w:cs="Arial" w:eastAsia="Arial" w:hAnsi="Arial"/>
          <w:sz w:val="18"/>
          <w:szCs w:val="18"/>
          <w:color w:val="auto"/>
        </w:rPr>
      </w:pPr>
    </w:p>
    <w:p>
      <w:pPr>
        <w:ind w:right="300" w:firstLine="1948"/>
        <w:spacing w:after="0" w:line="268" w:lineRule="auto"/>
        <w:tabs>
          <w:tab w:leader="none" w:pos="2189"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131" w:lineRule="exact"/>
        <w:rPr>
          <w:rFonts w:ascii="Arial" w:cs="Arial" w:eastAsia="Arial" w:hAnsi="Arial"/>
          <w:sz w:val="18"/>
          <w:szCs w:val="18"/>
          <w:color w:val="auto"/>
        </w:rPr>
      </w:pPr>
    </w:p>
    <w:p>
      <w:pPr>
        <w:ind w:right="180" w:firstLine="1948"/>
        <w:spacing w:after="0" w:line="298" w:lineRule="auto"/>
        <w:tabs>
          <w:tab w:leader="none" w:pos="2189"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112" w:lineRule="exact"/>
        <w:rPr>
          <w:rFonts w:ascii="Arial" w:cs="Arial" w:eastAsia="Arial" w:hAnsi="Arial"/>
          <w:sz w:val="16"/>
          <w:szCs w:val="16"/>
          <w:color w:val="auto"/>
        </w:rPr>
      </w:pPr>
    </w:p>
    <w:p>
      <w:pPr>
        <w:ind w:right="120" w:firstLine="1948"/>
        <w:spacing w:after="0" w:line="268" w:lineRule="auto"/>
        <w:tabs>
          <w:tab w:leader="none" w:pos="2189"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0" w:name="page141"/>
    <w:bookmarkEnd w:id="140"/>
    <w:p>
      <w:pPr>
        <w:ind w:right="580" w:firstLine="1492"/>
        <w:spacing w:after="0" w:line="268" w:lineRule="auto"/>
        <w:tabs>
          <w:tab w:leader="none" w:pos="173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31" w:lineRule="exact"/>
        <w:rPr>
          <w:rFonts w:ascii="Arial" w:cs="Arial" w:eastAsia="Arial" w:hAnsi="Arial"/>
          <w:sz w:val="18"/>
          <w:szCs w:val="18"/>
          <w:color w:val="auto"/>
        </w:rPr>
      </w:pPr>
    </w:p>
    <w:p>
      <w:pPr>
        <w:jc w:val="both"/>
        <w:ind w:right="180" w:firstLine="1948"/>
        <w:spacing w:after="0" w:line="298" w:lineRule="auto"/>
        <w:tabs>
          <w:tab w:leader="none" w:pos="218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12" w:lineRule="exact"/>
        <w:rPr>
          <w:rFonts w:ascii="Arial" w:cs="Arial" w:eastAsia="Arial" w:hAnsi="Arial"/>
          <w:sz w:val="16"/>
          <w:szCs w:val="16"/>
          <w:color w:val="auto"/>
        </w:rPr>
      </w:pPr>
    </w:p>
    <w:p>
      <w:pPr>
        <w:ind w:right="60" w:firstLine="1948"/>
        <w:spacing w:after="0" w:line="298" w:lineRule="auto"/>
        <w:tabs>
          <w:tab w:leader="none" w:pos="218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12" w:lineRule="exact"/>
        <w:rPr>
          <w:rFonts w:ascii="Arial" w:cs="Arial" w:eastAsia="Arial" w:hAnsi="Arial"/>
          <w:sz w:val="16"/>
          <w:szCs w:val="16"/>
          <w:color w:val="auto"/>
        </w:rPr>
      </w:pPr>
    </w:p>
    <w:p>
      <w:pPr>
        <w:ind w:right="20" w:firstLine="1948"/>
        <w:spacing w:after="0" w:line="306" w:lineRule="auto"/>
        <w:tabs>
          <w:tab w:leader="none" w:pos="218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106" w:lineRule="exact"/>
        <w:rPr>
          <w:rFonts w:ascii="Arial" w:cs="Arial" w:eastAsia="Arial" w:hAnsi="Arial"/>
          <w:sz w:val="16"/>
          <w:szCs w:val="16"/>
          <w:color w:val="auto"/>
        </w:rPr>
      </w:pPr>
    </w:p>
    <w:p>
      <w:pPr>
        <w:ind w:firstLine="1948"/>
        <w:spacing w:after="0" w:line="306" w:lineRule="auto"/>
        <w:tabs>
          <w:tab w:leader="none" w:pos="218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106" w:lineRule="exact"/>
        <w:rPr>
          <w:rFonts w:ascii="Arial" w:cs="Arial" w:eastAsia="Arial" w:hAnsi="Arial"/>
          <w:sz w:val="16"/>
          <w:szCs w:val="16"/>
          <w:color w:val="auto"/>
        </w:rPr>
      </w:pPr>
    </w:p>
    <w:p>
      <w:pPr>
        <w:ind w:right="20" w:firstLine="1948"/>
        <w:spacing w:after="0" w:line="306" w:lineRule="auto"/>
        <w:tabs>
          <w:tab w:leader="none" w:pos="218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06" w:lineRule="exact"/>
        <w:rPr>
          <w:rFonts w:ascii="Arial" w:cs="Arial" w:eastAsia="Arial" w:hAnsi="Arial"/>
          <w:sz w:val="16"/>
          <w:szCs w:val="16"/>
          <w:color w:val="auto"/>
        </w:rPr>
      </w:pPr>
    </w:p>
    <w:p>
      <w:pPr>
        <w:ind w:right="440" w:firstLine="1492"/>
        <w:spacing w:after="0" w:line="268" w:lineRule="auto"/>
        <w:tabs>
          <w:tab w:leader="none" w:pos="172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31" w:lineRule="exact"/>
        <w:rPr>
          <w:rFonts w:ascii="Arial" w:cs="Arial" w:eastAsia="Arial" w:hAnsi="Arial"/>
          <w:sz w:val="18"/>
          <w:szCs w:val="18"/>
          <w:color w:val="auto"/>
        </w:rPr>
      </w:pPr>
    </w:p>
    <w:p>
      <w:pPr>
        <w:ind w:right="120" w:firstLine="1492"/>
        <w:spacing w:after="0" w:line="255" w:lineRule="auto"/>
        <w:tabs>
          <w:tab w:leader="none" w:pos="173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1" w:name="page142"/>
    <w:bookmarkEnd w:id="141"/>
    <w:p>
      <w:pPr>
        <w:ind w:left="-20" w:right="280" w:firstLine="1492"/>
        <w:spacing w:after="0" w:line="254" w:lineRule="auto"/>
        <w:tabs>
          <w:tab w:leader="none" w:pos="1702"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44" w:lineRule="exact"/>
        <w:rPr>
          <w:rFonts w:ascii="Arial" w:cs="Arial" w:eastAsia="Arial" w:hAnsi="Arial"/>
          <w:sz w:val="18"/>
          <w:szCs w:val="18"/>
          <w:color w:val="auto"/>
        </w:rPr>
      </w:pPr>
    </w:p>
    <w:p>
      <w:pPr>
        <w:ind w:left="-20" w:right="480" w:firstLine="1492"/>
        <w:spacing w:after="0" w:line="306" w:lineRule="auto"/>
        <w:tabs>
          <w:tab w:leader="none" w:pos="1683"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20" w:right="120" w:firstLine="921"/>
        <w:spacing w:after="0" w:line="259" w:lineRule="auto"/>
        <w:tabs>
          <w:tab w:leader="none" w:pos="106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40" w:lineRule="exact"/>
        <w:rPr>
          <w:rFonts w:ascii="Arial" w:cs="Arial" w:eastAsia="Arial" w:hAnsi="Arial"/>
          <w:sz w:val="18"/>
          <w:szCs w:val="18"/>
          <w:color w:val="auto"/>
        </w:rPr>
      </w:pPr>
    </w:p>
    <w:p>
      <w:pPr>
        <w:ind w:left="-20" w:firstLine="921"/>
        <w:spacing w:after="0" w:line="259" w:lineRule="auto"/>
        <w:tabs>
          <w:tab w:leader="none" w:pos="106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40" w:lineRule="exact"/>
        <w:rPr>
          <w:rFonts w:ascii="Arial" w:cs="Arial" w:eastAsia="Arial" w:hAnsi="Arial"/>
          <w:sz w:val="18"/>
          <w:szCs w:val="18"/>
          <w:color w:val="auto"/>
        </w:rPr>
      </w:pPr>
    </w:p>
    <w:p>
      <w:pPr>
        <w:ind w:left="1080" w:hanging="179"/>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60" w:firstLine="1492"/>
        <w:spacing w:after="0" w:line="309" w:lineRule="auto"/>
        <w:tabs>
          <w:tab w:leader="none" w:pos="1702" w:val="left"/>
        </w:tabs>
        <w:numPr>
          <w:ilvl w:val="1"/>
          <w:numId w:val="149"/>
        </w:numPr>
        <w:rPr>
          <w:rFonts w:ascii="Arial" w:cs="Arial" w:eastAsia="Arial" w:hAnsi="Arial"/>
          <w:sz w:val="15"/>
          <w:szCs w:val="15"/>
          <w:color w:val="auto"/>
        </w:rPr>
      </w:pPr>
      <w:r>
        <w:rPr>
          <w:rFonts w:ascii="Arial" w:cs="Arial" w:eastAsia="Arial" w:hAnsi="Arial"/>
          <w:sz w:val="15"/>
          <w:szCs w:val="15"/>
          <w:u w:val="single" w:color="auto"/>
          <w:color w:val="auto"/>
        </w:rPr>
        <w:t>Delivery of Shares</w:t>
      </w:r>
      <w:r>
        <w:rPr>
          <w:rFonts w:ascii="Arial" w:cs="Arial" w:eastAsia="Arial" w:hAnsi="Arial"/>
          <w:sz w:val="15"/>
          <w:szCs w:val="15"/>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42" w:name="page143"/>
    <w:bookmarkEnd w:id="142"/>
    <w:p>
      <w:pPr>
        <w:ind w:left="-8" w:firstLine="1492"/>
        <w:spacing w:after="0" w:line="289" w:lineRule="auto"/>
        <w:tabs>
          <w:tab w:leader="none" w:pos="1724" w:val="left"/>
        </w:tabs>
        <w:numPr>
          <w:ilvl w:val="2"/>
          <w:numId w:val="1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18" w:lineRule="exact"/>
        <w:rPr>
          <w:rFonts w:ascii="Arial" w:cs="Arial" w:eastAsia="Arial" w:hAnsi="Arial"/>
          <w:sz w:val="16"/>
          <w:szCs w:val="16"/>
          <w:color w:val="auto"/>
        </w:rPr>
      </w:pPr>
    </w:p>
    <w:p>
      <w:pPr>
        <w:ind w:left="-8" w:right="240" w:firstLine="921"/>
        <w:spacing w:after="0" w:line="268" w:lineRule="auto"/>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31" w:lineRule="exact"/>
        <w:rPr>
          <w:rFonts w:ascii="Arial" w:cs="Arial" w:eastAsia="Arial" w:hAnsi="Arial"/>
          <w:sz w:val="18"/>
          <w:szCs w:val="18"/>
          <w:color w:val="auto"/>
        </w:rPr>
      </w:pPr>
    </w:p>
    <w:p>
      <w:pPr>
        <w:ind w:left="1172" w:hanging="259"/>
        <w:spacing w:after="0"/>
        <w:tabs>
          <w:tab w:leader="none" w:pos="1172"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32" w:hanging="248"/>
        <w:spacing w:after="0"/>
        <w:tabs>
          <w:tab w:leader="none" w:pos="1732" w:val="left"/>
        </w:tabs>
        <w:numPr>
          <w:ilvl w:val="2"/>
          <w:numId w:val="151"/>
        </w:numPr>
        <w:rPr>
          <w:rFonts w:ascii="Arial" w:cs="Arial" w:eastAsia="Arial" w:hAnsi="Arial"/>
          <w:sz w:val="15"/>
          <w:szCs w:val="15"/>
          <w:color w:val="auto"/>
        </w:rPr>
      </w:pPr>
      <w:r>
        <w:rPr>
          <w:rFonts w:ascii="Arial" w:cs="Arial" w:eastAsia="Arial" w:hAnsi="Arial"/>
          <w:sz w:val="15"/>
          <w:szCs w:val="15"/>
          <w:color w:val="auto"/>
        </w:rPr>
        <w:t>The Award granted hereunder is subject to the approval of the Plan by the shareholders of the Company to the extent that such approval</w:t>
      </w:r>
    </w:p>
    <w:p>
      <w:pPr>
        <w:spacing w:after="0" w:line="49" w:lineRule="exact"/>
        <w:rPr>
          <w:rFonts w:ascii="Arial" w:cs="Arial" w:eastAsia="Arial" w:hAnsi="Arial"/>
          <w:sz w:val="15"/>
          <w:szCs w:val="15"/>
          <w:color w:val="auto"/>
        </w:rPr>
      </w:pPr>
    </w:p>
    <w:p>
      <w:pPr>
        <w:ind w:left="-8" w:right="520" w:firstLine="8"/>
        <w:spacing w:after="0" w:line="323" w:lineRule="auto"/>
        <w:tabs>
          <w:tab w:leader="none" w:pos="20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92" w:lineRule="exact"/>
        <w:rPr>
          <w:rFonts w:ascii="Arial" w:cs="Arial" w:eastAsia="Arial" w:hAnsi="Arial"/>
          <w:sz w:val="16"/>
          <w:szCs w:val="16"/>
          <w:color w:val="auto"/>
        </w:rPr>
      </w:pPr>
    </w:p>
    <w:p>
      <w:pPr>
        <w:ind w:left="-8" w:right="660" w:firstLine="1492"/>
        <w:spacing w:after="0" w:line="268" w:lineRule="auto"/>
        <w:tabs>
          <w:tab w:leader="none" w:pos="1724"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31" w:lineRule="exact"/>
        <w:rPr>
          <w:rFonts w:ascii="Arial" w:cs="Arial" w:eastAsia="Arial" w:hAnsi="Arial"/>
          <w:sz w:val="18"/>
          <w:szCs w:val="18"/>
          <w:color w:val="auto"/>
        </w:rPr>
      </w:pPr>
    </w:p>
    <w:p>
      <w:pPr>
        <w:ind w:left="-8" w:right="180" w:firstLine="1492"/>
        <w:spacing w:after="0" w:line="268" w:lineRule="auto"/>
        <w:tabs>
          <w:tab w:leader="none" w:pos="1714"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2540</wp:posOffset>
            </wp:positionV>
            <wp:extent cx="23755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ind w:left="7732"/>
        <w:spacing w:after="0"/>
        <w:rPr>
          <w:sz w:val="20"/>
          <w:szCs w:val="20"/>
          <w:color w:val="auto"/>
        </w:rPr>
      </w:pPr>
      <w:r>
        <w:rPr>
          <w:rFonts w:ascii="Arial" w:cs="Arial" w:eastAsia="Arial" w:hAnsi="Arial"/>
          <w:sz w:val="18"/>
          <w:szCs w:val="18"/>
          <w:color w:val="auto"/>
        </w:rPr>
        <w:t>David L. Cohen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2540</wp:posOffset>
            </wp:positionV>
            <wp:extent cx="23755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ind w:left="7732"/>
        <w:spacing w:after="0"/>
        <w:rPr>
          <w:sz w:val="20"/>
          <w:szCs w:val="20"/>
          <w:color w:val="auto"/>
        </w:rPr>
      </w:pPr>
      <w:r>
        <w:rPr>
          <w:rFonts w:ascii="Arial" w:cs="Arial" w:eastAsia="Arial" w:hAnsi="Arial"/>
          <w:sz w:val="18"/>
          <w:szCs w:val="18"/>
          <w:color w:val="auto"/>
        </w:rPr>
        <w:t>Arthur R. Block</w:t>
      </w:r>
    </w:p>
    <w:p>
      <w:pPr>
        <w:spacing w:after="0" w:line="1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28,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1)"/>
      <w:numFmt w:val="lowerLetter"/>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1)"/>
      <w:numFmt w:val="lowerLetter"/>
      <w:start w:val="2"/>
    </w:lvl>
  </w:abstractNum>
  <w:abstractNum w:abstractNumId="6">
    <w:nsid w:val="60B6DF70"/>
    <w:multiLevelType w:val="hybridMultilevel"/>
    <w:lvl w:ilvl="0">
      <w:lvlJc w:val="left"/>
      <w:lvlText w:val="(%1)"/>
      <w:numFmt w:val="lowerLetter"/>
      <w:start w:val="5"/>
    </w:lvl>
    <w:lvl w:ilvl="1">
      <w:lvlJc w:val="left"/>
      <w:lvlText w:val="•"/>
      <w:numFmt w:val="bullet"/>
      <w:start w:val="1"/>
    </w:lvl>
  </w:abstractNum>
  <w:abstractNum w:abstractNumId="7">
    <w:nsid w:val="6A5EE64"/>
    <w:multiLevelType w:val="hybridMultilevel"/>
    <w:lvl w:ilvl="0">
      <w:lvlJc w:val="left"/>
      <w:lvlText w:val="(%1)"/>
      <w:numFmt w:val="lowerLetter"/>
      <w:start w:val="10"/>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1)"/>
      <w:numFmt w:val="lowerLetter"/>
      <w:start w:val="1"/>
    </w:lvl>
  </w:abstractNum>
  <w:abstractNum w:abstractNumId="10">
    <w:nsid w:val="1A27709E"/>
    <w:multiLevelType w:val="hybridMultilevel"/>
    <w:lvl w:ilvl="0">
      <w:lvlJc w:val="left"/>
      <w:lvlText w:val="(%1)"/>
      <w:numFmt w:val="lowerLetter"/>
      <w:start w:val="1"/>
    </w:lvl>
  </w:abstractNum>
  <w:abstractNum w:abstractNumId="11">
    <w:nsid w:val="71EA1109"/>
    <w:multiLevelType w:val="hybridMultilevel"/>
    <w:lvl w:ilvl="0">
      <w:lvlJc w:val="left"/>
      <w:lvlText w:val="(%1)"/>
      <w:numFmt w:val="lowerLetter"/>
      <w:start w:val="1"/>
    </w:lvl>
  </w:abstractNum>
  <w:abstractNum w:abstractNumId="12">
    <w:nsid w:val="100F59DC"/>
    <w:multiLevelType w:val="hybridMultilevel"/>
    <w:lvl w:ilvl="0">
      <w:lvlJc w:val="left"/>
      <w:lvlText w:val="(%1)"/>
      <w:numFmt w:val="lowerLetter"/>
      <w:start w:val="1"/>
    </w:lvl>
  </w:abstractNum>
  <w:abstractNum w:abstractNumId="13">
    <w:nsid w:val="7FB7E0AA"/>
    <w:multiLevelType w:val="hybridMultilevel"/>
    <w:lvl w:ilvl="0">
      <w:lvlJc w:val="left"/>
      <w:lvlText w:val="(%1)"/>
      <w:numFmt w:val="lowerLetter"/>
      <w:start w:val="1"/>
    </w:lvl>
  </w:abstractNum>
  <w:abstractNum w:abstractNumId="14">
    <w:nsid w:val="6EB5BD4"/>
    <w:multiLevelType w:val="hybridMultilevel"/>
    <w:lvl w:ilvl="0">
      <w:lvlJc w:val="left"/>
      <w:lvlText w:val="%1"/>
      <w:numFmt w:val="decimal"/>
      <w:start w:val="31"/>
    </w:lvl>
  </w:abstractNum>
  <w:abstractNum w:abstractNumId="15">
    <w:nsid w:val="6F6DD9AC"/>
    <w:multiLevelType w:val="hybridMultilevel"/>
    <w:lvl w:ilvl="0">
      <w:lvlJc w:val="left"/>
      <w:lvlText w:val="%1"/>
      <w:numFmt w:val="decimal"/>
      <w:start w:val="10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1."/>
      <w:numFmt w:val="decimal"/>
      <w:start w:val="1"/>
    </w:lvl>
    <w:lvl w:ilvl="1">
      <w:lvlJc w:val="left"/>
      <w:lvlText w:val="(%2)"/>
      <w:numFmt w:val="lowerLetter"/>
      <w:start w:val="1"/>
    </w:lvl>
  </w:abstractNum>
  <w:abstractNum w:abstractNumId="18">
    <w:nsid w:val="7627211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
    <w:nsid w:val="4C04A8AF"/>
    <w:multiLevelType w:val="hybridMultilevel"/>
    <w:lvl w:ilvl="0">
      <w:lvlJc w:val="left"/>
      <w:lvlText w:val="%1"/>
      <w:numFmt w:val="lowerLetter"/>
      <w:start w:val="1"/>
    </w:lvl>
    <w:lvl w:ilvl="1">
      <w:lvlJc w:val="left"/>
      <w:lvlText w:val="(%2)"/>
      <w:numFmt w:val="lowerLetter"/>
      <w:start w:val="35"/>
    </w:lvl>
  </w:abstractNum>
  <w:abstractNum w:abstractNumId="20">
    <w:nsid w:val="1716703B"/>
    <w:multiLevelType w:val="hybridMultilevel"/>
    <w:lvl w:ilvl="0">
      <w:lvlJc w:val="left"/>
      <w:lvlText w:val="(%1)"/>
      <w:numFmt w:val="lowerLetter"/>
      <w:start w:val="7"/>
    </w:lvl>
    <w:lvl w:ilvl="1">
      <w:lvlJc w:val="left"/>
      <w:lvlText w:val="(%2)"/>
      <w:numFmt w:val="lowerLetter"/>
      <w:start w:val="9"/>
    </w:lvl>
  </w:abstractNum>
  <w:abstractNum w:abstractNumId="21">
    <w:nsid w:val="14E17E33"/>
    <w:multiLevelType w:val="hybridMultilevel"/>
    <w:lvl w:ilvl="0">
      <w:lvlJc w:val="left"/>
      <w:lvlText w:val="(%1)"/>
      <w:numFmt w:val="lowerRoman"/>
      <w:start w:val="2"/>
    </w:lvl>
  </w:abstractNum>
  <w:abstractNum w:abstractNumId="22">
    <w:nsid w:val="3222E7CD"/>
    <w:multiLevelType w:val="hybridMultilevel"/>
    <w:lvl w:ilvl="0">
      <w:lvlJc w:val="left"/>
      <w:lvlText w:val="(%1)"/>
      <w:numFmt w:val="lowerLetter"/>
      <w:start w:val="11"/>
    </w:lvl>
    <w:lvl w:ilvl="1">
      <w:lvlJc w:val="left"/>
      <w:lvlText w:val="(%2)"/>
      <w:numFmt w:val="lowerRoman"/>
      <w:start w:val="1"/>
    </w:lvl>
  </w:abstractNum>
  <w:abstractNum w:abstractNumId="23">
    <w:nsid w:val="74DE0EE3"/>
    <w:multiLevelType w:val="hybridMultilevel"/>
    <w:lvl w:ilvl="0">
      <w:lvlJc w:val="left"/>
      <w:lvlText w:val="(%1)"/>
      <w:numFmt w:val="lowerLetter"/>
      <w:start w:val="19"/>
    </w:lvl>
    <w:lvl w:ilvl="1">
      <w:lvlJc w:val="left"/>
      <w:lvlText w:val="(%2)"/>
      <w:numFmt w:val="lowerRoman"/>
      <w:start w:val="1"/>
    </w:lvl>
  </w:abstractNum>
  <w:abstractNum w:abstractNumId="24">
    <w:nsid w:val="68EBC550"/>
    <w:multiLevelType w:val="hybridMultilevel"/>
    <w:lvl w:ilvl="0">
      <w:lvlJc w:val="left"/>
      <w:lvlText w:val="(%1)"/>
      <w:numFmt w:val="lowerLetter"/>
      <w:start w:val="25"/>
    </w:lvl>
    <w:lvl w:ilvl="1">
      <w:lvlJc w:val="left"/>
      <w:lvlText w:val="(%2)"/>
      <w:numFmt w:val="lowerRoman"/>
      <w:start w:val="1"/>
    </w:lvl>
  </w:abstractNum>
  <w:abstractNum w:abstractNumId="25">
    <w:nsid w:val="2DF6D648"/>
    <w:multiLevelType w:val="hybridMultilevel"/>
    <w:lvl w:ilvl="0">
      <w:lvlJc w:val="left"/>
      <w:lvlText w:val="(%1)"/>
      <w:numFmt w:val="lowerLetter"/>
      <w:start w:val="27"/>
    </w:lvl>
  </w:abstractNum>
  <w:abstractNum w:abstractNumId="26">
    <w:nsid w:val="46B7D447"/>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7">
    <w:nsid w:val="4A2AC315"/>
    <w:multiLevelType w:val="hybridMultilevel"/>
    <w:lvl w:ilvl="0">
      <w:lvlJc w:val="left"/>
      <w:lvlText w:val="(%1)"/>
      <w:numFmt w:val="decimal"/>
      <w:start w:val="3"/>
    </w:lvl>
  </w:abstractNum>
  <w:abstractNum w:abstractNumId="28">
    <w:nsid w:val="39EE015C"/>
    <w:multiLevelType w:val="hybridMultilevel"/>
    <w:lvl w:ilvl="0">
      <w:lvlJc w:val="left"/>
      <w:lvlText w:val="(%1)"/>
      <w:numFmt w:val="lowerLetter"/>
      <w:start w:val="37"/>
    </w:lvl>
  </w:abstractNum>
  <w:abstractNum w:abstractNumId="29">
    <w:nsid w:val="57FC4FBB"/>
    <w:multiLevelType w:val="hybridMultilevel"/>
    <w:lvl w:ilvl="0">
      <w:lvlJc w:val="left"/>
      <w:lvlText w:val="(%1)"/>
      <w:numFmt w:val="lowerLetter"/>
      <w:start w:val="42"/>
    </w:lvl>
    <w:lvl w:ilvl="1">
      <w:lvlJc w:val="left"/>
      <w:lvlText w:val="(%2)"/>
      <w:numFmt w:val="lowerRoman"/>
      <w:start w:val="1"/>
    </w:lvl>
  </w:abstractNum>
  <w:abstractNum w:abstractNumId="30">
    <w:nsid w:val="CC1016F"/>
    <w:multiLevelType w:val="hybridMultilevel"/>
    <w:lvl w:ilvl="0">
      <w:lvlJc w:val="left"/>
      <w:lvlText w:val="(%1)"/>
      <w:numFmt w:val="lowerLetter"/>
      <w:start w:val="52"/>
    </w:lvl>
  </w:abstractNum>
  <w:abstractNum w:abstractNumId="31">
    <w:nsid w:val="43F18422"/>
    <w:multiLevelType w:val="hybridMultilevel"/>
    <w:lvl w:ilvl="0">
      <w:lvlJc w:val="left"/>
      <w:lvlText w:val="(%1)"/>
      <w:numFmt w:val="lowerLetter"/>
      <w:start w:val="53"/>
    </w:lvl>
    <w:lvl w:ilvl="1">
      <w:lvlJc w:val="left"/>
      <w:lvlText w:val="(%2)"/>
      <w:numFmt w:val="lowerRoman"/>
      <w:start w:val="1"/>
    </w:lvl>
  </w:abstractNum>
  <w:abstractNum w:abstractNumId="32">
    <w:nsid w:val="60EF0119"/>
    <w:multiLevelType w:val="hybridMultilevel"/>
    <w:lvl w:ilvl="0">
      <w:lvlJc w:val="left"/>
      <w:lvlText w:val="%1"/>
      <w:numFmt w:val="decimal"/>
      <w:start w:val="1"/>
    </w:lvl>
    <w:lvl w:ilvl="1">
      <w:lvlJc w:val="left"/>
      <w:lvlText w:val="(%2)"/>
      <w:numFmt w:val="lowerLetter"/>
      <w:start w:val="1"/>
    </w:lvl>
  </w:abstractNum>
  <w:abstractNum w:abstractNumId="33">
    <w:nsid w:val="26F324BA"/>
    <w:multiLevelType w:val="hybridMultilevel"/>
    <w:lvl w:ilvl="0">
      <w:lvlJc w:val="left"/>
      <w:lvlText w:val="%1."/>
      <w:numFmt w:val="decimal"/>
      <w:start w:val="4"/>
    </w:lvl>
    <w:lvl w:ilvl="1">
      <w:lvlJc w:val="left"/>
      <w:lvlText w:val="(%2)"/>
      <w:numFmt w:val="lowerLetter"/>
      <w:start w:val="1"/>
    </w:lvl>
  </w:abstractNum>
  <w:abstractNum w:abstractNumId="34">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5">
    <w:nsid w:val="49DA307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6">
    <w:nsid w:val="7055A5F5"/>
    <w:multiLevelType w:val="hybridMultilevel"/>
    <w:lvl w:ilvl="0">
      <w:lvlJc w:val="left"/>
      <w:lvlText w:val="(%1)"/>
      <w:numFmt w:val="lowerLetter"/>
      <w:start w:val="3"/>
    </w:lvl>
  </w:abstractNum>
  <w:abstractNum w:abstractNumId="37">
    <w:nsid w:val="5FB8370B"/>
    <w:multiLevelType w:val="hybridMultilevel"/>
    <w:lvl w:ilvl="0">
      <w:lvlJc w:val="left"/>
      <w:lvlText w:val="(%1)"/>
      <w:numFmt w:val="lowerLetter"/>
      <w:start w:val="6"/>
    </w:lvl>
    <w:lvl w:ilvl="1">
      <w:lvlJc w:val="left"/>
      <w:lvlText w:val="(%2)"/>
      <w:numFmt w:val="lowerRoman"/>
      <w:start w:val="1"/>
    </w:lvl>
  </w:abstractNum>
  <w:abstractNum w:abstractNumId="38">
    <w:nsid w:val="50801EE1"/>
    <w:multiLevelType w:val="hybridMultilevel"/>
    <w:lvl w:ilvl="0">
      <w:lvlJc w:val="left"/>
      <w:lvlText w:val="%1"/>
      <w:numFmt w:val="decimal"/>
      <w:start w:val="1"/>
    </w:lvl>
    <w:lvl w:ilvl="1">
      <w:lvlJc w:val="left"/>
      <w:lvlText w:val="(%2)"/>
      <w:numFmt w:val="lowerRoman"/>
      <w:start w:val="3"/>
    </w:lvl>
  </w:abstractNum>
  <w:abstractNum w:abstractNumId="39">
    <w:nsid w:val="488AC1A"/>
    <w:multiLevelType w:val="hybridMultilevel"/>
    <w:lvl w:ilvl="0">
      <w:lvlJc w:val="left"/>
      <w:lvlText w:val="%1."/>
      <w:numFmt w:val="decimal"/>
      <w:start w:val="6"/>
    </w:lvl>
    <w:lvl w:ilvl="1">
      <w:lvlJc w:val="left"/>
      <w:lvlText w:val="%2"/>
      <w:numFmt w:val="lowerRoman"/>
      <w:start w:val="1"/>
    </w:lvl>
  </w:abstractNum>
  <w:abstractNum w:abstractNumId="40">
    <w:nsid w:val="5FB8011C"/>
    <w:multiLevelType w:val="hybridMultilevel"/>
    <w:lvl w:ilvl="0">
      <w:lvlJc w:val="left"/>
      <w:lvlText w:val="(%1)"/>
      <w:numFmt w:val="lowerLetter"/>
      <w:start w:val="1"/>
    </w:lvl>
  </w:abstractNum>
  <w:abstractNum w:abstractNumId="41">
    <w:nsid w:val="6AA78F7F"/>
    <w:multiLevelType w:val="hybridMultilevel"/>
    <w:lvl w:ilvl="0">
      <w:lvlJc w:val="left"/>
      <w:lvlText w:val="(%1)"/>
      <w:numFmt w:val="lowerLetter"/>
      <w:start w:val="6"/>
    </w:lvl>
  </w:abstractNum>
  <w:abstractNum w:abstractNumId="42">
    <w:nsid w:val="7672BD23"/>
    <w:multiLevelType w:val="hybridMultilevel"/>
    <w:lvl w:ilvl="0">
      <w:lvlJc w:val="left"/>
      <w:lvlText w:val="(%1)"/>
      <w:numFmt w:val="lowerLetter"/>
      <w:start w:val="1"/>
    </w:lvl>
    <w:lvl w:ilvl="1">
      <w:lvlJc w:val="left"/>
      <w:lvlText w:val="(%2)"/>
      <w:numFmt w:val="lowerRoman"/>
      <w:start w:val="1"/>
    </w:lvl>
  </w:abstractNum>
  <w:abstractNum w:abstractNumId="43">
    <w:nsid w:val="6FC75AF8"/>
    <w:multiLevelType w:val="hybridMultilevel"/>
    <w:lvl w:ilvl="0">
      <w:lvlJc w:val="left"/>
      <w:lvlText w:val="(%1)"/>
      <w:numFmt w:val="lowerRoman"/>
      <w:start w:val="2"/>
    </w:lvl>
  </w:abstractNum>
  <w:abstractNum w:abstractNumId="44">
    <w:nsid w:val="6A5F7029"/>
    <w:multiLevelType w:val="hybridMultilevel"/>
    <w:lvl w:ilvl="0">
      <w:lvlJc w:val="left"/>
      <w:lvlText w:val="(%1)"/>
      <w:numFmt w:val="lowerLetter"/>
      <w:start w:val="5"/>
    </w:lvl>
  </w:abstractNum>
  <w:abstractNum w:abstractNumId="45">
    <w:nsid w:val="7D5E18F8"/>
    <w:multiLevelType w:val="hybridMultilevel"/>
    <w:lvl w:ilvl="0">
      <w:lvlJc w:val="left"/>
      <w:lvlText w:val="(%1)"/>
      <w:numFmt w:val="lowerLetter"/>
      <w:start w:val="6"/>
    </w:lvl>
    <w:lvl w:ilvl="1">
      <w:lvlJc w:val="left"/>
      <w:lvlText w:val="(%2)"/>
      <w:numFmt w:val="lowerRoman"/>
      <w:start w:val="1"/>
    </w:lvl>
  </w:abstractNum>
  <w:abstractNum w:abstractNumId="46">
    <w:nsid w:val="5F3534A4"/>
    <w:multiLevelType w:val="hybridMultilevel"/>
    <w:lvl w:ilvl="0">
      <w:lvlJc w:val="left"/>
      <w:lvlText w:val="(%1)"/>
      <w:numFmt w:val="lowerRoman"/>
      <w:start w:val="1"/>
    </w:lvl>
    <w:lvl w:ilvl="1">
      <w:lvlJc w:val="left"/>
      <w:lvlText w:val="(%2)"/>
      <w:numFmt w:val="lowerRoman"/>
      <w:start w:val="1"/>
    </w:lvl>
  </w:abstractNum>
  <w:abstractNum w:abstractNumId="47">
    <w:nsid w:val="73A1821B"/>
    <w:multiLevelType w:val="hybridMultilevel"/>
    <w:lvl w:ilvl="0">
      <w:lvlJc w:val="left"/>
      <w:lvlText w:val="(%1)"/>
      <w:numFmt w:val="lowerLetter"/>
      <w:start w:val="10"/>
    </w:lvl>
    <w:lvl w:ilvl="1">
      <w:lvlJc w:val="left"/>
      <w:lvlText w:val="(%2)"/>
      <w:numFmt w:val="lowerRoman"/>
      <w:start w:val="1"/>
    </w:lvl>
  </w:abstractNum>
  <w:abstractNum w:abstractNumId="48">
    <w:nsid w:val="7DE67713"/>
    <w:multiLevelType w:val="hybridMultilevel"/>
    <w:lvl w:ilvl="0">
      <w:lvlJc w:val="left"/>
      <w:lvlText w:val="%1"/>
      <w:numFmt w:val="lowerLetter"/>
      <w:start w:val="1"/>
    </w:lvl>
    <w:lvl w:ilvl="1">
      <w:lvlJc w:val="left"/>
      <w:lvlText w:val="(%2)"/>
      <w:numFmt w:val="lowerRoman"/>
      <w:start w:val="4"/>
    </w:lvl>
  </w:abstractNum>
  <w:abstractNum w:abstractNumId="49">
    <w:nsid w:val="555C55B5"/>
    <w:multiLevelType w:val="hybridMultilevel"/>
    <w:lvl w:ilvl="0">
      <w:lvlJc w:val="left"/>
      <w:lvlText w:val="(%1)"/>
      <w:numFmt w:val="lowerLetter"/>
      <w:start w:val="12"/>
    </w:lvl>
    <w:lvl w:ilvl="1">
      <w:lvlJc w:val="left"/>
      <w:lvlText w:val="%2"/>
      <w:numFmt w:val="lowerRoman"/>
      <w:start w:val="1"/>
    </w:lvl>
  </w:abstractNum>
  <w:abstractNum w:abstractNumId="50">
    <w:nsid w:val="3FA62ACA"/>
    <w:multiLevelType w:val="hybridMultilevel"/>
    <w:lvl w:ilvl="0">
      <w:lvlJc w:val="left"/>
      <w:lvlText w:val="%1"/>
      <w:numFmt w:val="decimal"/>
      <w:start w:val="1"/>
    </w:lvl>
    <w:lvl w:ilvl="1">
      <w:lvlJc w:val="left"/>
      <w:lvlText w:val="(%2)"/>
      <w:numFmt w:val="lowerLetter"/>
      <w:start w:val="13"/>
    </w:lvl>
  </w:abstractNum>
  <w:abstractNum w:abstractNumId="51">
    <w:nsid w:val="14FCE74E"/>
    <w:multiLevelType w:val="hybridMultilevel"/>
    <w:lvl w:ilvl="0">
      <w:lvlJc w:val="left"/>
      <w:lvlText w:val="%1."/>
      <w:numFmt w:val="decimal"/>
      <w:start w:val="9"/>
    </w:lvl>
    <w:lvl w:ilvl="1">
      <w:lvlJc w:val="left"/>
      <w:lvlText w:val="(%2)"/>
      <w:numFmt w:val="lowerLetter"/>
      <w:start w:val="1"/>
    </w:lvl>
  </w:abstractNum>
  <w:abstractNum w:abstractNumId="52">
    <w:nsid w:val="6A3DD3E8"/>
    <w:multiLevelType w:val="hybridMultilevel"/>
    <w:lvl w:ilvl="0">
      <w:lvlJc w:val="left"/>
      <w:lvlText w:val="(%1)"/>
      <w:numFmt w:val="lowerLetter"/>
      <w:start w:val="3"/>
    </w:lvl>
    <w:lvl w:ilvl="1">
      <w:lvlJc w:val="left"/>
      <w:lvlText w:val="(%2)"/>
      <w:numFmt w:val="lowerRoman"/>
      <w:start w:val="1"/>
    </w:lvl>
  </w:abstractNum>
  <w:abstractNum w:abstractNumId="53">
    <w:nsid w:val="71C91298"/>
    <w:multiLevelType w:val="hybridMultilevel"/>
    <w:lvl w:ilvl="0">
      <w:lvlJc w:val="left"/>
      <w:lvlText w:val="(%1)"/>
      <w:numFmt w:val="lowerLetter"/>
      <w:start w:val="2"/>
    </w:lvl>
  </w:abstractNum>
  <w:abstractNum w:abstractNumId="54">
    <w:nsid w:val="9DAF632"/>
    <w:multiLevelType w:val="hybridMultilevel"/>
    <w:lvl w:ilvl="0">
      <w:lvlJc w:val="left"/>
      <w:lvlText w:val="(%1)"/>
      <w:numFmt w:val="lowerRoman"/>
      <w:start w:val="1"/>
    </w:lvl>
  </w:abstractNum>
  <w:abstractNum w:abstractNumId="55">
    <w:nsid w:val="53299938"/>
    <w:multiLevelType w:val="hybridMultilevel"/>
    <w:lvl w:ilvl="0">
      <w:lvlJc w:val="left"/>
      <w:lvlText w:val="(%1)"/>
      <w:numFmt w:val="decimal"/>
      <w:start w:val="1"/>
    </w:lvl>
  </w:abstractNum>
  <w:abstractNum w:abstractNumId="56">
    <w:nsid w:val="1FBFE8E0"/>
    <w:multiLevelType w:val="hybridMultilevel"/>
    <w:lvl w:ilvl="0">
      <w:lvlJc w:val="left"/>
      <w:lvlText w:val="(%1)"/>
      <w:numFmt w:val="decimal"/>
      <w:start w:val="1"/>
    </w:lvl>
  </w:abstractNum>
  <w:abstractNum w:abstractNumId="57">
    <w:nsid w:val="5092CA79"/>
    <w:multiLevelType w:val="hybridMultilevel"/>
    <w:lvl w:ilvl="0">
      <w:lvlJc w:val="left"/>
      <w:lvlText w:val="(%1)"/>
      <w:numFmt w:val="lowerLetter"/>
      <w:start w:val="1"/>
    </w:lvl>
    <w:lvl w:ilvl="1">
      <w:lvlJc w:val="left"/>
      <w:lvlText w:val="(%2)"/>
      <w:numFmt w:val="decimal"/>
      <w:start w:val="1"/>
    </w:lvl>
  </w:abstractNum>
  <w:abstractNum w:abstractNumId="58">
    <w:nsid w:val="1D545C4D"/>
    <w:multiLevelType w:val="hybridMultilevel"/>
    <w:lvl w:ilvl="0">
      <w:lvlJc w:val="left"/>
      <w:lvlText w:val="(%1)"/>
      <w:numFmt w:val="lowerLetter"/>
      <w:start w:val="1"/>
    </w:lvl>
    <w:lvl w:ilvl="1">
      <w:lvlJc w:val="left"/>
      <w:lvlText w:val="(%2)"/>
      <w:numFmt w:val="decimal"/>
      <w:start w:val="1"/>
    </w:lvl>
  </w:abstractNum>
  <w:abstractNum w:abstractNumId="59">
    <w:nsid w:val="59ADEA3D"/>
    <w:multiLevelType w:val="hybridMultilevel"/>
    <w:lvl w:ilvl="0">
      <w:lvlJc w:val="left"/>
      <w:lvlText w:val="(%1)"/>
      <w:numFmt w:val="lowerLetter"/>
      <w:start w:val="1"/>
    </w:lvl>
  </w:abstractNum>
  <w:abstractNum w:abstractNumId="60">
    <w:nsid w:val="288F1A34"/>
    <w:multiLevelType w:val="hybridMultilevel"/>
    <w:lvl w:ilvl="0">
      <w:lvlJc w:val="left"/>
      <w:lvlText w:val="(%1)"/>
      <w:numFmt w:val="lowerLetter"/>
      <w:start w:val="3"/>
    </w:lvl>
  </w:abstractNum>
  <w:abstractNum w:abstractNumId="61">
    <w:nsid w:val="2A155DBC"/>
    <w:multiLevelType w:val="hybridMultilevel"/>
    <w:lvl w:ilvl="0">
      <w:lvlJc w:val="left"/>
      <w:lvlText w:val="(%1)"/>
      <w:numFmt w:val="lowerLetter"/>
      <w:start w:val="1"/>
    </w:lvl>
    <w:lvl w:ilvl="1">
      <w:lvlJc w:val="left"/>
      <w:lvlText w:val="(%2)"/>
      <w:numFmt w:val="decimal"/>
      <w:start w:val="1"/>
    </w:lvl>
  </w:abstractNum>
  <w:abstractNum w:abstractNumId="62">
    <w:nsid w:val="1D9F6E5F"/>
    <w:multiLevelType w:val="hybridMultilevel"/>
    <w:lvl w:ilvl="0">
      <w:lvlJc w:val="left"/>
      <w:lvlText w:val="%1"/>
      <w:numFmt w:val="lowerLetter"/>
      <w:start w:val="1"/>
    </w:lvl>
    <w:lvl w:ilvl="1">
      <w:lvlJc w:val="left"/>
      <w:lvlText w:val="(%2)"/>
      <w:numFmt w:val="decimal"/>
      <w:start w:val="3"/>
    </w:lvl>
  </w:abstractNum>
  <w:abstractNum w:abstractNumId="63">
    <w:nsid w:val="97E1B4E"/>
    <w:multiLevelType w:val="hybridMultilevel"/>
    <w:lvl w:ilvl="0">
      <w:lvlJc w:val="left"/>
      <w:lvlText w:val="(%1)"/>
      <w:numFmt w:val="lowerLetter"/>
      <w:start w:val="2"/>
    </w:lvl>
    <w:lvl w:ilvl="1">
      <w:lvlJc w:val="left"/>
      <w:lvlText w:val="%2"/>
      <w:numFmt w:val="decimal"/>
      <w:start w:val="1"/>
    </w:lvl>
  </w:abstractNum>
  <w:abstractNum w:abstractNumId="64">
    <w:nsid w:val="51088277"/>
    <w:multiLevelType w:val="hybridMultilevel"/>
    <w:lvl w:ilvl="0">
      <w:lvlJc w:val="left"/>
      <w:lvlText w:val="(%1)"/>
      <w:numFmt w:val="lowerLetter"/>
      <w:start w:val="1"/>
    </w:lvl>
  </w:abstractNum>
  <w:abstractNum w:abstractNumId="65">
    <w:nsid w:val="1CA0C5FA"/>
    <w:multiLevelType w:val="hybridMultilevel"/>
    <w:lvl w:ilvl="0">
      <w:lvlJc w:val="left"/>
      <w:lvlText w:val="(%1)"/>
      <w:numFmt w:val="lowerLetter"/>
      <w:start w:val="1"/>
    </w:lvl>
    <w:lvl w:ilvl="1">
      <w:lvlJc w:val="left"/>
      <w:lvlText w:val="(%2)"/>
      <w:numFmt w:val="decimal"/>
      <w:start w:val="1"/>
    </w:lvl>
  </w:abstractNum>
  <w:abstractNum w:abstractNumId="66">
    <w:nsid w:val="53584BCB"/>
    <w:multiLevelType w:val="hybridMultilevel"/>
    <w:lvl w:ilvl="0">
      <w:lvlJc w:val="left"/>
      <w:lvlText w:val="(%1)"/>
      <w:numFmt w:val="lowerLetter"/>
      <w:start w:val="2"/>
    </w:lvl>
    <w:lvl w:ilvl="1">
      <w:lvlJc w:val="left"/>
      <w:lvlText w:val="(%2)"/>
      <w:numFmt w:val="decimal"/>
      <w:start w:val="1"/>
    </w:lvl>
  </w:abstractNum>
  <w:abstractNum w:abstractNumId="67">
    <w:nsid w:val="415E286C"/>
    <w:multiLevelType w:val="hybridMultilevel"/>
    <w:lvl w:ilvl="0">
      <w:lvlJc w:val="left"/>
      <w:lvlText w:val="(%1)"/>
      <w:numFmt w:val="lowerLetter"/>
      <w:start w:val="1"/>
    </w:lvl>
  </w:abstractNum>
  <w:abstractNum w:abstractNumId="68">
    <w:nsid w:val="7C58FD05"/>
    <w:multiLevelType w:val="hybridMultilevel"/>
    <w:lvl w:ilvl="0">
      <w:lvlJc w:val="left"/>
      <w:lvlText w:val="(%1)"/>
      <w:numFmt w:val="decimal"/>
      <w:start w:val="2"/>
    </w:lvl>
  </w:abstractNum>
  <w:abstractNum w:abstractNumId="69">
    <w:nsid w:val="23D86AAC"/>
    <w:multiLevelType w:val="hybridMultilevel"/>
    <w:lvl w:ilvl="0">
      <w:lvlJc w:val="left"/>
      <w:lvlText w:val="(%1)"/>
      <w:numFmt w:val="lowerLetter"/>
      <w:start w:val="1"/>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2"/>
    </w:lvl>
  </w:abstractNum>
  <w:abstractNum w:abstractNumId="72">
    <w:nsid w:val="E7FFA2B"/>
    <w:multiLevelType w:val="hybridMultilevel"/>
    <w:lvl w:ilvl="0">
      <w:lvlJc w:val="left"/>
      <w:lvlText w:val="(%1)"/>
      <w:numFmt w:val="lowerLetter"/>
      <w:start w:val="2"/>
    </w:lvl>
  </w:abstractNum>
  <w:abstractNum w:abstractNumId="73">
    <w:nsid w:val="3C5991AA"/>
    <w:multiLevelType w:val="hybridMultilevel"/>
    <w:lvl w:ilvl="0">
      <w:lvlJc w:val="left"/>
      <w:lvlText w:val="(%1)"/>
      <w:numFmt w:val="lowerLetter"/>
      <w:start w:val="1"/>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1"/>
    </w:lvl>
  </w:abstractNum>
  <w:abstractNum w:abstractNumId="76">
    <w:nsid w:val="39B7AAA2"/>
    <w:multiLevelType w:val="hybridMultilevel"/>
    <w:lvl w:ilvl="0">
      <w:lvlJc w:val="left"/>
      <w:lvlText w:val="(%1)"/>
      <w:numFmt w:val="lowerLetter"/>
      <w:start w:val="2"/>
    </w:lvl>
    <w:lvl w:ilvl="1">
      <w:lvlJc w:val="left"/>
      <w:lvlText w:val="(%2)"/>
      <w:numFmt w:val="decimal"/>
      <w:start w:val="1"/>
    </w:lvl>
  </w:abstractNum>
  <w:abstractNum w:abstractNumId="77">
    <w:nsid w:val="2B0D8DBE"/>
    <w:multiLevelType w:val="hybridMultilevel"/>
    <w:lvl w:ilvl="0">
      <w:lvlJc w:val="left"/>
      <w:lvlText w:val="(%1)"/>
      <w:numFmt w:val="lowerLetter"/>
      <w:start w:val="2"/>
    </w:lvl>
    <w:lvl w:ilvl="1">
      <w:lvlJc w:val="left"/>
      <w:lvlText w:val="(%2)"/>
      <w:numFmt w:val="decimal"/>
      <w:start w:val="1"/>
    </w:lvl>
  </w:abstractNum>
  <w:abstractNum w:abstractNumId="78">
    <w:nsid w:val="6C80EC70"/>
    <w:multiLevelType w:val="hybridMultilevel"/>
    <w:lvl w:ilvl="0">
      <w:lvlJc w:val="left"/>
      <w:lvlText w:val="(%1)"/>
      <w:numFmt w:val="lowerLetter"/>
      <w:start w:val="2"/>
    </w:lvl>
  </w:abstractNum>
  <w:abstractNum w:abstractNumId="79">
    <w:nsid w:val="379E21B5"/>
    <w:multiLevelType w:val="hybridMultilevel"/>
    <w:lvl w:ilvl="0">
      <w:lvlJc w:val="left"/>
      <w:lvlText w:val="(%1)"/>
      <w:numFmt w:val="lowerLetter"/>
      <w:start w:val="2"/>
    </w:lvl>
  </w:abstractNum>
  <w:abstractNum w:abstractNumId="80">
    <w:nsid w:val="69E373"/>
    <w:multiLevelType w:val="hybridMultilevel"/>
    <w:lvl w:ilvl="0">
      <w:lvlJc w:val="left"/>
      <w:lvlText w:val="(%1)"/>
      <w:numFmt w:val="lowerLetter"/>
      <w:start w:val="3"/>
    </w:lvl>
  </w:abstractNum>
  <w:abstractNum w:abstractNumId="81">
    <w:nsid w:val="2C27173B"/>
    <w:multiLevelType w:val="hybridMultilevel"/>
    <w:lvl w:ilvl="0">
      <w:lvlJc w:val="left"/>
      <w:lvlText w:val="(%1)"/>
      <w:numFmt w:val="lowerLetter"/>
      <w:start w:val="1"/>
    </w:lvl>
  </w:abstractNum>
  <w:abstractNum w:abstractNumId="82">
    <w:nsid w:val="4C9B0904"/>
    <w:multiLevelType w:val="hybridMultilevel"/>
    <w:lvl w:ilvl="0">
      <w:lvlJc w:val="left"/>
      <w:lvlText w:val="(%1)"/>
      <w:numFmt w:val="lowerLetter"/>
      <w:start w:val="3"/>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lowerLetter"/>
      <w:start w:val="1"/>
    </w:lvl>
    <w:lvl w:ilvl="1">
      <w:lvlJc w:val="left"/>
      <w:lvlText w:val="(%2)"/>
      <w:numFmt w:val="decimal"/>
      <w:start w:val="1"/>
    </w:lvl>
  </w:abstractNum>
  <w:abstractNum w:abstractNumId="85">
    <w:nsid w:val="5675FF36"/>
    <w:multiLevelType w:val="hybridMultilevel"/>
    <w:lvl w:ilvl="0">
      <w:lvlJc w:val="left"/>
      <w:lvlText w:val="(%1)"/>
      <w:numFmt w:val="lowerLetter"/>
      <w:start w:val="2"/>
    </w:lvl>
    <w:lvl w:ilvl="1">
      <w:lvlJc w:val="left"/>
      <w:lvlText w:val="%2"/>
      <w:numFmt w:val="decimal"/>
      <w:start w:val="1"/>
    </w:lvl>
  </w:abstractNum>
  <w:abstractNum w:abstractNumId="86">
    <w:nsid w:val="3DD15094"/>
    <w:multiLevelType w:val="hybridMultilevel"/>
    <w:lvl w:ilvl="0">
      <w:lvlJc w:val="left"/>
      <w:lvlText w:val="(%1)"/>
      <w:numFmt w:val="lowerLetter"/>
      <w:start w:val="2"/>
    </w:lvl>
    <w:lvl w:ilvl="1">
      <w:lvlJc w:val="left"/>
      <w:lvlText w:val="(%2)"/>
      <w:numFmt w:val="decimal"/>
      <w:start w:val="1"/>
    </w:lvl>
  </w:abstractNum>
  <w:abstractNum w:abstractNumId="87">
    <w:nsid w:val="3DB012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8">
    <w:nsid w:val="2708C9A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89">
    <w:nsid w:val="5B25ACE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0">
    <w:nsid w:val="175DFCF0"/>
    <w:multiLevelType w:val="hybridMultilevel"/>
    <w:lvl w:ilvl="0">
      <w:lvlJc w:val="left"/>
      <w:lvlText w:val="(%1)"/>
      <w:numFmt w:val="decimal"/>
      <w:start w:val="1"/>
    </w:lvl>
  </w:abstractNum>
  <w:abstractNum w:abstractNumId="91">
    <w:nsid w:val="4F97E3E4"/>
    <w:multiLevelType w:val="hybridMultilevel"/>
    <w:lvl w:ilvl="0">
      <w:lvlJc w:val="left"/>
      <w:lvlText w:val="(%1)"/>
      <w:numFmt w:val="decimal"/>
      <w:start w:val="4"/>
    </w:lvl>
  </w:abstractNum>
  <w:abstractNum w:abstractNumId="92">
    <w:nsid w:val="53B0A9E"/>
    <w:multiLevelType w:val="hybridMultilevel"/>
    <w:lvl w:ilvl="0">
      <w:lvlJc w:val="left"/>
      <w:lvlText w:val="(%1)"/>
      <w:numFmt w:val="lowerLetter"/>
      <w:start w:val="2"/>
    </w:lvl>
    <w:lvl w:ilvl="1">
      <w:lvlJc w:val="left"/>
      <w:lvlText w:val="(%2)"/>
      <w:numFmt w:val="decimal"/>
      <w:start w:val="1"/>
    </w:lvl>
  </w:abstractNum>
  <w:abstractNum w:abstractNumId="93">
    <w:nsid w:val="34FD6B4F"/>
    <w:multiLevelType w:val="hybridMultilevel"/>
    <w:lvl w:ilvl="0">
      <w:lvlJc w:val="left"/>
      <w:lvlText w:val="%1"/>
      <w:numFmt w:val="decimal"/>
      <w:start w:val="1"/>
    </w:lvl>
    <w:lvl w:ilvl="1">
      <w:lvlJc w:val="left"/>
      <w:lvlText w:val="(%2)"/>
      <w:numFmt w:val="lowerLetter"/>
      <w:start w:val="1"/>
    </w:lvl>
  </w:abstractNum>
  <w:abstractNum w:abstractNumId="94">
    <w:nsid w:val="5915FF32"/>
    <w:multiLevelType w:val="hybridMultilevel"/>
    <w:lvl w:ilvl="0">
      <w:lvlJc w:val="left"/>
      <w:lvlText w:val="(%1)"/>
      <w:numFmt w:val="decimal"/>
      <w:start w:val="2"/>
    </w:lvl>
    <w:lvl w:ilvl="1">
      <w:lvlJc w:val="left"/>
      <w:lvlText w:val="(%2)"/>
      <w:numFmt w:val="lowerLetter"/>
      <w:start w:val="3"/>
    </w:lvl>
  </w:abstractNum>
  <w:abstractNum w:abstractNumId="95">
    <w:nsid w:val="56438D15"/>
    <w:multiLevelType w:val="hybridMultilevel"/>
    <w:lvl w:ilvl="0">
      <w:lvlJc w:val="left"/>
      <w:lvlText w:val="(%1)"/>
      <w:numFmt w:val="lowerLetter"/>
      <w:start w:val="6"/>
    </w:lvl>
  </w:abstractNum>
  <w:abstractNum w:abstractNumId="96">
    <w:nsid w:val="519E3149"/>
    <w:multiLevelType w:val="hybridMultilevel"/>
    <w:lvl w:ilvl="0">
      <w:lvlJc w:val="left"/>
      <w:lvlText w:val="(%1)"/>
      <w:numFmt w:val="lowerLetter"/>
      <w:start w:val="2"/>
    </w:lvl>
  </w:abstractNum>
  <w:abstractNum w:abstractNumId="97">
    <w:nsid w:val="2C6E4AFD"/>
    <w:multiLevelType w:val="hybridMultilevel"/>
    <w:lvl w:ilvl="0">
      <w:lvlJc w:val="left"/>
      <w:lvlText w:val="(%1)"/>
      <w:numFmt w:val="decimal"/>
      <w:start w:val="2"/>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1"/>
    </w:lvl>
    <w:lvl w:ilvl="1">
      <w:lvlJc w:val="left"/>
      <w:lvlText w:val="(%2)"/>
      <w:numFmt w:val="decimal"/>
      <w:start w:val="2"/>
    </w:lvl>
  </w:abstractNum>
  <w:abstractNum w:abstractNumId="100">
    <w:nsid w:val="5046B5A9"/>
    <w:multiLevelType w:val="hybridMultilevel"/>
    <w:lvl w:ilvl="0">
      <w:lvlJc w:val="left"/>
      <w:lvlText w:val="(%1)"/>
      <w:numFmt w:val="lowerLetter"/>
      <w:start w:val="2"/>
    </w:lvl>
    <w:lvl w:ilvl="1">
      <w:lvlJc w:val="left"/>
      <w:lvlText w:val="%2"/>
      <w:numFmt w:val="decimal"/>
      <w:start w:val="1"/>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3"/>
    </w:lvl>
  </w:abstractNum>
  <w:abstractNum w:abstractNumId="103">
    <w:nsid w:val="5EC6AFD4"/>
    <w:multiLevelType w:val="hybridMultilevel"/>
    <w:lvl w:ilvl="0">
      <w:lvlJc w:val="left"/>
      <w:lvlText w:val="(%1)"/>
      <w:numFmt w:val="lowerLetter"/>
      <w:start w:val="1"/>
    </w:lvl>
  </w:abstractNum>
  <w:abstractNum w:abstractNumId="104">
    <w:nsid w:val="19E21BB2"/>
    <w:multiLevelType w:val="hybridMultilevel"/>
    <w:lvl w:ilvl="0">
      <w:lvlJc w:val="left"/>
      <w:lvlText w:val="(%1)"/>
      <w:numFmt w:val="lowerLetter"/>
      <w:start w:val="1"/>
    </w:lvl>
  </w:abstractNum>
  <w:abstractNum w:abstractNumId="105">
    <w:nsid w:val="75E0858A"/>
    <w:multiLevelType w:val="hybridMultilevel"/>
    <w:lvl w:ilvl="0">
      <w:lvlJc w:val="left"/>
      <w:lvlText w:val="(%1)"/>
      <w:numFmt w:val="lowerLetter"/>
      <w:start w:val="6"/>
    </w:lvl>
    <w:lvl w:ilvl="1">
      <w:lvlJc w:val="left"/>
      <w:lvlText w:val="(%2)"/>
      <w:numFmt w:val="lowerLetter"/>
      <w:start w:val="7"/>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1"/>
    </w:lvl>
  </w:abstractNum>
  <w:abstractNum w:abstractNumId="108">
    <w:nsid w:val="20EE1348"/>
    <w:multiLevelType w:val="hybridMultilevel"/>
    <w:lvl w:ilvl="0">
      <w:lvlJc w:val="left"/>
      <w:lvlText w:val="%1"/>
      <w:numFmt w:val="decimal"/>
      <w:start w:val="1"/>
    </w:lvl>
    <w:lvl w:ilvl="1">
      <w:lvlJc w:val="left"/>
      <w:lvlText w:val="(%2)"/>
      <w:numFmt w:val="lowerLetter"/>
      <w:start w:val="2"/>
    </w:lvl>
  </w:abstractNum>
  <w:abstractNum w:abstractNumId="109">
    <w:nsid w:val="4427069A"/>
    <w:multiLevelType w:val="hybridMultilevel"/>
    <w:lvl w:ilvl="0">
      <w:lvlJc w:val="left"/>
      <w:lvlText w:val="(%1)"/>
      <w:numFmt w:val="decimal"/>
      <w:start w:val="2"/>
    </w:lvl>
    <w:lvl w:ilvl="1">
      <w:lvlJc w:val="left"/>
      <w:lvlText w:val="%2"/>
      <w:numFmt w:val="lowerLetter"/>
      <w:start w:val="1"/>
    </w:lvl>
  </w:abstractNum>
  <w:abstractNum w:abstractNumId="110">
    <w:nsid w:val="B37E80A"/>
    <w:multiLevelType w:val="hybridMultilevel"/>
    <w:lvl w:ilvl="0">
      <w:lvlJc w:val="left"/>
      <w:lvlText w:val="(%1)"/>
      <w:numFmt w:val="lowerLetter"/>
      <w:start w:val="1"/>
    </w:lvl>
    <w:lvl w:ilvl="1">
      <w:lvlJc w:val="left"/>
      <w:lvlText w:val="(%2)"/>
      <w:numFmt w:val="decimal"/>
      <w:start w:val="1"/>
    </w:lvl>
  </w:abstractNum>
  <w:abstractNum w:abstractNumId="111">
    <w:nsid w:val="2157F6BC"/>
    <w:multiLevelType w:val="hybridMultilevel"/>
    <w:lvl w:ilvl="0">
      <w:lvlJc w:val="left"/>
      <w:lvlText w:val="%1"/>
      <w:numFmt w:val="lowerLetter"/>
      <w:start w:val="1"/>
    </w:lvl>
    <w:lvl w:ilvl="1">
      <w:lvlJc w:val="left"/>
      <w:lvlText w:val="(%2)"/>
      <w:numFmt w:val="decimal"/>
      <w:start w:val="2"/>
    </w:lvl>
  </w:abstractNum>
  <w:abstractNum w:abstractNumId="112">
    <w:nsid w:val="704E1DD5"/>
    <w:multiLevelType w:val="hybridMultilevel"/>
    <w:lvl w:ilvl="0">
      <w:lvlJc w:val="left"/>
      <w:lvlText w:val="(%1)"/>
      <w:numFmt w:val="lowerLetter"/>
      <w:start w:val="2"/>
    </w:lvl>
    <w:lvl w:ilvl="1">
      <w:lvlJc w:val="left"/>
      <w:lvlText w:val="%2"/>
      <w:numFmt w:val="decimal"/>
      <w:start w:val="1"/>
    </w:lvl>
  </w:abstractNum>
  <w:abstractNum w:abstractNumId="113">
    <w:nsid w:val="57D2F10E"/>
    <w:multiLevelType w:val="hybridMultilevel"/>
    <w:lvl w:ilvl="0">
      <w:lvlJc w:val="left"/>
      <w:lvlText w:val="(%1)"/>
      <w:numFmt w:val="lowerLetter"/>
      <w:start w:val="1"/>
    </w:lvl>
  </w:abstractNum>
  <w:abstractNum w:abstractNumId="114">
    <w:nsid w:val="BFFAE18"/>
    <w:multiLevelType w:val="hybridMultilevel"/>
    <w:lvl w:ilvl="0">
      <w:lvlJc w:val="left"/>
      <w:lvlText w:val="(%1)"/>
      <w:numFmt w:val="lowerLetter"/>
      <w:start w:val="1"/>
    </w:lvl>
  </w:abstractNum>
  <w:abstractNum w:abstractNumId="115">
    <w:nsid w:val="E3E47A8"/>
    <w:multiLevelType w:val="hybridMultilevel"/>
    <w:lvl w:ilvl="0">
      <w:lvlJc w:val="left"/>
      <w:lvlText w:val="(%1)"/>
      <w:numFmt w:val="lowerLetter"/>
      <w:start w:val="5"/>
    </w:lvl>
  </w:abstractNum>
  <w:abstractNum w:abstractNumId="116">
    <w:nsid w:val="2E48F044"/>
    <w:multiLevelType w:val="hybridMultilevel"/>
    <w:lvl w:ilvl="0">
      <w:lvlJc w:val="left"/>
      <w:lvlText w:val="(%1)"/>
      <w:numFmt w:val="lowerLetter"/>
      <w:start w:val="1"/>
    </w:lvl>
  </w:abstractNum>
  <w:abstractNum w:abstractNumId="117">
    <w:nsid w:val="49D0FEAC"/>
    <w:multiLevelType w:val="hybridMultilevel"/>
    <w:lvl w:ilvl="0">
      <w:lvlJc w:val="left"/>
      <w:lvlText w:val="(%1)"/>
      <w:numFmt w:val="lowerLetter"/>
      <w:start w:val="6"/>
    </w:lvl>
  </w:abstractNum>
  <w:abstractNum w:abstractNumId="118">
    <w:nsid w:val="4BEE5A5B"/>
    <w:multiLevelType w:val="hybridMultilevel"/>
    <w:lvl w:ilvl="0">
      <w:lvlJc w:val="left"/>
      <w:lvlText w:val="(%1)"/>
      <w:numFmt w:val="lowerLetter"/>
      <w:start w:val="1"/>
    </w:lvl>
  </w:abstractNum>
  <w:abstractNum w:abstractNumId="119">
    <w:nsid w:val="5551B9F3"/>
    <w:multiLevelType w:val="hybridMultilevel"/>
    <w:lvl w:ilvl="0">
      <w:lvlJc w:val="left"/>
      <w:lvlText w:val="(%1)"/>
      <w:numFmt w:val="lowerLetter"/>
      <w:start w:val="1"/>
    </w:lvl>
  </w:abstractNum>
  <w:abstractNum w:abstractNumId="120">
    <w:nsid w:val="24F6AB8E"/>
    <w:multiLevelType w:val="hybridMultilevel"/>
    <w:lvl w:ilvl="0">
      <w:lvlJc w:val="left"/>
      <w:lvlText w:val="(%1)"/>
      <w:numFmt w:val="lowerLetter"/>
      <w:start w:val="2"/>
    </w:lvl>
  </w:abstractNum>
  <w:abstractNum w:abstractNumId="121">
    <w:nsid w:val="634C574C"/>
    <w:multiLevelType w:val="hybridMultilevel"/>
    <w:lvl w:ilvl="0">
      <w:lvlJc w:val="left"/>
      <w:lvlText w:val="(%1)"/>
      <w:numFmt w:val="lowerLetter"/>
      <w:start w:val="1"/>
    </w:lvl>
    <w:lvl w:ilvl="1">
      <w:lvlJc w:val="left"/>
      <w:lvlText w:val="(%2)"/>
      <w:numFmt w:val="lowerRoman"/>
      <w:start w:val="1"/>
    </w:lvl>
  </w:abstractNum>
  <w:abstractNum w:abstractNumId="122">
    <w:nsid w:val="24E99DD7"/>
    <w:multiLevelType w:val="hybridMultilevel"/>
    <w:lvl w:ilvl="0">
      <w:lvlJc w:val="left"/>
      <w:lvlText w:val="(%1)"/>
      <w:numFmt w:val="lowerLetter"/>
      <w:start w:val="1"/>
    </w:lvl>
  </w:abstractNum>
  <w:abstractNum w:abstractNumId="123">
    <w:nsid w:val="2A31B62D"/>
    <w:multiLevelType w:val="hybridMultilevel"/>
    <w:lvl w:ilvl="0">
      <w:lvlJc w:val="left"/>
      <w:lvlText w:val="(%1)"/>
      <w:numFmt w:val="lowerLetter"/>
      <w:start w:val="3"/>
    </w:lvl>
  </w:abstractNum>
  <w:abstractNum w:abstractNumId="124">
    <w:nsid w:val="1849C29B"/>
    <w:multiLevelType w:val="hybridMultilevel"/>
    <w:lvl w:ilvl="0">
      <w:lvlJc w:val="left"/>
      <w:lvlText w:val="(%1)"/>
      <w:numFmt w:val="lowerLetter"/>
      <w:start w:val="1"/>
    </w:lvl>
    <w:lvl w:ilvl="1">
      <w:lvlJc w:val="left"/>
      <w:lvlText w:val="(%2)"/>
      <w:numFmt w:val="decimal"/>
      <w:start w:val="1"/>
    </w:lvl>
  </w:abstractNum>
  <w:abstractNum w:abstractNumId="125">
    <w:nsid w:val="7DFF9D09"/>
    <w:multiLevelType w:val="hybridMultilevel"/>
    <w:lvl w:ilvl="0">
      <w:lvlJc w:val="left"/>
      <w:lvlText w:val="%1"/>
      <w:numFmt w:val="lowerLetter"/>
      <w:start w:val="1"/>
    </w:lvl>
    <w:lvl w:ilvl="1">
      <w:lvlJc w:val="left"/>
      <w:lvlText w:val="(%2)"/>
      <w:numFmt w:val="decimal"/>
      <w:start w:val="3"/>
    </w:lvl>
  </w:abstractNum>
  <w:abstractNum w:abstractNumId="126">
    <w:nsid w:val="754342"/>
    <w:multiLevelType w:val="hybridMultilevel"/>
    <w:lvl w:ilvl="0">
      <w:lvlJc w:val="left"/>
      <w:lvlText w:val="(%1)"/>
      <w:numFmt w:val="lowerLetter"/>
      <w:start w:val="2"/>
    </w:lvl>
    <w:lvl w:ilvl="1">
      <w:lvlJc w:val="left"/>
      <w:lvlText w:val="(%2)"/>
      <w:numFmt w:val="decimal"/>
      <w:start w:val="1"/>
    </w:lvl>
  </w:abstractNum>
  <w:abstractNum w:abstractNumId="127">
    <w:nsid w:val="69E7F3E5"/>
    <w:multiLevelType w:val="hybridMultilevel"/>
    <w:lvl w:ilvl="0">
      <w:lvlJc w:val="left"/>
      <w:lvlText w:val="(%1)"/>
      <w:numFmt w:val="lowerLetter"/>
      <w:start w:val="1"/>
    </w:lvl>
  </w:abstractNum>
  <w:abstractNum w:abstractNumId="128">
    <w:nsid w:val="2A6DE806"/>
    <w:multiLevelType w:val="hybridMultilevel"/>
    <w:lvl w:ilvl="0">
      <w:lvlJc w:val="left"/>
      <w:lvlText w:val="(%1)"/>
      <w:numFmt w:val="lowerLetter"/>
      <w:start w:val="1"/>
    </w:lvl>
  </w:abstractNum>
  <w:abstractNum w:abstractNumId="129">
    <w:nsid w:val="1816F8C4"/>
    <w:multiLevelType w:val="hybridMultilevel"/>
    <w:lvl w:ilvl="0">
      <w:lvlJc w:val="left"/>
      <w:lvlText w:val="(%1)"/>
      <w:numFmt w:val="lowerLetter"/>
      <w:start w:val="1"/>
    </w:lvl>
  </w:abstractNum>
  <w:abstractNum w:abstractNumId="130">
    <w:nsid w:val="37DF223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31">
    <w:nsid w:val="7AB49DAF"/>
    <w:multiLevelType w:val="hybridMultilevel"/>
    <w:lvl w:ilvl="0">
      <w:lvlJc w:val="left"/>
      <w:lvlText w:val="(%1)"/>
      <w:numFmt w:val="decimal"/>
      <w:start w:val="4"/>
    </w:lvl>
  </w:abstractNum>
  <w:abstractNum w:abstractNumId="132">
    <w:nsid w:val="759F82CD"/>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33">
    <w:nsid w:val="61E74EA3"/>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34">
    <w:nsid w:val="597B4D84"/>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35">
    <w:nsid w:val="F819E7F"/>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36">
    <w:nsid w:val="57C7D42D"/>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37">
    <w:nsid w:val="312167AD"/>
    <w:multiLevelType w:val="hybridMultilevel"/>
    <w:lvl w:ilvl="0">
      <w:lvlJc w:val="left"/>
      <w:lvlText w:val="-"/>
      <w:numFmt w:val="bullet"/>
      <w:start w:val="1"/>
    </w:lvl>
  </w:abstractNum>
  <w:abstractNum w:abstractNumId="138">
    <w:nsid w:val="631B64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9">
    <w:nsid w:val="78B5E776"/>
    <w:multiLevelType w:val="hybridMultilevel"/>
    <w:lvl w:ilvl="0">
      <w:lvlJc w:val="left"/>
      <w:lvlText w:val="(%1)"/>
      <w:numFmt w:val="lowerLetter"/>
      <w:start w:val="10"/>
    </w:lvl>
  </w:abstractNum>
  <w:abstractNum w:abstractNumId="140">
    <w:nsid w:val="75486E47"/>
    <w:multiLevelType w:val="hybridMultilevel"/>
    <w:lvl w:ilvl="0">
      <w:lvlJc w:val="left"/>
      <w:lvlText w:val="(%1)"/>
      <w:numFmt w:val="lowerLetter"/>
      <w:start w:val="16"/>
    </w:lvl>
  </w:abstractNum>
  <w:abstractNum w:abstractNumId="141">
    <w:nsid w:val="6E534CDE"/>
    <w:multiLevelType w:val="hybridMultilevel"/>
    <w:lvl w:ilvl="0">
      <w:lvlJc w:val="left"/>
      <w:lvlText w:val="%1"/>
      <w:numFmt w:val="decimal"/>
      <w:start w:val="1"/>
    </w:lvl>
    <w:lvl w:ilvl="1">
      <w:lvlJc w:val="left"/>
      <w:lvlText w:val="(%2)"/>
      <w:numFmt w:val="lowerLetter"/>
      <w:start w:val="18"/>
    </w:lvl>
  </w:abstractNum>
  <w:abstractNum w:abstractNumId="142">
    <w:nsid w:val="1A0DDE32"/>
    <w:multiLevelType w:val="hybridMultilevel"/>
    <w:lvl w:ilvl="0">
      <w:lvlJc w:val="left"/>
      <w:lvlText w:val="%1."/>
      <w:numFmt w:val="decimal"/>
      <w:start w:val="2"/>
    </w:lvl>
    <w:lvl w:ilvl="1">
      <w:lvlJc w:val="left"/>
      <w:lvlText w:val="(%2)"/>
      <w:numFmt w:val="lowerLetter"/>
      <w:start w:val="1"/>
    </w:lvl>
  </w:abstractNum>
  <w:abstractNum w:abstractNumId="143">
    <w:nsid w:val="65968C1C"/>
    <w:multiLevelType w:val="hybridMultilevel"/>
    <w:lvl w:ilvl="0">
      <w:lvlJc w:val="left"/>
      <w:lvlText w:val="%1"/>
      <w:numFmt w:val="decimal"/>
      <w:start w:val="1"/>
    </w:lvl>
    <w:lvl w:ilvl="1">
      <w:lvlJc w:val="left"/>
      <w:lvlText w:val="(%2)"/>
      <w:numFmt w:val="lowerLetter"/>
      <w:start w:val="3"/>
    </w:lvl>
  </w:abstractNum>
  <w:abstractNum w:abstractNumId="144">
    <w:nsid w:val="46263DEC"/>
    <w:multiLevelType w:val="hybridMultilevel"/>
    <w:lvl w:ilvl="0">
      <w:lvlJc w:val="left"/>
      <w:lvlText w:val="%1."/>
      <w:numFmt w:val="decimal"/>
      <w:start w:val="4"/>
    </w:lvl>
    <w:lvl w:ilvl="1">
      <w:lvlJc w:val="left"/>
      <w:lvlText w:val="(%2)"/>
      <w:numFmt w:val="lowerLetter"/>
      <w:start w:val="1"/>
    </w:lvl>
  </w:abstractNum>
  <w:abstractNum w:abstractNumId="145">
    <w:nsid w:val="260D8C4A"/>
    <w:multiLevelType w:val="hybridMultilevel"/>
    <w:lvl w:ilvl="0">
      <w:lvlJc w:val="left"/>
      <w:lvlText w:val="(%1)"/>
      <w:numFmt w:val="lowerLetter"/>
      <w:start w:val="1"/>
    </w:lvl>
    <w:lvl w:ilvl="1">
      <w:lvlJc w:val="left"/>
      <w:lvlText w:val="(%2)"/>
      <w:numFmt w:val="decimal"/>
      <w:start w:val="1"/>
    </w:lvl>
  </w:abstractNum>
  <w:abstractNum w:abstractNumId="146">
    <w:nsid w:val="73D4D3C4"/>
    <w:multiLevelType w:val="hybridMultilevel"/>
    <w:lvl w:ilvl="0">
      <w:lvlJc w:val="left"/>
      <w:lvlText w:val="(%1)"/>
      <w:numFmt w:val="lowerLetter"/>
      <w:start w:val="2"/>
    </w:lvl>
    <w:lvl w:ilvl="1">
      <w:lvlJc w:val="left"/>
      <w:lvlText w:val="(%2)"/>
      <w:numFmt w:val="decimal"/>
      <w:start w:val="1"/>
    </w:lvl>
  </w:abstractNum>
  <w:abstractNum w:abstractNumId="147">
    <w:nsid w:val="746F2E30"/>
    <w:multiLevelType w:val="hybridMultilevel"/>
    <w:lvl w:ilvl="0">
      <w:lvlJc w:val="left"/>
      <w:lvlText w:val="%1"/>
      <w:numFmt w:val="decimal"/>
      <w:start w:val="1"/>
    </w:lvl>
    <w:lvl w:ilvl="1">
      <w:lvlJc w:val="left"/>
      <w:lvlText w:val="(%2)"/>
      <w:numFmt w:val="lowerLetter"/>
      <w:start w:val="5"/>
    </w:lvl>
  </w:abstractNum>
  <w:abstractNum w:abstractNumId="148">
    <w:nsid w:val="6FDE8AF6"/>
    <w:multiLevelType w:val="hybridMultilevel"/>
    <w:lvl w:ilvl="0">
      <w:lvlJc w:val="left"/>
      <w:lvlText w:val="%1."/>
      <w:numFmt w:val="decimal"/>
      <w:start w:val="6"/>
    </w:lvl>
    <w:lvl w:ilvl="1">
      <w:lvlJc w:val="left"/>
      <w:lvlText w:val="(%2)"/>
      <w:numFmt w:val="lowerLetter"/>
      <w:start w:val="1"/>
    </w:lvl>
  </w:abstractNum>
  <w:abstractNum w:abstractNumId="149">
    <w:nsid w:val="3FC32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0">
    <w:nsid w:val="49C0E82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51">
    <w:nsid w:val="14D5368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lvl w:ilvl="1">
      <w:lvlJc w:val="left"/>
      <w:lvlText w:val="%2)"/>
      <w:numFmt w:val="lowerLetter"/>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2019-12-10T22:07:31Z</dcterms:created>
  <dcterms:modified xsi:type="dcterms:W3CDTF">2019-12-10T22:07:31Z</dcterms:modified>
</cp:coreProperties>
</file>