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333-179678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June 26, 2012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3.125% NOTES DUE 2022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$1,250,000,000 4.650% NOTES DUE 2042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3.125% Notes due 2022</w:t>
      </w:r>
    </w:p>
    <w:p>
      <w:pPr>
        <w:spacing w:after="0" w:line="125"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ind w:left="3780"/>
        <w:spacing w:after="0"/>
        <w:rPr>
          <w:sz w:val="20"/>
          <w:szCs w:val="20"/>
          <w:color w:val="auto"/>
        </w:rPr>
      </w:pPr>
      <w:r>
        <w:rPr>
          <w:rFonts w:ascii="Arial" w:cs="Arial" w:eastAsia="Arial" w:hAnsi="Arial"/>
          <w:sz w:val="15"/>
          <w:szCs w:val="15"/>
          <w:color w:val="auto"/>
        </w:rPr>
        <w:t>4.650% Notes due 2042</w:t>
      </w:r>
    </w:p>
    <w:p>
      <w:pPr>
        <w:sectPr>
          <w:pgSz w:w="11900" w:h="16838" w:orient="portrait"/>
          <w:cols w:equalWidth="0" w:num="1">
            <w:col w:w="11420"/>
          </w:cols>
          <w:pgMar w:left="240" w:top="233" w:right="239" w:bottom="1440" w:gutter="0" w:footer="0" w:header="0"/>
          <w:type w:val="continuous"/>
        </w:sectPr>
      </w:pP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200"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The Company intends to use the proceeds from this offering, after deducting fees and expenses, for working capital and general corporate purposes, which may include repayment, in July 2012, of its 6.625% senior notes due May 2056 ($575 million principal amount outstanding) and repayment of its 10.625% senior notes due July 2012 ($202 million principal amount outstanding)</w:t>
      </w:r>
    </w:p>
    <w:p>
      <w:pPr>
        <w:spacing w:after="0" w:line="161"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60"/>
        <w:spacing w:after="0" w:line="254" w:lineRule="auto"/>
        <w:rPr>
          <w:sz w:val="20"/>
          <w:szCs w:val="20"/>
          <w:color w:val="auto"/>
        </w:rPr>
      </w:pPr>
      <w:r>
        <w:rPr>
          <w:rFonts w:ascii="Arial" w:cs="Arial" w:eastAsia="Arial" w:hAnsi="Arial"/>
          <w:sz w:val="18"/>
          <w:szCs w:val="18"/>
          <w:color w:val="auto"/>
        </w:rPr>
        <w:t>Indenture dated as of January 7, 2003 by and among the Company, the cable guarantors named therein and The Bank of New York Mellon (formerly known as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w:t>
      </w:r>
    </w:p>
    <w:p>
      <w:pPr>
        <w:spacing w:after="0" w:line="192"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b w:val="1"/>
          <w:bCs w:val="1"/>
          <w:color w:val="auto"/>
        </w:rPr>
        <w:t>1</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Moody’s: Baa1; S&amp;P: BBB+; Fitch: BBB+</w:t>
      </w:r>
    </w:p>
    <w:p>
      <w:pPr>
        <w:spacing w:after="0" w:line="200"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7" w:lineRule="exact"/>
        <w:rPr>
          <w:sz w:val="24"/>
          <w:szCs w:val="24"/>
          <w:color w:val="auto"/>
        </w:rPr>
      </w:pPr>
    </w:p>
    <w:p>
      <w:pPr>
        <w:sectPr>
          <w:pgSz w:w="11900" w:h="16838" w:orient="portrait"/>
          <w:cols w:equalWidth="0" w:num="2">
            <w:col w:w="3060" w:space="720"/>
            <w:col w:w="7640"/>
          </w:cols>
          <w:pgMar w:left="240" w:top="233" w:right="239" w:bottom="1440" w:gutter="0" w:footer="0" w:header="0"/>
          <w:type w:val="continuous"/>
        </w:sectPr>
      </w:pPr>
    </w:p>
    <w:p>
      <w:pPr>
        <w:ind w:left="220" w:hanging="212"/>
        <w:spacing w:after="0"/>
        <w:tabs>
          <w:tab w:leader="none" w:pos="22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-219710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Sumitomo Finance International Plc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Gleacher &amp; Company Securities, Inc.</w:t>
      </w:r>
    </w:p>
    <w:p>
      <w:pPr>
        <w:spacing w:after="0" w:line="200" w:lineRule="exact"/>
        <w:rPr>
          <w:sz w:val="20"/>
          <w:szCs w:val="20"/>
          <w:color w:val="auto"/>
        </w:rPr>
      </w:pPr>
    </w:p>
    <w:p>
      <w:pPr>
        <w:sectPr>
          <w:pgSz w:w="11900" w:h="16838" w:orient="portrait"/>
          <w:cols w:equalWidth="0" w:num="2">
            <w:col w:w="3060" w:space="720"/>
            <w:col w:w="7640"/>
          </w:cols>
          <w:pgMar w:left="240" w:top="274" w:right="2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200"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June 26, 2012</w:t>
      </w:r>
    </w:p>
    <w:p>
      <w:pPr>
        <w:spacing w:after="0" w:line="20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July 2, 2012 (T+4)</w:t>
      </w:r>
    </w:p>
    <w:p>
      <w:pPr>
        <w:spacing w:after="0" w:line="200"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Our NBCUniversal segments reported a 34.3% increase in total operating income before depreciation and amortization (“operating cash flow”) for the three months ended March 31, 2012, compared to the pro forma combined results for the three months ended March 31, 2011. As previously disclosed, we currently expect NBCUniversal’s operating cash flow for the six months ended June 30, 2012 to be flat to slightly down from the prior year six month pro forma combined results. The prior year’s second quarter included favorable results from two movies,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xml:space="preserve">, and a large content licensing deal, whereas NBCUniversal’s current quarter will reflect negative results from </w:t>
      </w:r>
      <w:r>
        <w:rPr>
          <w:rFonts w:ascii="Arial" w:cs="Arial" w:eastAsia="Arial" w:hAnsi="Arial"/>
          <w:sz w:val="16"/>
          <w:szCs w:val="16"/>
          <w:i w:val="1"/>
          <w:iCs w:val="1"/>
          <w:color w:val="auto"/>
        </w:rPr>
        <w:t>Battleship</w:t>
      </w:r>
      <w:r>
        <w:rPr>
          <w:rFonts w:ascii="Arial" w:cs="Arial" w:eastAsia="Arial" w:hAnsi="Arial"/>
          <w:sz w:val="16"/>
          <w:szCs w:val="16"/>
          <w:color w:val="auto"/>
        </w:rPr>
        <w:t xml:space="preserve"> and </w:t>
      </w:r>
      <w:r>
        <w:rPr>
          <w:rFonts w:ascii="Arial" w:cs="Arial" w:eastAsia="Arial" w:hAnsi="Arial"/>
          <w:sz w:val="16"/>
          <w:szCs w:val="16"/>
          <w:i w:val="1"/>
          <w:iCs w:val="1"/>
          <w:color w:val="auto"/>
        </w:rPr>
        <w:t>5-Year Engagement</w:t>
      </w:r>
      <w:r>
        <w:rPr>
          <w:rFonts w:ascii="Arial" w:cs="Arial" w:eastAsia="Arial" w:hAnsi="Arial"/>
          <w:sz w:val="16"/>
          <w:szCs w:val="16"/>
          <w:color w:val="auto"/>
        </w:rPr>
        <w:t>, and a somewhat lower contribution from cable networks, as NBCUniversal continues to invest in original and sports content.</w:t>
      </w:r>
    </w:p>
    <w:p>
      <w:pPr>
        <w:spacing w:after="0" w:line="106"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3.125% Notes Due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-494030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July 15, 2022</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3.125% per annum, accruing from July 2, 2012 (calculated on the basis of a 360-day year consisting of twelve 30-day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1.750% due May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101-01+ (1.635%)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3.135%</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3.125% Notes due 2022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25 basis points, plus in each case accrued interest thereon to the date of redemption</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 unlimited amount of additional 3.125% Notes due 2022 may be issued. The 3.125% Notes due 2022 and any additional 3.125% Notes due 2022 that may be issued may be treated as a single series for all purposes under the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20030N BD2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99.914% plus accrued interest, if any, from July 2,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99.464% per $1,000 principal amount of Notes due 2022; $994,640,000 total</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180" w:space="600"/>
            <w:col w:w="764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650%</w:t>
            </w:r>
            <w:r>
              <w:rPr>
                <w:rFonts w:ascii="Arial" w:cs="Arial" w:eastAsia="Arial" w:hAnsi="Arial"/>
                <w:sz w:val="18"/>
                <w:szCs w:val="18"/>
                <w:b w:val="1"/>
                <w:bCs w:val="1"/>
                <w:color w:val="auto"/>
              </w:rPr>
              <w:t xml:space="preserve"> Notes Due 2042</w:t>
            </w:r>
          </w:p>
        </w:tc>
        <w:tc>
          <w:tcPr>
            <w:tcW w:w="7940" w:type="dxa"/>
            <w:vAlign w:val="bottom"/>
          </w:tcPr>
          <w:p>
            <w:pPr>
              <w:spacing w:after="0"/>
              <w:rPr>
                <w:sz w:val="17"/>
                <w:szCs w:val="17"/>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5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7940" w:type="dxa"/>
            <w:vAlign w:val="bottom"/>
          </w:tcPr>
          <w:p>
            <w:pPr>
              <w:ind w:left="300"/>
              <w:spacing w:after="0"/>
              <w:rPr>
                <w:sz w:val="20"/>
                <w:szCs w:val="20"/>
                <w:color w:val="auto"/>
              </w:rPr>
            </w:pPr>
            <w:r>
              <w:rPr>
                <w:rFonts w:ascii="Arial" w:cs="Arial" w:eastAsia="Arial" w:hAnsi="Arial"/>
                <w:sz w:val="18"/>
                <w:szCs w:val="18"/>
                <w:color w:val="auto"/>
              </w:rPr>
              <w:t>$1,250,000,000</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7940" w:type="dxa"/>
            <w:vAlign w:val="bottom"/>
          </w:tcPr>
          <w:p>
            <w:pPr>
              <w:ind w:left="300"/>
              <w:spacing w:after="0"/>
              <w:rPr>
                <w:sz w:val="20"/>
                <w:szCs w:val="20"/>
                <w:color w:val="auto"/>
              </w:rPr>
            </w:pPr>
            <w:r>
              <w:rPr>
                <w:rFonts w:ascii="Arial" w:cs="Arial" w:eastAsia="Arial" w:hAnsi="Arial"/>
                <w:sz w:val="18"/>
                <w:szCs w:val="18"/>
                <w:color w:val="auto"/>
              </w:rPr>
              <w:t>July 15, 2042</w:t>
            </w: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7940" w:type="dxa"/>
            <w:vAlign w:val="bottom"/>
          </w:tcPr>
          <w:p>
            <w:pPr>
              <w:ind w:left="300"/>
              <w:spacing w:after="0"/>
              <w:rPr>
                <w:sz w:val="20"/>
                <w:szCs w:val="20"/>
                <w:color w:val="auto"/>
              </w:rPr>
            </w:pPr>
            <w:r>
              <w:rPr>
                <w:rFonts w:ascii="Arial" w:cs="Arial" w:eastAsia="Arial" w:hAnsi="Arial"/>
                <w:sz w:val="18"/>
                <w:szCs w:val="18"/>
                <w:color w:val="auto"/>
                <w:w w:val="93"/>
              </w:rPr>
              <w:t>4.650% per annum, accruing from July 2, 2012 (calculated on the basis of a 360-day year consisting of</w:t>
            </w:r>
          </w:p>
        </w:tc>
      </w:tr>
      <w:tr>
        <w:trPr>
          <w:trHeight w:val="222"/>
        </w:trPr>
        <w:tc>
          <w:tcPr>
            <w:tcW w:w="1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rPr>
              <w:t>twelve 30-day months)</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7940" w:type="dxa"/>
            <w:vAlign w:val="bottom"/>
          </w:tcPr>
          <w:p>
            <w:pPr>
              <w:ind w:left="300"/>
              <w:spacing w:after="0"/>
              <w:rPr>
                <w:sz w:val="20"/>
                <w:szCs w:val="20"/>
                <w:color w:val="auto"/>
              </w:rPr>
            </w:pPr>
            <w:r>
              <w:rPr>
                <w:rFonts w:ascii="Arial" w:cs="Arial" w:eastAsia="Arial" w:hAnsi="Arial"/>
                <w:sz w:val="18"/>
                <w:szCs w:val="18"/>
                <w:color w:val="auto"/>
              </w:rPr>
              <w:t>January 15 and July 15, commencing January 15, 2013</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7940" w:type="dxa"/>
            <w:vAlign w:val="bottom"/>
          </w:tcPr>
          <w:p>
            <w:pPr>
              <w:ind w:left="300"/>
              <w:spacing w:after="0"/>
              <w:rPr>
                <w:sz w:val="20"/>
                <w:szCs w:val="20"/>
                <w:color w:val="auto"/>
              </w:rPr>
            </w:pPr>
            <w:r>
              <w:rPr>
                <w:rFonts w:ascii="Arial" w:cs="Arial" w:eastAsia="Arial" w:hAnsi="Arial"/>
                <w:sz w:val="18"/>
                <w:szCs w:val="18"/>
                <w:color w:val="auto"/>
              </w:rPr>
              <w:t>UST 3.125% due February 2042</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7940" w:type="dxa"/>
            <w:vAlign w:val="bottom"/>
          </w:tcPr>
          <w:p>
            <w:pPr>
              <w:ind w:left="300"/>
              <w:spacing w:after="0"/>
              <w:rPr>
                <w:sz w:val="20"/>
                <w:szCs w:val="20"/>
                <w:color w:val="auto"/>
              </w:rPr>
            </w:pPr>
            <w:r>
              <w:rPr>
                <w:rFonts w:ascii="Arial" w:cs="Arial" w:eastAsia="Arial" w:hAnsi="Arial"/>
                <w:sz w:val="18"/>
                <w:szCs w:val="18"/>
                <w:color w:val="auto"/>
              </w:rPr>
              <w:t>108-17 (2.705%)</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7940" w:type="dxa"/>
            <w:vAlign w:val="bottom"/>
          </w:tcPr>
          <w:p>
            <w:pPr>
              <w:ind w:left="300"/>
              <w:spacing w:after="0"/>
              <w:rPr>
                <w:sz w:val="20"/>
                <w:szCs w:val="20"/>
                <w:color w:val="auto"/>
              </w:rPr>
            </w:pPr>
            <w:r>
              <w:rPr>
                <w:rFonts w:ascii="Arial" w:cs="Arial" w:eastAsia="Arial" w:hAnsi="Arial"/>
                <w:sz w:val="18"/>
                <w:szCs w:val="18"/>
                <w:color w:val="auto"/>
              </w:rPr>
              <w:t>+195 bps</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7940" w:type="dxa"/>
            <w:vAlign w:val="bottom"/>
          </w:tcPr>
          <w:p>
            <w:pPr>
              <w:ind w:left="300"/>
              <w:spacing w:after="0"/>
              <w:rPr>
                <w:sz w:val="20"/>
                <w:szCs w:val="20"/>
                <w:color w:val="auto"/>
              </w:rPr>
            </w:pPr>
            <w:r>
              <w:rPr>
                <w:rFonts w:ascii="Arial" w:cs="Arial" w:eastAsia="Arial" w:hAnsi="Arial"/>
                <w:sz w:val="18"/>
                <w:szCs w:val="18"/>
                <w:color w:val="auto"/>
              </w:rPr>
              <w:t>4.655%</w:t>
            </w: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Makewhole Redemption:</w:t>
            </w:r>
          </w:p>
        </w:tc>
        <w:tc>
          <w:tcPr>
            <w:tcW w:w="7940" w:type="dxa"/>
            <w:vAlign w:val="bottom"/>
          </w:tcPr>
          <w:p>
            <w:pPr>
              <w:ind w:left="300"/>
              <w:spacing w:after="0"/>
              <w:rPr>
                <w:sz w:val="20"/>
                <w:szCs w:val="20"/>
                <w:color w:val="auto"/>
              </w:rPr>
            </w:pPr>
            <w:r>
              <w:rPr>
                <w:rFonts w:ascii="Arial" w:cs="Arial" w:eastAsia="Arial" w:hAnsi="Arial"/>
                <w:sz w:val="18"/>
                <w:szCs w:val="18"/>
                <w:color w:val="auto"/>
                <w:w w:val="87"/>
              </w:rPr>
              <w:t>The 4.650% Notes due 2042 are redeemable at the option of the Company at any time, in whole or in part, at</w:t>
            </w:r>
          </w:p>
        </w:tc>
      </w:tr>
      <w:tr>
        <w:trPr>
          <w:trHeight w:val="216"/>
        </w:trPr>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w w:val="89"/>
              </w:rPr>
              <w:t>a redemption price equal to the greater of (i) 100% of the principal amount of such notes and (ii) the sum of</w:t>
            </w:r>
          </w:p>
        </w:tc>
      </w:tr>
      <w:tr>
        <w:trPr>
          <w:trHeight w:val="216"/>
        </w:trPr>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w w:val="89"/>
              </w:rPr>
              <w:t>the present values of remaining scheduled payments of principal and interest (exclusive of interest accrued</w:t>
            </w:r>
          </w:p>
        </w:tc>
      </w:tr>
      <w:tr>
        <w:trPr>
          <w:trHeight w:val="216"/>
        </w:trPr>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w w:val="87"/>
              </w:rPr>
              <w:t>to the date of redemption) discounted to the redemption date on a semiannual basis at the Treasury Rate plus</w:t>
            </w:r>
          </w:p>
        </w:tc>
      </w:tr>
      <w:tr>
        <w:trPr>
          <w:trHeight w:val="222"/>
        </w:trPr>
        <w:tc>
          <w:tcPr>
            <w:tcW w:w="1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rPr>
              <w:t>30 basis points, plus in each case accrued interest thereon to the date of redemption</w:t>
            </w: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7940" w:type="dxa"/>
            <w:vAlign w:val="bottom"/>
          </w:tcPr>
          <w:p>
            <w:pPr>
              <w:ind w:left="300"/>
              <w:spacing w:after="0"/>
              <w:rPr>
                <w:sz w:val="20"/>
                <w:szCs w:val="20"/>
                <w:color w:val="auto"/>
              </w:rPr>
            </w:pPr>
            <w:r>
              <w:rPr>
                <w:rFonts w:ascii="Arial" w:cs="Arial" w:eastAsia="Arial" w:hAnsi="Arial"/>
                <w:sz w:val="18"/>
                <w:szCs w:val="18"/>
                <w:color w:val="auto"/>
                <w:w w:val="88"/>
              </w:rPr>
              <w:t>An unlimited amount of additional 4.650% Notes due 2042 may be issued. The 4.650% Notes due 2042 and</w:t>
            </w:r>
          </w:p>
        </w:tc>
      </w:tr>
      <w:tr>
        <w:trPr>
          <w:trHeight w:val="216"/>
        </w:trPr>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w w:val="88"/>
              </w:rPr>
              <w:t>any additional 4.650% Notes due 2042 that may be issued may be treated as a single series for all purposes</w:t>
            </w:r>
          </w:p>
        </w:tc>
      </w:tr>
      <w:tr>
        <w:trPr>
          <w:trHeight w:val="222"/>
        </w:trPr>
        <w:tc>
          <w:tcPr>
            <w:tcW w:w="1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rPr>
              <w:t>under the indenture</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7940" w:type="dxa"/>
            <w:vAlign w:val="bottom"/>
          </w:tcPr>
          <w:p>
            <w:pPr>
              <w:ind w:left="300"/>
              <w:spacing w:after="0"/>
              <w:rPr>
                <w:sz w:val="20"/>
                <w:szCs w:val="20"/>
                <w:color w:val="auto"/>
              </w:rPr>
            </w:pPr>
            <w:r>
              <w:rPr>
                <w:rFonts w:ascii="Arial" w:cs="Arial" w:eastAsia="Arial" w:hAnsi="Arial"/>
                <w:sz w:val="18"/>
                <w:szCs w:val="18"/>
                <w:color w:val="auto"/>
              </w:rPr>
              <w:t>20030N BE0</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7940" w:type="dxa"/>
            <w:vAlign w:val="bottom"/>
          </w:tcPr>
          <w:p>
            <w:pPr>
              <w:ind w:left="300"/>
              <w:spacing w:after="0"/>
              <w:rPr>
                <w:sz w:val="20"/>
                <w:szCs w:val="20"/>
                <w:color w:val="auto"/>
              </w:rPr>
            </w:pPr>
            <w:r>
              <w:rPr>
                <w:rFonts w:ascii="Arial" w:cs="Arial" w:eastAsia="Arial" w:hAnsi="Arial"/>
                <w:sz w:val="18"/>
                <w:szCs w:val="18"/>
                <w:color w:val="auto"/>
              </w:rPr>
              <w:t>99.918% plus accrued interest, if any, from July 2, 2012</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Gross Spread:</w:t>
            </w:r>
          </w:p>
        </w:tc>
        <w:tc>
          <w:tcPr>
            <w:tcW w:w="7940" w:type="dxa"/>
            <w:vAlign w:val="bottom"/>
          </w:tcPr>
          <w:p>
            <w:pPr>
              <w:ind w:left="300"/>
              <w:spacing w:after="0"/>
              <w:rPr>
                <w:sz w:val="20"/>
                <w:szCs w:val="20"/>
                <w:color w:val="auto"/>
              </w:rPr>
            </w:pPr>
            <w:r>
              <w:rPr>
                <w:rFonts w:ascii="Arial" w:cs="Arial" w:eastAsia="Arial" w:hAnsi="Arial"/>
                <w:sz w:val="18"/>
                <w:szCs w:val="18"/>
                <w:color w:val="auto"/>
              </w:rPr>
              <w:t>0.875%</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w w:val="92"/>
              </w:rPr>
              <w:t>Net proceeds to Comcast, before expenses:</w:t>
            </w:r>
          </w:p>
        </w:tc>
        <w:tc>
          <w:tcPr>
            <w:tcW w:w="7940" w:type="dxa"/>
            <w:vAlign w:val="bottom"/>
          </w:tcPr>
          <w:p>
            <w:pPr>
              <w:ind w:left="300"/>
              <w:spacing w:after="0"/>
              <w:rPr>
                <w:sz w:val="20"/>
                <w:szCs w:val="20"/>
                <w:color w:val="auto"/>
              </w:rPr>
            </w:pPr>
            <w:r>
              <w:rPr>
                <w:rFonts w:ascii="Arial" w:cs="Arial" w:eastAsia="Arial" w:hAnsi="Arial"/>
                <w:sz w:val="18"/>
                <w:szCs w:val="18"/>
                <w:color w:val="auto"/>
              </w:rPr>
              <w:t>99.043% per $1,000 principal amount of Notes due 2042; $1,238,037,500 total</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54"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BNP Paribas Securities Corp. at 1-800-854-5674, Citigroup Global Markets Inc. at 1-877-858-5407, Merrill Lynch, Pierce, Fenner &amp; Smith Incorporated at 1-800-294-1322, or Wells Fargo Securities, LLC at 1-800-326-5897.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2019-12-09T14:43:38Z</dcterms:created>
  <dcterms:modified xsi:type="dcterms:W3CDTF">2019-12-09T14:43:38Z</dcterms:modified>
</cp:coreProperties>
</file>