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SCHEDULE 14A</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(Rule 14a-101)</w:t>
      </w:r>
    </w:p>
    <w:p>
      <w:pPr>
        <w:spacing w:after="0" w:line="175"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SCHEDULE 14A INFORMATION</w:t>
      </w:r>
    </w:p>
    <w:p>
      <w:pPr>
        <w:spacing w:after="0" w:line="175"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8"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Exchange Act of 1934 (Amendment No. )</w:t>
      </w:r>
    </w:p>
    <w:p>
      <w:pPr>
        <w:spacing w:after="0" w:line="175" w:lineRule="exact"/>
        <w:rPr>
          <w:sz w:val="24"/>
          <w:szCs w:val="24"/>
          <w:color w:val="auto"/>
        </w:rPr>
      </w:pPr>
    </w:p>
    <w:p>
      <w:pPr>
        <w:spacing w:after="0"/>
        <w:tabs>
          <w:tab w:leader="none" w:pos="2160" w:val="left"/>
        </w:tabs>
        <w:rPr>
          <w:sz w:val="20"/>
          <w:szCs w:val="20"/>
          <w:color w:val="auto"/>
        </w:rPr>
      </w:pPr>
      <w:r>
        <w:rPr>
          <w:rFonts w:ascii="Courier New" w:cs="Courier New" w:eastAsia="Courier New" w:hAnsi="Courier New"/>
          <w:sz w:val="14"/>
          <w:szCs w:val="14"/>
          <w:color w:val="auto"/>
        </w:rPr>
        <w:t>Filed by the Registrant</w:t>
        <w:tab/>
        <w:t>[X]</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ectPr>
          <w:pgSz w:w="11900" w:h="16838" w:orient="portrait"/>
          <w:cols w:equalWidth="0" w:num="1">
            <w:col w:w="10239"/>
          </w:cols>
          <w:pgMar w:left="220" w:top="876" w:right="1440" w:bottom="1440" w:gutter="0" w:footer="0" w:header="0"/>
        </w:sectPr>
      </w:pP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 Preliminary Proxy Statement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Confidential, for Use of the Commission</w:t>
      </w:r>
    </w:p>
    <w:p>
      <w:pPr>
        <w:spacing w:after="0" w:line="8"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Only (as permitted by Rule 14a-6(e)(2)</w:t>
      </w:r>
    </w:p>
    <w:p>
      <w:pPr>
        <w:spacing w:after="0" w:line="8" w:lineRule="exact"/>
        <w:rPr>
          <w:sz w:val="24"/>
          <w:szCs w:val="24"/>
          <w:color w:val="auto"/>
        </w:rPr>
      </w:pPr>
    </w:p>
    <w:p>
      <w:pPr>
        <w:sectPr>
          <w:pgSz w:w="11900" w:h="16838" w:orient="portrait"/>
          <w:cols w:equalWidth="0" w:num="2">
            <w:col w:w="2700" w:space="440"/>
            <w:col w:w="7099"/>
          </w:cols>
          <w:pgMar w:left="220" w:top="87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 Definitive Proxy Statement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Definitive Additional Materials</w:t>
      </w:r>
    </w:p>
    <w:p>
      <w:pPr>
        <w:sectPr>
          <w:pgSz w:w="11900" w:h="16838" w:orient="portrait"/>
          <w:cols w:equalWidth="0" w:num="1">
            <w:col w:w="10239"/>
          </w:cols>
          <w:pgMar w:left="220" w:top="876" w:right="1440" w:bottom="1440" w:gutter="0" w:footer="0" w:header="0"/>
          <w:type w:val="continuous"/>
        </w:sectPr>
      </w:pPr>
    </w:p>
    <w:p>
      <w:pPr>
        <w:spacing w:after="0" w:line="8" w:lineRule="exact"/>
        <w:rPr>
          <w:sz w:val="24"/>
          <w:szCs w:val="2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Soliciting Material Pursuant to Rule 14a-11(c) or Rule 14a-12</w:t>
      </w:r>
    </w:p>
    <w:p>
      <w:pPr>
        <w:spacing w:after="0" w:line="175" w:lineRule="exact"/>
        <w:rPr>
          <w:rFonts w:ascii="Courier New" w:cs="Courier New" w:eastAsia="Courier New" w:hAnsi="Courier New"/>
          <w:sz w:val="14"/>
          <w:szCs w:val="14"/>
          <w:color w:val="auto"/>
        </w:rPr>
      </w:pPr>
    </w:p>
    <w:p>
      <w:pPr>
        <w:ind w:left="2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COMCAST CORPORATION</w:t>
      </w:r>
    </w:p>
    <w:p>
      <w:pPr>
        <w:spacing w:after="0" w:line="175" w:lineRule="exact"/>
        <w:rPr>
          <w:sz w:val="24"/>
          <w:szCs w:val="2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8" w:lineRule="exact"/>
        <w:rPr>
          <w:sz w:val="24"/>
          <w:szCs w:val="24"/>
          <w:color w:val="auto"/>
        </w:rPr>
      </w:pPr>
    </w:p>
    <w:p>
      <w:pPr>
        <w:ind w:left="360" w:right="3799" w:hanging="351"/>
        <w:spacing w:after="0" w:line="252"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$125 per Exchange Act Rules 0-11(c)(1)(ii), 14a-6(i)(1) or 14a-6(i)(2) or Item 22(a)(2) of Schedule 14A.</w:t>
      </w:r>
    </w:p>
    <w:p>
      <w:pPr>
        <w:spacing w:after="0" w:line="1" w:lineRule="exact"/>
        <w:rPr>
          <w:sz w:val="24"/>
          <w:szCs w:val="24"/>
          <w:color w:val="auto"/>
        </w:rPr>
      </w:pPr>
    </w:p>
    <w:p>
      <w:pPr>
        <w:ind w:left="360" w:right="4419" w:hanging="346"/>
        <w:spacing w:after="0" w:line="252" w:lineRule="auto"/>
        <w:rPr>
          <w:sz w:val="20"/>
          <w:szCs w:val="20"/>
          <w:color w:val="auto"/>
        </w:rPr>
      </w:pPr>
      <w:r>
        <w:rPr>
          <w:rFonts w:ascii="Courier New" w:cs="Courier New" w:eastAsia="Courier New" w:hAnsi="Courier New"/>
          <w:sz w:val="14"/>
          <w:szCs w:val="14"/>
          <w:color w:val="auto"/>
        </w:rPr>
        <w:t>[ ] $500 per each party to the controversy pursuant to Exchange Act Rule 14a-6(i)(3).</w:t>
      </w:r>
    </w:p>
    <w:p>
      <w:pPr>
        <w:spacing w:after="0" w:line="1" w:lineRule="exact"/>
        <w:rPr>
          <w:sz w:val="24"/>
          <w:szCs w:val="2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14a-6(i)(4) and 0-11.</w:t>
      </w:r>
    </w:p>
    <w:p>
      <w:pPr>
        <w:spacing w:after="0" w:line="8" w:lineRule="exact"/>
        <w:rPr>
          <w:rFonts w:ascii="Courier New" w:cs="Courier New" w:eastAsia="Courier New" w:hAnsi="Courier New"/>
          <w:sz w:val="14"/>
          <w:szCs w:val="14"/>
          <w:color w:val="auto"/>
        </w:rPr>
      </w:pPr>
    </w:p>
    <w:p>
      <w:pPr>
        <w:ind w:left="700" w:hanging="344"/>
        <w:spacing w:after="0"/>
        <w:tabs>
          <w:tab w:leader="none" w:pos="7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342"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00" w:hanging="444"/>
        <w:spacing w:after="0"/>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right="3799" w:hanging="444"/>
        <w:spacing w:after="0" w:line="255"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2"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5"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Fee paid previously with preliminary materials.</w:t>
      </w:r>
    </w:p>
    <w:p>
      <w:pPr>
        <w:spacing w:after="0" w:line="175" w:lineRule="exact"/>
        <w:rPr>
          <w:sz w:val="24"/>
          <w:szCs w:val="24"/>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8" w:lineRule="exact"/>
        <w:rPr>
          <w:rFonts w:ascii="Courier New" w:cs="Courier New" w:eastAsia="Courier New" w:hAnsi="Courier New"/>
          <w:sz w:val="14"/>
          <w:szCs w:val="14"/>
          <w:color w:val="auto"/>
        </w:rPr>
      </w:pPr>
    </w:p>
    <w:p>
      <w:pPr>
        <w:ind w:left="44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0-11(a)(2) and identify the filing for which the offsetting fee was paid previously. Identify the previous filing by registration statement number, or the Form or Schedule and the date of its filing.</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5"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5"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5"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876" w:right="1440" w:bottom="1440" w:gutter="0" w:footer="0" w:header="0"/>
          <w:type w:val="continuous"/>
        </w:sectPr>
      </w:pPr>
    </w:p>
    <w:bookmarkStart w:id="1" w:name="page2"/>
    <w:bookmarkEnd w:id="1"/>
    <w:p>
      <w:pPr>
        <w:ind w:left="10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COMCAST (R)</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CORPORATION</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LOGO</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NOTICE OF ANNUAL MEETING OF SHAREHOLDERS</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TO BE HELD ON JUNE 21, 1995</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The Annual Meeting of Shareholders of Comcast Corporation (the "Company") will be held on Wednesday, June 21, 1995 at 9:00 a.m. local time at the offices of the Company, 1500 Market Street, 33rd Floor, Philadelphia, Pennsylvania, for the following purposes:</w:t>
      </w:r>
    </w:p>
    <w:p>
      <w:pPr>
        <w:spacing w:after="0" w:line="163" w:lineRule="exact"/>
        <w:rPr>
          <w:sz w:val="20"/>
          <w:szCs w:val="20"/>
          <w:color w:val="auto"/>
        </w:rPr>
      </w:pPr>
    </w:p>
    <w:p>
      <w:pPr>
        <w:ind w:left="260" w:right="3639" w:firstLine="183"/>
        <w:spacing w:after="0" w:line="258" w:lineRule="auto"/>
        <w:tabs>
          <w:tab w:leader="none" w:pos="69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ten directors to serve for the ensuing year and until their respective successors shall have been duly elected and qualified.</w:t>
      </w:r>
    </w:p>
    <w:p>
      <w:pPr>
        <w:spacing w:after="0" w:line="159" w:lineRule="exact"/>
        <w:rPr>
          <w:rFonts w:ascii="Courier New" w:cs="Courier New" w:eastAsia="Courier New" w:hAnsi="Courier New"/>
          <w:sz w:val="14"/>
          <w:szCs w:val="14"/>
          <w:color w:val="auto"/>
        </w:rPr>
      </w:pPr>
    </w:p>
    <w:p>
      <w:pPr>
        <w:ind w:left="260" w:right="3539" w:firstLine="183"/>
        <w:spacing w:after="0" w:line="254" w:lineRule="auto"/>
        <w:tabs>
          <w:tab w:leader="none" w:pos="69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 proposal to amend the Company's Articles of Incorporation to provide that amendments of such Articles of Incorporation may be adopted by a majority of the votes cast by the holders of the class or classes of shares entitled to vote thereon.</w:t>
      </w:r>
    </w:p>
    <w:p>
      <w:pPr>
        <w:spacing w:after="0" w:line="163" w:lineRule="exact"/>
        <w:rPr>
          <w:rFonts w:ascii="Courier New" w:cs="Courier New" w:eastAsia="Courier New" w:hAnsi="Courier New"/>
          <w:sz w:val="14"/>
          <w:szCs w:val="14"/>
          <w:color w:val="auto"/>
        </w:rPr>
      </w:pPr>
    </w:p>
    <w:p>
      <w:pPr>
        <w:ind w:left="260" w:right="3719" w:firstLine="183"/>
        <w:spacing w:after="0" w:line="258" w:lineRule="auto"/>
        <w:tabs>
          <w:tab w:leader="none" w:pos="69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Deloitte &amp; Touche LLP as the Company's independent auditors for the 1995 fiscal year.</w:t>
      </w:r>
    </w:p>
    <w:p>
      <w:pPr>
        <w:spacing w:after="0" w:line="159" w:lineRule="exact"/>
        <w:rPr>
          <w:rFonts w:ascii="Courier New" w:cs="Courier New" w:eastAsia="Courier New" w:hAnsi="Courier New"/>
          <w:sz w:val="14"/>
          <w:szCs w:val="14"/>
          <w:color w:val="auto"/>
        </w:rPr>
      </w:pPr>
    </w:p>
    <w:p>
      <w:pPr>
        <w:ind w:left="260" w:right="4059" w:firstLine="183"/>
        <w:spacing w:after="0" w:line="258" w:lineRule="auto"/>
        <w:tabs>
          <w:tab w:leader="none" w:pos="69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or postponement thereof.</w:t>
      </w:r>
    </w:p>
    <w:p>
      <w:pPr>
        <w:spacing w:after="0" w:line="160"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close of business on May 4, 1995 has been fixed as the record date for the meeting. All shareholders of record at that time are entitled to notice of, and all such holders of Class A Common Stock and Class B Common Stock (and, in addition, with respect to the proposal to amend the Company's Articles of Incorporation, all such holders of Class A Special Common Stock) are entitled to vote at, the meeting and any adjournment or postponement thereof. In the event that the meeting is adjourned for one or more periods aggregating at least fifteen days due to the absence of a quorum, those shareholders entitled to vote who attend the adjourned meeting, although otherwise less than a quorum, shall constitute a quorum for the purpose of acting upon any matter set forth in this notice.</w:t>
      </w:r>
    </w:p>
    <w:p>
      <w:pPr>
        <w:spacing w:after="0" w:line="164"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All shareholders are cordially invited to attend the meeting. The Board of Directors urges you to date, sign and return promptly the enclosed proxy to give voting instructions with respect to your shares of Class A Common Stock or Class A Special Common Stock. The proxies are solicited by the Board of Directors of the Company. The return of the proxy will not affect your right to vote in person if you do attend the meeting. A copy of the Company's Annual Report is also enclosed.</w:t>
      </w:r>
    </w:p>
    <w:p>
      <w:pPr>
        <w:spacing w:after="0" w:line="16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STANLEY WANG</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Secretary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May ------</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 1995</w:t>
            </w:r>
          </w:p>
        </w:tc>
      </w:tr>
    </w:tbl>
    <w:p>
      <w:pPr>
        <w:sectPr>
          <w:pgSz w:w="11900" w:h="16838" w:orient="portrait"/>
          <w:cols w:equalWidth="0" w:num="1">
            <w:col w:w="10239"/>
          </w:cols>
          <w:pgMar w:left="220" w:top="286" w:right="1440" w:bottom="1440" w:gutter="0" w:footer="0" w:header="0"/>
        </w:sectPr>
      </w:pPr>
    </w:p>
    <w:bookmarkStart w:id="2" w:name="page3"/>
    <w:bookmarkEnd w:id="2"/>
    <w:p>
      <w:pPr>
        <w:ind w:left="10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COMCAST (R)</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CORPORATION</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LOGO</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PROXY STATEMENT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enclosed proxy is solicited by the Board of Directors of Comcast Corporation (the "Company"), a Pennsylvania corporation, for use at the Annual Meeting of Shareholders (the "meeting") to be held on Wednesday, June 21, 1995 at 9:00 a.m. local time at the offices of the Company, 1500 Market Street, 33rd Floor, Philadelphia, Pennsylvania, and any adjournment or postponement thereof. This proxy statement, the foregoing notice and the enclosed proxy are being mailed to shareholders on or about May 19, 1995.</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each of the other proposals submitted to shareholders in accordance with the foregoing notice of meeting and as set forth in this Proxy Statement. Any proxy may be revoked at any time prior to its exercise by notifying the Secretary in writing, by delivering a duly executed proxy bearing a later date or by attending the meeting and voting in person.</w:t>
      </w:r>
    </w:p>
    <w:p>
      <w:pPr>
        <w:spacing w:after="0" w:line="331"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VOTING SECURITIES AND PRINCIPAL HOLDERS THEREOF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SHARES AND VOTING RIGHTS</w:t>
      </w:r>
    </w:p>
    <w:p>
      <w:pPr>
        <w:spacing w:after="0" w:line="175" w:lineRule="exact"/>
        <w:rPr>
          <w:sz w:val="20"/>
          <w:szCs w:val="20"/>
          <w:color w:val="auto"/>
        </w:rPr>
      </w:pPr>
    </w:p>
    <w:p>
      <w:pPr>
        <w:ind w:right="3539" w:firstLine="260"/>
        <w:spacing w:after="0" w:line="252" w:lineRule="auto"/>
        <w:rPr>
          <w:sz w:val="20"/>
          <w:szCs w:val="20"/>
          <w:color w:val="auto"/>
        </w:rPr>
      </w:pPr>
      <w:r>
        <w:rPr>
          <w:rFonts w:ascii="Courier New" w:cs="Courier New" w:eastAsia="Courier New" w:hAnsi="Courier New"/>
          <w:sz w:val="14"/>
          <w:szCs w:val="14"/>
          <w:color w:val="auto"/>
        </w:rPr>
        <w:t>At the close of business on May 4, 1995, the record date, the Company had outstanding ------ shares of Class A Common Stock, par value $1.00 per share,</w:t>
      </w:r>
    </w:p>
    <w:p>
      <w:pPr>
        <w:spacing w:after="0" w:line="1" w:lineRule="exact"/>
        <w:rPr>
          <w:sz w:val="20"/>
          <w:szCs w:val="20"/>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shares of Class B Common Stock, par value $1.00 per share, and ------</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Class A Special Common Stock, par value $1.00 per share.</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On each matter voted upon at the meeting and any adjournment or postponement thereof, the Class A Common Stock and Class B Common Stock will vote together and each record holder of Class A Common Stock will be entitled to one vote per share and each record holder of Class B Common Stock will be entitled to fifteen votes per share, except that with respect to the proposal to amend the Company's Articles of Incorporation the Class A Common Stock</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6" w:right="1440" w:bottom="1440" w:gutter="0" w:footer="0" w:header="0"/>
        </w:sectPr>
      </w:pPr>
    </w:p>
    <w:bookmarkStart w:id="3" w:name="page4"/>
    <w:bookmarkEnd w:id="3"/>
    <w:p>
      <w:pPr>
        <w:ind w:left="10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and Class B Common Stock will vote as separate classes. Holders of Class A Special Common Stock shall be entitled to vote at the meeting only as a separate class with respect to the proposal to amend the Company's Articles of Incorporation, with one vote per share. References to voting classes of the Company's Common Stock herein shall not include the Class A Special Common Stock. In the election of directors, Class A Common Stock and Class B Common Stock shareholders shall not have cumulative voting rights.</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presence, in person or by proxy, of shareholders entitled to cast a majority of the votes which shareholders (or a class thereof) are entitled to cast on each matter to be voted upon at the meeting will constitute a quorum as to each such matter. In the event that the meeting is adjourned for one or more periods aggregating at least fifteen days due to the absence of a quorum, those shareholders entitled to vote who attend the adjourned meeting, although less than a quorum as described in the preceding sentence, shall constitute a quorum for the purpose of acting upon any matter set forth in the foregoing notice.</w:t>
      </w:r>
    </w:p>
    <w:p>
      <w:pPr>
        <w:spacing w:after="0" w:line="33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In the election of directors, the ten nominees receiving a plurality of the votes cast at the meeting shall be elected. Approval of the proposal to amend the Company's Articles of Incorporation requires the separate affirmative votes of the holders of each of the Class A Common Stock, Class A Special Common Stock, and Class B Common Stock entitled to cast a majority of the votes which all holders of such class are entitled to cast. Approval of all other proposals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or "Against" are included. Abstentions and broker non-votes are counted only for purposes of determining whether a quorum is present at the meeting.</w:t>
      </w:r>
    </w:p>
    <w:p>
      <w:pPr>
        <w:spacing w:after="0" w:line="330"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holder of all of the Class B Common Stock has indicated that it will vote its shares "FOR" each of the nominees for director listed below and "FOR" each of the other proposals submitted to shareholders in accordance with the foregoing notice of the meeting and as set forth in this Proxy Statement. Consequently, the election of each of the nominees for director listed below and approval of each of the other proposals submitted to shareholders in accordance with the foregoing notice of meeting and as set forth in this Proxy Statement, other than the proposal to amend the Company's Articles of Incorporation, are assured, and the approval by the Class B Common Stock, as a separate class, of the proposal to amend the Company's Articles of Incorporation is assured.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SHAREHOLDERS</w:t>
      </w:r>
    </w:p>
    <w:p>
      <w:pPr>
        <w:spacing w:after="0" w:line="17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at the close of business on February 28, 1995. So far as is known to the Company, the persons named in the table below as beneficially owning the shares set forth therein have sole voting power and sole investment power with respect to such shares, unless otherwise indicated.</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4" w:name="page5"/>
    <w:bookmarkEnd w:id="4"/>
    <w:p>
      <w:pPr>
        <w:ind w:left="10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Title of</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Voting Class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260"/>
        <w:spacing w:after="0" w:line="255" w:lineRule="auto"/>
        <w:rPr>
          <w:sz w:val="20"/>
          <w:szCs w:val="20"/>
          <w:color w:val="auto"/>
        </w:rPr>
      </w:pPr>
      <w:r>
        <w:rPr>
          <w:rFonts w:ascii="Courier New" w:cs="Courier New" w:eastAsia="Courier New" w:hAnsi="Courier New"/>
          <w:sz w:val="14"/>
          <w:szCs w:val="14"/>
          <w:color w:val="auto"/>
        </w:rPr>
        <w:t>Name and Address of Beneficial Owner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Amount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Beneficially</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Owned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Class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4">
            <w:col w:w="1920" w:space="260"/>
            <w:col w:w="2340" w:space="260"/>
            <w:col w:w="1300" w:space="260"/>
            <w:col w:w="389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Class A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Ralph J. Roberts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2,164,107(1)(2)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5.6%</w:t>
      </w:r>
    </w:p>
    <w:p>
      <w:pPr>
        <w:spacing w:after="0" w:line="8" w:lineRule="exact"/>
        <w:rPr>
          <w:sz w:val="20"/>
          <w:szCs w:val="20"/>
          <w:color w:val="auto"/>
        </w:rPr>
      </w:pPr>
    </w:p>
    <w:p>
      <w:pPr>
        <w:sectPr>
          <w:pgSz w:w="11900" w:h="16838" w:orient="portrait"/>
          <w:cols w:equalWidth="0" w:num="4">
            <w:col w:w="1740" w:space="260"/>
            <w:col w:w="2240" w:space="720"/>
            <w:col w:w="1300" w:space="340"/>
            <w:col w:w="3639"/>
          </w:cols>
          <w:pgMar w:left="220" w:top="286"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Philadelphia, PA 19102-2148</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The Capital Group, Inc.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3,115,500(3)</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w:t>
      </w:r>
    </w:p>
    <w:p>
      <w:pPr>
        <w:spacing w:after="0" w:line="8" w:lineRule="exact"/>
        <w:rPr>
          <w:sz w:val="20"/>
          <w:szCs w:val="20"/>
          <w:color w:val="auto"/>
        </w:rPr>
      </w:pPr>
    </w:p>
    <w:p>
      <w:pPr>
        <w:sectPr>
          <w:pgSz w:w="11900" w:h="16838" w:orient="portrait"/>
          <w:cols w:equalWidth="0" w:num="3">
            <w:col w:w="4240" w:space="720"/>
            <w:col w:w="1040" w:space="600"/>
            <w:col w:w="3639"/>
          </w:cols>
          <w:pgMar w:left="220" w:top="286"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4"/>
          <w:szCs w:val="14"/>
          <w:color w:val="auto"/>
        </w:rPr>
        <w:t>333 South Hope Street</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Los Angeles, CA 90071</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American Express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2,224,500(4)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5.7%</w:t>
      </w:r>
    </w:p>
    <w:p>
      <w:pPr>
        <w:spacing w:after="0" w:line="8" w:lineRule="exact"/>
        <w:rPr>
          <w:sz w:val="20"/>
          <w:szCs w:val="20"/>
          <w:color w:val="auto"/>
        </w:rPr>
      </w:pPr>
    </w:p>
    <w:p>
      <w:pPr>
        <w:sectPr>
          <w:pgSz w:w="11900" w:h="16838" w:orient="portrait"/>
          <w:cols w:equalWidth="0" w:num="3">
            <w:col w:w="4240" w:space="720"/>
            <w:col w:w="1040" w:space="600"/>
            <w:col w:w="3639"/>
          </w:cols>
          <w:pgMar w:left="220" w:top="286"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4"/>
          <w:szCs w:val="14"/>
          <w:color w:val="auto"/>
        </w:rPr>
        <w:t>Financial Advisors, Inc.</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IDS Tower 10</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Minneapolis, MN 55440</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Common Stock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Ralph J. Roberts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9,090,000(2)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8" w:lineRule="exact"/>
        <w:rPr>
          <w:sz w:val="20"/>
          <w:szCs w:val="20"/>
          <w:color w:val="auto"/>
        </w:rPr>
      </w:pPr>
    </w:p>
    <w:p>
      <w:pPr>
        <w:sectPr>
          <w:pgSz w:w="11900" w:h="16838" w:orient="portrait"/>
          <w:cols w:equalWidth="0" w:num="4">
            <w:col w:w="1740" w:space="260"/>
            <w:col w:w="2240" w:space="720"/>
            <w:col w:w="1040" w:space="440"/>
            <w:col w:w="3799"/>
          </w:cols>
          <w:pgMar w:left="220" w:top="286"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Philadelphia, PA 19102-2148</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6" w:right="1440" w:bottom="1440" w:gutter="0" w:footer="0" w:header="0"/>
          <w:type w:val="continuous"/>
        </w:sectPr>
      </w:pPr>
    </w:p>
    <w:p>
      <w:pPr>
        <w:spacing w:after="0" w:line="8" w:lineRule="exact"/>
        <w:rPr>
          <w:sz w:val="20"/>
          <w:szCs w:val="20"/>
          <w:color w:val="auto"/>
        </w:rPr>
      </w:pPr>
    </w:p>
    <w:p>
      <w:pPr>
        <w:ind w:left="360" w:right="3539" w:hanging="351"/>
        <w:spacing w:after="0" w:line="252"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February 28, 1995, Sural Corporation ("Sural"), a Delaware corporation, owned 1,845,037 shares of Class A Common Stock. Mr. Roberts, Chairman of the Board of Directors of the Company, and members of his family own all of the voting securities of Sural. Pursuant to Rule 13d-3 of the Exchange Act, Mr. Roberts is deemed to be the beneficial owner of the shares of Class A Common Stock owned by Sural. Also includes 319,070 shares owned directly by Mr. Roberts. See also the last sentence of note</w:t>
      </w:r>
    </w:p>
    <w:p>
      <w:pPr>
        <w:spacing w:after="0" w:line="2" w:lineRule="exact"/>
        <w:rPr>
          <w:rFonts w:ascii="Courier New" w:cs="Courier New" w:eastAsia="Courier New" w:hAnsi="Courier New"/>
          <w:sz w:val="14"/>
          <w:szCs w:val="14"/>
          <w:color w:val="auto"/>
        </w:rPr>
      </w:pPr>
    </w:p>
    <w:p>
      <w:pPr>
        <w:ind w:left="700" w:hanging="344"/>
        <w:spacing w:after="0"/>
        <w:tabs>
          <w:tab w:leader="none" w:pos="70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w:t>
      </w:r>
    </w:p>
    <w:p>
      <w:pPr>
        <w:spacing w:after="0" w:line="175" w:lineRule="exact"/>
        <w:rPr>
          <w:rFonts w:ascii="Courier New" w:cs="Courier New" w:eastAsia="Courier New" w:hAnsi="Courier New"/>
          <w:sz w:val="14"/>
          <w:szCs w:val="14"/>
          <w:color w:val="auto"/>
        </w:rPr>
      </w:pPr>
    </w:p>
    <w:p>
      <w:pPr>
        <w:ind w:left="360" w:right="3539" w:hanging="351"/>
        <w:spacing w:after="0" w:line="252"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February 28, 1995, Sural was the sole owner of the Company's Class B Common Stock. Pursuant to Rule 13d-3 of the Exchange Act, Mr. Roberts is deemed to be the beneficial owner of the shares of Class B Common Stock owned by Sural. In addition to the shares owned by Sural, Mr. Roberts has options to purchase 658,125 shares of Class B Common Stock, of which 303,750 options are currently exercisable or are exercisable within 60 days of February 28, 1995. Since each share of Class B Common Stock is entitled to fifteen votes, the shares of Class A Common Stock and Class B Common Stock owned by Sural constitute approximately 78% of the voting power of the two classes of the Company's voting Common Stock combined (79% if Mr. Roberts' directly owned shares of Class A Common Stock and shares underlying options to purchase Class B Common Stock currently exercisable or exercisable within 60 days of February 28, 1995 are included). The Class B Common Stock is convertible on a share-for-share basis into Class A Common Stock or Class A Special Common Stock. If Sural and Mr. Roberts were to convert the Class B Common Stock which they are deemed to beneficially own into Class A Common Stock, Mr. Roberts would beneficially own 11,254,107 shares of Class A Common Stock (approximately 23.4% of the Class A Common Stock).</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type w:val="continuous"/>
        </w:sectPr>
      </w:pPr>
    </w:p>
    <w:bookmarkStart w:id="5" w:name="page6"/>
    <w:bookmarkEnd w:id="5"/>
    <w:p>
      <w:pPr>
        <w:ind w:left="10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left="360" w:right="3639" w:hanging="351"/>
        <w:spacing w:after="0" w:line="253"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The Capital Group, Inc. ("TCG") is based upon a joint filing made on Schedule 13G by TCG and its wholly owned subsidiary, Capital Research and Management Company ("Capital Research"), setting forth information as of December 31, 1994. Based upon such filing, 2,580,000 of these shares are beneficially owned by Capital Research.</w:t>
      </w:r>
    </w:p>
    <w:p>
      <w:pPr>
        <w:spacing w:after="0" w:line="165" w:lineRule="exact"/>
        <w:rPr>
          <w:rFonts w:ascii="Courier New" w:cs="Courier New" w:eastAsia="Courier New" w:hAnsi="Courier New"/>
          <w:sz w:val="14"/>
          <w:szCs w:val="14"/>
          <w:color w:val="auto"/>
        </w:rPr>
      </w:pPr>
    </w:p>
    <w:p>
      <w:pPr>
        <w:ind w:left="360" w:right="3639" w:hanging="351"/>
        <w:spacing w:after="0" w:line="253"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American Express Financial Advisors, Inc. ("AEFA", formerly IDS Financial Corporation) is based upon a joint filing made on Schedule 13G by AEFA and its parent corporation, American Express Company, setting forth information as of December 31, 1994. The Schedule 13G indicates that AEFA has shared dispositive power as to 2,224,500 shares and shared voting power as to 1,450,000 shares.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OWNERSHIP OF MANAGEMENT</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following table sets forth certain information regarding the Class A Common Stock (one vote per share) and Class A Special Common Stock (generally non-voting) beneficially owned by each director and nominee for director of the Company, by Mr. Ralph J. Roberts, the Company's Chief Executive Officer, and by each of the Company's other four most highly compensated executive officers during 1994 and by all directors and executive officers of the Company as a group, at the close of business on February 28, 1995. Each of the persons named in the table below as beneficially owning the shares set forth therein has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4140" w:type="dxa"/>
            <w:vAlign w:val="bottom"/>
            <w:gridSpan w:val="2"/>
          </w:tcPr>
          <w:p>
            <w:pPr>
              <w:ind w:left="840"/>
              <w:spacing w:after="0"/>
              <w:rPr>
                <w:sz w:val="20"/>
                <w:szCs w:val="20"/>
                <w:color w:val="auto"/>
              </w:rPr>
            </w:pPr>
            <w:r>
              <w:rPr>
                <w:rFonts w:ascii="Courier New" w:cs="Courier New" w:eastAsia="Courier New" w:hAnsi="Courier New"/>
                <w:sz w:val="14"/>
                <w:szCs w:val="14"/>
                <w:color w:val="auto"/>
              </w:rPr>
              <w:t>Amount Beneficially Owned(2)</w:t>
            </w: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Percent of Class(2)</w:t>
            </w:r>
          </w:p>
        </w:tc>
      </w:tr>
      <w:tr>
        <w:trPr>
          <w:trHeight w:val="167"/>
        </w:trPr>
        <w:tc>
          <w:tcPr>
            <w:tcW w:w="2300" w:type="dxa"/>
            <w:vAlign w:val="bottom"/>
          </w:tcPr>
          <w:p>
            <w:pPr>
              <w:spacing w:after="0"/>
              <w:rPr>
                <w:sz w:val="14"/>
                <w:szCs w:val="14"/>
                <w:color w:val="auto"/>
              </w:rPr>
            </w:pPr>
          </w:p>
        </w:tc>
        <w:tc>
          <w:tcPr>
            <w:tcW w:w="4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Class A</w:t>
            </w:r>
          </w:p>
        </w:tc>
        <w:tc>
          <w:tcPr>
            <w:tcW w:w="120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Class A</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Name of Beneficial Owner</w:t>
            </w:r>
          </w:p>
        </w:tc>
        <w:tc>
          <w:tcPr>
            <w:tcW w:w="2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Class A</w:t>
            </w:r>
          </w:p>
        </w:tc>
        <w:tc>
          <w:tcPr>
            <w:tcW w:w="21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Special</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Class A</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Special</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Daniel Aaron  ...........</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204,947</w:t>
            </w:r>
          </w:p>
        </w:tc>
        <w:tc>
          <w:tcPr>
            <w:tcW w:w="21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688,722</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John R. Alchin  .........</w:t>
            </w:r>
          </w:p>
        </w:tc>
        <w:tc>
          <w:tcPr>
            <w:tcW w:w="204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94,343</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Gustave G. Amsterdam  ...</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32,625</w:t>
            </w:r>
          </w:p>
        </w:tc>
        <w:tc>
          <w:tcPr>
            <w:tcW w:w="21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130,218</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Sheldon M. Bonovitz  ....</w:t>
            </w: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17,705(4)</w:t>
            </w:r>
          </w:p>
        </w:tc>
        <w:tc>
          <w:tcPr>
            <w:tcW w:w="2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308,325(5)</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Julian A. Brodsky  ......</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227,848</w:t>
            </w:r>
          </w:p>
        </w:tc>
        <w:tc>
          <w:tcPr>
            <w:tcW w:w="21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1,380,632</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Joseph L. Castle, II  ...</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375</w:t>
            </w:r>
          </w:p>
        </w:tc>
        <w:tc>
          <w:tcPr>
            <w:tcW w:w="21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29,497</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Brian L. Roberts  .......</w:t>
            </w: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5,733(6)</w:t>
            </w:r>
          </w:p>
        </w:tc>
        <w:tc>
          <w:tcPr>
            <w:tcW w:w="2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149,022(7)</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Ralph J. Roberts(1)  ....</w:t>
            </w: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2,164,107(8)</w:t>
            </w:r>
          </w:p>
        </w:tc>
        <w:tc>
          <w:tcPr>
            <w:tcW w:w="2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9,895,076(9)</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5.6%</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5.1%</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Lawrence S. Smith  ......</w:t>
            </w:r>
          </w:p>
        </w:tc>
        <w:tc>
          <w:tcPr>
            <w:tcW w:w="204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163,112(10)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Bernard C. Watson  ......</w:t>
            </w:r>
          </w:p>
        </w:tc>
        <w:tc>
          <w:tcPr>
            <w:tcW w:w="204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19,500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Irving A. Wechsler  .....</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122,763</w:t>
            </w:r>
          </w:p>
        </w:tc>
        <w:tc>
          <w:tcPr>
            <w:tcW w:w="21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507,592</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Anne Wexler  ............</w:t>
            </w:r>
          </w:p>
        </w:tc>
        <w:tc>
          <w:tcPr>
            <w:tcW w:w="204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20,250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All directors and</w:t>
            </w:r>
          </w:p>
        </w:tc>
        <w:tc>
          <w:tcPr>
            <w:tcW w:w="2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officers</w:t>
            </w:r>
          </w:p>
        </w:tc>
        <w:tc>
          <w:tcPr>
            <w:tcW w:w="2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as a group (13 persons)</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2,803,134(4)(6)(8)</w:t>
            </w:r>
          </w:p>
        </w:tc>
        <w:tc>
          <w:tcPr>
            <w:tcW w:w="3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13,515,990(5)(7)(9)(10) 7.2%</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6.9%</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right="3639" w:hanging="431"/>
        <w:spacing w:after="0" w:line="254"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13d-3 of the Exchange Act, Mr. Roberts is also deemed to be the beneficial owner of 100% of the outstanding shares of the Company's Class B Common Stock owned by Sural. See notes (1) and (2) to the table under the caption "Principal Shareholders."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6" w:name="page7"/>
    <w:bookmarkEnd w:id="6"/>
    <w:p>
      <w:pPr>
        <w:ind w:left="10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left="440" w:right="3539" w:hanging="431"/>
        <w:spacing w:after="0" w:line="252"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beneficial owner, the shares issuable upon exercise of his or her currently exercisable options and options exercisable within 60 days of February 28, 1995 are deemed to be outstanding for the purpose of computing the percentage of the class of Common Stock owned. Includes the following shares of Class A Common Stock and Class A Special Common Stock, respectively, for which the named individuals, and all directors and executive officers as a group, hold currently exercisable options or options exercisable within 60 days of February 28, 1995: Mr. Aaron, none and 3,000 shares; Mr. Alchin, none and 60,306 shares; Mr. Amsterdam, none and 27,000 shares; Mr. Bonovitz, none and 27,000 shares; Mr. Brodsky, 25,313 and 437,133 shares; Mr. Castle, none and 27,000 shares; Mr. Brian L. Roberts, 3,848 and 90,967 shares; Mr. Ralph J. Roberts, none and 3,647,244 shares; Mr. Smith, none and 125,975 shares; Mr. Watson, none and 19,500 shares; Mr. Wechsler, none and 3,000 shares; Ms. Wexler, none and 19,500 shares; and all directors and executive officers as a group, 33,706 and 4,558,361 shares.</w:t>
      </w:r>
    </w:p>
    <w:p>
      <w:pPr>
        <w:spacing w:after="0" w:line="173"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 of the applicable class.</w:t>
      </w:r>
    </w:p>
    <w:p>
      <w:pPr>
        <w:spacing w:after="0" w:line="175" w:lineRule="exact"/>
        <w:rPr>
          <w:rFonts w:ascii="Courier New" w:cs="Courier New" w:eastAsia="Courier New" w:hAnsi="Courier New"/>
          <w:sz w:val="14"/>
          <w:szCs w:val="14"/>
          <w:color w:val="auto"/>
        </w:rPr>
      </w:pPr>
    </w:p>
    <w:p>
      <w:pPr>
        <w:ind w:left="440" w:right="3799" w:hanging="431"/>
        <w:spacing w:after="0" w:line="254"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5,486 shares of Class A Common Stock held in trust or as a custodian for his children, 6,425 shares owned by his wife, and 2,636 shares held by him as trustee for a testamentary trust, as to all of which shares he disclaims beneficial ownership.</w:t>
      </w:r>
    </w:p>
    <w:p>
      <w:pPr>
        <w:spacing w:after="0" w:line="163" w:lineRule="exact"/>
        <w:rPr>
          <w:rFonts w:ascii="Courier New" w:cs="Courier New" w:eastAsia="Courier New" w:hAnsi="Courier New"/>
          <w:sz w:val="14"/>
          <w:szCs w:val="14"/>
          <w:color w:val="auto"/>
        </w:rPr>
      </w:pPr>
    </w:p>
    <w:p>
      <w:pPr>
        <w:ind w:left="440" w:right="3639" w:hanging="431"/>
        <w:spacing w:after="0" w:line="254"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17,189 shares of Class A Special Common Stock held in trust or as a custodian for his children, 23,544 shares owned by his wife, and 214,946 shares held by him as trustee for a testamentary trust, as to all of which shares he disclaims beneficial ownership.</w:t>
      </w:r>
    </w:p>
    <w:p>
      <w:pPr>
        <w:spacing w:after="0" w:line="163" w:lineRule="exact"/>
        <w:rPr>
          <w:rFonts w:ascii="Courier New" w:cs="Courier New" w:eastAsia="Courier New" w:hAnsi="Courier New"/>
          <w:sz w:val="14"/>
          <w:szCs w:val="14"/>
          <w:color w:val="auto"/>
        </w:rPr>
      </w:pPr>
    </w:p>
    <w:p>
      <w:pPr>
        <w:ind w:left="440" w:right="3719" w:hanging="431"/>
        <w:spacing w:after="0" w:line="258"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1,356 shares of Class A Common Stock owned by his wife, as to which shares he disclaims beneficial ownership.</w:t>
      </w:r>
    </w:p>
    <w:p>
      <w:pPr>
        <w:spacing w:after="0" w:line="159" w:lineRule="exact"/>
        <w:rPr>
          <w:rFonts w:ascii="Courier New" w:cs="Courier New" w:eastAsia="Courier New" w:hAnsi="Courier New"/>
          <w:sz w:val="14"/>
          <w:szCs w:val="14"/>
          <w:color w:val="auto"/>
        </w:rPr>
      </w:pPr>
    </w:p>
    <w:p>
      <w:pPr>
        <w:ind w:left="440" w:right="3719" w:hanging="431"/>
        <w:spacing w:after="0" w:line="258"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678 shares of Class A Special Common Stock owned by his wife, as to which shares he disclaims beneficial ownership.</w:t>
      </w:r>
    </w:p>
    <w:p>
      <w:pPr>
        <w:spacing w:after="0" w:line="159" w:lineRule="exact"/>
        <w:rPr>
          <w:rFonts w:ascii="Courier New" w:cs="Courier New" w:eastAsia="Courier New" w:hAnsi="Courier New"/>
          <w:sz w:val="14"/>
          <w:szCs w:val="14"/>
          <w:color w:val="auto"/>
        </w:rPr>
      </w:pPr>
    </w:p>
    <w:p>
      <w:pPr>
        <w:ind w:left="440" w:right="3799" w:hanging="431"/>
        <w:spacing w:after="0" w:line="258"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1,845,037 shares of Class A Common Stock owned by Sural. See note (1) to the table under the caption "Principal Shareholders."</w:t>
      </w:r>
    </w:p>
    <w:p>
      <w:pPr>
        <w:spacing w:after="0" w:line="159" w:lineRule="exact"/>
        <w:rPr>
          <w:rFonts w:ascii="Courier New" w:cs="Courier New" w:eastAsia="Courier New" w:hAnsi="Courier New"/>
          <w:sz w:val="14"/>
          <w:szCs w:val="14"/>
          <w:color w:val="auto"/>
        </w:rPr>
      </w:pPr>
    </w:p>
    <w:p>
      <w:pPr>
        <w:ind w:left="440" w:right="4059" w:hanging="431"/>
        <w:spacing w:after="0" w:line="258"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5,315,772 shares of Class A Special Common Stock owned by Sural.</w:t>
      </w:r>
    </w:p>
    <w:p>
      <w:pPr>
        <w:spacing w:after="0" w:line="159" w:lineRule="exact"/>
        <w:rPr>
          <w:rFonts w:ascii="Courier New" w:cs="Courier New" w:eastAsia="Courier New" w:hAnsi="Courier New"/>
          <w:sz w:val="14"/>
          <w:szCs w:val="14"/>
          <w:color w:val="auto"/>
        </w:rPr>
      </w:pPr>
    </w:p>
    <w:p>
      <w:pPr>
        <w:ind w:left="440" w:right="3539" w:hanging="431"/>
        <w:spacing w:after="0" w:line="258"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9,033 shares of Class A Special Common Stock owned by his wife, as to which shares he disclaims beneficial ownership.</w:t>
      </w:r>
    </w:p>
    <w:p>
      <w:pPr>
        <w:spacing w:after="0" w:line="159"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SECTION 16(A) OF THE SECURITIES EXCHANGE ACT OF 1934</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7" w:name="page8"/>
    <w:bookmarkEnd w:id="7"/>
    <w:p>
      <w:pPr>
        <w:ind w:left="10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right="4600"/>
        <w:spacing w:after="0" w:line="254" w:lineRule="auto"/>
        <w:rPr>
          <w:sz w:val="20"/>
          <w:szCs w:val="20"/>
          <w:color w:val="auto"/>
        </w:rPr>
      </w:pPr>
      <w:r>
        <w:rPr>
          <w:rFonts w:ascii="Courier New" w:cs="Courier New" w:eastAsia="Courier New" w:hAnsi="Courier New"/>
          <w:sz w:val="14"/>
          <w:szCs w:val="14"/>
          <w:color w:val="auto"/>
        </w:rPr>
        <w:t>reports received by it, and written representations received from reporting persons, the Company believes that all filings required to be made by the reporting persons for the period January 1, 1994 through December 31, 1994 were made on a timely basis.</w:t>
      </w:r>
    </w:p>
    <w:p>
      <w:pPr>
        <w:spacing w:after="0" w:line="163"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MANAGEMENT COMPENSATION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COMPENSATION TABLE</w:t>
      </w:r>
    </w:p>
    <w:p>
      <w:pPr>
        <w:spacing w:after="0" w:line="175" w:lineRule="exact"/>
        <w:rPr>
          <w:sz w:val="20"/>
          <w:szCs w:val="20"/>
          <w:color w:val="auto"/>
        </w:rPr>
      </w:pPr>
    </w:p>
    <w:p>
      <w:pPr>
        <w:ind w:right="4760" w:firstLine="260"/>
        <w:spacing w:after="0" w:line="254" w:lineRule="auto"/>
        <w:rPr>
          <w:sz w:val="20"/>
          <w:szCs w:val="20"/>
          <w:color w:val="auto"/>
        </w:rPr>
      </w:pPr>
      <w:r>
        <w:rPr>
          <w:rFonts w:ascii="Courier New" w:cs="Courier New" w:eastAsia="Courier New" w:hAnsi="Courier New"/>
          <w:sz w:val="14"/>
          <w:szCs w:val="14"/>
          <w:color w:val="auto"/>
        </w:rPr>
        <w:t>The following table sets forth, for the Company's last three fiscal years, certain information concerning the annual and long-term compensation paid to or for the Chief Executive Officer and each of the Company's other four most highly compensated executive officers: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Annual Compensation</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80" w:type="dxa"/>
            <w:vAlign w:val="bottom"/>
            <w:gridSpan w:val="3"/>
          </w:tcPr>
          <w:p>
            <w:pPr>
              <w:jc w:val="right"/>
              <w:ind w:right="328"/>
              <w:spacing w:after="0"/>
              <w:rPr>
                <w:sz w:val="20"/>
                <w:szCs w:val="20"/>
                <w:color w:val="auto"/>
              </w:rPr>
            </w:pPr>
            <w:r>
              <w:rPr>
                <w:rFonts w:ascii="Courier New" w:cs="Courier New" w:eastAsia="Courier New" w:hAnsi="Courier New"/>
                <w:sz w:val="14"/>
                <w:szCs w:val="14"/>
                <w:color w:val="auto"/>
              </w:rPr>
              <w:t>Long-Term Compensation</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2"/>
          </w:tcPr>
          <w:p>
            <w:pPr>
              <w:jc w:val="right"/>
              <w:ind w:right="1028"/>
              <w:spacing w:after="0"/>
              <w:rPr>
                <w:sz w:val="20"/>
                <w:szCs w:val="20"/>
                <w:color w:val="auto"/>
              </w:rPr>
            </w:pPr>
            <w:r>
              <w:rPr>
                <w:rFonts w:ascii="Courier New" w:cs="Courier New" w:eastAsia="Courier New" w:hAnsi="Courier New"/>
                <w:sz w:val="14"/>
                <w:szCs w:val="14"/>
                <w:color w:val="auto"/>
              </w:rPr>
              <w:t>Awards</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74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8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Number of</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Other Annual</w:t>
            </w:r>
          </w:p>
        </w:tc>
        <w:tc>
          <w:tcPr>
            <w:tcW w:w="11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Restricted</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Securities</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Bonus</w:t>
            </w: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Compensation</w:t>
            </w:r>
          </w:p>
        </w:tc>
        <w:tc>
          <w:tcPr>
            <w:tcW w:w="26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Underlying</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Compensation</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Year</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Salary ($)</w:t>
            </w:r>
          </w:p>
        </w:tc>
        <w:tc>
          <w:tcPr>
            <w:tcW w:w="22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1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Awards($)(4)</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Options(#)(5)</w:t>
            </w:r>
          </w:p>
        </w:tc>
        <w:tc>
          <w:tcPr>
            <w:tcW w:w="42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Ralph J. Roberts</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669,619(2)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2,220,000</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$3,881,881</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Chairman of the</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800,672</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3,871,054(2)(3)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375,000</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1,272,995</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Board of Directors</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772,958</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3,594,428(3)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663,498</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$561,750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88,663(2)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805,000</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742,466</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Vice Chairman</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525,654</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1,039,821(3)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906,250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112,500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102,576</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of the Board of</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497,865</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229,730(3)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112,500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99,234</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$535,000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$126,000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142,755(3)</w:t>
            </w:r>
          </w:p>
        </w:tc>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$308,000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535,000</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34,589</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500,835</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76,192(3)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634,375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30,080</w:t>
            </w:r>
          </w:p>
        </w:tc>
      </w:tr>
      <w:tr>
        <w:trPr>
          <w:trHeight w:val="167"/>
        </w:trPr>
        <w:tc>
          <w:tcPr>
            <w:tcW w:w="274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414,489</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43,002(3)</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52,500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27,653</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$380,000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$68,000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18,882</w:t>
            </w:r>
          </w:p>
        </w:tc>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$110,688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200,000</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37,041</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Senior Vice President-</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355,546</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4,782</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271,875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32,298</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Accounting and Administration</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341,908</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1,066</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30,247</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$355,000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$31,000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20,140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135,000</w:t>
            </w:r>
          </w:p>
        </w:tc>
        <w:tc>
          <w:tcPr>
            <w:tcW w:w="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38,318</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Senior Vice President-</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335,446</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9,166</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271,875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33,256</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Treasurer</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320,146</w:t>
            </w:r>
          </w:p>
        </w:tc>
        <w:tc>
          <w:tcPr>
            <w:tcW w:w="220" w:type="dxa"/>
            <w:vAlign w:val="bottom"/>
          </w:tcPr>
          <w:p>
            <w:pPr>
              <w:spacing w:after="0"/>
              <w:rPr>
                <w:sz w:val="14"/>
                <w:szCs w:val="14"/>
                <w:color w:val="auto"/>
              </w:rPr>
            </w:pPr>
          </w:p>
        </w:tc>
        <w:tc>
          <w:tcPr>
            <w:tcW w:w="108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2,044</w:t>
            </w:r>
          </w:p>
        </w:tc>
        <w:tc>
          <w:tcPr>
            <w:tcW w:w="260" w:type="dxa"/>
            <w:vAlign w:val="bottom"/>
          </w:tcPr>
          <w:p>
            <w:pPr>
              <w:spacing w:after="0"/>
              <w:rPr>
                <w:sz w:val="14"/>
                <w:szCs w:val="14"/>
                <w:color w:val="auto"/>
              </w:rPr>
            </w:pPr>
          </w:p>
        </w:tc>
        <w:tc>
          <w:tcPr>
            <w:tcW w:w="92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15,000</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32,029</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360" w:right="5120" w:hanging="351"/>
        <w:spacing w:after="0" w:line="254"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bonuses paid to officers during 1994 relate to termination of the Company's discretionary bonus plan. See "Report of the Compensation Committee and the Subcommittee on Performance-Based Compensation on Executive Compensation - Base Salary."</w:t>
      </w:r>
    </w:p>
    <w:p>
      <w:pPr>
        <w:spacing w:after="0" w:line="330" w:lineRule="exact"/>
        <w:rPr>
          <w:rFonts w:ascii="Courier New" w:cs="Courier New" w:eastAsia="Courier New" w:hAnsi="Courier New"/>
          <w:sz w:val="14"/>
          <w:szCs w:val="14"/>
          <w:color w:val="auto"/>
        </w:rPr>
      </w:pPr>
    </w:p>
    <w:p>
      <w:pPr>
        <w:ind w:left="360" w:right="4760" w:hanging="351"/>
        <w:spacing w:after="0" w:line="252"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paid to offset tax liabilities incurred in connection with Company payments to cover the premiums attributable to the term life insurance portion of the split dollar life insurance policies (see note</w:t>
      </w:r>
    </w:p>
    <w:p>
      <w:pPr>
        <w:spacing w:after="0" w:line="1" w:lineRule="exact"/>
        <w:rPr>
          <w:rFonts w:ascii="Courier New" w:cs="Courier New" w:eastAsia="Courier New" w:hAnsi="Courier New"/>
          <w:sz w:val="14"/>
          <w:szCs w:val="14"/>
          <w:color w:val="auto"/>
        </w:rPr>
      </w:pPr>
    </w:p>
    <w:p>
      <w:pPr>
        <w:ind w:left="360" w:right="494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(6)(c) below). Such amounts are calculated based upon the amount of tax payable by the executive officers in accordance with the highest individual income tax bracket.</w:t>
      </w:r>
    </w:p>
    <w:p>
      <w:pPr>
        <w:spacing w:after="0" w:line="329" w:lineRule="exact"/>
        <w:rPr>
          <w:rFonts w:ascii="Courier New" w:cs="Courier New" w:eastAsia="Courier New" w:hAnsi="Courier New"/>
          <w:sz w:val="14"/>
          <w:szCs w:val="14"/>
          <w:color w:val="auto"/>
        </w:rPr>
      </w:pPr>
    </w:p>
    <w:p>
      <w:pPr>
        <w:ind w:left="360" w:right="4760" w:hanging="351"/>
        <w:spacing w:after="0" w:line="253"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paid to offset tax liabilities incurred in connection with the exercise of stock options. The plan pursuant to which these bonuses were paid was terminated by the Board of Directors as of December 31, 1993. See "Report of the Compensation Committee and the Subcommittee on Performance-Based Compensation on Executive Compensation - Effect of Internal Revenue Code Section 162(m)."</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1460"/>
          </w:cols>
          <w:pgMar w:left="220" w:top="286" w:right="219" w:bottom="1440" w:gutter="0" w:footer="0" w:header="0"/>
        </w:sectPr>
      </w:pPr>
    </w:p>
    <w:bookmarkStart w:id="8" w:name="page9"/>
    <w:bookmarkEnd w:id="8"/>
    <w:p>
      <w:pPr>
        <w:ind w:left="10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left="360" w:right="3539" w:hanging="351"/>
        <w:spacing w:after="0" w:line="252"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column represents the dollar value of the shares of restricted stock awarded to the named persons as of the date such shares were awarded. The awards of restricted stock are made in shares of Class A Special Common Stock ("Restricted Stock") pursuant to the Company's 1990 Restricted Stock Plan. Under the awards generally, subject to certain conditions and restrictions, 15% of the shares awarded vest on January 2 of each of the first four years following the date of grant, and the remaining 40% vest on January 2 of the fifth year, provided, however, that each recipient may elect to defer the portion that vests in any year for five years. The award to Mr. Brian L. Roberts in 1994 vests 30% on January 2 of the first year after grant, 15% on January 2 of each of the next two years, and the balance on the following January 2. The award to Mr. Smith in 1994 vests in its entirety on January 2 of the first year after grant. At December 31, 1994, the Restricted Stock holdings for Mr. Brodsky were 63,750 shares (with a market value at that date of $1,000,078); for Mr. Brian L. Roberts were 165,625 shares (with a market value at that date of $2,598,242); for Mr. Smith were 74,375 shares (with a market value at that date of $1,166,758); and for Mr. Alchin were 68,625 shares (with a market value at that date of $1,076,555). Mr. Ralph J. Roberts does not hold any shares of Restricted Stock. Dividends are not payable and do not accrue on unvested shares of Restricted Stock.</w:t>
      </w:r>
    </w:p>
    <w:p>
      <w:pPr>
        <w:spacing w:after="0" w:line="174" w:lineRule="exact"/>
        <w:rPr>
          <w:rFonts w:ascii="Courier New" w:cs="Courier New" w:eastAsia="Courier New" w:hAnsi="Courier New"/>
          <w:sz w:val="14"/>
          <w:szCs w:val="14"/>
          <w:color w:val="auto"/>
        </w:rPr>
      </w:pPr>
    </w:p>
    <w:p>
      <w:pPr>
        <w:ind w:left="360" w:right="3639" w:hanging="351"/>
        <w:spacing w:after="0" w:line="254"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securities underlying options granted prior to January 12, 1994 have been retroactively adjusted for the three-for-two stock split in the form of a 50% stock dividend paid on February 2, 1994 to shareholders of record on January 12, 1994.</w:t>
      </w:r>
    </w:p>
    <w:p>
      <w:pPr>
        <w:spacing w:after="0" w:line="330" w:lineRule="exact"/>
        <w:rPr>
          <w:rFonts w:ascii="Courier New" w:cs="Courier New" w:eastAsia="Courier New" w:hAnsi="Courier New"/>
          <w:sz w:val="14"/>
          <w:szCs w:val="14"/>
          <w:color w:val="auto"/>
        </w:rPr>
      </w:pPr>
    </w:p>
    <w:p>
      <w:pPr>
        <w:ind w:left="360" w:right="3639" w:hanging="351"/>
        <w:spacing w:after="0" w:line="252"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(with respect to amounts applicable to 1994): (a) Company contributions to its 401(k) Retirement-Investment Plan in the amount of approximately $5,390 for each of the named executive officers; (b) the dollar value, on a term loan approach, of the benefit of the whole-life portion of the premiums for split dollar life insurance policies paid by the Company projected on an actuarial basis (Messrs. Ralph J. Roberts $3,537,320; Brodsky $728,454; Brian L. Roberts $27,430; Smith $29,885; and Alchin $31,237), although the Company believes that a more realistic determination of the economic value of the benefit would be based on an approach which calculates the time value of money (using the applicable short-term federal funds rate) of the premiums paid by the Company through 1994 (Messrs. Ralph J. Roberts $778,495; Brodsky $109,412; Brian L. Roberts $9,000; Smith $12,128; and Alchin $11,794); (c) Company payments on behalf of the named executive officers to cover the premiums attributable to the term life insurance portion of the split dollar life insurance policies (Messrs. Ralph J. Roberts $338,625; Brodsky $8,076; Brian L. Roberts $1,223; Smith $1,220; Alchin $1,145); and (d) Company payments to its long-term disability plan in the amount of $546 for each of the named executive officers.</w:t>
      </w:r>
    </w:p>
    <w:p>
      <w:pPr>
        <w:spacing w:after="0" w:line="174" w:lineRule="exact"/>
        <w:rPr>
          <w:sz w:val="20"/>
          <w:szCs w:val="20"/>
          <w:color w:val="auto"/>
        </w:rPr>
      </w:pPr>
    </w:p>
    <w:p>
      <w:pPr>
        <w:ind w:left="360" w:right="3539"/>
        <w:spacing w:after="0" w:line="255" w:lineRule="auto"/>
        <w:rPr>
          <w:sz w:val="20"/>
          <w:szCs w:val="20"/>
          <w:color w:val="auto"/>
        </w:rPr>
      </w:pPr>
      <w:r>
        <w:rPr>
          <w:rFonts w:ascii="Courier New" w:cs="Courier New" w:eastAsia="Courier New" w:hAnsi="Courier New"/>
          <w:sz w:val="14"/>
          <w:szCs w:val="14"/>
          <w:color w:val="auto"/>
        </w:rPr>
        <w:t>In accordance with the terms of the split dollar life insurance policies referred to above, the Company will recover all of the cumulative premiums paid by the Company for the whole-life portion of such policies.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GRANTS</w:t>
      </w:r>
    </w:p>
    <w:p>
      <w:pPr>
        <w:spacing w:after="0" w:line="175" w:lineRule="exact"/>
        <w:rPr>
          <w:sz w:val="20"/>
          <w:szCs w:val="20"/>
          <w:color w:val="auto"/>
        </w:rPr>
      </w:pPr>
    </w:p>
    <w:p>
      <w:pPr>
        <w:ind w:right="3719" w:firstLine="260"/>
        <w:spacing w:after="0" w:line="254" w:lineRule="auto"/>
        <w:rPr>
          <w:sz w:val="20"/>
          <w:szCs w:val="20"/>
          <w:color w:val="auto"/>
        </w:rPr>
      </w:pPr>
      <w:r>
        <w:rPr>
          <w:rFonts w:ascii="Courier New" w:cs="Courier New" w:eastAsia="Courier New" w:hAnsi="Courier New"/>
          <w:sz w:val="14"/>
          <w:szCs w:val="14"/>
          <w:color w:val="auto"/>
        </w:rPr>
        <w:t>The following table contains information concerning grants of stock options under the Company's 1987 Stock Option Plan to the Chief Executive Officer and to each of the Company's other four most highly compensated executive officers during 1994. The Company does not have any plan pursuant to which stock appreciation rights ("SARs") may be granted.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9" w:name="page10"/>
    <w:bookmarkEnd w:id="9"/>
    <w:p>
      <w:pPr>
        <w:ind w:left="100"/>
        <w:spacing w:after="0"/>
        <w:rPr>
          <w:sz w:val="20"/>
          <w:szCs w:val="20"/>
          <w:color w:val="auto"/>
        </w:rPr>
      </w:pPr>
      <w:r>
        <w:rPr>
          <w:rFonts w:ascii="Courier New" w:cs="Courier New" w:eastAsia="Courier New" w:hAnsi="Courier New"/>
          <w:sz w:val="14"/>
          <w:szCs w:val="14"/>
          <w:color w:val="auto"/>
        </w:rPr>
        <w:t>10</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OPTION GRANTS IN 1994</w:t>
      </w:r>
    </w:p>
    <w:p>
      <w:pPr>
        <w:spacing w:after="0" w:line="200" w:lineRule="exact"/>
        <w:rPr>
          <w:sz w:val="20"/>
          <w:szCs w:val="20"/>
          <w:color w:val="auto"/>
        </w:rPr>
      </w:pPr>
    </w:p>
    <w:p>
      <w:pPr>
        <w:spacing w:after="0" w:line="309" w:lineRule="exact"/>
        <w:rPr>
          <w:sz w:val="20"/>
          <w:szCs w:val="20"/>
          <w:color w:val="auto"/>
        </w:rPr>
      </w:pPr>
    </w:p>
    <w:p>
      <w:pPr>
        <w:ind w:left="8000"/>
        <w:spacing w:after="0"/>
        <w:rPr>
          <w:sz w:val="20"/>
          <w:szCs w:val="20"/>
          <w:color w:val="auto"/>
        </w:rPr>
      </w:pPr>
      <w:r>
        <w:rPr>
          <w:rFonts w:ascii="Courier New" w:cs="Courier New" w:eastAsia="Courier New" w:hAnsi="Courier New"/>
          <w:sz w:val="14"/>
          <w:szCs w:val="14"/>
          <w:color w:val="auto"/>
        </w:rPr>
        <w:t>Potential Realizable Value at</w:t>
      </w:r>
    </w:p>
    <w:p>
      <w:pPr>
        <w:spacing w:after="0" w:line="8" w:lineRule="exact"/>
        <w:rPr>
          <w:sz w:val="20"/>
          <w:szCs w:val="20"/>
          <w:color w:val="auto"/>
        </w:rPr>
      </w:pPr>
    </w:p>
    <w:p>
      <w:pPr>
        <w:ind w:left="8000"/>
        <w:spacing w:after="0"/>
        <w:rPr>
          <w:sz w:val="20"/>
          <w:szCs w:val="20"/>
          <w:color w:val="auto"/>
        </w:rPr>
      </w:pPr>
      <w:r>
        <w:rPr>
          <w:rFonts w:ascii="Courier New" w:cs="Courier New" w:eastAsia="Courier New" w:hAnsi="Courier New"/>
          <w:sz w:val="14"/>
          <w:szCs w:val="14"/>
          <w:color w:val="auto"/>
        </w:rPr>
        <w:t>Assumed Annual Rates of Stock</w:t>
      </w:r>
    </w:p>
    <w:p>
      <w:pPr>
        <w:spacing w:after="0" w:line="8" w:lineRule="exact"/>
        <w:rPr>
          <w:sz w:val="20"/>
          <w:szCs w:val="20"/>
          <w:color w:val="auto"/>
        </w:rPr>
      </w:pPr>
    </w:p>
    <w:p>
      <w:pPr>
        <w:ind w:left="8000"/>
        <w:spacing w:after="0"/>
        <w:rPr>
          <w:sz w:val="20"/>
          <w:szCs w:val="20"/>
          <w:color w:val="auto"/>
        </w:rPr>
      </w:pPr>
      <w:r>
        <w:rPr>
          <w:rFonts w:ascii="Courier New" w:cs="Courier New" w:eastAsia="Courier New" w:hAnsi="Courier New"/>
          <w:sz w:val="14"/>
          <w:szCs w:val="14"/>
          <w:color w:val="auto"/>
        </w:rPr>
        <w:t>Price Appreciation for Option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92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Individual Grants</w:t>
            </w: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4"/>
                <w:szCs w:val="14"/>
                <w:color w:val="auto"/>
              </w:rPr>
              <w:t>Terms(1)(2)</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5720" w:type="dxa"/>
            <w:vAlign w:val="bottom"/>
            <w:gridSpan w:val="4"/>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880" w:type="dxa"/>
            <w:vAlign w:val="bottom"/>
            <w:gridSpan w:val="5"/>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170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Number of</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 of Total</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Securities</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Options</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Underlying</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Granted to</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Exercise or</w:t>
            </w: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Options</w:t>
            </w:r>
          </w:p>
        </w:tc>
        <w:tc>
          <w:tcPr>
            <w:tcW w:w="14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Employees in</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Base Price</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Expiration</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1700" w:type="dxa"/>
            <w:vAlign w:val="bottom"/>
          </w:tcPr>
          <w:p>
            <w:pPr>
              <w:ind w:left="620"/>
              <w:spacing w:after="0"/>
              <w:rPr>
                <w:sz w:val="20"/>
                <w:szCs w:val="20"/>
                <w:color w:val="auto"/>
              </w:rPr>
            </w:pPr>
            <w:r>
              <w:rPr>
                <w:rFonts w:ascii="Courier New" w:cs="Courier New" w:eastAsia="Courier New" w:hAnsi="Courier New"/>
                <w:sz w:val="14"/>
                <w:szCs w:val="14"/>
                <w:color w:val="auto"/>
              </w:rPr>
              <w:t>Name</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Granted (#)(4)</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1994</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Dates(4)</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4"/>
                <w:szCs w:val="14"/>
                <w:color w:val="auto"/>
              </w:rPr>
              <w:t>5%</w:t>
            </w:r>
          </w:p>
        </w:tc>
        <w:tc>
          <w:tcPr>
            <w:tcW w:w="120" w:type="dxa"/>
            <w:vAlign w:val="bottom"/>
          </w:tcPr>
          <w:p>
            <w:pPr>
              <w:spacing w:after="0"/>
              <w:rPr>
                <w:sz w:val="14"/>
                <w:szCs w:val="1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Ralph J. Roberts</w:t>
            </w:r>
          </w:p>
        </w:tc>
        <w:tc>
          <w:tcPr>
            <w:tcW w:w="1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2,220,000(2)</w:t>
            </w: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43%</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$ 19.1250</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(2)</w:t>
            </w:r>
          </w:p>
        </w:tc>
        <w:tc>
          <w:tcPr>
            <w:tcW w:w="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16,147,829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37,659,948</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4,724</w:t>
            </w: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01/10/04</w:t>
            </w:r>
          </w:p>
        </w:tc>
        <w:tc>
          <w:tcPr>
            <w:tcW w:w="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62,884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159,360</w:t>
            </w:r>
          </w:p>
        </w:tc>
      </w:tr>
      <w:tr>
        <w:trPr>
          <w:trHeight w:val="167"/>
        </w:trPr>
        <w:tc>
          <w:tcPr>
            <w:tcW w:w="1700" w:type="dxa"/>
            <w:vAlign w:val="bottom"/>
          </w:tcPr>
          <w:p>
            <w:pPr>
              <w:spacing w:after="0"/>
              <w:rPr>
                <w:sz w:val="14"/>
                <w:szCs w:val="14"/>
                <w:color w:val="auto"/>
              </w:rPr>
            </w:pP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70,276</w:t>
            </w: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07/10/04</w:t>
            </w:r>
          </w:p>
        </w:tc>
        <w:tc>
          <w:tcPr>
            <w:tcW w:w="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995,154</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2,558,490</w:t>
            </w:r>
          </w:p>
        </w:tc>
      </w:tr>
      <w:tr>
        <w:trPr>
          <w:trHeight w:val="167"/>
        </w:trPr>
        <w:tc>
          <w:tcPr>
            <w:tcW w:w="1700" w:type="dxa"/>
            <w:vAlign w:val="bottom"/>
          </w:tcPr>
          <w:p>
            <w:pPr>
              <w:spacing w:after="0"/>
              <w:rPr>
                <w:sz w:val="14"/>
                <w:szCs w:val="14"/>
                <w:color w:val="auto"/>
              </w:rPr>
            </w:pPr>
          </w:p>
        </w:tc>
        <w:tc>
          <w:tcPr>
            <w:tcW w:w="1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730,000(2)</w:t>
            </w: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19.1250</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(2)</w:t>
            </w:r>
          </w:p>
        </w:tc>
        <w:tc>
          <w:tcPr>
            <w:tcW w:w="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5,361,526</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12,644,193</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1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4,684(3)</w:t>
            </w: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$ 23.2834</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01/10/99</w:t>
            </w:r>
          </w:p>
        </w:tc>
        <w:tc>
          <w:tcPr>
            <w:tcW w:w="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17,477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50,614</w:t>
            </w:r>
          </w:p>
        </w:tc>
      </w:tr>
      <w:tr>
        <w:trPr>
          <w:trHeight w:val="167"/>
        </w:trPr>
        <w:tc>
          <w:tcPr>
            <w:tcW w:w="1700" w:type="dxa"/>
            <w:vAlign w:val="bottom"/>
          </w:tcPr>
          <w:p>
            <w:pPr>
              <w:spacing w:after="0"/>
              <w:rPr>
                <w:sz w:val="14"/>
                <w:szCs w:val="14"/>
                <w:color w:val="auto"/>
              </w:rPr>
            </w:pP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220,316</w:t>
            </w: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07/10/04</w:t>
            </w:r>
          </w:p>
        </w:tc>
        <w:tc>
          <w:tcPr>
            <w:tcW w:w="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3,119,818</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8,020,893</w:t>
            </w:r>
          </w:p>
        </w:tc>
      </w:tr>
      <w:tr>
        <w:trPr>
          <w:trHeight w:val="167"/>
        </w:trPr>
        <w:tc>
          <w:tcPr>
            <w:tcW w:w="1700" w:type="dxa"/>
            <w:vAlign w:val="bottom"/>
          </w:tcPr>
          <w:p>
            <w:pPr>
              <w:spacing w:after="0"/>
              <w:rPr>
                <w:sz w:val="14"/>
                <w:szCs w:val="14"/>
                <w:color w:val="auto"/>
              </w:rPr>
            </w:pPr>
          </w:p>
        </w:tc>
        <w:tc>
          <w:tcPr>
            <w:tcW w:w="1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310,000(2)</w:t>
            </w: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19.1250</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(2)</w:t>
            </w:r>
          </w:p>
        </w:tc>
        <w:tc>
          <w:tcPr>
            <w:tcW w:w="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3,369,104</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8,429,478</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5,550</w:t>
            </w: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01/10/04</w:t>
            </w:r>
          </w:p>
        </w:tc>
        <w:tc>
          <w:tcPr>
            <w:tcW w:w="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73,879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187,225</w:t>
            </w:r>
          </w:p>
        </w:tc>
      </w:tr>
      <w:tr>
        <w:trPr>
          <w:trHeight w:val="167"/>
        </w:trPr>
        <w:tc>
          <w:tcPr>
            <w:tcW w:w="1700" w:type="dxa"/>
            <w:vAlign w:val="bottom"/>
          </w:tcPr>
          <w:p>
            <w:pPr>
              <w:spacing w:after="0"/>
              <w:rPr>
                <w:sz w:val="14"/>
                <w:szCs w:val="14"/>
                <w:color w:val="auto"/>
              </w:rPr>
            </w:pP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69,450</w:t>
            </w: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07/10/04</w:t>
            </w:r>
          </w:p>
        </w:tc>
        <w:tc>
          <w:tcPr>
            <w:tcW w:w="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983,457</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2,528,418</w:t>
            </w:r>
          </w:p>
        </w:tc>
      </w:tr>
      <w:tr>
        <w:trPr>
          <w:trHeight w:val="167"/>
        </w:trPr>
        <w:tc>
          <w:tcPr>
            <w:tcW w:w="1700" w:type="dxa"/>
            <w:vAlign w:val="bottom"/>
          </w:tcPr>
          <w:p>
            <w:pPr>
              <w:spacing w:after="0"/>
              <w:rPr>
                <w:sz w:val="14"/>
                <w:szCs w:val="14"/>
                <w:color w:val="auto"/>
              </w:rPr>
            </w:pPr>
          </w:p>
        </w:tc>
        <w:tc>
          <w:tcPr>
            <w:tcW w:w="1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125,000(2)</w:t>
            </w: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19.1250</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(2)</w:t>
            </w:r>
          </w:p>
        </w:tc>
        <w:tc>
          <w:tcPr>
            <w:tcW w:w="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1,270,786</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3,142,524</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5,550</w:t>
            </w: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01/10/04</w:t>
            </w:r>
          </w:p>
        </w:tc>
        <w:tc>
          <w:tcPr>
            <w:tcW w:w="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73,879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187,225</w:t>
            </w:r>
          </w:p>
        </w:tc>
      </w:tr>
      <w:tr>
        <w:trPr>
          <w:trHeight w:val="167"/>
        </w:trPr>
        <w:tc>
          <w:tcPr>
            <w:tcW w:w="1700" w:type="dxa"/>
            <w:vAlign w:val="bottom"/>
          </w:tcPr>
          <w:p>
            <w:pPr>
              <w:spacing w:after="0"/>
              <w:rPr>
                <w:sz w:val="14"/>
                <w:szCs w:val="14"/>
                <w:color w:val="auto"/>
              </w:rPr>
            </w:pP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54,450</w:t>
            </w: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21.1667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07/10/04</w:t>
            </w:r>
          </w:p>
        </w:tc>
        <w:tc>
          <w:tcPr>
            <w:tcW w:w="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771,047</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1,982,324</w:t>
            </w:r>
          </w:p>
        </w:tc>
      </w:tr>
      <w:tr>
        <w:trPr>
          <w:trHeight w:val="167"/>
        </w:trPr>
        <w:tc>
          <w:tcPr>
            <w:tcW w:w="1700" w:type="dxa"/>
            <w:vAlign w:val="bottom"/>
          </w:tcPr>
          <w:p>
            <w:pPr>
              <w:spacing w:after="0"/>
              <w:rPr>
                <w:sz w:val="14"/>
                <w:szCs w:val="14"/>
                <w:color w:val="auto"/>
              </w:rPr>
            </w:pPr>
          </w:p>
        </w:tc>
        <w:tc>
          <w:tcPr>
            <w:tcW w:w="1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75,000(2)</w:t>
            </w: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19.1250</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(2)</w:t>
            </w:r>
          </w:p>
        </w:tc>
        <w:tc>
          <w:tcPr>
            <w:tcW w:w="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857,817</w:t>
            </w:r>
          </w:p>
        </w:tc>
        <w:tc>
          <w:tcPr>
            <w:tcW w:w="12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2,159,572</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All Outstanding</w:t>
            </w: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Common Shares (5)</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w:t>
            </w: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N/A</w:t>
            </w: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N/A</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N/A</w:t>
            </w:r>
          </w:p>
        </w:tc>
        <w:tc>
          <w:tcPr>
            <w:tcW w:w="7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20"/>
                <w:szCs w:val="20"/>
                <w:color w:val="auto"/>
              </w:rPr>
            </w:pPr>
            <w:r>
              <w:rPr>
                <w:rFonts w:ascii="Courier New" w:cs="Courier New" w:eastAsia="Courier New" w:hAnsi="Courier New"/>
                <w:sz w:val="14"/>
                <w:szCs w:val="14"/>
                <w:color w:val="auto"/>
              </w:rPr>
              <w:t>2,032,246,382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4,892,439,359</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Less than one percent of total options granted to employees in 1994.</w:t>
      </w:r>
    </w:p>
    <w:p>
      <w:pPr>
        <w:spacing w:after="0" w:line="175" w:lineRule="exact"/>
        <w:rPr>
          <w:sz w:val="20"/>
          <w:szCs w:val="20"/>
          <w:color w:val="auto"/>
        </w:rPr>
      </w:pPr>
    </w:p>
    <w:p>
      <w:pPr>
        <w:ind w:left="360" w:right="4600" w:hanging="351"/>
        <w:spacing w:after="0" w:line="253"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Illustrates, as to options, value that might be realized upon exercise of options immediately prior to the expiration of their term, assuming specified compounded rates of appreciation on the Class A Special Common Stock over the term of the options, based on the market prices for the Class A Special Common Stock when the options were granted. The 0%, 5% and 10% assumed rates of appreciation are not necessarily indicative of future stock performance. Because the market prices for the Class A Special Common Stock on the dates options were granted in 1994 exceeded the market prices for such stock in April 1995, the rates of appreciation required to produce the illustrated potential realizable values from April 1995 would be significantly higher. For example, based on a closing market price on April 10, 1995, of $15.625 per share, for options exercisable at $21.1667 per share and expiring on July 10, 2004, the values shown in the 5% and 10% columns of the table, respectively, correspond to annual appreciation at rates of approximately 9% and 15% from April 10, 1995.</w:t>
      </w:r>
    </w:p>
    <w:p>
      <w:pPr>
        <w:spacing w:after="0" w:line="329" w:lineRule="exact"/>
        <w:rPr>
          <w:rFonts w:ascii="Courier New" w:cs="Courier New" w:eastAsia="Courier New" w:hAnsi="Courier New"/>
          <w:sz w:val="14"/>
          <w:szCs w:val="14"/>
          <w:color w:val="auto"/>
        </w:rPr>
      </w:pPr>
    </w:p>
    <w:p>
      <w:pPr>
        <w:ind w:left="360" w:right="4600" w:hanging="351"/>
        <w:spacing w:after="0" w:line="253"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on March 15, 1994, with exercise prices equal to the fair market value on the date of grant. These options were granted on a one-time basis in connection with the termination, as of December 31, 1993, of the Company's discretionary bonus plan, under which the Company periodically awarded cash bonuses to senior executives exercising nonqualified stock options in an amount equal to the option holders' income tax liability upon exercise of the option and receipt of the bonus. The options so granted entitle the holder to purchase Class A Special Common Stock equal to approximately 75% of shares issuable under</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1300"/>
          </w:cols>
          <w:pgMar w:left="220" w:top="286" w:right="379" w:bottom="1440" w:gutter="0" w:footer="0" w:header="0"/>
        </w:sectPr>
      </w:pPr>
    </w:p>
    <w:bookmarkStart w:id="10" w:name="page11"/>
    <w:bookmarkEnd w:id="10"/>
    <w:p>
      <w:pPr>
        <w:ind w:left="91"/>
        <w:spacing w:after="0"/>
        <w:rPr>
          <w:sz w:val="20"/>
          <w:szCs w:val="20"/>
          <w:color w:val="auto"/>
        </w:rPr>
      </w:pPr>
      <w:r>
        <w:rPr>
          <w:rFonts w:ascii="Courier New" w:cs="Courier New" w:eastAsia="Courier New" w:hAnsi="Courier New"/>
          <w:sz w:val="14"/>
          <w:szCs w:val="14"/>
          <w:color w:val="auto"/>
        </w:rPr>
        <w:t>11</w:t>
      </w:r>
    </w:p>
    <w:p>
      <w:pPr>
        <w:spacing w:after="0" w:line="342" w:lineRule="exact"/>
        <w:rPr>
          <w:sz w:val="20"/>
          <w:szCs w:val="20"/>
          <w:color w:val="auto"/>
        </w:rPr>
      </w:pPr>
    </w:p>
    <w:p>
      <w:pPr>
        <w:ind w:left="351" w:right="3379"/>
        <w:spacing w:after="0" w:line="252" w:lineRule="auto"/>
        <w:rPr>
          <w:sz w:val="20"/>
          <w:szCs w:val="20"/>
          <w:color w:val="auto"/>
        </w:rPr>
      </w:pPr>
      <w:r>
        <w:rPr>
          <w:rFonts w:ascii="Courier New" w:cs="Courier New" w:eastAsia="Courier New" w:hAnsi="Courier New"/>
          <w:sz w:val="14"/>
          <w:szCs w:val="14"/>
          <w:color w:val="auto"/>
        </w:rPr>
        <w:t>the nonqualified options held by such holder on the date of grant, and were intended to produce after-tax economic benefits equivalent to those potentially available under the discretionary bonus plan with respect to appreciation after March 15, 1994. See "Report of the Compensation Committee and the Subcommittee on Performance-Based Compensation on Executive Compensation" below. These options vest and expire proportionately on the vesting and expiration dates of the previously held options to which they relate. Accordingly, the options so granted to Mr. Ralph J. Roberts expire on various dates between February 24, 1999</w:t>
      </w:r>
    </w:p>
    <w:p>
      <w:pPr>
        <w:spacing w:after="0" w:line="3" w:lineRule="exact"/>
        <w:rPr>
          <w:sz w:val="20"/>
          <w:szCs w:val="20"/>
          <w:color w:val="auto"/>
        </w:rPr>
      </w:pPr>
    </w:p>
    <w:p>
      <w:pPr>
        <w:ind w:left="351" w:right="3539"/>
        <w:spacing w:after="0" w:line="254" w:lineRule="auto"/>
        <w:rPr>
          <w:sz w:val="20"/>
          <w:szCs w:val="20"/>
          <w:color w:val="auto"/>
        </w:rPr>
      </w:pPr>
      <w:r>
        <w:rPr>
          <w:rFonts w:ascii="Courier New" w:cs="Courier New" w:eastAsia="Courier New" w:hAnsi="Courier New"/>
          <w:sz w:val="14"/>
          <w:szCs w:val="14"/>
          <w:color w:val="auto"/>
        </w:rPr>
        <w:t>and July 6, 2003; those to Mr. Brodsky and Mr. Brian L. Roberts between May 12, 1996 and July 10, 2004; those to Mr. Smith between March 25, 2000 and July 10, 2004; and those to Mr. Alchin between July 15, 2000 and July 10, 2004. The potential realizable values shown for such options reflect their expiration dates.</w:t>
      </w:r>
    </w:p>
    <w:p>
      <w:pPr>
        <w:spacing w:after="0" w:line="162" w:lineRule="exact"/>
        <w:rPr>
          <w:sz w:val="20"/>
          <w:szCs w:val="20"/>
          <w:color w:val="auto"/>
        </w:rPr>
      </w:pPr>
    </w:p>
    <w:p>
      <w:pPr>
        <w:ind w:left="351" w:right="3539" w:hanging="351"/>
        <w:spacing w:after="0" w:line="253" w:lineRule="auto"/>
        <w:tabs>
          <w:tab w:leader="none" w:pos="35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tax rules governing incentive stock options, these options were granted at an exercise price equal to 110% of the fair market value on the date of grant. The options become exercisable into shares of the Company's Class A Special Common Stock at the rate of 40% of the shares covered thereby on the second anniversary of the date of grant, another 20% on each of the third and fourth anniversaries of the date of grant, and the remaining 20% six months prior to the fifth anniversary of the date of grant.</w:t>
      </w:r>
    </w:p>
    <w:p>
      <w:pPr>
        <w:spacing w:after="0" w:line="164" w:lineRule="exact"/>
        <w:rPr>
          <w:rFonts w:ascii="Courier New" w:cs="Courier New" w:eastAsia="Courier New" w:hAnsi="Courier New"/>
          <w:sz w:val="14"/>
          <w:szCs w:val="14"/>
          <w:color w:val="auto"/>
        </w:rPr>
      </w:pPr>
    </w:p>
    <w:p>
      <w:pPr>
        <w:jc w:val="both"/>
        <w:ind w:left="351" w:right="3639" w:hanging="351"/>
        <w:spacing w:after="0" w:line="252" w:lineRule="auto"/>
        <w:tabs>
          <w:tab w:leader="none" w:pos="35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options to purchase Class A Special Common Stock were granted under the Company's 1987 Stock Option Plan. Except as set forth in notes</w:t>
      </w:r>
    </w:p>
    <w:p>
      <w:pPr>
        <w:ind w:left="351" w:right="3539" w:hanging="4"/>
        <w:spacing w:after="0" w:line="253" w:lineRule="auto"/>
        <w:tabs>
          <w:tab w:leader="none" w:pos="698"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(3) above, all options were granted on January 10, 1994, with exercise prices equal to the fair market value on the date of grant and generally become exercisable at the rate of 20% of the shares covered thereby on the second anniversary of the date of grant and the balance in equal increments over the remaining term of the options. The options that expire on January 10, 1999 and 2004 are incentive stock options and the options that expire on July 10, 2004 are nonqualified stock options.</w:t>
      </w:r>
    </w:p>
    <w:p>
      <w:pPr>
        <w:spacing w:after="0" w:line="331" w:lineRule="exact"/>
        <w:rPr>
          <w:rFonts w:ascii="Courier New" w:cs="Courier New" w:eastAsia="Courier New" w:hAnsi="Courier New"/>
          <w:sz w:val="14"/>
          <w:szCs w:val="14"/>
          <w:color w:val="auto"/>
        </w:rPr>
      </w:pPr>
    </w:p>
    <w:p>
      <w:pPr>
        <w:ind w:left="351" w:right="3639" w:hanging="351"/>
        <w:spacing w:after="0" w:line="253" w:lineRule="auto"/>
        <w:tabs>
          <w:tab w:leader="none" w:pos="35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Illustrates the aggregate appreciation in value of all shares of common stock of the Company outstanding on December 31, 1994, based on the assumed 5% and 10% rates of appreciation that produced the realizable values of options granted to executive officers shown in this table (measured from the dates of grant of the options to their expiration, on a weighted average basis).</w:t>
      </w:r>
    </w:p>
    <w:p>
      <w:pPr>
        <w:spacing w:after="0" w:line="165"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0"/>
          </w:cols>
          <w:pgMar w:left="229" w:top="286" w:right="1440" w:bottom="1440" w:gutter="0" w:footer="0" w:header="0"/>
        </w:sectPr>
      </w:pPr>
    </w:p>
    <w:bookmarkStart w:id="11" w:name="page12"/>
    <w:bookmarkEnd w:id="11"/>
    <w:p>
      <w:pPr>
        <w:ind w:left="10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EXERCISES AND HOLDINGS</w:t>
      </w:r>
    </w:p>
    <w:p>
      <w:pPr>
        <w:spacing w:after="0" w:line="175" w:lineRule="exact"/>
        <w:rPr>
          <w:sz w:val="20"/>
          <w:szCs w:val="20"/>
          <w:color w:val="auto"/>
        </w:rPr>
      </w:pPr>
    </w:p>
    <w:p>
      <w:pPr>
        <w:ind w:right="4860" w:firstLine="260"/>
        <w:spacing w:after="0" w:line="254" w:lineRule="auto"/>
        <w:rPr>
          <w:sz w:val="20"/>
          <w:szCs w:val="20"/>
          <w:color w:val="auto"/>
        </w:rPr>
      </w:pPr>
      <w:r>
        <w:rPr>
          <w:rFonts w:ascii="Courier New" w:cs="Courier New" w:eastAsia="Courier New" w:hAnsi="Courier New"/>
          <w:sz w:val="14"/>
          <w:szCs w:val="14"/>
          <w:color w:val="auto"/>
        </w:rPr>
        <w:t>The following table sets forth information related to options exercised during 1994 by the Chief Executive Officer and each of the Company's other four most highly compensated executive officers during 1994, and the number and value of options held at December 31, 1994 by such individuals. The Company does not have any plan pursuant to which SARs may be granted.</w:t>
      </w:r>
    </w:p>
    <w:p>
      <w:pPr>
        <w:spacing w:after="0" w:line="162"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AGGREGATED OPTION EXERCISES IN 1994</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AND OPTION VALUES AT DECEMBER 31, 1994</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Number of Securities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Underlying</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Unexercised</w:t>
            </w:r>
          </w:p>
        </w:tc>
        <w:tc>
          <w:tcPr>
            <w:tcW w:w="380" w:type="dxa"/>
            <w:vAlign w:val="bottom"/>
          </w:tcPr>
          <w:p>
            <w:pPr>
              <w:spacing w:after="0"/>
              <w:rPr>
                <w:sz w:val="14"/>
                <w:szCs w:val="14"/>
                <w:color w:val="auto"/>
              </w:rPr>
            </w:pPr>
          </w:p>
        </w:tc>
        <w:tc>
          <w:tcPr>
            <w:tcW w:w="27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Value of Unexercised</w:t>
            </w:r>
          </w:p>
        </w:tc>
      </w:tr>
      <w:tr>
        <w:trPr>
          <w:trHeight w:val="167"/>
        </w:trPr>
        <w:tc>
          <w:tcPr>
            <w:tcW w:w="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Shares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Options at</w:t>
            </w:r>
          </w:p>
        </w:tc>
        <w:tc>
          <w:tcPr>
            <w:tcW w:w="380" w:type="dxa"/>
            <w:vAlign w:val="bottom"/>
          </w:tcPr>
          <w:p>
            <w:pPr>
              <w:spacing w:after="0"/>
              <w:rPr>
                <w:sz w:val="14"/>
                <w:szCs w:val="14"/>
                <w:color w:val="auto"/>
              </w:rPr>
            </w:pPr>
          </w:p>
        </w:tc>
        <w:tc>
          <w:tcPr>
            <w:tcW w:w="27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In-the-Money Options at</w:t>
            </w:r>
          </w:p>
        </w:tc>
      </w:tr>
      <w:tr>
        <w:trPr>
          <w:trHeight w:val="167"/>
        </w:trPr>
        <w:tc>
          <w:tcPr>
            <w:tcW w:w="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Acquired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Dec. 31, 1994 (#)</w:t>
            </w:r>
          </w:p>
        </w:tc>
        <w:tc>
          <w:tcPr>
            <w:tcW w:w="380" w:type="dxa"/>
            <w:vAlign w:val="bottom"/>
          </w:tcPr>
          <w:p>
            <w:pPr>
              <w:spacing w:after="0"/>
              <w:rPr>
                <w:sz w:val="14"/>
                <w:szCs w:val="14"/>
                <w:color w:val="auto"/>
              </w:rPr>
            </w:pPr>
          </w:p>
        </w:tc>
        <w:tc>
          <w:tcPr>
            <w:tcW w:w="270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Dec. 31, 1994 ($)</w:t>
            </w:r>
          </w:p>
        </w:tc>
      </w:tr>
      <w:tr>
        <w:trPr>
          <w:trHeight w:val="167"/>
        </w:trPr>
        <w:tc>
          <w:tcPr>
            <w:tcW w:w="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on</w:t>
            </w:r>
          </w:p>
        </w:tc>
        <w:tc>
          <w:tcPr>
            <w:tcW w:w="18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Value</w:t>
            </w:r>
          </w:p>
        </w:tc>
        <w:tc>
          <w:tcPr>
            <w:tcW w:w="30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30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840" w:type="dxa"/>
            <w:vAlign w:val="bottom"/>
          </w:tcPr>
          <w:p>
            <w:pPr>
              <w:spacing w:after="0"/>
              <w:rPr>
                <w:sz w:val="14"/>
                <w:szCs w:val="14"/>
                <w:color w:val="auto"/>
              </w:rPr>
            </w:pPr>
          </w:p>
        </w:tc>
        <w:tc>
          <w:tcPr>
            <w:tcW w:w="1860" w:type="dxa"/>
            <w:vAlign w:val="bottom"/>
          </w:tcPr>
          <w:p>
            <w:pPr>
              <w:ind w:left="300"/>
              <w:spacing w:after="0"/>
              <w:rPr>
                <w:sz w:val="20"/>
                <w:szCs w:val="20"/>
                <w:color w:val="auto"/>
              </w:rPr>
            </w:pPr>
            <w:r>
              <w:rPr>
                <w:rFonts w:ascii="Courier New" w:cs="Courier New" w:eastAsia="Courier New" w:hAnsi="Courier New"/>
                <w:sz w:val="14"/>
                <w:szCs w:val="14"/>
                <w:color w:val="auto"/>
              </w:rPr>
              <w:t>Name</w:t>
            </w: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Exercise (#)</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Realized ($)</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Exercisable</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Unexercisable</w:t>
            </w:r>
          </w:p>
        </w:tc>
        <w:tc>
          <w:tcPr>
            <w:tcW w:w="16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Exercisable</w:t>
            </w:r>
          </w:p>
        </w:tc>
        <w:tc>
          <w:tcPr>
            <w:tcW w:w="14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Unexercisable</w:t>
            </w:r>
          </w:p>
        </w:tc>
      </w:tr>
      <w:tr>
        <w:trPr>
          <w:trHeight w:val="167"/>
        </w:trPr>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t>
            </w:r>
          </w:p>
        </w:tc>
      </w:tr>
      <w:tr>
        <w:trPr>
          <w:trHeight w:val="334"/>
        </w:trPr>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Ralph J. Roberts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8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Class A</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Special Common</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Stock</w:t>
            </w:r>
          </w:p>
        </w:tc>
        <w:tc>
          <w:tcPr>
            <w:tcW w:w="1860" w:type="dxa"/>
            <w:vAlign w:val="bottom"/>
          </w:tcPr>
          <w:p>
            <w:pPr>
              <w:spacing w:after="0"/>
              <w:rPr>
                <w:sz w:val="14"/>
                <w:szCs w:val="14"/>
                <w:color w:val="auto"/>
              </w:rPr>
            </w:pP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384,229</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$4,674,234</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3,647,244</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1,534,305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11,597,320</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8,297,480</w:t>
            </w:r>
          </w:p>
        </w:tc>
      </w:tr>
      <w:tr>
        <w:trPr>
          <w:trHeight w:val="167"/>
        </w:trPr>
        <w:tc>
          <w:tcPr>
            <w:tcW w:w="8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Class B</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Common Stock</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w w:val="94"/>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303,750</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354,375</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2,973,659(1)</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3,393,819(1)</w:t>
            </w:r>
          </w:p>
        </w:tc>
      </w:tr>
      <w:tr>
        <w:trPr>
          <w:trHeight w:val="334"/>
        </w:trPr>
        <w:tc>
          <w:tcPr>
            <w:tcW w:w="840" w:type="dxa"/>
            <w:vAlign w:val="bottom"/>
          </w:tcPr>
          <w:p>
            <w:pPr>
              <w:spacing w:after="0"/>
              <w:rPr>
                <w:sz w:val="20"/>
                <w:szCs w:val="20"/>
                <w:color w:val="auto"/>
              </w:rPr>
            </w:pPr>
            <w:r>
              <w:rPr>
                <w:rFonts w:ascii="Courier New" w:cs="Courier New" w:eastAsia="Courier New" w:hAnsi="Courier New"/>
                <w:sz w:val="14"/>
                <w:szCs w:val="14"/>
                <w:color w:val="auto"/>
              </w:rPr>
              <w:t>Julian A.</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Brodsky</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8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Class A</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Common Stock</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25,313</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50,621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266,677</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533,296</w:t>
            </w:r>
          </w:p>
        </w:tc>
      </w:tr>
      <w:tr>
        <w:trPr>
          <w:trHeight w:val="167"/>
        </w:trPr>
        <w:tc>
          <w:tcPr>
            <w:tcW w:w="8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Class A</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Special Common</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Stock</w:t>
            </w:r>
          </w:p>
        </w:tc>
        <w:tc>
          <w:tcPr>
            <w:tcW w:w="1860" w:type="dxa"/>
            <w:vAlign w:val="bottom"/>
          </w:tcPr>
          <w:p>
            <w:pPr>
              <w:spacing w:after="0"/>
              <w:rPr>
                <w:sz w:val="14"/>
                <w:szCs w:val="14"/>
                <w:color w:val="auto"/>
              </w:rPr>
            </w:pP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363,989</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1,408,514</w:t>
            </w:r>
          </w:p>
        </w:tc>
        <w:tc>
          <w:tcPr>
            <w:tcW w:w="3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1,710,217</w:t>
            </w:r>
          </w:p>
        </w:tc>
        <w:tc>
          <w:tcPr>
            <w:tcW w:w="3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5,133,100</w:t>
            </w:r>
          </w:p>
        </w:tc>
      </w:tr>
      <w:tr>
        <w:trPr>
          <w:trHeight w:val="334"/>
        </w:trPr>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Brian L. Roberts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8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Class A</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Common Stock</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w w:val="94"/>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3,848</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3,848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40,545</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40,545</w:t>
            </w:r>
          </w:p>
        </w:tc>
      </w:tr>
      <w:tr>
        <w:trPr>
          <w:trHeight w:val="167"/>
        </w:trPr>
        <w:tc>
          <w:tcPr>
            <w:tcW w:w="8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Class A</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Special Common</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Stock</w:t>
            </w:r>
          </w:p>
        </w:tc>
        <w:tc>
          <w:tcPr>
            <w:tcW w:w="186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w:t>
            </w:r>
          </w:p>
        </w:tc>
        <w:tc>
          <w:tcPr>
            <w:tcW w:w="18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30,625</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50,333</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695,445</w:t>
            </w:r>
          </w:p>
        </w:tc>
        <w:tc>
          <w:tcPr>
            <w:tcW w:w="3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155,462</w:t>
            </w:r>
          </w:p>
        </w:tc>
        <w:tc>
          <w:tcPr>
            <w:tcW w:w="3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872,698</w:t>
            </w:r>
          </w:p>
        </w:tc>
      </w:tr>
      <w:tr>
        <w:trPr>
          <w:trHeight w:val="334"/>
        </w:trPr>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Lawrence S. Smith</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8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Class A</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Special Common</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Stock</w:t>
            </w:r>
          </w:p>
        </w:tc>
        <w:tc>
          <w:tcPr>
            <w:tcW w:w="186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w:t>
            </w:r>
          </w:p>
        </w:tc>
        <w:tc>
          <w:tcPr>
            <w:tcW w:w="180" w:type="dxa"/>
            <w:vAlign w:val="bottom"/>
          </w:tcPr>
          <w:p>
            <w:pPr>
              <w:spacing w:after="0"/>
              <w:rPr>
                <w:sz w:val="14"/>
                <w:szCs w:val="14"/>
                <w:color w:val="auto"/>
              </w:rPr>
            </w:pP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$86,389</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107,183</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322,817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561,780</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829,039</w:t>
            </w:r>
          </w:p>
        </w:tc>
      </w:tr>
      <w:tr>
        <w:trPr>
          <w:trHeight w:val="334"/>
        </w:trPr>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John R. Alchin</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8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Class A</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Special Common</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8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Stock</w:t>
            </w:r>
          </w:p>
        </w:tc>
        <w:tc>
          <w:tcPr>
            <w:tcW w:w="1860" w:type="dxa"/>
            <w:vAlign w:val="bottom"/>
          </w:tcPr>
          <w:p>
            <w:pPr>
              <w:spacing w:after="0"/>
              <w:rPr>
                <w:sz w:val="14"/>
                <w:szCs w:val="14"/>
                <w:color w:val="auto"/>
              </w:rPr>
            </w:pP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w w:val="94"/>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33,775</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243,212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188,530</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591,094</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right="4680" w:hanging="351"/>
        <w:spacing w:after="0" w:line="252" w:lineRule="auto"/>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Class B Common Stock is convertible into one share of Class A Common Stock or Class A Special Common Stock, at the option of the holder, and entitles the holder to fifteen votes per share. Each record holder of Class A Common Stock is entitled to one vote per share. The illustrated value of these options is based on the closing price of a share of Class A Common Stock on December 31, 1994. In addition, in accordance with the Compensation Agreement (see "Compensation Agreement with Chief Executive Officer" elsewhere in this Proxy Statement), Mr. Roberts is entitled to certain bonuses payable upon exercise of his Class B options to offset tax liabilities incurred in connection with the exercise of such options. At December 31, 1994, the Company's potential liability relating to such bonuses (based upon the market price of the Class A Common Stock on such date) was approximately $4.7 million and fluctuates based on the market value of the Company's Class A and Class B Common Stock. For more detail regarding the bonuses, see "Compensation Agreement with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PLANS</w:t>
      </w:r>
    </w:p>
    <w:p>
      <w:pPr>
        <w:spacing w:after="0" w:line="175" w:lineRule="exact"/>
        <w:rPr>
          <w:sz w:val="20"/>
          <w:szCs w:val="20"/>
          <w:color w:val="auto"/>
        </w:rPr>
      </w:pPr>
    </w:p>
    <w:p>
      <w:pPr>
        <w:ind w:right="4680" w:firstLine="260"/>
        <w:spacing w:after="0" w:line="255" w:lineRule="auto"/>
        <w:rPr>
          <w:sz w:val="20"/>
          <w:szCs w:val="20"/>
          <w:color w:val="auto"/>
        </w:rPr>
      </w:pPr>
      <w:r>
        <w:rPr>
          <w:rFonts w:ascii="Courier New" w:cs="Courier New" w:eastAsia="Courier New" w:hAnsi="Courier New"/>
          <w:sz w:val="14"/>
          <w:szCs w:val="14"/>
          <w:color w:val="auto"/>
        </w:rPr>
        <w:t>Under the Company's Supplemental Executive Retirement Plan (the "Plan"), adopted July 31, 1989, supplemental retirement, death and disability benefits may be paid to or in respect of certain senior executives employed by the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1380"/>
          </w:cols>
          <w:pgMar w:left="220" w:top="286" w:right="299" w:bottom="1440" w:gutter="0" w:footer="0" w:header="0"/>
        </w:sectPr>
      </w:pPr>
    </w:p>
    <w:bookmarkStart w:id="12" w:name="page13"/>
    <w:bookmarkEnd w:id="12"/>
    <w:p>
      <w:pPr>
        <w:ind w:left="10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Company and its affiliated companies, as selected by the Company's Board of Directors. The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As of the date of this Proxy Statement, Messrs. Ralph J. Roberts and Brodsky (who were each credited as of April 1, 1995 with 31 years of service under the Plan) are the only current employees selected by the Board of Directors to participate in the Plan.</w:t>
      </w:r>
    </w:p>
    <w:p>
      <w:pPr>
        <w:spacing w:after="0" w:line="163"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The following table shows the annual single life annuity retirement benefit which Messrs. Ralph J. Roberts and Brodsky, respectively, would receive based on remuneration covered by, and years of service credited under, the Plan if he had retired on January 1, 1995 at age 65. The benefits shown below are subject to reduction for Social Security benefits.</w:t>
      </w:r>
    </w:p>
    <w:p>
      <w:pPr>
        <w:spacing w:after="0" w:line="16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PENSION PLAN TABLE</w:t>
      </w:r>
    </w:p>
    <w:p>
      <w:pPr>
        <w:spacing w:after="0" w:line="175" w:lineRule="exact"/>
        <w:rPr>
          <w:sz w:val="20"/>
          <w:szCs w:val="20"/>
          <w:color w:val="auto"/>
        </w:rPr>
      </w:pPr>
    </w:p>
    <w:tbl>
      <w:tblPr>
        <w:tblLayout w:type="fixed"/>
        <w:tblInd w:w="1660" w:type="dxa"/>
        <w:tblCellMar>
          <w:top w:w="0" w:type="dxa"/>
          <w:left w:w="0" w:type="dxa"/>
          <w:bottom w:w="0" w:type="dxa"/>
          <w:right w:w="0" w:type="dxa"/>
        </w:tblCellMar>
      </w:tblPr>
      <w:tr>
        <w:trPr>
          <w:trHeight w:val="162"/>
        </w:trPr>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Final</w:t>
            </w:r>
          </w:p>
        </w:tc>
        <w:tc>
          <w:tcPr>
            <w:tcW w:w="1640" w:type="dxa"/>
            <w:vAlign w:val="bottom"/>
          </w:tcPr>
          <w:p>
            <w:pPr>
              <w:spacing w:after="0"/>
              <w:rPr>
                <w:sz w:val="14"/>
                <w:szCs w:val="14"/>
                <w:color w:val="auto"/>
              </w:rPr>
            </w:pPr>
          </w:p>
        </w:tc>
      </w:tr>
      <w:tr>
        <w:trPr>
          <w:trHeight w:val="167"/>
        </w:trPr>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Average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Years of Service</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Compensation(1)</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 or More(2)</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400,000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500,000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600,000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700,000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800,000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480,000</w:t>
            </w:r>
          </w:p>
        </w:tc>
      </w:tr>
      <w:tr>
        <w:trPr>
          <w:trHeight w:val="167"/>
        </w:trPr>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900,000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540,000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right="3539" w:hanging="351"/>
        <w:spacing w:after="0" w:line="254" w:lineRule="auto"/>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Average Compensation equals one-fifth of the total compensation for the five years preceding retirement. Compensation includes salary, bonus (including any deferred bonus) and any other supplementary remuneration, but excludes discretionary payments made to participants to offset tax liabilities incurred upon the exercise of nonqualified stock options.</w:t>
      </w:r>
    </w:p>
    <w:p>
      <w:pPr>
        <w:spacing w:after="0" w:line="162"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column represents the maximum benefits payable under the Plan.</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The Company also has an agreement with Mr. Brodsky pursuant to which he is entitled to a $30,000 payment each year for 15 years commencing upon his termination of employment at or after attaining age 65, subject to a vesting schedule. Any benefits received under this agreement reduce the benefits to which Mr. Brodsky is entitled under the Plan.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AGREEMENT WITH CHIEF EXECUTIVE OFFICER</w:t>
      </w:r>
    </w:p>
    <w:p>
      <w:pPr>
        <w:spacing w:after="0" w:line="175"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The Company has entered into a Compensation and Deferred Compensation Agreement and Stock Appreciation Bonus Plan with the Chief Executive Officer (the "Compensation Agreement"), which was approved by the Company's shareholders on June 22, 1994.</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13" w:name="page14"/>
    <w:bookmarkEnd w:id="13"/>
    <w:p>
      <w:pPr>
        <w:ind w:left="10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Compensation Agreement provides that the Chief Executive Officer will continue to serve as Chairman of the Board of Directors of the Company until December 31, 1997, and to devote substantially all of his working time to the Company, on the terms and conditions summarized below. In addition, for a five year period following termination of the Compensation Agreement, he is required to perform certain functions, as the Company may request from time to time, to promote the interests and goodwill of the Company.</w:t>
      </w:r>
    </w:p>
    <w:p>
      <w:pPr>
        <w:spacing w:after="0" w:line="165" w:lineRule="exact"/>
        <w:rPr>
          <w:sz w:val="20"/>
          <w:szCs w:val="20"/>
          <w:color w:val="auto"/>
        </w:rPr>
      </w:pPr>
    </w:p>
    <w:p>
      <w:pPr>
        <w:jc w:val="both"/>
        <w:ind w:right="4059" w:firstLine="260"/>
        <w:spacing w:after="0" w:line="255" w:lineRule="auto"/>
        <w:rPr>
          <w:sz w:val="20"/>
          <w:szCs w:val="20"/>
          <w:color w:val="auto"/>
        </w:rPr>
      </w:pPr>
      <w:r>
        <w:rPr>
          <w:rFonts w:ascii="Courier New" w:cs="Courier New" w:eastAsia="Courier New" w:hAnsi="Courier New"/>
          <w:sz w:val="14"/>
          <w:szCs w:val="14"/>
          <w:color w:val="auto"/>
        </w:rPr>
        <w:t>Base Salary. The Chief Executive Officer will receive an annual base salary of $800,000, as adjusted (but never reduced) in order to reflect increases in the consumer price index.</w:t>
      </w:r>
    </w:p>
    <w:p>
      <w:pPr>
        <w:spacing w:after="0" w:line="162" w:lineRule="exact"/>
        <w:rPr>
          <w:sz w:val="20"/>
          <w:szCs w:val="20"/>
          <w:color w:val="auto"/>
        </w:rPr>
      </w:pPr>
    </w:p>
    <w:p>
      <w:pPr>
        <w:ind w:right="3539" w:firstLine="260"/>
        <w:spacing w:after="0" w:line="252" w:lineRule="auto"/>
        <w:rPr>
          <w:sz w:val="20"/>
          <w:szCs w:val="20"/>
          <w:color w:val="auto"/>
        </w:rPr>
      </w:pPr>
      <w:r>
        <w:rPr>
          <w:rFonts w:ascii="Courier New" w:cs="Courier New" w:eastAsia="Courier New" w:hAnsi="Courier New"/>
          <w:sz w:val="14"/>
          <w:szCs w:val="14"/>
          <w:color w:val="auto"/>
        </w:rPr>
        <w:t>Split-Dollar Life Insurance. The Compensation Agreement requires the Company to provide and maintain insurance protection under the Company's Split-Dollar Life Insurance Plan for the Chief Executive Officer and his spouse in an amount which represented a total net after-tax cost to the Company of approximately $6.6 million at the time of implementation of the Compensation Agreement. Under the Split-Dollar Life Insurance Plan generally, the Company pays a portion of the annual premiums for joint-and-survivor life insurance policies for certain senior executive officers, and upon payment of the policies at death (or in the case of the Chief Executive Officer, of him and his spouse), the Company recovers all of the cumulative premiums previously paid by the Company for the whole- life portion of such policies. The Company will also continue to pay the Chief Executive Officer an annual cash bonus in an amount equal to the portion of the annual premium for such life insurance protection that he is required to pay under the Split-Dollar Life Insurance Plan, i.e., the portion of the premium representing the cost of term insurance; in addition, for the insurance required to be maintained under the Compensation Agreement the Company will increase the bonus by an amount sufficient to pay any income tax liability incurred in connection with payment of the bonus (collectively, the "Split-Dollar Bonus").</w:t>
      </w:r>
    </w:p>
    <w:p>
      <w:pPr>
        <w:spacing w:after="0" w:line="174"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Tax Grossed-Up Bonus and Stock Appreciation Bonus. The Company will pay mandatory cash bonuses to the Chief Executive Officer to offset income tax liability on certain of the income recognized upon exercise of his current nonqualified stock options for Class B Common Stock of the Company, to the extent such income is recognized due to appreciation in the value of such stock prior to September 9, 1993, the date of the Compensation Agreement (the "Tax Grossed-Up Bonus"), and a separate stock appreciation bonus essentially duplicating the Tax Grossed-Up Bonus for appreciation subsequent to the date of the Compensation Agreement, subject to a maximum of 125% of the appreciation of the Class A Common Stock in excess of $20.583 per share times the number of options for Class B Common Stock exercised (the "Stock Appreciation Bonus"). The requirement that the Company pay a Tax Grossed-Up Bonus or Stock Appreciation Bonus will apply notwithstanding termination of the Company's discretionary bonus plan effective December 31, 1993.</w:t>
      </w:r>
    </w:p>
    <w:p>
      <w:pPr>
        <w:spacing w:after="0" w:line="163"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Stock Option Grants. The Compensation Agreement provides for the award to the Chief Executive Officer of nonqualified options to purchase 2,220,000 shares of the Company's Class A Special Common Stock at the closing market price for such stock on March 15, 1994. This one-time option grant represents approximately 75% of the unexercised nonqualified options to purchase Class A Special Common Stock previously awarded to him, and the new options generally vest and expire at the same times as, and in proportion to, the vesting and expiration dates of the previously outstanding options. The purpose of the special option grant in the Compensation Agreement is to replace, in part, the potential benefits provided by the Company's terminated discretionary bonus plan.</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14" w:name="page15"/>
    <w:bookmarkEnd w:id="14"/>
    <w:p>
      <w:pPr>
        <w:ind w:left="10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Compensation Agreement provides that the Chief Executive Officer will not receive further option grants through December 31, 1995. The Compensation Agreement also provides that the Company will consider means of replacing the potential benefits represented by the terminated bonus plan with respect to the appreciation through March 15, 1994, in the options for Class A Special Common Stock previously awarded to Mr. Roberts, taking into account the financial position of the Company and the tax deductibility of any such payments. See "Report of the Compensation Committee and the Subcommittee on Performance-Based Compensation on Executive Compensation."</w:t>
      </w:r>
    </w:p>
    <w:p>
      <w:pPr>
        <w:spacing w:after="0" w:line="164"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Termination. The Compensation Agreement will terminate upon the Chief Executive Officer's death, at the Company's option upon his disability, or for cause (as such terms are defined in the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Split-Dollar Bonus, the Stock Appreciation Bonus, and the Tax Grossed-Up Bonus will continue to be payable. In the event of death, all of his outstanding options will vest fully and remain exercisable for their remaining terms. If his employment is terminated by the Company in violation of the Compensation Agreement, he shall remain entitled to substantially all of the benefits under the Compensation Agreement.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15" w:name="page16"/>
    <w:bookmarkEnd w:id="15"/>
    <w:p>
      <w:pPr>
        <w:ind w:left="100"/>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PERFORMANCE GRAPH</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following graph compares the yearly percentage change in the cumulative total shareholder return on each of the Company's Class A Common Stock and Class A Special Common Stock during the five years ended December 31, 1994 with the cumulative total return on the Standard &amp; Poor's 500 Stock Index and with a selected peer group consisting of the Company and five other companies engaged in the cable communications industry: Cablevision Systems Corporation (Class A); Jones Intercable, Inc.; TCA Cable TV, Inc.; Tele-Communications, Inc. (Class A); and Time Warner, Inc. The comparison assumes $100 was invested on December 31, 1989 in the Company's Class A Common Stock and Class A Special Common Stock and in each of the foregoing indices and assumes the reinvestment of dividends.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80" w:type="dxa"/>
            <w:vAlign w:val="bottom"/>
            <w:gridSpan w:val="4"/>
          </w:tcPr>
          <w:p>
            <w:pPr>
              <w:jc w:val="right"/>
              <w:ind w:right="528"/>
              <w:spacing w:after="0"/>
              <w:rPr>
                <w:sz w:val="20"/>
                <w:szCs w:val="20"/>
                <w:color w:val="auto"/>
              </w:rPr>
            </w:pPr>
            <w:r>
              <w:rPr>
                <w:rFonts w:ascii="Courier New" w:cs="Courier New" w:eastAsia="Courier New" w:hAnsi="Courier New"/>
                <w:sz w:val="14"/>
                <w:szCs w:val="14"/>
                <w:color w:val="auto"/>
              </w:rPr>
              <w:t>Comparison of Five Year Cumulative Total Return</w:t>
            </w:r>
          </w:p>
        </w:tc>
        <w:tc>
          <w:tcPr>
            <w:tcW w:w="620" w:type="dxa"/>
            <w:vAlign w:val="bottom"/>
          </w:tcPr>
          <w:p>
            <w:pPr>
              <w:spacing w:after="0"/>
              <w:rPr>
                <w:sz w:val="14"/>
                <w:szCs w:val="14"/>
                <w:color w:val="auto"/>
              </w:rPr>
            </w:pPr>
          </w:p>
        </w:tc>
      </w:tr>
      <w:tr>
        <w:trPr>
          <w:trHeight w:val="334"/>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250</w:t>
            </w:r>
          </w:p>
        </w:tc>
        <w:tc>
          <w:tcPr>
            <w:tcW w:w="1040" w:type="dxa"/>
            <w:vAlign w:val="bottom"/>
            <w:gridSpan w:val="2"/>
          </w:tcPr>
          <w:p>
            <w:pPr>
              <w:ind w:left="80"/>
              <w:spacing w:after="0"/>
              <w:rPr>
                <w:sz w:val="20"/>
                <w:szCs w:val="20"/>
                <w:color w:val="auto"/>
              </w:rPr>
            </w:pPr>
            <w:r>
              <w:rPr>
                <w:rFonts w:ascii="Courier New" w:cs="Courier New" w:eastAsia="Courier New" w:hAnsi="Courier New"/>
                <w:sz w:val="3"/>
                <w:szCs w:val="3"/>
                <w:color w:val="auto"/>
                <w:w w:val="73"/>
              </w:rPr>
              <w:t>|----------------------------------------------------------------------</w:t>
            </w: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200</w:t>
            </w:r>
          </w:p>
        </w:tc>
        <w:tc>
          <w:tcPr>
            <w:tcW w:w="1040" w:type="dxa"/>
            <w:vAlign w:val="bottom"/>
            <w:gridSpan w:val="2"/>
          </w:tcPr>
          <w:p>
            <w:pPr>
              <w:ind w:left="80"/>
              <w:spacing w:after="0"/>
              <w:rPr>
                <w:sz w:val="20"/>
                <w:szCs w:val="20"/>
                <w:color w:val="auto"/>
              </w:rPr>
            </w:pPr>
            <w:r>
              <w:rPr>
                <w:rFonts w:ascii="Courier New" w:cs="Courier New" w:eastAsia="Courier New" w:hAnsi="Courier New"/>
                <w:sz w:val="3"/>
                <w:szCs w:val="3"/>
                <w:color w:val="auto"/>
                <w:w w:val="73"/>
              </w:rPr>
              <w:t>|----------------------------------------------------------------------</w:t>
            </w: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150</w:t>
            </w:r>
          </w:p>
        </w:tc>
        <w:tc>
          <w:tcPr>
            <w:tcW w:w="1040" w:type="dxa"/>
            <w:vAlign w:val="bottom"/>
            <w:gridSpan w:val="2"/>
          </w:tcPr>
          <w:p>
            <w:pPr>
              <w:ind w:left="80"/>
              <w:spacing w:after="0"/>
              <w:rPr>
                <w:sz w:val="20"/>
                <w:szCs w:val="20"/>
                <w:color w:val="auto"/>
              </w:rPr>
            </w:pPr>
            <w:r>
              <w:rPr>
                <w:rFonts w:ascii="Courier New" w:cs="Courier New" w:eastAsia="Courier New" w:hAnsi="Courier New"/>
                <w:sz w:val="5"/>
                <w:szCs w:val="5"/>
                <w:color w:val="auto"/>
                <w:w w:val="74"/>
              </w:rPr>
              <w:t>|-----------------------------------------</w:t>
            </w: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100</w:t>
            </w:r>
          </w:p>
        </w:tc>
        <w:tc>
          <w:tcPr>
            <w:tcW w:w="104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0"/>
              </w:rPr>
              <w:t>|-*-$-@-#--------</w:t>
            </w: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w w:val="71"/>
              </w:rPr>
              <w:t>#-------------</w:t>
            </w:r>
          </w:p>
        </w:tc>
        <w:tc>
          <w:tcPr>
            <w:tcW w:w="620" w:type="dxa"/>
            <w:vAlign w:val="bottom"/>
          </w:tcPr>
          <w:p>
            <w:pPr>
              <w:ind w:left="360"/>
              <w:spacing w:after="0"/>
              <w:rPr>
                <w:sz w:val="20"/>
                <w:szCs w:val="20"/>
                <w:color w:val="auto"/>
              </w:rPr>
            </w:pPr>
            <w:r>
              <w:rPr>
                <w:rFonts w:ascii="Courier New" w:cs="Courier New" w:eastAsia="Courier New" w:hAnsi="Courier New"/>
                <w:sz w:val="14"/>
                <w:szCs w:val="14"/>
                <w:color w:val="auto"/>
                <w:w w:val="95"/>
              </w:rPr>
              <w:t>*-$</w:t>
            </w:r>
          </w:p>
        </w:tc>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5"/>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w:t>
            </w:r>
          </w:p>
        </w:tc>
        <w:tc>
          <w:tcPr>
            <w:tcW w:w="260" w:type="dxa"/>
            <w:vAlign w:val="bottom"/>
          </w:tcPr>
          <w:p>
            <w:pPr>
              <w:ind w:left="80"/>
              <w:spacing w:after="0"/>
              <w:rPr>
                <w:sz w:val="20"/>
                <w:szCs w:val="20"/>
                <w:color w:val="auto"/>
              </w:rPr>
            </w:pPr>
            <w:r>
              <w:rPr>
                <w:rFonts w:ascii="Courier New" w:cs="Courier New" w:eastAsia="Courier New" w:hAnsi="Courier New"/>
                <w:sz w:val="9"/>
                <w:szCs w:val="9"/>
                <w:color w:val="auto"/>
                <w:w w:val="73"/>
              </w:rPr>
              <w:t>|---</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w w:val="74"/>
              </w:rPr>
              <w:t>|------------</w:t>
            </w: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w w:val="83"/>
              </w:rPr>
              <w:t>|-----------</w:t>
            </w:r>
          </w:p>
        </w:tc>
        <w:tc>
          <w:tcPr>
            <w:tcW w:w="620" w:type="dxa"/>
            <w:vAlign w:val="bottom"/>
          </w:tcPr>
          <w:p>
            <w:pPr>
              <w:jc w:val="right"/>
              <w:spacing w:after="0"/>
              <w:rPr>
                <w:sz w:val="20"/>
                <w:szCs w:val="20"/>
                <w:color w:val="auto"/>
              </w:rPr>
            </w:pPr>
            <w:r>
              <w:rPr>
                <w:rFonts w:ascii="Courier New" w:cs="Courier New" w:eastAsia="Courier New" w:hAnsi="Courier New"/>
                <w:sz w:val="10"/>
                <w:szCs w:val="10"/>
                <w:color w:val="auto"/>
                <w:w w:val="76"/>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w w:val="93"/>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369"/>
              <w:spacing w:after="0"/>
              <w:rPr>
                <w:sz w:val="20"/>
                <w:szCs w:val="20"/>
                <w:color w:val="auto"/>
              </w:rPr>
            </w:pPr>
            <w:r>
              <w:rPr>
                <w:rFonts w:ascii="Courier New" w:cs="Courier New" w:eastAsia="Courier New" w:hAnsi="Courier New"/>
                <w:sz w:val="14"/>
                <w:szCs w:val="14"/>
                <w:color w:val="auto"/>
                <w:w w:val="95"/>
              </w:rPr>
              <w:t>1989</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1990</w:t>
            </w:r>
          </w:p>
        </w:tc>
        <w:tc>
          <w:tcPr>
            <w:tcW w:w="62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1991</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1992</w:t>
            </w:r>
          </w:p>
        </w:tc>
        <w:tc>
          <w:tcPr>
            <w:tcW w:w="112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1993</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r>
      <w:tr>
        <w:trPr>
          <w:trHeight w:val="334"/>
        </w:trPr>
        <w:tc>
          <w:tcPr>
            <w:tcW w:w="620" w:type="dxa"/>
            <w:vAlign w:val="bottom"/>
            <w:gridSpan w:val="2"/>
          </w:tcPr>
          <w:p>
            <w:pPr>
              <w:spacing w:after="0"/>
              <w:rPr>
                <w:sz w:val="20"/>
                <w:szCs w:val="20"/>
                <w:color w:val="auto"/>
              </w:rPr>
            </w:pPr>
            <w:r>
              <w:rPr>
                <w:rFonts w:ascii="Courier New" w:cs="Courier New" w:eastAsia="Courier New" w:hAnsi="Courier New"/>
                <w:sz w:val="14"/>
                <w:szCs w:val="14"/>
                <w:color w:val="auto"/>
              </w:rPr>
              <w:t>Comcast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Class A</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620" w:type="dxa"/>
            <w:vAlign w:val="bottom"/>
          </w:tcPr>
          <w:p>
            <w:pPr>
              <w:spacing w:after="0"/>
              <w:rPr>
                <w:sz w:val="24"/>
                <w:szCs w:val="24"/>
                <w:color w:val="auto"/>
              </w:rPr>
            </w:pPr>
          </w:p>
        </w:tc>
        <w:tc>
          <w:tcPr>
            <w:tcW w:w="2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Comcast Class A Special  =</w:t>
            </w:r>
          </w:p>
        </w:tc>
        <w:tc>
          <w:tcPr>
            <w:tcW w:w="6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S&amp;P</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Industry Group</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w:t>
            </w:r>
          </w:p>
        </w:tc>
        <w:tc>
          <w:tcPr>
            <w:tcW w:w="6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spacing w:after="0"/>
        <w:tabs>
          <w:tab w:leader="none" w:pos="4240" w:val="left"/>
          <w:tab w:leader="none" w:pos="5900" w:val="left"/>
          <w:tab w:leader="none" w:pos="7460" w:val="left"/>
          <w:tab w:leader="none" w:pos="9100" w:val="left"/>
        </w:tabs>
        <w:rPr>
          <w:sz w:val="20"/>
          <w:szCs w:val="20"/>
          <w:color w:val="auto"/>
        </w:rPr>
      </w:pPr>
      <w:r>
        <w:rPr>
          <w:rFonts w:ascii="Courier New" w:cs="Courier New" w:eastAsia="Courier New" w:hAnsi="Courier New"/>
          <w:sz w:val="14"/>
          <w:szCs w:val="14"/>
          <w:color w:val="auto"/>
        </w:rPr>
        <w:t>1990</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1994</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Courier New" w:cs="Courier New" w:eastAsia="Courier New" w:hAnsi="Courier New"/>
                <w:sz w:val="14"/>
                <w:szCs w:val="14"/>
                <w:color w:val="auto"/>
              </w:rPr>
              <w:t>Comcast Class A</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79.14</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101.89</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118.89</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224.37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168.39</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Comcast Class A  Special</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80.04</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104.31</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114.73</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229.15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150.60</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S&amp;P</w:t>
            </w:r>
          </w:p>
        </w:tc>
        <w:tc>
          <w:tcPr>
            <w:tcW w:w="12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500</w:t>
            </w:r>
          </w:p>
        </w:tc>
        <w:tc>
          <w:tcPr>
            <w:tcW w:w="1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96.89</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126.42</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136.05</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149.76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151.74</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Industry Group</w:t>
            </w:r>
          </w:p>
        </w:tc>
        <w:tc>
          <w:tcPr>
            <w:tcW w:w="1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72.16</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117.54</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148.72</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228.90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171.95</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6" w:right="1440" w:bottom="1440" w:gutter="0" w:footer="0" w:header="0"/>
        </w:sectPr>
      </w:pPr>
    </w:p>
    <w:bookmarkStart w:id="16" w:name="page17"/>
    <w:bookmarkEnd w:id="16"/>
    <w:p>
      <w:pPr>
        <w:ind w:left="10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ind w:right="5019"/>
        <w:spacing w:after="0" w:line="258" w:lineRule="auto"/>
        <w:rPr>
          <w:sz w:val="20"/>
          <w:szCs w:val="20"/>
          <w:color w:val="auto"/>
        </w:rPr>
      </w:pPr>
      <w:r>
        <w:rPr>
          <w:rFonts w:ascii="Courier New" w:cs="Courier New" w:eastAsia="Courier New" w:hAnsi="Courier New"/>
          <w:sz w:val="14"/>
          <w:szCs w:val="14"/>
          <w:color w:val="auto"/>
        </w:rPr>
        <w:t>REPORT OF THE COMPENSATION COMMITTEE AND THE SUBCOMMITTEE ON PERFORMANCE-BASED COMPENSATION ON EXECUTIVE COMPENSATION</w:t>
      </w:r>
    </w:p>
    <w:p>
      <w:pPr>
        <w:spacing w:after="0" w:line="160"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Compensation Policy. The Compensation Committee (the "Compensation Committee") is responsible for making recommendations to the Board of Directors on executive compensation. The Subcommittee on Performance-Based Compensation (the "Compensation Subcommittee") is responsible for establishing performance-based criteria and goals for compensation to senior executives and, beginning in 1994, for administering the Company's 1987 Stock Option Plan, the 1990 Restricted Stock Plan and bonus plans. As used in this Report, the term "Committee" shall refer to the Compensation Committee and the Compensation Subcommittee, regardless of whether they acted separately or together.</w:t>
      </w:r>
    </w:p>
    <w:p>
      <w:pPr>
        <w:spacing w:after="0" w:line="331"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goal of the Committee is to attract and retain highly qualified executive officers and key employees in an effort to enhance shareholder value. The Company attempts to realize these goals by providing competitive compensation and permitting executive officers to take an ownership stake in the Company commensurate with their relative levels of seniority and responsibilities. The members of the Compensation Committee and the Compensation Subcommittee are disinterested non-employee directors and the members of the Compensation Subcommittee are "outside directors" (as defined in Section 162(m) of the Internal Revenue Code).</w:t>
      </w:r>
    </w:p>
    <w:p>
      <w:pPr>
        <w:spacing w:after="0" w:line="164"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Each year the Committee conducts a full review of the Company's executive compensation, except for the compensation of the Chief Executive Officer, which is determined under the Compensation Agreement. In 1993, this review included a comprehensive report from an independent compensation consultant which prepared a competitive analysis/survey of the Company's executive compensation program in comparison to programs maintained by approximately 85 media companies, including 20 substantial competitors in the cable industry. These companies represent a broad sampling of the Company's most direct competitors for executive talent and include the principal companies included in the peer group index in the Stock Performance Graph included elsewhere in this Proxy Statement. In light of the nature of their responsibilities, particularly the fact that the executive officers have overall corporate policy making, management and administrative responsibilities and are not directly responsible for the operating units of the Company, a key factor in the Committee's assessment of such officers is the Company's overall performance.</w:t>
      </w:r>
    </w:p>
    <w:p>
      <w:pPr>
        <w:spacing w:after="0" w:line="200" w:lineRule="exact"/>
        <w:rPr>
          <w:sz w:val="20"/>
          <w:szCs w:val="20"/>
          <w:color w:val="auto"/>
        </w:rPr>
      </w:pPr>
    </w:p>
    <w:p>
      <w:pPr>
        <w:spacing w:after="0" w:line="297"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principal forms of executive compensation in 1994 were base salary, stock options, restricted stock awards, and split-dollar (whole) life insurance policies. The Company seeks to achieve a mix of these various forms of compensation which will properly compensate and motivate its executives on an individual basis and commensurate with their relative levels of seniority and responsibility.</w:t>
      </w:r>
    </w:p>
    <w:p>
      <w:pPr>
        <w:spacing w:after="0" w:line="332" w:lineRule="exact"/>
        <w:rPr>
          <w:sz w:val="20"/>
          <w:szCs w:val="20"/>
          <w:color w:val="auto"/>
        </w:rPr>
      </w:pPr>
    </w:p>
    <w:p>
      <w:pPr>
        <w:ind w:right="3719" w:firstLine="260"/>
        <w:spacing w:after="0" w:line="254" w:lineRule="auto"/>
        <w:rPr>
          <w:sz w:val="20"/>
          <w:szCs w:val="20"/>
          <w:color w:val="auto"/>
        </w:rPr>
      </w:pPr>
      <w:r>
        <w:rPr>
          <w:rFonts w:ascii="Courier New" w:cs="Courier New" w:eastAsia="Courier New" w:hAnsi="Courier New"/>
          <w:sz w:val="14"/>
          <w:szCs w:val="14"/>
          <w:color w:val="auto"/>
        </w:rPr>
        <w:t>As discussed below, the Committee considers a variety of factors in arriving at the compensation paid to the Company's executive officers other than the Chief Executive Officer. No specific weighting was assigned by the Committee to any of the factors considered in determining the remuneration paid to the named executive officers for 1994.</w:t>
      </w:r>
    </w:p>
    <w:p>
      <w:pPr>
        <w:spacing w:after="0" w:line="162"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Base Salary. The Company's philosophy with respect to setting base salary is to compensate its executive officers with reasonable current income. In 1994, base salary for the executive officers was generally at or below the median of total salary and annual cash incentive compensation for executive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17" w:name="page18"/>
    <w:bookmarkEnd w:id="17"/>
    <w:p>
      <w:pPr>
        <w:ind w:left="10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officers in comparable positions at peer companies, as confirmed by the independent compensation consultant retained by the Company, in order to place a greater emphasis on equity-based incentive compensation. The bonuses paid to executive officers (other than the Chief Executive Officer and Mr. Brodsky) in 1994 related to termination of the Company's discretionary bonus plan, as discussed below, and were not a departure from the Company's traditional practice of relying on base salary and long-term equity-based incentives. In the future, based on the recommendation of the Company's compensation consultants, the Committee intends to explore various means, besides the stock option grants and restricted stock awards heretofore used, of providing performance-based annual or long- term compensation to executive officers (other than the Chief Executive Officer).</w:t>
      </w:r>
    </w:p>
    <w:p>
      <w:pPr>
        <w:spacing w:after="0" w:line="164"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Equity-Based Incentive Compensation. The Company's equity-based incentive compensation is in the form of stock option grants and restricted stock awards. In 1994, consistent with its overall compensation policy, the Committee emphasized equity-based incentives to each of the named executive officers. The Committee believes that reliance upon such incentives is advantageous to the Company because it fosters a long-term commitment by the recipients to the Company and motivates these executives to seek to improve the long-term market performance of the Company's stock. Stock options produce value to executives only if the price of the Company's stock appreciates, thereby directly linking the interests of the executives with those of its shareholders.</w:t>
      </w:r>
    </w:p>
    <w:p>
      <w:pPr>
        <w:spacing w:after="0" w:line="164" w:lineRule="exact"/>
        <w:rPr>
          <w:sz w:val="20"/>
          <w:szCs w:val="20"/>
          <w:color w:val="auto"/>
        </w:rPr>
      </w:pPr>
    </w:p>
    <w:p>
      <w:pPr>
        <w:ind w:right="3539" w:firstLine="260"/>
        <w:spacing w:after="0" w:line="252" w:lineRule="auto"/>
        <w:rPr>
          <w:sz w:val="20"/>
          <w:szCs w:val="20"/>
          <w:color w:val="auto"/>
        </w:rPr>
      </w:pPr>
      <w:r>
        <w:rPr>
          <w:rFonts w:ascii="Courier New" w:cs="Courier New" w:eastAsia="Courier New" w:hAnsi="Courier New"/>
          <w:sz w:val="14"/>
          <w:szCs w:val="14"/>
          <w:color w:val="auto"/>
        </w:rPr>
        <w:t>The stock options granted in January 1994 and the shares of restricted stock awarded in March 1994 were based on the level of the respective executive's position and the level of such compensation paid to officers at comparably sized public companies in the media industry. The size of previous option grants and restricted stock awards and the number of options or restricted shares held by an executive is not taken into account in determining the number of options or shares of restricted stock awarded, except in connection with the special option grants in March 1994 in connection with termination of the discretionary bonus plan, which grants were based on the number of unexercised, nonqualified options held by the recipients on the date of grant, see "Effect of Internal Revenue Code Section 162(m)" below. The options granted in 1994 generally vest 20% on the second anniversary of the date of grant and the balance in equal increments over the remaining term of the options, except that options granted to replace the potential benefits under the discretionary bonus plan vest in proportion to the vesting of previously granted nonqualified options.</w:t>
      </w:r>
    </w:p>
    <w:p>
      <w:pPr>
        <w:spacing w:after="0" w:line="173"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In determining that the levels of the equity-based incentive compensation were appropriate and reasonable in 1994, the Committee reviewed the competitive analysis conducted by the independent compensation consultant which stated that such compensation on the average was consistent with opportunities within the 75th percentile of such companies.</w:t>
      </w:r>
    </w:p>
    <w:p>
      <w:pPr>
        <w:spacing w:after="0" w:line="16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Compensation of Chief Executive Officer. The Chief Executive Officer's compensation for 1994 was determined under the terms of the Compensation Agreement. The Compensation Agreement was entered into effective September 9, 1993, as amended March 16, 1994, and approved by shareholders at the annual meeting of shareholders on June 22, 1994. See "Compensation Agreement with Chief Executive Officer."</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Effect of Internal Revenue Code Section 162(m). Effective January 1, 1994, Section 162(m) of the Internal Revenue Code provides that certain compensation in excess of $1.0 million paid to the chief executive officer and the four most highly compensated executive officers of a public company (determined as of the last day of the company's tax year) will not be deductible for federal income tax purposes.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bookmarkStart w:id="18" w:name="page19"/>
    <w:bookmarkEnd w:id="18"/>
    <w:p>
      <w:pPr>
        <w:ind w:left="10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ind w:right="3539" w:firstLine="260"/>
        <w:spacing w:after="0" w:line="252" w:lineRule="auto"/>
        <w:rPr>
          <w:sz w:val="20"/>
          <w:szCs w:val="20"/>
          <w:color w:val="auto"/>
        </w:rPr>
      </w:pPr>
      <w:r>
        <w:rPr>
          <w:rFonts w:ascii="Courier New" w:cs="Courier New" w:eastAsia="Courier New" w:hAnsi="Courier New"/>
          <w:sz w:val="14"/>
          <w:szCs w:val="14"/>
          <w:color w:val="auto"/>
        </w:rPr>
        <w:t>The Committee is engaged in an ongoing review of the Company's compensation practices for purposes of obtaining the maximum continued deductibility of compensation paid by the Company consistent with its existing commitments and ongoing competitive needs. Certain forms of compensation are not included in determining whether the $1.0 million limit under Section 162(m) has been exceeded, such as certain "performance based" compensation adopted by a committee of at least two outside directors and approved by shareholders, compensation paid under binding written contracts (including nonqualified stock options) in effect prior to the proposal of the new provision, and compensation paid pursuant to certain plans approved by shareholders prior to enactment of the new provision. These forms of compensation continue to be deductible without regard to Section 162(m). In general, compensation pursuant to nonqualified options granted to date under the Company's 1987 Stock Option Plan will continue to be deductible for federal income tax purposes when the options are exercised.</w:t>
      </w:r>
    </w:p>
    <w:p>
      <w:pPr>
        <w:spacing w:after="0" w:line="173"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Certain compensation was awarded during 1994 after consideration of the termination of a plan (approved by shareholders on September 17, 1986) under which the Board of Directors had discretion to award cash bonuses to employees or directors exercising nonqualified options to reimburse such persons for the income taxes payable by them upon exercise of the options and receipt of the bonus. The Committee determined that the discretionary bonus plan did not come within any of the exceptions to Section 162(m), and that if bonuses were to be awarded under such plan in 1994 or thereafter, they might not be deductible. In addition, in light of the appreciation in the Company's Common Stock over the period 1987-1993, the Board determined that continuation of the bonus plan could impose significant cash burdens on the Company in future years. Accordingly, the Board of Directors terminated the discretionary bonus plan as of December 31, 1993.</w:t>
      </w:r>
    </w:p>
    <w:p>
      <w:pPr>
        <w:spacing w:after="0" w:line="163" w:lineRule="exact"/>
        <w:rPr>
          <w:sz w:val="20"/>
          <w:szCs w:val="20"/>
          <w:color w:val="auto"/>
        </w:rPr>
      </w:pPr>
    </w:p>
    <w:p>
      <w:pPr>
        <w:ind w:right="3539" w:firstLine="260"/>
        <w:spacing w:after="0" w:line="252" w:lineRule="auto"/>
        <w:rPr>
          <w:sz w:val="20"/>
          <w:szCs w:val="20"/>
          <w:color w:val="auto"/>
        </w:rPr>
      </w:pPr>
      <w:r>
        <w:rPr>
          <w:rFonts w:ascii="Courier New" w:cs="Courier New" w:eastAsia="Courier New" w:hAnsi="Courier New"/>
          <w:sz w:val="14"/>
          <w:szCs w:val="14"/>
          <w:color w:val="auto"/>
        </w:rPr>
        <w:t>In an effort to replace the potential benefits provided by the Company's terminated discretionary bonus plan, two types of compensation were awarded to senior executive officers in 1994. On March 15, 1994, the Committee granted to its executive officers, including the Chief Executive Officer, additional nonqualified options, subject to the execution by certain of such persons of a non-competition agreement. Such awards were approximately equal to 75% of the shares issuable under the unexercised nonqualified options held by such persons on the date of grant, and vest and expire proportionately to and on the same dates as the previously awarded options. The options so awarded, if exercised at the same times as the options previously awarded to such officers, will provide after-tax compensation approximately equal to the potential compensation that would have been available under the discretionary bonus plan with respect to any appreciation in the previously awarded options over the levels on March 15, 1994. The Committee also awarded lump-sum bonuses, or, in the cases of the Chief Executive Officer and Mr. Brodsky, additional split-dollar life insurance benefits, in an amount generally calculated to produce the same after-tax cost to the Company as the potential benefits under the terminated discretionary cash bonus plan with respect to appreciation in such persons' previously awarded nonqualified options prior to March 15, 1994. Such additional split-dollar insurance benefits generally correspond to the benefits subject to the Compensation Agreement, except that they include for the Chief Executive Officer an additional bonus to offset federal gift taxes on the portion of the annual insurance premiums representing the cost of term insurance, which are imposed because the Chief Executive Officer's life insurance benefits would be received by a trust for the benefit of his children. The Company's compensation consultants advised the Committee that its actions terminating the discretionary bonus plan and awarding the compensation described above were appropriate and reasonable.</w:t>
      </w:r>
    </w:p>
    <w:p>
      <w:pPr>
        <w:spacing w:after="0" w:line="34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bookmarkStart w:id="19" w:name="page20"/>
    <w:bookmarkEnd w:id="19"/>
    <w:p>
      <w:pPr>
        <w:ind w:left="100"/>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With respect to the Compensation Agreement, a portion of the compensation paid to the Chief Executive Officer will not or may not be deductible under Section 162(m) to the extent it is paid during the course of his employment as an executive officer of the Company. The nonexempt cash compensation for federal income tax purposes in 1994 and future years, including the portion of the additional split-dollar life insurance benefits that is taken into account currently for tax purposes, is expected to exceed $1.0 million (by approximately $400,000 in 1994). In addition, the Compensation Agreement provides for payment of a mandatory Tax Grossed-Up Bonus upon exercise of any of the Chief Executive Officer's options to acquire Class B Common Stock of the Company, which, if paid during the course of his employment as one of the five most highly paid executive officers of the Company, would not be deductible under Section 162(m). See "Compensation Agreement with Chief Executive Officer."</w:t>
      </w:r>
    </w:p>
    <w:p>
      <w:pPr>
        <w:spacing w:after="0" w:line="163" w:lineRule="exact"/>
        <w:rPr>
          <w:sz w:val="20"/>
          <w:szCs w:val="20"/>
          <w:color w:val="auto"/>
        </w:rPr>
      </w:pPr>
    </w:p>
    <w:p>
      <w:pPr>
        <w:ind w:right="3539" w:firstLine="260"/>
        <w:spacing w:after="0" w:line="252" w:lineRule="auto"/>
        <w:rPr>
          <w:sz w:val="20"/>
          <w:szCs w:val="20"/>
          <w:color w:val="auto"/>
        </w:rPr>
      </w:pPr>
      <w:r>
        <w:rPr>
          <w:rFonts w:ascii="Courier New" w:cs="Courier New" w:eastAsia="Courier New" w:hAnsi="Courier New"/>
          <w:sz w:val="14"/>
          <w:szCs w:val="14"/>
          <w:color w:val="auto"/>
        </w:rPr>
        <w:t>The Committee determined to provide the above-described compensation regardless of its nondeductibility or potential nondeductibility, based on, among other things (1) its determination of a fair and competitive compensation level for the Chief Executive Officer taking into account his unique and invaluable contributions to the Company over the course of the Company's history, (2) the benefits to the Company if the Chief Executive Officer's incentive to retain Class B Common Stock obtained upon exercise of options is maximized, (3) the relatively minimal effect on the Company of forgoing deductibility of the specific annual compensation (other than the Tax Grossed-Up Bonus) in excess of $1.0 million, and (4) the possibility that the Tax Grossed-Up Bonus would not be required to be paid at a time when payment would be nondeductible. In addition, the Committee believes that the Company's bonus plan, despite technically failing to come within any of the exceptions to Section 162(m)'s nondeductibility rule, represented an appropriate potential benefit to him based on appreciation in the Company's stock subsequent to the dates on which the Chief Executive Officer was awarded nonqualified options. In entering into the Compensation Agreement, it determined not to deprive him of the opportunity to receive such compensation in connection with exercise of his options to purchase Class B Common Stock solely because of the possibility that all or a portion of such benefit would not be deductible for federal income tax purposes.</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MEMBERS OF THE COMPENSATION COMMITTEE</w:t>
      </w:r>
    </w:p>
    <w:p>
      <w:pPr>
        <w:spacing w:after="0" w:line="17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Gustave G. Amsterdam (Chairman)*</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Sheldon M. Bonovitz</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Joseph L. Castle*</w:t>
      </w:r>
    </w:p>
    <w:p>
      <w:pPr>
        <w:spacing w:after="0" w:line="175" w:lineRule="exact"/>
        <w:rPr>
          <w:sz w:val="20"/>
          <w:szCs w:val="20"/>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Members of the Subcommittee</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OF DIRECTORS</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Each member of the Board of Directors who is not an employee of the Company (a "non-employee director") receives an annual fee of $20,000, plus $1,500 for each meeting of the Board of Directors attended and $750 for each meeting of any committee of the Board of Directors attended which is not held in conjunction with a meeting of the Board of Directors. In addition, any outside director who serves as the chairperson of a committee of the Board of</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6" w:right="1440" w:bottom="1440" w:gutter="0" w:footer="0" w:header="0"/>
        </w:sectPr>
      </w:pPr>
    </w:p>
    <w:bookmarkStart w:id="20" w:name="page21"/>
    <w:bookmarkEnd w:id="20"/>
    <w:p>
      <w:pPr>
        <w:ind w:left="100"/>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Directors receives an annual fee of $1,000. Each director is also reimbursed for incidental travel expenses for meetings attended. Mr. Amsterdam also receives $750 as compensation for each meeting attended as the designee of the Board of Directors on a committee of the Company's management.</w:t>
      </w:r>
    </w:p>
    <w:p>
      <w:pPr>
        <w:spacing w:after="0" w:line="163"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Company's 1987 Stock Option Plan provides that each non-employee director will be granted annually, on each February 1, an option to purchase 5,400 shares of Class A Special Common Stock (except that the first such grant to a new non-employee director will be an option to purchase 9,000 shares) at an exercise price per share equal to the fair market value of a share of Class A Special Common Stock on the date of grant. Each such option becomes exercisable six months after the date of grant and generally expires five years from the date of grant.</w:t>
      </w:r>
    </w:p>
    <w:p>
      <w:pPr>
        <w:spacing w:after="0" w:line="33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In connection with termination of the discretionary cash bonus plan, the Board of Directors authorized a one-time, lump sum contribution to the Company's deferred compensation plan account of each non-employee director in an amount approximately equal to the appreciation in the unexercised nonqualified options held by such director at the time of termination of the discretionary cash bonus plan. Such payment was intended to replace the potential benefits available under the discretionary cash bonus plan, and was based on the recommendation of the Company's compensation consultants. The amounts awarded were $239,250 to Messrs. Amsterdam, Bonovitz, Castle, and Watson, $153,000 to Ms. Wexler, and none to Messrs. Aaron and Wechsler. During 1994, Mr. Castle also received $9,587 pursuant to payment of a bonus awarded in 1993 under the discretionary bonus plan.</w:t>
      </w:r>
    </w:p>
    <w:p>
      <w:pPr>
        <w:spacing w:after="0" w:line="330"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Mr. Daniel Aaron, a director of the Company and its former Vice Chairman of the Board of Directors, serves as a consultant to the Company on an as needed basis. Pursuant to this arrangement, Mr. Aaron received $84,375 during 1994. During 1994, Mr. Aaron also entered into an arrangement with the Company whereby he exchanged an account under the Company's deferred compensation plan, in the amount of approximately $909,000, accrued principally while he was a full-time executive officer of the Company, for benefits with an equivalent after-tax cost to the Company, on a present value basis, under the Company's Split-Dollar Life Insurance Plan.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Messrs. Ralph J. Roberts, Brodsky and Brian L. Roberts, none of whom serve on the Compensation Committee of the Company, are also executive officers and directors of Storer Communications, Inc., Comcast UK Cable Partners Limited, and Cablevision Investment of Detroit, Inc., each a subsidiary of the Company, and in such capacities have participated in decisions regarding the compensation of executive officers of the respective corporations. Messrs. Ralph J. Roberts, Brodsky and Brian L. Roberts do not, however, receive any additional compensation for serving as such executive officers or directors. Mr. Brian L. Roberts is the son of Mr. Ralph J. Roberts.</w:t>
      </w:r>
    </w:p>
    <w:p>
      <w:pPr>
        <w:spacing w:after="0" w:line="164" w:lineRule="exact"/>
        <w:rPr>
          <w:sz w:val="20"/>
          <w:szCs w:val="20"/>
          <w:color w:val="auto"/>
        </w:rPr>
      </w:pPr>
    </w:p>
    <w:p>
      <w:pPr>
        <w:ind w:right="3539" w:firstLine="260"/>
        <w:spacing w:after="0" w:line="255" w:lineRule="auto"/>
        <w:rPr>
          <w:sz w:val="20"/>
          <w:szCs w:val="20"/>
          <w:color w:val="auto"/>
        </w:rPr>
      </w:pPr>
      <w:r>
        <w:rPr>
          <w:rFonts w:ascii="Courier New" w:cs="Courier New" w:eastAsia="Courier New" w:hAnsi="Courier New"/>
          <w:sz w:val="14"/>
          <w:szCs w:val="14"/>
          <w:color w:val="auto"/>
        </w:rPr>
        <w:t>Mr. Bonovitz, a member of the Compensation Committee, is a partner in the law firm of Duane, Morris &amp; Heckscher, which provides services to the Company from time to time.</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PROPOSAL ONE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3719" w:firstLine="260"/>
        <w:spacing w:after="0" w:line="255" w:lineRule="auto"/>
        <w:rPr>
          <w:sz w:val="20"/>
          <w:szCs w:val="20"/>
          <w:color w:val="auto"/>
        </w:rPr>
      </w:pPr>
      <w:r>
        <w:rPr>
          <w:rFonts w:ascii="Courier New" w:cs="Courier New" w:eastAsia="Courier New" w:hAnsi="Courier New"/>
          <w:sz w:val="14"/>
          <w:szCs w:val="14"/>
          <w:color w:val="auto"/>
        </w:rPr>
        <w:t>At the meeting, the shareholders will elect ten directors to hold office for the ensuing year and until their respective successors have been duly elected and qualified. Should any one or more of these nominees become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6" w:right="1440" w:bottom="1440" w:gutter="0" w:footer="0" w:header="0"/>
        </w:sectPr>
      </w:pPr>
    </w:p>
    <w:bookmarkStart w:id="21" w:name="page22"/>
    <w:bookmarkEnd w:id="21"/>
    <w:p>
      <w:pPr>
        <w:ind w:left="100"/>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currently is serving as a director of the Company.</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following sets forth certain information about each nominee:</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Ralph J. Roberts, 75, has served as a director and Chairman of the Board of Directors of the Company for more than five years. He is the President and a director of Sural. Mr. Roberts devotes a major portion of his time to the business and affairs of the Company. Mr. Roberts is also a director of Storer Communications, Inc., Comcast UK Cable Partners Limited, and Cablevision Investment of Detroit, Inc.</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Julian A. Brodsky, 61, has served as a director and Vice Chairman of the Board of Directors of the Company for more than five years. He serves as Treasurer and a director of Sural. Mr. Brodsky devotes a major portion of his time to the business and affairs of the Company. He is also a director of Nextel Communications, Inc., Storer Communications, Inc., RBB Fund, Inc., Comcast UK Cable Partners Limited, and Cablevision Investment of Detroit, Inc.</w:t>
      </w:r>
    </w:p>
    <w:p>
      <w:pPr>
        <w:spacing w:after="0" w:line="33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Brian L. Roberts, 35, has served as President of the Company and a director for more than five years. Mr. Roberts serves as Vice President and a director of Sural. Mr. Roberts devotes a major portion of his time to the business and affairs of the Company. Mr. Roberts is the son of Mr. Ralph J. Roberts. Mr. Roberts is also a director of Turner Broadcasting System, Inc., Storer Communications, Inc., Comcast UK Cable Partners Limited, and Cablevision Investment of Detroit, Inc.</w:t>
      </w:r>
    </w:p>
    <w:p>
      <w:pPr>
        <w:spacing w:after="0" w:line="165"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Daniel Aaron, 69, has served as a director of the Company for more than five years. He served as Vice Chairman of the Board of Directors for more than five years until his retirement in February 1991. He continues to serve as a consultant to the Company.</w:t>
      </w:r>
    </w:p>
    <w:p>
      <w:pPr>
        <w:spacing w:after="0" w:line="163"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Gustave G. Amsterdam, 86, has been a director of the Company for more than five years. Mr. Amsterdam was, for more than five years before his retirement, Chairman of the Board of Bankers Securities Corporation, a mercantile, real estate management and operating company.</w:t>
      </w:r>
    </w:p>
    <w:p>
      <w:pPr>
        <w:spacing w:after="0" w:line="163" w:lineRule="exact"/>
        <w:rPr>
          <w:sz w:val="20"/>
          <w:szCs w:val="20"/>
          <w:color w:val="auto"/>
        </w:rPr>
      </w:pPr>
    </w:p>
    <w:p>
      <w:pPr>
        <w:jc w:val="both"/>
        <w:ind w:right="3639" w:firstLine="260"/>
        <w:spacing w:after="0" w:line="252" w:lineRule="auto"/>
        <w:rPr>
          <w:sz w:val="20"/>
          <w:szCs w:val="20"/>
          <w:color w:val="auto"/>
        </w:rPr>
      </w:pPr>
      <w:r>
        <w:rPr>
          <w:rFonts w:ascii="Courier New" w:cs="Courier New" w:eastAsia="Courier New" w:hAnsi="Courier New"/>
          <w:sz w:val="14"/>
          <w:szCs w:val="14"/>
          <w:color w:val="auto"/>
        </w:rPr>
        <w:t>Sheldon M. Bonovitz, 58, has been a director of the Company for more than five years. Mr. Bonovitz has been a partner specializing in tax matters with the law firm of Duane, Morris &amp; Heckscher for more than five years. Mr.</w:t>
      </w:r>
    </w:p>
    <w:p>
      <w:pPr>
        <w:spacing w:after="0" w:line="1"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Bonovitz is a nephew by marriage of Ralph J. Roberts and a cousin by marriage of Brian L. Roberts. Mr. Bonovitz is also a director of Castle Energy Corporation and Surgical Laser Technologies, Inc.</w:t>
      </w:r>
    </w:p>
    <w:p>
      <w:pPr>
        <w:spacing w:after="0" w:line="16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Joseph L. Castle, II, 62, has been a director of the Company for more than five years. Mr. Castle has been, for more than five years, a financial consultant and is the Chairman and Chief Executive Officer and a director of Castle Energy Corporation, an independent oil and gas refining, exploration and production company which also manages oil and gas limited partnerships. Mr. Castle is also a director of Reading Company, Charming Shoppes, Inc., Independence Capital Management, Inc., a subsidiary of Penn Mutual Life Insurance Company, Inc. and Marks Center Trust.</w:t>
      </w:r>
    </w:p>
    <w:p>
      <w:pPr>
        <w:spacing w:after="0" w:line="16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Bernard C. Watson, 67, has been a director of the Company for more than five years. Dr. Watson has been President and Chief Executive Officer of the William Penn Foundation for more than five years. Dr. Watson also serves as a director of First Fidelity Bancorporation and First Fidelity Bank.</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1440" w:gutter="0" w:footer="0" w:header="0"/>
        </w:sectPr>
      </w:pPr>
    </w:p>
    <w:bookmarkStart w:id="22" w:name="page23"/>
    <w:bookmarkEnd w:id="22"/>
    <w:p>
      <w:pPr>
        <w:ind w:left="100"/>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Irving A. Wechsler, 74, has been a director of the Company for more than five years. Mr. Wechsler has been, for more than five years, a partner in the firm of Wechsler, Wolsh and Associates, Certified Public Accountants, in Pittsburgh, Pennsylvania.</w:t>
      </w:r>
    </w:p>
    <w:p>
      <w:pPr>
        <w:spacing w:after="0" w:line="163"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Anne Wexler, 65, has been a director of the Company since March 1991 and has been Chairman of the Wexler Group, a consulting firm specializing in government relations and public affairs, which is an operating unit of Hill and Knowlton Public Affairs Worldwide, for more than five years. The Wexler Group and Hill and Knowlton Public Affairs Worldwide provide services to the Company and received payments for such services from the Company of approximately $329,000 in 1994. Ms. Wexler is also a director of Alumax, Inc., The Continental Corporation, The Dreyfus Corporation Index Funds, The Dreyfus Corporation Mutual Funds, New England Electric System, and Nova Corporation.</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COMMITTEES AND MEETINGS OF THE BOARD OF DIRECTORS</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The Board of Directors has an Executive Committee, an Audit Committee, a Compensation Committee and a Nominating Committee, of the Board of Directors. The Compensation Committee has a Subcommittee on Performance-Based Compensation.</w:t>
      </w:r>
    </w:p>
    <w:p>
      <w:pPr>
        <w:spacing w:after="0" w:line="163"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Messrs. Ralph J. Roberts (Chairman), Amsterdam and Bonovitz serve as members of the Executive Committee, which held eight meetings during 1994. The Committee acts for the directors in the intervals between meetings of the Board.</w:t>
      </w:r>
    </w:p>
    <w:p>
      <w:pPr>
        <w:spacing w:after="0" w:line="163"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Messrs. Amsterdam, Bonovitz, Castle, Watson and Wechsler (Chairman) serve as members of the Audit Committee, which held three meetings during 1994. The Committee meets with the Company's independent public accountants, counsel, internal audit department and management to discuss the scope and results of the annual audit, internal accounting procedures and certain other questions of accounting policy.</w:t>
      </w:r>
    </w:p>
    <w:p>
      <w:pPr>
        <w:spacing w:after="0" w:line="16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Messrs. Amsterdam (Chairman), Bonovitz and Castle serve as members of the Compensation Committee, which held four formal meetings during 1994. The Committee considers and determines all compensation matters relating to the Company's executive officers (other than matters which are handled by the Subcommittee as described below). Messrs. Amsterdam and Castle serve as members of the Subcommittee on Performance-Based Compensation, which held four meetings during 1994. The Subcommittee's functions include administrating the Company's stock option, restricted stock and bonus plans and establishing performance-based criteria and goals for compensation to senior executive officers.</w:t>
      </w:r>
    </w:p>
    <w:p>
      <w:pPr>
        <w:spacing w:after="0" w:line="164"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Messrs. Aaron, Castle and Watson and Ms. Wexler (Chairperson) serve as members of the Nominating Committee, which met one time during 1994. The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6" w:right="1440" w:bottom="1440" w:gutter="0" w:footer="0" w:header="0"/>
        </w:sectPr>
      </w:pPr>
    </w:p>
    <w:bookmarkStart w:id="23" w:name="page24"/>
    <w:bookmarkEnd w:id="23"/>
    <w:p>
      <w:pPr>
        <w:ind w:left="100"/>
        <w:spacing w:after="0"/>
        <w:rPr>
          <w:sz w:val="20"/>
          <w:szCs w:val="20"/>
          <w:color w:val="auto"/>
        </w:rPr>
      </w:pPr>
      <w:r>
        <w:rPr>
          <w:rFonts w:ascii="Courier New" w:cs="Courier New" w:eastAsia="Courier New" w:hAnsi="Courier New"/>
          <w:sz w:val="14"/>
          <w:szCs w:val="14"/>
          <w:color w:val="auto"/>
        </w:rPr>
        <w:t>24</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 (a) 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 intended to be nominated, by the Board of Directors; and (e) the consent of each nominee to serve as a director of the Company if so elected.</w:t>
      </w:r>
    </w:p>
    <w:p>
      <w:pPr>
        <w:spacing w:after="0" w:line="174"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The Board of Directors held seven meetings in 1994. No member of the Board of Directors attended fewer than 75% of the aggregate of the total number of meetings of the Board of Directors and the total number of meetings held by all committees of the Board of Directors on which such director served.</w:t>
      </w:r>
    </w:p>
    <w:p>
      <w:pPr>
        <w:spacing w:after="0" w:line="16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PROPOSAL TWO</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APPROVAL OF AMENDMENT TO THE COMPANY'S ARTICLES OF</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INCORPORATION TO PROVIDE THAT FUTURE AMENDMENTS</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SHALL BE ADOPTED BY A MAJORITY OF VOTES CAST</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The Board of Directors, by unanimous vote, has approved a proposal to amend the Articles of Incorporation of the Company to provide that amendments of such Articles of Incorporation may be adopted by a majority of the votes cast by the holders of the class or classes of shares entitled to vote thereon.</w:t>
      </w:r>
    </w:p>
    <w:p>
      <w:pPr>
        <w:spacing w:after="0" w:line="330"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Currently, Article 5(f) of the Company's Articles of Incorporation provides that the Articles may be amended by a resolution of the Board of Directors and the affirmative vote of the shareholders entitled to cast at least a majority of the votes which all shareholders are entitled to cast thereon. If no class vote is required with respect to an amendment, the Class A Common Stock and the Class B Common Stock vote as a single class, with each share of Class A Common Stock entitled to one vote and each share of Class B Common Stock entitled to fifteen votes. Where a class vote is required by Article 5(f) or applicable law, Article 5(f) currently provides that the affirmative vote of the holders or at least a majority of the outstanding shares of each of Class A Common Stock, Class A Special Common Stock, and Class B Common Stock, voting as separate classes, is required for approval.</w:t>
      </w:r>
    </w:p>
    <w:p>
      <w:pPr>
        <w:spacing w:after="0" w:line="164"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The current provisions of Article 5(f), in requiring amendments to the Articles to be approved by an absolute majority of outstanding shares entitled to vote, conformed to the requirements of Sections 804 and 805 of the Pennsylvania Business Corporation Law prior to the comprehensive revision of the Pennsylvania Business Corporation Law in 1988. The 1988 revision of the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6" w:right="1440" w:bottom="1440" w:gutter="0" w:footer="0" w:header="0"/>
        </w:sectPr>
      </w:pPr>
    </w:p>
    <w:bookmarkStart w:id="24" w:name="page25"/>
    <w:bookmarkEnd w:id="24"/>
    <w:p>
      <w:pPr>
        <w:ind w:left="100"/>
        <w:spacing w:after="0"/>
        <w:rPr>
          <w:sz w:val="20"/>
          <w:szCs w:val="20"/>
          <w:color w:val="auto"/>
        </w:rPr>
      </w:pPr>
      <w:r>
        <w:rPr>
          <w:rFonts w:ascii="Courier New" w:cs="Courier New" w:eastAsia="Courier New" w:hAnsi="Courier New"/>
          <w:sz w:val="14"/>
          <w:szCs w:val="14"/>
          <w:color w:val="auto"/>
        </w:rPr>
        <w:t>25</w:t>
      </w:r>
    </w:p>
    <w:p>
      <w:pPr>
        <w:spacing w:after="0" w:line="34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Pennsylvania Business Corporation Law, as amended to date (the "1988 BCL"), provides in Section 1914 that a majority of the votes actually cast (provided a quorum is present at the relevant meeting) is sufficient to approve an amendment to a corporation's articles, unless the corporation's articles or another provision of the 1988 BCL requires a greater vote.</w:t>
      </w:r>
    </w:p>
    <w:p>
      <w:pPr>
        <w:spacing w:after="0" w:line="16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To the extent that all shares entitled to vote are not present at a meeting, or shareholders abstain from voting, under the current provisions of Article 5(f), an amendment to the Company's Articles of Incorporation may fail to be adopted despite receiving a majority of the votes cast at a properly constituted shareholders meeting. Depending on the number of shares present at a meeting, a proposed amendment that attracted no more than token shareholder opposition might fail to be adopted.</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Board of Directors determined that the provisions of the 1988 BCL more closely reflected the Board of Directors' view of appropriate corporate democracy than the current provisions of Article 5(f). The Board of Directors believes that, unless a greater vote is required by law, an amendment adopted by the Board of Directors and approved by a majority vote of the shareholders entitled to vote thereon should be effective. In addition, the current provisions of Article 5(f) have the potential to require unnecessary corporate expense in connection with soliciting a greater number of affirmative votes to approve an amendment than would otherwise be required under the 1988 BCL.</w:t>
      </w:r>
    </w:p>
    <w:p>
      <w:pPr>
        <w:spacing w:after="0" w:line="331" w:lineRule="exact"/>
        <w:rPr>
          <w:sz w:val="20"/>
          <w:szCs w:val="20"/>
          <w:color w:val="auto"/>
        </w:rPr>
      </w:pPr>
    </w:p>
    <w:p>
      <w:pPr>
        <w:ind w:right="3899" w:firstLine="260"/>
        <w:spacing w:after="0" w:line="255" w:lineRule="auto"/>
        <w:rPr>
          <w:sz w:val="20"/>
          <w:szCs w:val="20"/>
          <w:color w:val="auto"/>
        </w:rPr>
      </w:pPr>
      <w:r>
        <w:rPr>
          <w:rFonts w:ascii="Courier New" w:cs="Courier New" w:eastAsia="Courier New" w:hAnsi="Courier New"/>
          <w:sz w:val="14"/>
          <w:szCs w:val="14"/>
          <w:color w:val="auto"/>
        </w:rPr>
        <w:t>Accordingly, the Board of Directors has approved a resolution amending Article 5(f) to read in its entirety as follows (with new language indicated):</w:t>
      </w:r>
    </w:p>
    <w:p>
      <w:pPr>
        <w:spacing w:after="0" w:line="329" w:lineRule="exact"/>
        <w:rPr>
          <w:sz w:val="20"/>
          <w:szCs w:val="20"/>
          <w:color w:val="auto"/>
        </w:rPr>
      </w:pPr>
    </w:p>
    <w:p>
      <w:pPr>
        <w:ind w:left="360" w:right="3539"/>
        <w:spacing w:after="0" w:line="253" w:lineRule="auto"/>
        <w:rPr>
          <w:sz w:val="20"/>
          <w:szCs w:val="20"/>
          <w:color w:val="auto"/>
        </w:rPr>
      </w:pPr>
      <w:r>
        <w:rPr>
          <w:rFonts w:ascii="Courier New" w:cs="Courier New" w:eastAsia="Courier New" w:hAnsi="Courier New"/>
          <w:sz w:val="14"/>
          <w:szCs w:val="14"/>
          <w:color w:val="auto"/>
        </w:rPr>
        <w:t>Each and any provision of the Articles of Incorporation of this Corporation may from time to time, when and as desired, be amended by a resolution of the Board of Directors and the affirmative vote OF A MAJORITY OF THE VOTES CAST BY ALL SHAREHOLDERS ENTITLED TO VOTE THEREON, as determined in accordance with the provisions of paragraph (a) of this Article Five, so that each share of Class A Common Stock shall entitle the holder thereof to one (1) vote and each share of Class B Common Stock shall entitle the holder thereof to fifteen (15) votes. There shall be no class voting on any such amendment or on any other matter except with respect to certain amendments to the Articles of Incorporation regarding conversion rights of Class B Common Stock as set forth in paragraph (d) of this Article Five or as shall be required by applicable law, in which such case there shall be required the affirmative vote OF A MAJORITY OF THE VOTES CAST BY THE HOLDERS OF THE OUTSTANDING SHARES of each of Class A Common Stock, Class A Special Common Stock and Class B Common Stock, voting as separate classes.</w:t>
      </w:r>
    </w:p>
    <w:p>
      <w:pPr>
        <w:spacing w:after="0" w:line="330"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Board of Directors is submitting such amendment to the Company's shareholders under the existing terms of Article 5(f). Accordingly, because the second sentence of Article 5(f) affects the separate rights of each class of stock on matters requiring a class vote, the affirmative vote of the holders of at least a majority of the outstanding shares of each of the Class A Common Stock, Class A Special Common Stock, and Class B Common Stock, voting as separate classes, is required to approve the proposed amendment. Each share of Class A Special Common Stock is entitled to one vote in connection with the separate class vote of the Class A Special Common Stock on such proposed amendment, notwithstanding that the Class A Special Common Stock is not generally entitled to vote on matters submitted to the Company's shareholders, and is not otherwise entitled to vote at the 1995 Annual Meeting.</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6" w:right="1440" w:bottom="1440" w:gutter="0" w:footer="0" w:header="0"/>
        </w:sectPr>
      </w:pPr>
    </w:p>
    <w:bookmarkStart w:id="25" w:name="page26"/>
    <w:bookmarkEnd w:id="25"/>
    <w:p>
      <w:pPr>
        <w:ind w:left="100"/>
        <w:spacing w:after="0"/>
        <w:rPr>
          <w:sz w:val="20"/>
          <w:szCs w:val="20"/>
          <w:color w:val="auto"/>
        </w:rPr>
      </w:pPr>
      <w:r>
        <w:rPr>
          <w:rFonts w:ascii="Courier New" w:cs="Courier New" w:eastAsia="Courier New" w:hAnsi="Courier New"/>
          <w:sz w:val="14"/>
          <w:szCs w:val="14"/>
          <w:color w:val="auto"/>
        </w:rPr>
        <w:t>26</w:t>
      </w:r>
    </w:p>
    <w:p>
      <w:pPr>
        <w:spacing w:after="0" w:line="175" w:lineRule="exact"/>
        <w:rPr>
          <w:sz w:val="20"/>
          <w:szCs w:val="20"/>
          <w:color w:val="auto"/>
        </w:rPr>
      </w:pPr>
    </w:p>
    <w:p>
      <w:pPr>
        <w:ind w:right="4159" w:firstLine="260"/>
        <w:spacing w:after="0" w:line="255" w:lineRule="auto"/>
        <w:rPr>
          <w:sz w:val="20"/>
          <w:szCs w:val="20"/>
          <w:color w:val="auto"/>
        </w:rPr>
      </w:pPr>
      <w:r>
        <w:rPr>
          <w:rFonts w:ascii="Courier New" w:cs="Courier New" w:eastAsia="Courier New" w:hAnsi="Courier New"/>
          <w:sz w:val="14"/>
          <w:szCs w:val="14"/>
          <w:color w:val="auto"/>
        </w:rPr>
        <w:t>The Board of Directors has no plans at this time to propose further amendments to the Company's Articles of Incorporation, whether or not requiring a class vote.</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BOARD OF DIRECTORS UNANIMOUSLY RECOMMENDS THE SHAREHOLDERS VOTE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AMENDMENT TO THE COMPANY'S ARTICLES OF INCORPORATION.</w:t>
      </w:r>
    </w:p>
    <w:p>
      <w:pPr>
        <w:spacing w:after="0" w:line="17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PROPOSAL THREE</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 RATIFY THE APPOINTMENT OF INDEPENDENT AUDITORS</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Subject to approval by the shareholders, 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and its subsidiaries for the current fiscal year.</w:t>
      </w:r>
    </w:p>
    <w:p>
      <w:pPr>
        <w:spacing w:after="0" w:line="16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BOARD OF DIRECTORS UNANIMOUSLY RECOMMENDS THAT SHAREHOLDERS VOTE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 OF THE ABOVE PROPOSAL.</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SHAREHOLDER PROPOSALS</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Proposals of shareholders intended to be presented at the Annual Meeting of Shareholders in 1996 must be received by January 20, 1996 in order to be considered for inclusion in the Company's proxy statement and form of proxy relating to that meeting. Shareholder proposals should be directed to Stanley Wang, Senior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16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SOLICITATION OF PROXIES</w:t>
      </w:r>
    </w:p>
    <w:p>
      <w:pPr>
        <w:spacing w:after="0" w:line="17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 The Company has also retained Georgeson &amp; Co. Inc. ("Georgeson") to assist in the solicitation of proxies as described above. Georgeson will receive a fee from the Company of $6,000 for its services, plus reimbursement of its out-of-pocket expenses. The Company and Georgeson intend to request persons holding stock in their name or custody, or in the name of nominees, to send proxy materials to their principals and to request authority for the execution of the proxies, and the Company will reimburse such persons for their expense in so doing.</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6" w:right="1440" w:bottom="1440" w:gutter="0" w:footer="0" w:header="0"/>
        </w:sectPr>
      </w:pPr>
    </w:p>
    <w:bookmarkStart w:id="26" w:name="page27"/>
    <w:bookmarkEnd w:id="26"/>
    <w:p>
      <w:pPr>
        <w:ind w:left="100"/>
        <w:spacing w:after="0"/>
        <w:rPr>
          <w:sz w:val="20"/>
          <w:szCs w:val="20"/>
          <w:color w:val="auto"/>
        </w:rPr>
      </w:pPr>
      <w:r>
        <w:rPr>
          <w:rFonts w:ascii="Courier New" w:cs="Courier New" w:eastAsia="Courier New" w:hAnsi="Courier New"/>
          <w:sz w:val="14"/>
          <w:szCs w:val="14"/>
          <w:color w:val="auto"/>
        </w:rPr>
        <w:t>27</w:t>
      </w:r>
    </w:p>
    <w:p>
      <w:pPr>
        <w:spacing w:after="0" w:line="8"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ANNUAL REPORT ON FORM 10-K</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COMPANY WILL PROVIDE WITHOUT CHARGE TO EACH PERSON SOLICITED BY THIS PROXY STATEMENT, ON THE WRITTEN REQUEST OF SUCH PERSON, A COPY OF THE COMPANY'S ANNUAL REPORT ON FORM 10-K, INCLUDING THE FINANCIAL STATEMENTS AND SCHEDULES THERETO, AS FILED WITH THE SECURITIES AND EXCHANGE COMMISSION FOR ITS MOST RECENT FISCAL YEAR. SUCH WRITTEN REQUESTS SHOULD BE DIRECTED TO JOHN R. ALCHIN, SENIOR VICE PRESIDENT AND TREASURER, AT THE ADDRESS OF THE COMPANY SET FORTH ON THE FIRST PAGE OF THIS PROXY STATEMENT.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6" w:right="1440" w:bottom="1440" w:gutter="0" w:footer="0" w:header="0"/>
        </w:sectPr>
      </w:pPr>
    </w:p>
    <w:bookmarkStart w:id="27" w:name="page28"/>
    <w:bookmarkEnd w:id="27"/>
    <w:p>
      <w:pPr>
        <w:ind w:left="100"/>
        <w:spacing w:after="0"/>
        <w:rPr>
          <w:sz w:val="20"/>
          <w:szCs w:val="20"/>
          <w:color w:val="auto"/>
        </w:rPr>
      </w:pPr>
      <w:r>
        <w:rPr>
          <w:rFonts w:ascii="Courier New" w:cs="Courier New" w:eastAsia="Courier New" w:hAnsi="Courier New"/>
          <w:sz w:val="14"/>
          <w:szCs w:val="14"/>
          <w:color w:val="auto"/>
        </w:rPr>
        <w:t>28</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THIS PROXY IS SOLICITED ON BEHALF OF THE BOARD</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OF DIRECTORS OF COMCAST CORPORATION</w:t>
      </w:r>
    </w:p>
    <w:p>
      <w:pPr>
        <w:spacing w:after="0" w:line="17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undersigned, a holder of Class A Common Stock of COMCAST CORPORATION,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Wednesday, June 21, 1995 at 9:00 a.m., at the offices of the Company, 1500 Market Street, 33rd Floor, Philadelphia, Pennsylvania, and any adjournment or postponement thereof, and thereat to vote all shares of CLASS A COMMON STOCK which the undersigned would be entitled to vote if personally present, as follows:</w:t>
      </w:r>
    </w:p>
    <w:p>
      <w:pPr>
        <w:spacing w:after="0" w:line="164" w:lineRule="exact"/>
        <w:rPr>
          <w:sz w:val="20"/>
          <w:szCs w:val="20"/>
          <w:color w:val="auto"/>
        </w:rPr>
      </w:pPr>
    </w:p>
    <w:p>
      <w:pPr>
        <w:ind w:left="260" w:hanging="251"/>
        <w:spacing w:after="0"/>
        <w:tabs>
          <w:tab w:leader="none" w:pos="2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FOR all ten nominees for director listed below.</w:t>
      </w:r>
    </w:p>
    <w:p>
      <w:pPr>
        <w:spacing w:after="0" w:line="8" w:lineRule="exact"/>
        <w:rPr>
          <w:rFonts w:ascii="Courier New" w:cs="Courier New" w:eastAsia="Courier New" w:hAnsi="Courier New"/>
          <w:sz w:val="14"/>
          <w:szCs w:val="14"/>
          <w:color w:val="auto"/>
        </w:rPr>
      </w:pPr>
    </w:p>
    <w:p>
      <w:pPr>
        <w:ind w:left="620" w:right="3799" w:hanging="34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WITHHOLD AUTHORITY to vote for all ten nominees for director listed below.</w:t>
      </w:r>
    </w:p>
    <w:p>
      <w:pPr>
        <w:ind w:left="620" w:right="3539" w:hanging="34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FOR all ten nominees for director listed below, EXCEPT WITHHOLD AUTHORITY TO VOTE FOR ANY INDIVIDUAL NOMINEE(S) WHOSE NAME(S) IS (ARE) LINED THROUGH. Nominees: Ralph J. Roberts, Julian A. Brodsky,</w:t>
      </w:r>
    </w:p>
    <w:p>
      <w:pPr>
        <w:spacing w:after="0" w:line="1" w:lineRule="exact"/>
        <w:rPr>
          <w:rFonts w:ascii="Courier New" w:cs="Courier New" w:eastAsia="Courier New" w:hAnsi="Courier New"/>
          <w:sz w:val="14"/>
          <w:szCs w:val="14"/>
          <w:color w:val="auto"/>
        </w:rPr>
      </w:pPr>
    </w:p>
    <w:p>
      <w:pPr>
        <w:ind w:left="620" w:right="35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Brian L. Roberts, Daniel Aaron, Gustave G. Amsterdam, Sheldon M. Bonovitz, Joseph L. Castle, II, Bernard C. Watson, Irving A. Wechsler, and Anne Wexler.</w:t>
      </w:r>
    </w:p>
    <w:p>
      <w:pPr>
        <w:spacing w:after="0" w:line="162"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amendment to the Company's Articles of Incorporation.</w:t>
      </w:r>
    </w:p>
    <w:p>
      <w:pPr>
        <w:spacing w:after="0" w:line="8" w:lineRule="exact"/>
        <w:rPr>
          <w:sz w:val="20"/>
          <w:szCs w:val="20"/>
          <w:color w:val="auto"/>
        </w:rPr>
      </w:pPr>
    </w:p>
    <w:p>
      <w:pPr>
        <w:ind w:left="520"/>
        <w:spacing w:after="0"/>
        <w:tabs>
          <w:tab w:leader="none" w:pos="1380" w:val="left"/>
          <w:tab w:leader="none" w:pos="1820" w:val="left"/>
          <w:tab w:leader="none" w:pos="2680" w:val="left"/>
        </w:tabs>
        <w:rPr>
          <w:sz w:val="20"/>
          <w:szCs w:val="20"/>
          <w:color w:val="auto"/>
        </w:rPr>
      </w:pPr>
      <w:r>
        <w:rPr>
          <w:rFonts w:ascii="Courier New" w:cs="Courier New" w:eastAsia="Courier New" w:hAnsi="Courier New"/>
          <w:sz w:val="14"/>
          <w:szCs w:val="14"/>
          <w:color w:val="auto"/>
        </w:rPr>
        <w:t>[ ] FOR</w:t>
        <w:tab/>
        <w:t>[ ]</w:t>
        <w:tab/>
        <w:t>AGAINST</w:t>
        <w:tab/>
        <w:t>[ ] ABSTAIN</w:t>
      </w:r>
    </w:p>
    <w:p>
      <w:pPr>
        <w:spacing w:after="0" w:line="175" w:lineRule="exact"/>
        <w:rPr>
          <w:sz w:val="20"/>
          <w:szCs w:val="20"/>
          <w:color w:val="auto"/>
        </w:rPr>
      </w:pPr>
    </w:p>
    <w:p>
      <w:pPr>
        <w:ind w:left="440" w:right="3979" w:hanging="431"/>
        <w:spacing w:after="0" w:line="252" w:lineRule="auto"/>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Deloitte &amp; Touche LLP as the Company's independent auditors.</w:t>
      </w:r>
    </w:p>
    <w:p>
      <w:pPr>
        <w:spacing w:after="0" w:line="1" w:lineRule="exact"/>
        <w:rPr>
          <w:sz w:val="20"/>
          <w:szCs w:val="20"/>
          <w:color w:val="auto"/>
        </w:rPr>
      </w:pPr>
    </w:p>
    <w:p>
      <w:pPr>
        <w:ind w:left="520"/>
        <w:spacing w:after="0"/>
        <w:tabs>
          <w:tab w:leader="none" w:pos="1380" w:val="left"/>
          <w:tab w:leader="none" w:pos="1820" w:val="left"/>
          <w:tab w:leader="none" w:pos="2680" w:val="left"/>
        </w:tabs>
        <w:rPr>
          <w:sz w:val="20"/>
          <w:szCs w:val="20"/>
          <w:color w:val="auto"/>
        </w:rPr>
      </w:pPr>
      <w:r>
        <w:rPr>
          <w:rFonts w:ascii="Courier New" w:cs="Courier New" w:eastAsia="Courier New" w:hAnsi="Courier New"/>
          <w:sz w:val="14"/>
          <w:szCs w:val="14"/>
          <w:color w:val="auto"/>
        </w:rPr>
        <w:t>[ ] FOR</w:t>
        <w:tab/>
        <w:t>[ ]</w:t>
        <w:tab/>
        <w:t>AGAINST</w:t>
        <w:tab/>
        <w:t>[ ] ABSTAIN</w:t>
      </w:r>
    </w:p>
    <w:p>
      <w:pPr>
        <w:spacing w:after="0" w:line="175" w:lineRule="exact"/>
        <w:rPr>
          <w:sz w:val="20"/>
          <w:szCs w:val="20"/>
          <w:color w:val="auto"/>
        </w:rPr>
      </w:pPr>
    </w:p>
    <w:p>
      <w:pPr>
        <w:ind w:left="440" w:hanging="431"/>
        <w:spacing w:after="0"/>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on such other business which may properly come before the meeting.</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Unless otherwise specified, the shares will be voted "FOR" the election of all ten nominees for director and "FOR" the other proposals set forth above. This Proxy also delegates discretionary authority to vote with respect to any other business which may properly come before the meeting and any adjournment or postponement thereof.</w:t>
      </w:r>
    </w:p>
    <w:p>
      <w:pPr>
        <w:spacing w:after="0" w:line="162"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(Please sign and date on reverse side)</w:t>
      </w:r>
    </w:p>
    <w:p>
      <w:pPr>
        <w:sectPr>
          <w:pgSz w:w="11900" w:h="16838" w:orient="portrait"/>
          <w:cols w:equalWidth="0" w:num="1">
            <w:col w:w="10239"/>
          </w:cols>
          <w:pgMar w:left="220" w:top="286" w:right="1440" w:bottom="1440" w:gutter="0" w:footer="0" w:header="0"/>
        </w:sectPr>
      </w:pPr>
    </w:p>
    <w:bookmarkStart w:id="28" w:name="page29"/>
    <w:bookmarkEnd w:id="28"/>
    <w:p>
      <w:pPr>
        <w:ind w:left="100"/>
        <w:spacing w:after="0"/>
        <w:rPr>
          <w:sz w:val="20"/>
          <w:szCs w:val="20"/>
          <w:color w:val="auto"/>
        </w:rPr>
      </w:pPr>
      <w:r>
        <w:rPr>
          <w:rFonts w:ascii="Courier New" w:cs="Courier New" w:eastAsia="Courier New" w:hAnsi="Courier New"/>
          <w:sz w:val="14"/>
          <w:szCs w:val="14"/>
          <w:color w:val="auto"/>
        </w:rPr>
        <w:t>29</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(Continued from other side)</w:t>
      </w:r>
    </w:p>
    <w:p>
      <w:pPr>
        <w:spacing w:after="0" w:line="175" w:lineRule="exact"/>
        <w:rPr>
          <w:sz w:val="20"/>
          <w:szCs w:val="20"/>
          <w:color w:val="auto"/>
        </w:rPr>
      </w:pPr>
    </w:p>
    <w:p>
      <w:pPr>
        <w:ind w:right="4159" w:firstLine="260"/>
        <w:spacing w:after="0" w:line="258"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PROXY STATEMENT AND ANNUAL REPORT OF COMCAST CORPORATION.</w:t>
      </w:r>
    </w:p>
    <w:p>
      <w:pPr>
        <w:spacing w:after="0" w:line="160"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Date: _________________________, 1995</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NOTE: Please sign this Proxy exactly as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name(s) appear(s) in address. When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signing as attorney-in-fact, executor,</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administrator, trustee or guardian,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please add your title as such, and if</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signer is a corporation, please sign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with full corporate name by duly</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authorized officer or officers and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affix the corporate seal. When stock is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issued in the name of two or more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persons, all such persons should sign.</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PLEASE SIGN, DATE AND RETURN IN THE ENCLOSED POSTAGE-PREPAID ENVELOPE.</w:t>
      </w:r>
    </w:p>
    <w:p>
      <w:pPr>
        <w:sectPr>
          <w:pgSz w:w="11900" w:h="16838" w:orient="portrait"/>
          <w:cols w:equalWidth="0" w:num="1">
            <w:col w:w="10239"/>
          </w:cols>
          <w:pgMar w:left="220" w:top="286" w:right="1440" w:bottom="1440" w:gutter="0" w:footer="0" w:header="0"/>
        </w:sectPr>
      </w:pPr>
    </w:p>
    <w:bookmarkStart w:id="29" w:name="page30"/>
    <w:bookmarkEnd w:id="29"/>
    <w:p>
      <w:pPr>
        <w:ind w:left="100"/>
        <w:spacing w:after="0"/>
        <w:rPr>
          <w:sz w:val="20"/>
          <w:szCs w:val="20"/>
          <w:color w:val="auto"/>
        </w:rPr>
      </w:pPr>
      <w:r>
        <w:rPr>
          <w:rFonts w:ascii="Courier New" w:cs="Courier New" w:eastAsia="Courier New" w:hAnsi="Courier New"/>
          <w:sz w:val="14"/>
          <w:szCs w:val="14"/>
          <w:color w:val="auto"/>
        </w:rPr>
        <w:t>30</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THIS PROXY IS SOLICITED ON BEHALF OF THE BOARD</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OF DIRECTORS OF COMCAST CORPORATION</w:t>
      </w:r>
    </w:p>
    <w:p>
      <w:pPr>
        <w:spacing w:after="0" w:line="17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The undersigned, a holder of Class A Special Common Stock of COMCAST CORPORATION,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Wednesday, June 21, 1995 at 9:00 a.m., at the offices of the Company, 1500 Market Street, 33rd Floor, Philadelphia, Pennsylvania, and any adjournment or postponement thereof, and thereat to vote all shares of CLASS A SPECIAL COMMON STOCK which the undersigned would be entitled to vote if personally present, as follows: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To approve the amendment to the Company's Articles of Incorporation.</w:t>
      </w:r>
    </w:p>
    <w:p>
      <w:pPr>
        <w:spacing w:after="0" w:line="8" w:lineRule="exact"/>
        <w:rPr>
          <w:sz w:val="20"/>
          <w:szCs w:val="20"/>
          <w:color w:val="auto"/>
        </w:rPr>
      </w:pPr>
    </w:p>
    <w:p>
      <w:pPr>
        <w:ind w:left="260"/>
        <w:spacing w:after="0"/>
        <w:tabs>
          <w:tab w:leader="none" w:pos="1200" w:val="left"/>
          <w:tab w:leader="none" w:pos="2500" w:val="left"/>
        </w:tabs>
        <w:rPr>
          <w:sz w:val="20"/>
          <w:szCs w:val="20"/>
          <w:color w:val="auto"/>
        </w:rPr>
      </w:pPr>
      <w:r>
        <w:rPr>
          <w:rFonts w:ascii="Courier New" w:cs="Courier New" w:eastAsia="Courier New" w:hAnsi="Courier New"/>
          <w:sz w:val="14"/>
          <w:szCs w:val="14"/>
          <w:color w:val="auto"/>
        </w:rPr>
        <w:t>[ ] FOR</w:t>
      </w:r>
      <w:r>
        <w:rPr>
          <w:sz w:val="20"/>
          <w:szCs w:val="20"/>
          <w:color w:val="auto"/>
        </w:rPr>
        <w:tab/>
      </w:r>
      <w:r>
        <w:rPr>
          <w:rFonts w:ascii="Courier New" w:cs="Courier New" w:eastAsia="Courier New" w:hAnsi="Courier New"/>
          <w:sz w:val="14"/>
          <w:szCs w:val="14"/>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Unless otherwise specified, the shares will be voted "FOR" the proposal set forth above. This Proxy also delegates discretionary authority to vote with respect to any other business which may properly come before the meeting and any adjournment or postponement thereof.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and date on reverse side)</w:t>
      </w:r>
    </w:p>
    <w:p>
      <w:pPr>
        <w:sectPr>
          <w:pgSz w:w="11900" w:h="16838" w:orient="portrait"/>
          <w:cols w:equalWidth="0" w:num="1">
            <w:col w:w="10239"/>
          </w:cols>
          <w:pgMar w:left="220" w:top="286" w:right="1440" w:bottom="1440" w:gutter="0" w:footer="0" w:header="0"/>
        </w:sectPr>
      </w:pPr>
    </w:p>
    <w:bookmarkStart w:id="30" w:name="page31"/>
    <w:bookmarkEnd w:id="30"/>
    <w:p>
      <w:pPr>
        <w:ind w:left="100"/>
        <w:spacing w:after="0"/>
        <w:rPr>
          <w:sz w:val="20"/>
          <w:szCs w:val="20"/>
          <w:color w:val="auto"/>
        </w:rPr>
      </w:pPr>
      <w:r>
        <w:rPr>
          <w:rFonts w:ascii="Courier New" w:cs="Courier New" w:eastAsia="Courier New" w:hAnsi="Courier New"/>
          <w:sz w:val="14"/>
          <w:szCs w:val="14"/>
          <w:color w:val="auto"/>
        </w:rPr>
        <w:t>31</w:t>
      </w:r>
    </w:p>
    <w:p>
      <w:pPr>
        <w:spacing w:after="0" w:line="34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(Continued from other side)</w:t>
      </w:r>
    </w:p>
    <w:p>
      <w:pPr>
        <w:spacing w:after="0" w:line="175" w:lineRule="exact"/>
        <w:rPr>
          <w:sz w:val="20"/>
          <w:szCs w:val="20"/>
          <w:color w:val="auto"/>
        </w:rPr>
      </w:pPr>
    </w:p>
    <w:p>
      <w:pPr>
        <w:ind w:right="4159" w:firstLine="260"/>
        <w:spacing w:after="0" w:line="258"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PROXY STATEMENT AND ANNUAL REPORT OF COMCAST CORPORATION.</w:t>
      </w:r>
    </w:p>
    <w:p>
      <w:pPr>
        <w:spacing w:after="0" w:line="160"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Date: _________________________, 1995</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NOTE: Please sign this Proxy exactly as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name(s) appear(s) in address. When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signing as attorney-in-fact, executor,</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administrator, trustee or guardian,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please add your title as such, and if</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signer is a corporation, please sign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with full corporate name by duly</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authorized officer or officers and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affix the corporate seal. When stock is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issued in the name of two or more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persons, all such persons should sign.</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PLEASE SIGN, DATE AND RETURN IN THE ENCLOSED POSTAGE-PREPAID ENVELOPE.</w:t>
      </w:r>
    </w:p>
    <w:sectPr>
      <w:pgSz w:w="11900" w:h="16838" w:orient="portrait"/>
      <w:cols w:equalWidth="0" w:num="1">
        <w:col w:w="10239"/>
      </w:cols>
      <w:pgMar w:left="220" w:top="2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upperLetter"/>
      <w:start w:val="24"/>
    </w:lvl>
  </w:abstractNum>
  <w:abstractNum w:abstractNumId="3">
    <w:nsid w:val="7FDCC233"/>
    <w:multiLevelType w:val="hybridMultilevel"/>
    <w:lvl w:ilvl="0">
      <w:lvlJc w:val="left"/>
      <w:lvlText w:val="["/>
      <w:numFmt w:val="bullet"/>
      <w:start w:val="1"/>
    </w:lvl>
    <w:lvl w:ilvl="1">
      <w:lvlJc w:val="left"/>
      <w:lvlText w:val="(%2)"/>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
      <w:numFmt w:val="bullet"/>
      <w:start w:val="1"/>
    </w:lvl>
    <w:lvl w:ilvl="1">
      <w:lvlJc w:val="left"/>
      <w:lvlText w:val="(%2)"/>
      <w:numFmt w:val="decimal"/>
      <w:start w:val="1"/>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1)"/>
      <w:numFmt w:val="decimal"/>
      <w:start w:val="3"/>
    </w:lvl>
  </w:abstractNum>
  <w:abstractNum w:abstractNumId="8">
    <w:nsid w:val="25E45D32"/>
    <w:multiLevelType w:val="hybridMultilevel"/>
    <w:lvl w:ilvl="0">
      <w:lvlJc w:val="left"/>
      <w:lvlText w:val="(%1)"/>
      <w:numFmt w:val="decimal"/>
      <w:start w:val="4"/>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lvl w:ilvl="1">
      <w:lvlJc w:val="left"/>
      <w:lvlText w:val="(%2)"/>
      <w:numFmt w:val="decimal"/>
      <w:start w:val="2"/>
    </w:lvl>
  </w:abstractNum>
  <w:abstractNum w:abstractNumId="12">
    <w:nsid w:val="7C83E458"/>
    <w:multiLevelType w:val="hybridMultilevel"/>
    <w:lvl w:ilvl="0">
      <w:lvlJc w:val="left"/>
      <w:lvlText w:val="(%1)"/>
      <w:numFmt w:val="decimal"/>
      <w:start w:val="3"/>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2"/>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4"/>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3"/>
    </w:lvl>
    <w:lvl w:ilvl="1">
      <w:lvlJc w:val="left"/>
      <w:lvlText w:val="(%2)"/>
      <w:numFmt w:val="decimal"/>
      <w:start w:val="2"/>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3"/>
    </w:lvl>
  </w:abstractNum>
  <w:abstractNum w:abstractNumId="24">
    <w:nsid w:val="79838CB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2019-12-12T05:59:16Z</dcterms:created>
  <dcterms:modified xsi:type="dcterms:W3CDTF">2019-12-12T05:59:16Z</dcterms:modified>
</cp:coreProperties>
</file>