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 2005</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5960" w:type="dxa"/>
            <w:vAlign w:val="bottom"/>
            <w:gridSpan w:val="3"/>
          </w:tcPr>
          <w:p>
            <w:pPr>
              <w:jc w:val="center"/>
              <w:ind w:right="4200"/>
              <w:spacing w:after="0"/>
              <w:rPr>
                <w:sz w:val="20"/>
                <w:szCs w:val="20"/>
                <w:color w:val="auto"/>
              </w:rPr>
            </w:pPr>
            <w:r>
              <w:rPr>
                <w:rFonts w:ascii="Arial" w:cs="Arial" w:eastAsia="Arial" w:hAnsi="Arial"/>
                <w:sz w:val="18"/>
                <w:szCs w:val="18"/>
                <w:b w:val="1"/>
                <w:bCs w:val="1"/>
                <w:color w:val="auto"/>
                <w:w w:val="86"/>
              </w:rPr>
              <w:t>Pennsylvania</w:t>
            </w:r>
          </w:p>
        </w:tc>
        <w:tc>
          <w:tcPr>
            <w:tcW w:w="1280" w:type="dxa"/>
            <w:vAlign w:val="bottom"/>
          </w:tcPr>
          <w:p>
            <w:pPr>
              <w:jc w:val="center"/>
              <w:ind w:left="126"/>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596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280" w:type="dxa"/>
            <w:vAlign w:val="bottom"/>
          </w:tcPr>
          <w:p>
            <w:pPr>
              <w:jc w:val="center"/>
              <w:ind w:left="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96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8"/>
              </w:rPr>
              <w:t>incorporation or organization)</w:t>
            </w:r>
          </w:p>
        </w:tc>
        <w:tc>
          <w:tcPr>
            <w:tcW w:w="1280" w:type="dxa"/>
            <w:vAlign w:val="bottom"/>
          </w:tcPr>
          <w:p>
            <w:pPr>
              <w:jc w:val="center"/>
              <w:ind w:left="146"/>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2760" w:type="dxa"/>
            <w:vAlign w:val="bottom"/>
          </w:tcPr>
          <w:p>
            <w:pPr>
              <w:spacing w:after="0"/>
              <w:rPr>
                <w:sz w:val="24"/>
                <w:szCs w:val="24"/>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1"/>
              </w:rPr>
              <w:t>1500 Market Street</w:t>
            </w:r>
          </w:p>
        </w:tc>
        <w:tc>
          <w:tcPr>
            <w:tcW w:w="1280" w:type="dxa"/>
            <w:vAlign w:val="bottom"/>
          </w:tcPr>
          <w:p>
            <w:pPr>
              <w:spacing w:after="0"/>
              <w:rPr>
                <w:sz w:val="24"/>
                <w:szCs w:val="24"/>
                <w:color w:val="auto"/>
              </w:rPr>
            </w:pPr>
          </w:p>
        </w:tc>
      </w:tr>
      <w:tr>
        <w:trPr>
          <w:trHeight w:val="216"/>
        </w:trPr>
        <w:tc>
          <w:tcPr>
            <w:tcW w:w="5960" w:type="dxa"/>
            <w:vAlign w:val="bottom"/>
            <w:gridSpan w:val="3"/>
          </w:tcPr>
          <w:p>
            <w:pPr>
              <w:jc w:val="center"/>
              <w:ind w:left="1420"/>
              <w:spacing w:after="0"/>
              <w:rPr>
                <w:sz w:val="20"/>
                <w:szCs w:val="20"/>
                <w:color w:val="auto"/>
              </w:rPr>
            </w:pPr>
            <w:r>
              <w:rPr>
                <w:rFonts w:ascii="Arial" w:cs="Arial" w:eastAsia="Arial" w:hAnsi="Arial"/>
                <w:sz w:val="18"/>
                <w:szCs w:val="18"/>
                <w:b w:val="1"/>
                <w:bCs w:val="1"/>
                <w:color w:val="auto"/>
                <w:w w:val="88"/>
              </w:rPr>
              <w:t>Philadelphia, PA 19102-2148</w:t>
            </w:r>
          </w:p>
        </w:tc>
        <w:tc>
          <w:tcPr>
            <w:tcW w:w="1280" w:type="dxa"/>
            <w:vAlign w:val="bottom"/>
          </w:tcPr>
          <w:p>
            <w:pPr>
              <w:spacing w:after="0"/>
              <w:rPr>
                <w:sz w:val="18"/>
                <w:szCs w:val="18"/>
                <w:color w:val="auto"/>
              </w:rPr>
            </w:pPr>
          </w:p>
        </w:tc>
      </w:tr>
      <w:tr>
        <w:trPr>
          <w:trHeight w:val="218"/>
        </w:trPr>
        <w:tc>
          <w:tcPr>
            <w:tcW w:w="4720" w:type="dxa"/>
            <w:vAlign w:val="bottom"/>
            <w:gridSpan w:val="2"/>
          </w:tcPr>
          <w:p>
            <w:pPr>
              <w:jc w:val="center"/>
              <w:ind w:left="2660"/>
              <w:spacing w:after="0"/>
              <w:rPr>
                <w:sz w:val="20"/>
                <w:szCs w:val="20"/>
                <w:color w:val="auto"/>
              </w:rPr>
            </w:pPr>
            <w:r>
              <w:rPr>
                <w:rFonts w:ascii="Arial" w:cs="Arial" w:eastAsia="Arial" w:hAnsi="Arial"/>
                <w:sz w:val="18"/>
                <w:szCs w:val="18"/>
                <w:b w:val="1"/>
                <w:bCs w:val="1"/>
                <w:color w:val="auto"/>
                <w:w w:val="89"/>
              </w:rPr>
              <w:t>(215) 665-1700</w:t>
            </w: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4"/>
        </w:trPr>
        <w:tc>
          <w:tcPr>
            <w:tcW w:w="5960" w:type="dxa"/>
            <w:vAlign w:val="bottom"/>
            <w:gridSpan w:val="3"/>
          </w:tcPr>
          <w:p>
            <w:pPr>
              <w:jc w:val="center"/>
              <w:ind w:left="14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280" w:type="dxa"/>
            <w:vAlign w:val="bottom"/>
          </w:tcPr>
          <w:p>
            <w:pPr>
              <w:spacing w:after="0"/>
              <w:rPr>
                <w:sz w:val="15"/>
                <w:szCs w:val="15"/>
                <w:color w:val="auto"/>
              </w:rPr>
            </w:pPr>
          </w:p>
        </w:tc>
      </w:tr>
      <w:tr>
        <w:trPr>
          <w:trHeight w:val="244"/>
        </w:trPr>
        <w:tc>
          <w:tcPr>
            <w:tcW w:w="27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520" w:type="dxa"/>
            <w:vAlign w:val="bottom"/>
            <w:gridSpan w:val="2"/>
          </w:tcPr>
          <w:p>
            <w:pPr>
              <w:spacing w:after="0"/>
              <w:rPr>
                <w:sz w:val="21"/>
                <w:szCs w:val="21"/>
                <w:color w:val="auto"/>
              </w:rPr>
            </w:pPr>
          </w:p>
        </w:tc>
      </w:tr>
      <w:tr>
        <w:trPr>
          <w:trHeight w:val="453"/>
        </w:trPr>
        <w:tc>
          <w:tcPr>
            <w:tcW w:w="7240" w:type="dxa"/>
            <w:vAlign w:val="bottom"/>
            <w:gridSpan w:val="4"/>
          </w:tcPr>
          <w:p>
            <w:pPr>
              <w:jc w:val="center"/>
              <w:ind w:left="140"/>
              <w:spacing w:after="0"/>
              <w:rPr>
                <w:sz w:val="20"/>
                <w:szCs w:val="20"/>
                <w:color w:val="auto"/>
              </w:rPr>
            </w:pPr>
            <w:r>
              <w:rPr>
                <w:rFonts w:ascii="Arial" w:cs="Arial" w:eastAsia="Arial" w:hAnsi="Arial"/>
                <w:sz w:val="18"/>
                <w:szCs w:val="18"/>
                <w:b w:val="1"/>
                <w:bCs w:val="1"/>
                <w:color w:val="auto"/>
                <w:w w:val="96"/>
              </w:rPr>
              <w:t>COMCAST CORPORATION 2002 RESTRICTED STOCK PLAN</w:t>
            </w:r>
          </w:p>
        </w:tc>
      </w:tr>
      <w:tr>
        <w:trPr>
          <w:trHeight w:val="174"/>
        </w:trPr>
        <w:tc>
          <w:tcPr>
            <w:tcW w:w="2760" w:type="dxa"/>
            <w:vAlign w:val="bottom"/>
          </w:tcPr>
          <w:p>
            <w:pPr>
              <w:spacing w:after="0"/>
              <w:rPr>
                <w:sz w:val="15"/>
                <w:szCs w:val="15"/>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8"/>
              </w:rPr>
              <w:t>(Full title of the plan)</w:t>
            </w:r>
          </w:p>
        </w:tc>
        <w:tc>
          <w:tcPr>
            <w:tcW w:w="1280" w:type="dxa"/>
            <w:vAlign w:val="bottom"/>
          </w:tcPr>
          <w:p>
            <w:pPr>
              <w:spacing w:after="0"/>
              <w:rPr>
                <w:sz w:val="15"/>
                <w:szCs w:val="15"/>
                <w:color w:val="auto"/>
              </w:rPr>
            </w:pPr>
          </w:p>
        </w:tc>
      </w:tr>
      <w:tr>
        <w:trPr>
          <w:trHeight w:val="244"/>
        </w:trPr>
        <w:tc>
          <w:tcPr>
            <w:tcW w:w="27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52"/>
        </w:trPr>
        <w:tc>
          <w:tcPr>
            <w:tcW w:w="2760" w:type="dxa"/>
            <w:vAlign w:val="bottom"/>
          </w:tcPr>
          <w:p>
            <w:pPr>
              <w:spacing w:after="0"/>
              <w:rPr>
                <w:sz w:val="24"/>
                <w:szCs w:val="24"/>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2"/>
              </w:rPr>
              <w:t>Arthur R. Block</w:t>
            </w:r>
          </w:p>
        </w:tc>
        <w:tc>
          <w:tcPr>
            <w:tcW w:w="1280" w:type="dxa"/>
            <w:vAlign w:val="bottom"/>
          </w:tcPr>
          <w:p>
            <w:pPr>
              <w:spacing w:after="0"/>
              <w:rPr>
                <w:sz w:val="24"/>
                <w:szCs w:val="24"/>
                <w:color w:val="auto"/>
              </w:rPr>
            </w:pPr>
          </w:p>
        </w:tc>
      </w:tr>
      <w:tr>
        <w:trPr>
          <w:trHeight w:val="216"/>
        </w:trPr>
        <w:tc>
          <w:tcPr>
            <w:tcW w:w="5960" w:type="dxa"/>
            <w:vAlign w:val="bottom"/>
            <w:gridSpan w:val="3"/>
          </w:tcPr>
          <w:p>
            <w:pPr>
              <w:jc w:val="center"/>
              <w:ind w:left="1440"/>
              <w:spacing w:after="0"/>
              <w:rPr>
                <w:sz w:val="20"/>
                <w:szCs w:val="20"/>
                <w:color w:val="auto"/>
              </w:rPr>
            </w:pPr>
            <w:r>
              <w:rPr>
                <w:rFonts w:ascii="Arial" w:cs="Arial" w:eastAsia="Arial" w:hAnsi="Arial"/>
                <w:sz w:val="18"/>
                <w:szCs w:val="18"/>
                <w:b w:val="1"/>
                <w:bCs w:val="1"/>
                <w:color w:val="auto"/>
                <w:w w:val="87"/>
              </w:rPr>
              <w:t>Senior Vice President, General Counsel and Secretary</w:t>
            </w:r>
          </w:p>
        </w:tc>
        <w:tc>
          <w:tcPr>
            <w:tcW w:w="12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20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89"/>
              </w:rPr>
              <w:t>Comcast Corporation</w:t>
            </w:r>
          </w:p>
        </w:tc>
        <w:tc>
          <w:tcPr>
            <w:tcW w:w="12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1"/>
              </w:rPr>
              <w:t>1500 Market Street</w:t>
            </w:r>
          </w:p>
        </w:tc>
        <w:tc>
          <w:tcPr>
            <w:tcW w:w="1280" w:type="dxa"/>
            <w:vAlign w:val="bottom"/>
          </w:tcPr>
          <w:p>
            <w:pPr>
              <w:spacing w:after="0"/>
              <w:rPr>
                <w:sz w:val="18"/>
                <w:szCs w:val="18"/>
                <w:color w:val="auto"/>
              </w:rPr>
            </w:pPr>
          </w:p>
        </w:tc>
      </w:tr>
      <w:tr>
        <w:trPr>
          <w:trHeight w:val="218"/>
        </w:trPr>
        <w:tc>
          <w:tcPr>
            <w:tcW w:w="5960" w:type="dxa"/>
            <w:vAlign w:val="bottom"/>
            <w:gridSpan w:val="3"/>
          </w:tcPr>
          <w:p>
            <w:pPr>
              <w:jc w:val="center"/>
              <w:ind w:left="1440"/>
              <w:spacing w:after="0"/>
              <w:rPr>
                <w:sz w:val="20"/>
                <w:szCs w:val="20"/>
                <w:color w:val="auto"/>
              </w:rPr>
            </w:pPr>
            <w:r>
              <w:rPr>
                <w:rFonts w:ascii="Arial" w:cs="Arial" w:eastAsia="Arial" w:hAnsi="Arial"/>
                <w:sz w:val="18"/>
                <w:szCs w:val="18"/>
                <w:b w:val="1"/>
                <w:bCs w:val="1"/>
                <w:color w:val="auto"/>
                <w:w w:val="87"/>
              </w:rPr>
              <w:t>Philadelphia, Pennsylvania 19102-2148</w:t>
            </w:r>
          </w:p>
        </w:tc>
        <w:tc>
          <w:tcPr>
            <w:tcW w:w="1280" w:type="dxa"/>
            <w:vAlign w:val="bottom"/>
          </w:tcPr>
          <w:p>
            <w:pPr>
              <w:spacing w:after="0"/>
              <w:rPr>
                <w:sz w:val="18"/>
                <w:szCs w:val="18"/>
                <w:color w:val="auto"/>
              </w:rPr>
            </w:pPr>
          </w:p>
        </w:tc>
      </w:tr>
      <w:tr>
        <w:trPr>
          <w:trHeight w:val="174"/>
        </w:trPr>
        <w:tc>
          <w:tcPr>
            <w:tcW w:w="5960" w:type="dxa"/>
            <w:vAlign w:val="bottom"/>
            <w:gridSpan w:val="3"/>
          </w:tcPr>
          <w:p>
            <w:pPr>
              <w:jc w:val="center"/>
              <w:ind w:left="1440"/>
              <w:spacing w:after="0"/>
              <w:rPr>
                <w:sz w:val="20"/>
                <w:szCs w:val="20"/>
                <w:color w:val="auto"/>
              </w:rPr>
            </w:pPr>
            <w:r>
              <w:rPr>
                <w:rFonts w:ascii="Arial" w:cs="Arial" w:eastAsia="Arial" w:hAnsi="Arial"/>
                <w:sz w:val="14"/>
                <w:szCs w:val="14"/>
                <w:b w:val="1"/>
                <w:bCs w:val="1"/>
                <w:color w:val="auto"/>
                <w:w w:val="85"/>
              </w:rPr>
              <w:t>(Name and address of agent for service)</w:t>
            </w:r>
          </w:p>
        </w:tc>
        <w:tc>
          <w:tcPr>
            <w:tcW w:w="1280" w:type="dxa"/>
            <w:vAlign w:val="bottom"/>
          </w:tcPr>
          <w:p>
            <w:pPr>
              <w:spacing w:after="0"/>
              <w:rPr>
                <w:sz w:val="15"/>
                <w:szCs w:val="15"/>
                <w:color w:val="auto"/>
              </w:rPr>
            </w:pPr>
          </w:p>
        </w:tc>
      </w:tr>
      <w:tr>
        <w:trPr>
          <w:trHeight w:val="339"/>
        </w:trPr>
        <w:tc>
          <w:tcPr>
            <w:tcW w:w="4720" w:type="dxa"/>
            <w:vAlign w:val="bottom"/>
            <w:gridSpan w:val="2"/>
          </w:tcPr>
          <w:p>
            <w:pPr>
              <w:jc w:val="center"/>
              <w:ind w:left="2660"/>
              <w:spacing w:after="0"/>
              <w:rPr>
                <w:sz w:val="20"/>
                <w:szCs w:val="20"/>
                <w:color w:val="auto"/>
              </w:rPr>
            </w:pPr>
            <w:r>
              <w:rPr>
                <w:rFonts w:ascii="Arial" w:cs="Arial" w:eastAsia="Arial" w:hAnsi="Arial"/>
                <w:sz w:val="18"/>
                <w:szCs w:val="18"/>
                <w:b w:val="1"/>
                <w:bCs w:val="1"/>
                <w:color w:val="auto"/>
                <w:w w:val="89"/>
              </w:rPr>
              <w:t>(215) 665-1700</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4"/>
        </w:trPr>
        <w:tc>
          <w:tcPr>
            <w:tcW w:w="5960" w:type="dxa"/>
            <w:vAlign w:val="bottom"/>
            <w:gridSpan w:val="3"/>
          </w:tcPr>
          <w:p>
            <w:pPr>
              <w:jc w:val="center"/>
              <w:ind w:left="1440"/>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c>
          <w:tcPr>
            <w:tcW w:w="1280" w:type="dxa"/>
            <w:vAlign w:val="bottom"/>
          </w:tcPr>
          <w:p>
            <w:pPr>
              <w:spacing w:after="0"/>
              <w:rPr>
                <w:sz w:val="15"/>
                <w:szCs w:val="15"/>
                <w:color w:val="auto"/>
              </w:rPr>
            </w:pPr>
          </w:p>
        </w:tc>
      </w:tr>
      <w:tr>
        <w:trPr>
          <w:trHeight w:val="244"/>
        </w:trPr>
        <w:tc>
          <w:tcPr>
            <w:tcW w:w="27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64"/>
        </w:trPr>
        <w:tc>
          <w:tcPr>
            <w:tcW w:w="5960" w:type="dxa"/>
            <w:vAlign w:val="bottom"/>
            <w:gridSpan w:val="3"/>
          </w:tcPr>
          <w:p>
            <w:pPr>
              <w:jc w:val="center"/>
              <w:ind w:left="1420"/>
              <w:spacing w:after="0"/>
              <w:rPr>
                <w:sz w:val="20"/>
                <w:szCs w:val="20"/>
                <w:color w:val="auto"/>
              </w:rPr>
            </w:pPr>
            <w:r>
              <w:rPr>
                <w:rFonts w:ascii="Arial" w:cs="Arial" w:eastAsia="Arial" w:hAnsi="Arial"/>
                <w:sz w:val="18"/>
                <w:szCs w:val="18"/>
                <w:b w:val="1"/>
                <w:bCs w:val="1"/>
                <w:color w:val="auto"/>
                <w:w w:val="99"/>
              </w:rPr>
              <w:t>CALCULATION OF REGISTRATION FEE</w:t>
            </w:r>
          </w:p>
        </w:tc>
        <w:tc>
          <w:tcPr>
            <w:tcW w:w="12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center"/>
              <w:ind w:right="224"/>
              <w:spacing w:after="0"/>
              <w:rPr>
                <w:sz w:val="20"/>
                <w:szCs w:val="20"/>
                <w:color w:val="auto"/>
              </w:rPr>
            </w:pPr>
            <w:r>
              <w:rPr>
                <w:rFonts w:ascii="Arial" w:cs="Arial" w:eastAsia="Arial" w:hAnsi="Arial"/>
                <w:sz w:val="14"/>
                <w:szCs w:val="14"/>
                <w:b w:val="1"/>
                <w:bCs w:val="1"/>
                <w:color w:val="auto"/>
                <w:w w:val="83"/>
              </w:rPr>
              <w:t>Proposed</w:t>
            </w:r>
          </w:p>
        </w:tc>
        <w:tc>
          <w:tcPr>
            <w:tcW w:w="300" w:type="dxa"/>
            <w:vAlign w:val="bottom"/>
          </w:tcPr>
          <w:p>
            <w:pPr>
              <w:spacing w:after="0"/>
              <w:rPr>
                <w:sz w:val="14"/>
                <w:szCs w:val="14"/>
                <w:color w:val="auto"/>
              </w:rPr>
            </w:pPr>
          </w:p>
        </w:tc>
        <w:tc>
          <w:tcPr>
            <w:tcW w:w="1380" w:type="dxa"/>
            <w:vAlign w:val="bottom"/>
          </w:tcPr>
          <w:p>
            <w:pPr>
              <w:jc w:val="center"/>
              <w:ind w:right="286"/>
              <w:spacing w:after="0"/>
              <w:rPr>
                <w:sz w:val="20"/>
                <w:szCs w:val="20"/>
                <w:color w:val="auto"/>
              </w:rPr>
            </w:pPr>
            <w:r>
              <w:rPr>
                <w:rFonts w:ascii="Arial" w:cs="Arial" w:eastAsia="Arial" w:hAnsi="Arial"/>
                <w:sz w:val="14"/>
                <w:szCs w:val="14"/>
                <w:b w:val="1"/>
                <w:bCs w:val="1"/>
                <w:color w:val="auto"/>
                <w:w w:val="83"/>
              </w:rPr>
              <w:t>Proposed</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320" w:type="dxa"/>
            <w:vAlign w:val="bottom"/>
          </w:tcPr>
          <w:p>
            <w:pPr>
              <w:jc w:val="right"/>
              <w:ind w:right="404"/>
              <w:spacing w:after="0" w:line="149" w:lineRule="exact"/>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2"/>
                <w:szCs w:val="12"/>
                <w:color w:val="auto"/>
              </w:rPr>
            </w:pPr>
          </w:p>
        </w:tc>
        <w:tc>
          <w:tcPr>
            <w:tcW w:w="92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88"/>
              </w:rPr>
              <w:t>maximum</w:t>
            </w:r>
          </w:p>
        </w:tc>
        <w:tc>
          <w:tcPr>
            <w:tcW w:w="300" w:type="dxa"/>
            <w:vAlign w:val="bottom"/>
          </w:tcPr>
          <w:p>
            <w:pPr>
              <w:spacing w:after="0"/>
              <w:rPr>
                <w:sz w:val="12"/>
                <w:szCs w:val="12"/>
                <w:color w:val="auto"/>
              </w:rPr>
            </w:pPr>
          </w:p>
        </w:tc>
        <w:tc>
          <w:tcPr>
            <w:tcW w:w="1380" w:type="dxa"/>
            <w:vAlign w:val="bottom"/>
          </w:tcPr>
          <w:p>
            <w:pPr>
              <w:jc w:val="center"/>
              <w:ind w:right="286"/>
              <w:spacing w:after="0" w:line="149" w:lineRule="exact"/>
              <w:rPr>
                <w:sz w:val="20"/>
                <w:szCs w:val="20"/>
                <w:color w:val="auto"/>
              </w:rPr>
            </w:pPr>
            <w:r>
              <w:rPr>
                <w:rFonts w:ascii="Arial" w:cs="Arial" w:eastAsia="Arial" w:hAnsi="Arial"/>
                <w:sz w:val="14"/>
                <w:szCs w:val="14"/>
                <w:b w:val="1"/>
                <w:bCs w:val="1"/>
                <w:color w:val="auto"/>
                <w:w w:val="88"/>
              </w:rPr>
              <w:t>maximum</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320" w:type="dxa"/>
            <w:vAlign w:val="bottom"/>
          </w:tcPr>
          <w:p>
            <w:pPr>
              <w:jc w:val="right"/>
              <w:ind w:right="504"/>
              <w:spacing w:after="0" w:line="149" w:lineRule="exact"/>
              <w:rPr>
                <w:sz w:val="20"/>
                <w:szCs w:val="20"/>
                <w:color w:val="auto"/>
              </w:rPr>
            </w:pPr>
            <w:r>
              <w:rPr>
                <w:rFonts w:ascii="Arial" w:cs="Arial" w:eastAsia="Arial" w:hAnsi="Arial"/>
                <w:sz w:val="14"/>
                <w:szCs w:val="14"/>
                <w:b w:val="1"/>
                <w:bCs w:val="1"/>
                <w:color w:val="auto"/>
              </w:rPr>
              <w:t>to be</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300" w:type="dxa"/>
            <w:vAlign w:val="bottom"/>
          </w:tcPr>
          <w:p>
            <w:pPr>
              <w:spacing w:after="0"/>
              <w:rPr>
                <w:sz w:val="12"/>
                <w:szCs w:val="12"/>
                <w:color w:val="auto"/>
              </w:rPr>
            </w:pPr>
          </w:p>
        </w:tc>
        <w:tc>
          <w:tcPr>
            <w:tcW w:w="1380" w:type="dxa"/>
            <w:vAlign w:val="bottom"/>
          </w:tcPr>
          <w:p>
            <w:pPr>
              <w:jc w:val="center"/>
              <w:ind w:right="266"/>
              <w:spacing w:after="0" w:line="149" w:lineRule="exact"/>
              <w:rPr>
                <w:sz w:val="20"/>
                <w:szCs w:val="20"/>
                <w:color w:val="auto"/>
              </w:rPr>
            </w:pPr>
            <w:r>
              <w:rPr>
                <w:rFonts w:ascii="Arial" w:cs="Arial" w:eastAsia="Arial" w:hAnsi="Arial"/>
                <w:sz w:val="14"/>
                <w:szCs w:val="14"/>
                <w:b w:val="1"/>
                <w:bCs w:val="1"/>
                <w:color w:val="auto"/>
                <w:w w:val="83"/>
              </w:rPr>
              <w:t>aggregate</w:t>
            </w:r>
          </w:p>
        </w:tc>
        <w:tc>
          <w:tcPr>
            <w:tcW w:w="4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20" w:type="dxa"/>
            <w:vAlign w:val="bottom"/>
          </w:tcPr>
          <w:p>
            <w:pPr>
              <w:spacing w:after="0"/>
              <w:rPr>
                <w:sz w:val="15"/>
                <w:szCs w:val="15"/>
                <w:color w:val="auto"/>
              </w:rPr>
            </w:pPr>
          </w:p>
        </w:tc>
        <w:tc>
          <w:tcPr>
            <w:tcW w:w="4840" w:type="dxa"/>
            <w:vAlign w:val="bottom"/>
          </w:tcPr>
          <w:p>
            <w:pPr>
              <w:ind w:left="1780"/>
              <w:spacing w:after="0"/>
              <w:rPr>
                <w:sz w:val="20"/>
                <w:szCs w:val="20"/>
                <w:color w:val="auto"/>
              </w:rPr>
            </w:pPr>
            <w:r>
              <w:rPr>
                <w:rFonts w:ascii="Arial" w:cs="Arial" w:eastAsia="Arial" w:hAnsi="Arial"/>
                <w:sz w:val="14"/>
                <w:szCs w:val="14"/>
                <w:b w:val="1"/>
                <w:bCs w:val="1"/>
                <w:color w:val="auto"/>
              </w:rPr>
              <w:t>Title of securities to be registered</w:t>
            </w:r>
          </w:p>
        </w:tc>
        <w:tc>
          <w:tcPr>
            <w:tcW w:w="2320" w:type="dxa"/>
            <w:vAlign w:val="bottom"/>
          </w:tcPr>
          <w:p>
            <w:pPr>
              <w:jc w:val="right"/>
              <w:ind w:right="204"/>
              <w:spacing w:after="0"/>
              <w:rPr>
                <w:sz w:val="20"/>
                <w:szCs w:val="20"/>
                <w:color w:val="auto"/>
              </w:rPr>
            </w:pPr>
            <w:r>
              <w:rPr>
                <w:rFonts w:ascii="Arial" w:cs="Arial" w:eastAsia="Arial" w:hAnsi="Arial"/>
                <w:sz w:val="14"/>
                <w:szCs w:val="14"/>
                <w:b w:val="1"/>
                <w:bCs w:val="1"/>
                <w:color w:val="auto"/>
              </w:rPr>
              <w:t>registered(1)(2)</w:t>
            </w:r>
          </w:p>
        </w:tc>
        <w:tc>
          <w:tcPr>
            <w:tcW w:w="340" w:type="dxa"/>
            <w:vAlign w:val="bottom"/>
          </w:tcPr>
          <w:p>
            <w:pPr>
              <w:spacing w:after="0"/>
              <w:rPr>
                <w:sz w:val="15"/>
                <w:szCs w:val="15"/>
                <w:color w:val="auto"/>
              </w:rPr>
            </w:pPr>
          </w:p>
        </w:tc>
        <w:tc>
          <w:tcPr>
            <w:tcW w:w="920" w:type="dxa"/>
            <w:vAlign w:val="bottom"/>
          </w:tcPr>
          <w:p>
            <w:pPr>
              <w:jc w:val="center"/>
              <w:ind w:right="224"/>
              <w:spacing w:after="0"/>
              <w:rPr>
                <w:sz w:val="20"/>
                <w:szCs w:val="20"/>
                <w:color w:val="auto"/>
              </w:rPr>
            </w:pPr>
            <w:r>
              <w:rPr>
                <w:rFonts w:ascii="Arial" w:cs="Arial" w:eastAsia="Arial" w:hAnsi="Arial"/>
                <w:sz w:val="14"/>
                <w:szCs w:val="14"/>
                <w:b w:val="1"/>
                <w:bCs w:val="1"/>
                <w:color w:val="auto"/>
                <w:w w:val="90"/>
              </w:rPr>
              <w:t>per unit(3)</w:t>
            </w:r>
          </w:p>
        </w:tc>
        <w:tc>
          <w:tcPr>
            <w:tcW w:w="300" w:type="dxa"/>
            <w:vAlign w:val="bottom"/>
          </w:tcPr>
          <w:p>
            <w:pPr>
              <w:spacing w:after="0"/>
              <w:rPr>
                <w:sz w:val="15"/>
                <w:szCs w:val="15"/>
                <w:color w:val="auto"/>
              </w:rPr>
            </w:pPr>
          </w:p>
        </w:tc>
        <w:tc>
          <w:tcPr>
            <w:tcW w:w="1380" w:type="dxa"/>
            <w:vAlign w:val="bottom"/>
          </w:tcPr>
          <w:p>
            <w:pPr>
              <w:jc w:val="center"/>
              <w:ind w:right="286"/>
              <w:spacing w:after="0"/>
              <w:rPr>
                <w:sz w:val="20"/>
                <w:szCs w:val="20"/>
                <w:color w:val="auto"/>
              </w:rPr>
            </w:pPr>
            <w:r>
              <w:rPr>
                <w:rFonts w:ascii="Arial" w:cs="Arial" w:eastAsia="Arial" w:hAnsi="Arial"/>
                <w:sz w:val="14"/>
                <w:szCs w:val="14"/>
                <w:b w:val="1"/>
                <w:bCs w:val="1"/>
                <w:color w:val="auto"/>
                <w:w w:val="88"/>
              </w:rPr>
              <w:t>offering price(3)</w:t>
            </w: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w w:val="87"/>
              </w:rPr>
              <w:t>registration fee(3)</w:t>
            </w:r>
          </w:p>
        </w:tc>
      </w:tr>
      <w:tr>
        <w:trPr>
          <w:trHeight w:val="210"/>
        </w:trPr>
        <w:tc>
          <w:tcPr>
            <w:tcW w:w="20" w:type="dxa"/>
            <w:vAlign w:val="bottom"/>
            <w:tcBorders>
              <w:bottom w:val="single" w:sz="8" w:color="auto"/>
            </w:tcBorders>
          </w:tcPr>
          <w:p>
            <w:pPr>
              <w:spacing w:after="0"/>
              <w:rPr>
                <w:sz w:val="18"/>
                <w:szCs w:val="18"/>
                <w:color w:val="auto"/>
              </w:rPr>
            </w:pPr>
          </w:p>
        </w:tc>
        <w:tc>
          <w:tcPr>
            <w:tcW w:w="4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232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8"/>
                <w:szCs w:val="18"/>
                <w:color w:val="auto"/>
              </w:rPr>
              <w:t>4,250,000</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8"/>
                <w:szCs w:val="18"/>
                <w:color w:val="auto"/>
              </w:rPr>
              <w:t>32.565</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8"/>
                <w:szCs w:val="18"/>
                <w:color w:val="auto"/>
                <w:w w:val="87"/>
              </w:rPr>
              <w:t>138,401,250.00</w:t>
            </w:r>
          </w:p>
        </w:tc>
        <w:tc>
          <w:tcPr>
            <w:tcW w:w="4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16,289.83</w:t>
            </w:r>
          </w:p>
        </w:tc>
        <w:tc>
          <w:tcPr>
            <w:tcW w:w="20" w:type="dxa"/>
            <w:vAlign w:val="bottom"/>
            <w:tcBorders>
              <w:bottom w:val="single" w:sz="8" w:color="auto"/>
            </w:tcBorders>
          </w:tcPr>
          <w:p>
            <w:pPr>
              <w:spacing w:after="0"/>
              <w:rPr>
                <w:sz w:val="18"/>
                <w:szCs w:val="18"/>
                <w:color w:val="auto"/>
              </w:rPr>
            </w:pPr>
          </w:p>
        </w:tc>
      </w:tr>
      <w:tr>
        <w:trPr>
          <w:trHeight w:val="210"/>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Deferred Compensation Obligations</w:t>
            </w:r>
          </w:p>
        </w:tc>
        <w:tc>
          <w:tcPr>
            <w:tcW w:w="232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color w:val="auto"/>
              </w:rPr>
              <w:t>$65,000,000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4"/>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8"/>
                <w:szCs w:val="18"/>
                <w:color w:val="auto"/>
                <w:w w:val="95"/>
              </w:rPr>
              <w:t>65,000,000.00</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7,650.50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23,940.33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right="80" w:hanging="452"/>
        <w:spacing w:after="0" w:line="252"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(the “Registration Statement”) registers the issuance of 4,250,000 additional shares of the Class A Common Stock (the “Common Stock”) of Comcast Corporation (the “Registrant”), par value $0.01, which are issuable pursuant to the Comcast Corporation 2002 Restricted Stock Plan, as amended and restated (the “Plan”) and $65,000,000 of deferred compensation obligations (the “Deferred Compensation Obligations”) of the Registrant under the Plan.</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shall also be deemed covered hereby such additional shares as may result from anti-dilution adjustments under the Plans and which may hereinafter be offered or issued to prevent dilution resulting from stock splits, stock dividends, recapitalizations or certain other capital adjustments.</w:t>
      </w:r>
    </w:p>
    <w:p>
      <w:pPr>
        <w:spacing w:after="0" w:line="1"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paragraphs (c) and (h) of Rule 457 of the Securities Act of 1933, as amended, solely for the purpose of calculating the registration fee on the basis of the high and low sales prices of shares of Class A Common Stock on the Nasdaq National Market on February 22,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8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document(s) containing the information specified in Part I of Form S-8 will be sent or given to participants in the Plan as specified by Rule 428(b)(1) of the Securities Act. Such documents are not being filed with the Securities and Exchange Commission (the “Commission”), but constitute, along with the documents incorporated by reference to this Registration Statement, a prospectus that meets the requirements of Section 10(a) of the Securities Act.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83"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Comcast Corporation (the “Registrant”) will furnish, without charge, to each person to whom the prospectus is delivered, upon the written or oral request of such person, a copy of any and all of the documents incorporated by reference, other than exhibits to such documents (unless such documents are specifically incorporated by reference to the information that is incorporated). Requests should be directed to: Comcast Corporation, 1500 Market Street, Philadelphia, Pennsylvania 19102-2148; telephone (215) 665-1700.</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8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Pursuant to General Instruction E of Form S-8, this registration statement on Form S-8 relates, in part, to the registration of an additional 4,250,000 shares of the Registrant’s Class A Common Stock, par value $0.01 per share, which are securities of the same class and relate to the same employee benefit plan, the Comcast Corporation 2002 Restricted Stock Plan, as amended and restated, as those shares registered in the Registrant’s registration statements on Form S-8 and Form S-8 POS, previously filed with the Commission on November 19, 2002 and December 4, 2002 (Registration No. 333-101295), December 4, 2002 (Registration No. 333-101645) and April 8, 2003 (Registration No. 333-104385), which are hereby incorporated by reference.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documents, which have been filed by the Registrant with the Commission, are incorporated by reference into this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7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2004.</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February 22, 2005 and January 6, 2005.</w:t>
      </w:r>
    </w:p>
    <w:p>
      <w:pPr>
        <w:spacing w:after="0" w:line="76"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Common Stock contained in the Registration Statement on Form S-4 (File No. 333-82460), filed with the Commission on February 11, 2002, including</w:t>
      </w:r>
    </w:p>
    <w:p>
      <w:pPr>
        <w:sectPr>
          <w:pgSz w:w="11900" w:h="16838" w:orient="portrait"/>
          <w:cols w:equalWidth="0" w:num="1">
            <w:col w:w="11380"/>
          </w:cols>
          <w:pgMar w:left="240" w:top="274" w:right="279" w:bottom="1440" w:gutter="0" w:footer="0" w:header="0"/>
        </w:sectPr>
      </w:pPr>
    </w:p>
    <w:bookmarkStart w:id="2" w:name="page3"/>
    <w:bookmarkEnd w:id="2"/>
    <w:p>
      <w:pPr>
        <w:ind w:left="92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amendments or reports filed for the purpose of updating such description in which there is described the terms, rights and provisions applicable to the Registrant’s Common Stock.</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Registrant is not incorporating by reference any Form 8-Ks through which it furnished, rather than filed, information with the Commission.</w:t>
      </w:r>
    </w:p>
    <w:p>
      <w:pPr>
        <w:spacing w:after="0" w:line="18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All documents filed by the Registrant pursuant to Sections 13(a), 13(c), 14 or 15(d) of the Securities Exchange Act of 1934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83"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The following description of the deferred compensation obligations of the Registrant under the 2002 Restricted Stock Plan, as amended and restated (the “Plan”) is qualified by reference to the Plan, which is included as an exhibit to this registration statement. Capitalized terms used in this Item 4 and not otherwise defined in this registration statement shall have the respective meanings attributed to such terms in the Plan. The shares of Class A Common Stock, $.01 par value issuable under the Plan are not described herein as they are registered pursuant to Section 12 of the Exchange Act.</w:t>
      </w:r>
    </w:p>
    <w:p>
      <w:pPr>
        <w:spacing w:after="0" w:line="99" w:lineRule="exact"/>
        <w:rPr>
          <w:sz w:val="20"/>
          <w:szCs w:val="20"/>
          <w:color w:val="auto"/>
        </w:rPr>
      </w:pPr>
    </w:p>
    <w:p>
      <w:pPr>
        <w:ind w:right="600" w:firstLine="913"/>
        <w:spacing w:after="0" w:line="298" w:lineRule="auto"/>
        <w:rPr>
          <w:sz w:val="20"/>
          <w:szCs w:val="20"/>
          <w:color w:val="auto"/>
        </w:rPr>
      </w:pPr>
      <w:r>
        <w:rPr>
          <w:rFonts w:ascii="Arial" w:cs="Arial" w:eastAsia="Arial" w:hAnsi="Arial"/>
          <w:sz w:val="16"/>
          <w:szCs w:val="16"/>
          <w:color w:val="auto"/>
        </w:rPr>
        <w:t>The Plan is administered by the Compensation Committee of the Board of Directors of the Registrant (the “Plan Administrator”). The Plan Administrator may delegate to an officer of the Registrant or a committee of two or more officers of the Registrant discretion to grant Restricted Stock or Restricted Stock Units to any Grantee other than a Grantee who has a base salary of $500,000 or more, holds a position with the Registrant of Senior Vice President or higher or who is subject to the short-swing profit rules of Section 16(b) of the Exchange Act.</w:t>
      </w:r>
    </w:p>
    <w:p>
      <w:pPr>
        <w:spacing w:after="0" w:line="99"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deferred compensation obligations incurred by the Registrant under the Plan will be unsecured general obligations of the Registrant to pay the compensation deferred in accordance with the terms of the Plan and will rank equally with other unsecured and unsubordinated indebtedness of the Registrant, from time to time outstanding, payable from the general assets of the Registrant. Because the Registrant has subsidiaries, the right of the Registrant, and hence the right of the creditors of the Registrant (including participants in the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pacing w:after="0" w:line="131"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Under the Plan, the Registrant will provide a select group of management and highly compensated employees of the Registrant and each of the Registrant’s subsidiaries which is a Participating Company and, subject to the approval of the Registrant’s shareholders at the 2005 Annual Meeting, members of the Registrant’s Board of Directors (the “Board”) who are not employees of a Participating Company (the “Outside Directors”) with the opportunity to defer the receipt of Shares upon the vesting of Restricted Stock and Restricted Stock Units and to convert the right to receive Shares to the right to receive the cash value thereof, plus interest thereon from the date of such conversion, in accordance with the terms of the Plan.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 w:name="page4"/>
    <w:bookmarkEnd w:id="3"/>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provides that the Registrant will provide certain eligible management and highly compensated employees and Outside Directors with the opportunity to defer receipt of Shares for a period of two to ten years from the date forfeiture restrictions may lapse, for Restricted Stock Awards, or the date an Award of Restricted Stock Units vests (each a “Vesting Date”). If restrictions on an Award of Restricted Stock do not lapse before the distribution date identified in a Deferral Election, or Restricted Stock Units do not vest before such date, because of a failure to satisfy any condition precedent, a Deferral Election will be null and void. Generally, with respect to Restricted Stock or Restricted Stock Units that vest after December 31, 2004, and are subject to an initial Deferral Election, participants in the Plan may elect to re-defer receipt of any previously deferred Shares for an additional period of five to ten years if the election to defer receipt is made at least 12 months before the year in which the shares would otherwise be paid.</w:t>
      </w:r>
    </w:p>
    <w:p>
      <w:pPr>
        <w:spacing w:after="0" w:line="10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Shares subject to a Deferral Election will be distributed by the Registrant in accordance with the Plan. After a Deferral Election is made, upon the occurrence of a Vesting Date, participants’ Accounts are credited in the form of Deferred Stock Units under the Company Stock Fund. Each participant eligible to make a Deferral Election may elect to have a portion of the participant’s Account (up to 40%) credited in the form of Deferred Stock Units under the Company Stock Fund deemed liquidated and credited under the Income Fund (the “Diversification Elections”). An election to have a portion greater than 40% deemed liquidated and converted to the Income Fund requires approval of the Plan Administrator (a “Special Diversification Election”). Diversification Elections and approved Special Diversification Elections are available to participants at any time that a registration statement filed under the Securities Act of 1933, as amended, is effective with respect to the Plan. Once these conditions are met, Diversification Elections or Special Diversification Elections will become effective on the later of the date designated by the participant on his or her Diversification Election or Special Diversification Election or the next business day following the lapse of six months from the date Deferred Stock Units are credited to his or her Account.</w:t>
      </w:r>
    </w:p>
    <w:p>
      <w:pPr>
        <w:spacing w:after="0" w:line="106" w:lineRule="exact"/>
        <w:rPr>
          <w:sz w:val="20"/>
          <w:szCs w:val="20"/>
          <w:color w:val="auto"/>
        </w:rPr>
      </w:pPr>
    </w:p>
    <w:p>
      <w:pPr>
        <w:ind w:right="160" w:firstLine="913"/>
        <w:spacing w:after="0" w:line="289" w:lineRule="auto"/>
        <w:rPr>
          <w:sz w:val="20"/>
          <w:szCs w:val="20"/>
          <w:color w:val="auto"/>
        </w:rPr>
      </w:pPr>
      <w:r>
        <w:rPr>
          <w:rFonts w:ascii="Arial" w:cs="Arial" w:eastAsia="Arial" w:hAnsi="Arial"/>
          <w:sz w:val="16"/>
          <w:szCs w:val="16"/>
          <w:color w:val="auto"/>
        </w:rPr>
        <w:t>As defined in the Plan, the Income Fund is a hypothetical investment fund pursuant to which an amount equal to the Fair Market Value of the Deferred Stock Units subject to a Diversification Election is credited as of the effective date of such Diversification Election and as to which interest is credited thereafter until the date of distribution at the Applicable Interest Rate. As defined in the Plan, the Applicable Interest Rate means 8% per annum, compounded annually as of the last day of the calendar year (the “Standard Applicable Interest Rate”), or such other interest rate as the Plan Administrator establishes from time to time, except to the extent the Plan Administrator, in its sole and absolute discretion, designates for the period extending from the date of a participant’s termination of employment to the date of his or her Account’s distribution in full an Applicable Interest Rate equal to the lessor of (i) the Standard Applicable Interest Rate and (ii) the Prime Rate plus one percent, compounded annually as of the last day of the calendar year. The Plan Administrator may delegate its authority to determine the Applicable Interest Rate to an officer of the Registrant or a committee of two or more officers of the Registrant.</w:t>
      </w:r>
    </w:p>
    <w:p>
      <w:pPr>
        <w:spacing w:after="0" w:line="105"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As defined in the Plan, the Company Stock Fund means a hypothetical investment fund pursuant to which Deferred Stock Units are credited with respect to an Award of Restricted Stock or Restricted Stock Units subject to a Deferral Election by the participant, and thereafter until the date of distribution or the effective date of a Diversification Election, to the extent a Diversification Election applies to such Deferred Stock Units, as applicable. The portion of a participant’s Account deemed invested in the Company Stock Fund is treated as if such a portion of the Account were invested in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 w:name="page5"/>
    <w:bookmarkEnd w:id="4"/>
    <w:p>
      <w:pPr>
        <w:jc w:val="both"/>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hypothetical shares of the Registrant’s Common Stock or Class A Special Common Stock (the “Special Common Stock”), as applicable, otherwise deliverable as Shares on the Vesting Date associated with the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99"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If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then, except as may otherwise be provided by the Plan Administrator in its sole and absolute discretion, the following percentage of the participant’s Account credited to the Income Fund and attributable to such Diversification Election will be distributed simultaneously with such Shares, without regard to any election to the contrary: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Distributable 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Corresponding Income Fund</w:t>
            </w:r>
          </w:p>
        </w:tc>
        <w:tc>
          <w:tcPr>
            <w:tcW w:w="0" w:type="dxa"/>
            <w:vAlign w:val="bottom"/>
          </w:tcPr>
          <w:p>
            <w:pPr>
              <w:spacing w:after="0"/>
              <w:rPr>
                <w:sz w:val="1"/>
                <w:szCs w:val="1"/>
                <w:color w:val="auto"/>
              </w:rPr>
            </w:pPr>
          </w:p>
        </w:tc>
      </w:tr>
      <w:tr>
        <w:trPr>
          <w:trHeight w:val="174"/>
        </w:trPr>
        <w:tc>
          <w:tcPr>
            <w:tcW w:w="9600" w:type="dxa"/>
            <w:vAlign w:val="bottom"/>
            <w:gridSpan w:val="3"/>
          </w:tcPr>
          <w:p>
            <w:pPr>
              <w:spacing w:after="0"/>
              <w:rPr>
                <w:sz w:val="20"/>
                <w:szCs w:val="20"/>
                <w:color w:val="auto"/>
              </w:rPr>
            </w:pPr>
            <w:r>
              <w:rPr>
                <w:rFonts w:ascii="Arial" w:cs="Arial" w:eastAsia="Arial" w:hAnsi="Arial"/>
                <w:sz w:val="14"/>
                <w:szCs w:val="14"/>
                <w:b w:val="1"/>
                <w:bCs w:val="1"/>
                <w:color w:val="auto"/>
              </w:rPr>
              <w:t>Time that Shares are Distributable</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708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before the third anniversary of a Diversification Election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After the third anniversary of a Diversification Election and on or before the fourth anniversary of a</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Diversification Election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the fourth anniversary of a Diversification Election and on or before the fifth anniversary of a</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Diversification Election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Deferred Stock Units credited to an Account shall be distributed in lump sum in shares of Common Stock and/or Special Common Stock, as applicable. Dividend Equivalents shall be distributed in a lump sum in cash. Amounts credited to the Income Fund pursuant to a Diversification Election will be distributed in a lump sum in cash.</w:t>
      </w:r>
    </w:p>
    <w:p>
      <w:pPr>
        <w:spacing w:after="0" w:line="127" w:lineRule="exact"/>
        <w:rPr>
          <w:sz w:val="20"/>
          <w:szCs w:val="20"/>
          <w:color w:val="auto"/>
        </w:rPr>
      </w:pPr>
    </w:p>
    <w:p>
      <w:pPr>
        <w:ind w:right="140" w:firstLine="913"/>
        <w:spacing w:after="0" w:line="318" w:lineRule="auto"/>
        <w:rPr>
          <w:sz w:val="20"/>
          <w:szCs w:val="20"/>
          <w:color w:val="auto"/>
        </w:rPr>
      </w:pPr>
      <w:r>
        <w:rPr>
          <w:rFonts w:ascii="Arial" w:cs="Arial" w:eastAsia="Arial" w:hAnsi="Arial"/>
          <w:sz w:val="15"/>
          <w:szCs w:val="15"/>
          <w:color w:val="auto"/>
        </w:rPr>
        <w:t>The right to receive Shares deferred under the Plan will at all times represent the general obligation of the Registrant. Each participant will be a general creditor of the Registrant with respect to his or her Deferral Elections. Nothing contained in the Plan will be deemed to create an escrow, trust, custodial account or fiduciary relationship of any kind. Furthermore, nothing contained in the Plan or an Award of Restricted Stock will be construed to eliminate any priority or preferred position of a grantee in a bankruptcy matter with respect to a claim for wages. The right to receive Shares subject to a Deferral Election will not be subject in any manner to attachment or other legal process, nor is such right subject to anticipation, alienation, sale, transfer, assignment or encumbrance.</w:t>
      </w:r>
    </w:p>
    <w:p>
      <w:pPr>
        <w:spacing w:after="0" w:line="86"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Board of Directors of the Registrant has the authority to terminate the Plan at any time. Furthermore, the Plan may be amended by the Board of Directors or the Plan Administrator at any time. No Award of Restricted Stock granted under the Plan will be affected by any such termination or amendment without a participant’s written consent.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Interests of Named Experts and Counsel.</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83"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7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against expenses actually and reasonably incurred, is mandatory to the extent that the director, officer, employee or agent has been successful on the merits or otherwise in defense of any action or proceeding relating to third-party or derivative and corporate actions or in defense of any claim, issue or matter therein.</w:t>
      </w:r>
    </w:p>
    <w:p>
      <w:pPr>
        <w:spacing w:after="0" w:line="105" w:lineRule="exact"/>
        <w:rPr>
          <w:sz w:val="20"/>
          <w:szCs w:val="20"/>
          <w:color w:val="auto"/>
        </w:rPr>
      </w:pPr>
    </w:p>
    <w:p>
      <w:pPr>
        <w:jc w:val="both"/>
        <w:ind w:right="140" w:firstLine="913"/>
        <w:spacing w:after="0" w:line="335" w:lineRule="auto"/>
        <w:rPr>
          <w:sz w:val="20"/>
          <w:szCs w:val="20"/>
          <w:color w:val="auto"/>
        </w:rPr>
      </w:pPr>
      <w:r>
        <w:rPr>
          <w:rFonts w:ascii="Arial" w:cs="Arial" w:eastAsia="Arial" w:hAnsi="Arial"/>
          <w:sz w:val="15"/>
          <w:szCs w:val="15"/>
          <w:color w:val="auto"/>
        </w:rPr>
        <w:t>Section 1742 provides for indemnification in derivative and corporate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75"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Section 1744 provides that, unless ordered by a court, any indemnification under Section 1741 or 1742 shall be made by the corporation only as authorized in the specific case upon a determination that the representative met the applicable standard of conduct set forth in those sections and such determination shall be made: (1) by the board of directors by majority vote of a quorum of directors not parties to the action or proceeding; (2) if a quorum is not obtainable and a majority of disinterested directors so directs, by independent legal counsel in a written opinion; or (3) by the shareholders.</w:t>
      </w:r>
    </w:p>
    <w:p>
      <w:pPr>
        <w:spacing w:after="0" w:line="99"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 Advancement of expenses must be authorized by the board of directors.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6" w:name="page7"/>
    <w:bookmarkEnd w:id="6"/>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insure in any manner its indemnification obligations.</w:t>
      </w:r>
    </w:p>
    <w:p>
      <w:pPr>
        <w:spacing w:after="0" w:line="107"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Section 1747 grants a corporation the power to purchase and maintain insurance on behalf of any person who is or was a representative of the corporation or is or was serving at the request of the corporation as a representative of another corporation, partnership, joint venture, trust or other enterprise, against any liability incurred by him in any such capacity, whether or not the corporation would have the power to indemnify him against that liability under this Subchapter of the BCL.</w:t>
      </w:r>
    </w:p>
    <w:p>
      <w:pPr>
        <w:spacing w:after="0" w:line="13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Sections 1748 and 1749 extend the indemnification and advancement of expenses provisions contained in Sections 1741 through 1750 of the BCL to constituent corporations absorbed in a consolidation, merger or division, as well as the surviving or new corporations surviving or resulting therefrom and to representatives serving as fiduciaries of employee benefit plans.</w:t>
      </w:r>
    </w:p>
    <w:p>
      <w:pPr>
        <w:spacing w:after="0" w:line="127"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Section 1750 provides that the indemnification and advancement of expenses provided by, or granted pursuant to, Sections 1741 through 1750 of the BCL shall, unless otherwise provided when authorized or ratified, continue as to a person who has ceased to be a representative of the corporation and shall inure to the benefit of the heirs and personal representatives of such person.</w:t>
      </w:r>
    </w:p>
    <w:p>
      <w:pPr>
        <w:spacing w:after="0" w:line="12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Section 7.02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7.02 may be made, however, in any case where the act or failure to act giving rise to the claim for indemnification is determined by a court to have constituted willful misconduct or recklessness.</w:t>
      </w:r>
    </w:p>
    <w:p>
      <w:pPr>
        <w:spacing w:after="0" w:line="107" w:lineRule="exact"/>
        <w:rPr>
          <w:sz w:val="20"/>
          <w:szCs w:val="20"/>
          <w:color w:val="auto"/>
        </w:rPr>
      </w:pPr>
    </w:p>
    <w:p>
      <w:pPr>
        <w:ind w:right="240" w:firstLine="913"/>
        <w:spacing w:after="0" w:line="289" w:lineRule="auto"/>
        <w:rPr>
          <w:sz w:val="20"/>
          <w:szCs w:val="20"/>
          <w:color w:val="auto"/>
        </w:rPr>
      </w:pPr>
      <w:r>
        <w:rPr>
          <w:rFonts w:ascii="Arial" w:cs="Arial" w:eastAsia="Arial" w:hAnsi="Arial"/>
          <w:sz w:val="16"/>
          <w:szCs w:val="16"/>
          <w:color w:val="auto"/>
        </w:rPr>
        <w:t>Section 7.02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7.02 provides that, to the extent that an indemnified person has been successful on the merits or otherwise in defense of any Proceeding or in defense of any claim, issue or matter therein, the Registrant shall indemnify such person against expenses actually and reasonably incurred by such person in connection therewith. Section 7.02 also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laws or otherwise. Furthermore, Section 7.02 states that the Registrant may create a fund of any nature or otherwise may secure in any manner its indemnification obligations, whether arising under the By-laws or otherwise. Indemnification pursuant to Section 7.02 shall continue as to an indemnified person who has ceased to be a director or officer and shall inure to the benefit of his heirs, executors and administrators. The rights to indemnification and to the advancement of expenses provided in or pursuant to Article 7 of the By-laws are not exclusive of any other rights that any person may have or acquire under any provision of the By-Laws or otherwise.</w:t>
      </w:r>
    </w:p>
    <w:p>
      <w:pPr>
        <w:spacing w:after="0" w:line="129" w:lineRule="exact"/>
        <w:rPr>
          <w:sz w:val="20"/>
          <w:szCs w:val="20"/>
          <w:color w:val="auto"/>
        </w:rPr>
      </w:pPr>
    </w:p>
    <w:p>
      <w:pPr>
        <w:ind w:right="260" w:firstLine="913"/>
        <w:spacing w:after="0" w:line="286" w:lineRule="auto"/>
        <w:rPr>
          <w:sz w:val="20"/>
          <w:szCs w:val="20"/>
          <w:color w:val="auto"/>
        </w:rPr>
      </w:pPr>
      <w:r>
        <w:rPr>
          <w:rFonts w:ascii="Arial" w:cs="Arial" w:eastAsia="Arial" w:hAnsi="Arial"/>
          <w:sz w:val="16"/>
          <w:szCs w:val="16"/>
          <w:color w:val="auto"/>
        </w:rPr>
        <w:t>Section 7.03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w:t>
      </w:r>
    </w:p>
    <w:p>
      <w:pPr>
        <w:ind w:right="100"/>
        <w:spacing w:after="0" w:line="292" w:lineRule="auto"/>
        <w:rPr>
          <w:sz w:val="20"/>
          <w:szCs w:val="20"/>
          <w:color w:val="auto"/>
        </w:rPr>
      </w:pPr>
      <w:r>
        <w:rPr>
          <w:rFonts w:ascii="Arial" w:cs="Arial" w:eastAsia="Arial" w:hAnsi="Arial"/>
          <w:sz w:val="16"/>
          <w:szCs w:val="16"/>
          <w:color w:val="auto"/>
        </w:rPr>
        <w:t>7.03. Furthermore, any repeal or amendment of the indemnification provisions of the By-laws adverse to any director or officer will apply only on a prospective basis. In addition, no repeal or amendment of the By-laws may affect the indemnification provisions of the By-laws so as either to reduce the limitation of directors’ liability or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83" w:lineRule="exact"/>
        <w:rPr>
          <w:sz w:val="20"/>
          <w:szCs w:val="20"/>
          <w:color w:val="auto"/>
        </w:rPr>
      </w:pPr>
    </w:p>
    <w:p>
      <w:pPr>
        <w:ind w:left="1100" w:right="1100" w:hanging="634"/>
        <w:spacing w:after="0" w:line="268" w:lineRule="auto"/>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Comcast Corporation 2002 Restricted Stock Plan, as amended and restated (Incorporated herein by reference to Exhibit 10.7 to the Registrant’s Annual Report on Form 10-K, filed with the Commission on February 23, 2005).</w:t>
      </w:r>
    </w:p>
    <w:p>
      <w:pPr>
        <w:spacing w:after="0" w:line="7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LLP (contained in Exhibits 5.1 and 5.2).</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in the signature pages hereto).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Registrant hereby undertakes:</w:t>
      </w:r>
    </w:p>
    <w:p>
      <w:pPr>
        <w:spacing w:after="0" w:line="77" w:lineRule="exact"/>
        <w:rPr>
          <w:sz w:val="20"/>
          <w:szCs w:val="20"/>
          <w:color w:val="auto"/>
        </w:rPr>
      </w:pPr>
    </w:p>
    <w:p>
      <w:pPr>
        <w:ind w:left="1160" w:hanging="239"/>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58" w:lineRule="exact"/>
        <w:rPr>
          <w:sz w:val="20"/>
          <w:szCs w:val="20"/>
          <w:color w:val="auto"/>
        </w:rPr>
      </w:pPr>
    </w:p>
    <w:p>
      <w:pPr>
        <w:ind w:right="160" w:firstLine="921"/>
        <w:spacing w:after="0" w:line="298" w:lineRule="auto"/>
        <w:tabs>
          <w:tab w:leader="none" w:pos="1171"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decrease in volume of securities offered (if the total dollar value of securities offered would not exceed that which was registered) and any deviation from the low or high and of the estimated maximum offering range may be reflected in the form of 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8" w:name="page9"/>
    <w:bookmarkEnd w:id="8"/>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 filed with the Commission pursuant to Rule 424(h) if, in the aggregate, the changes in volume and price represent no more than a 20 percent change in the maximum aggregate offering price set forth in the “Calculation of Registration Fee” table in the effective Registration Statement; and</w:t>
      </w:r>
    </w:p>
    <w:p>
      <w:pPr>
        <w:spacing w:after="0" w:line="72" w:lineRule="exact"/>
        <w:rPr>
          <w:sz w:val="20"/>
          <w:szCs w:val="20"/>
          <w:color w:val="auto"/>
        </w:rPr>
      </w:pPr>
    </w:p>
    <w:p>
      <w:pPr>
        <w:ind w:right="40" w:firstLine="921"/>
        <w:spacing w:after="0" w:line="268"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provided, however, that clauses (1)(i) and (1)(ii) do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the Registration Statement.</w:t>
      </w:r>
    </w:p>
    <w:p>
      <w:pPr>
        <w:spacing w:after="0" w:line="127" w:lineRule="exact"/>
        <w:rPr>
          <w:sz w:val="20"/>
          <w:szCs w:val="20"/>
          <w:color w:val="auto"/>
        </w:rPr>
      </w:pPr>
    </w:p>
    <w:p>
      <w:pPr>
        <w:ind w:right="200" w:firstLine="921"/>
        <w:spacing w:after="0" w:line="259" w:lineRule="auto"/>
        <w:tabs>
          <w:tab w:leader="none" w:pos="1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right="800" w:firstLine="921"/>
        <w:spacing w:after="0" w:line="268" w:lineRule="auto"/>
        <w:tabs>
          <w:tab w:leader="none" w:pos="1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The undersigned Registrant hereby undertakes that, for the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trustees,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March 1, 2005.</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Arthur R. Block</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 Senior Vice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General Counsel and Secretary</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8"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each of David L. Cohen, Lawrence S. Smith, Arthur R. Block and Lawrence J. Salva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either of them, or their or his substitute or substitutes, may lawfully do or cause to be done by virtue hereof.</w:t>
      </w:r>
    </w:p>
    <w:p>
      <w:pPr>
        <w:spacing w:after="0" w:line="1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020" w:type="dxa"/>
            <w:vAlign w:val="bottom"/>
          </w:tcPr>
          <w:p>
            <w:pPr>
              <w:spacing w:after="0"/>
              <w:rPr>
                <w:sz w:val="15"/>
                <w:szCs w:val="15"/>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5"/>
                <w:szCs w:val="15"/>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95"/>
        </w:trPr>
        <w:tc>
          <w:tcPr>
            <w:tcW w:w="76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20" w:type="dxa"/>
            <w:vAlign w:val="bottom"/>
            <w:gridSpan w:val="2"/>
          </w:tcPr>
          <w:p>
            <w:pPr>
              <w:spacing w:after="0"/>
              <w:rPr>
                <w:sz w:val="20"/>
                <w:szCs w:val="20"/>
                <w:color w:val="auto"/>
              </w:rPr>
            </w:pPr>
            <w:r>
              <w:rPr>
                <w:rFonts w:ascii="Arial" w:cs="Arial" w:eastAsia="Arial" w:hAnsi="Arial"/>
                <w:sz w:val="18"/>
                <w:szCs w:val="18"/>
                <w:color w:val="auto"/>
              </w:rPr>
              <w:t>/s/ Ralph J. Roberts</w:t>
            </w:r>
          </w:p>
        </w:tc>
        <w:tc>
          <w:tcPr>
            <w:tcW w:w="5480" w:type="dxa"/>
            <w:vAlign w:val="bottom"/>
            <w:gridSpan w:val="3"/>
          </w:tcPr>
          <w:p>
            <w:pPr>
              <w:ind w:left="1120"/>
              <w:spacing w:after="0"/>
              <w:rPr>
                <w:sz w:val="20"/>
                <w:szCs w:val="20"/>
                <w:color w:val="auto"/>
              </w:rPr>
            </w:pPr>
            <w:r>
              <w:rPr>
                <w:rFonts w:ascii="Arial" w:cs="Arial" w:eastAsia="Arial" w:hAnsi="Arial"/>
                <w:sz w:val="18"/>
                <w:szCs w:val="18"/>
                <w:color w:val="auto"/>
              </w:rPr>
              <w:t>Chairman of the Executive and Finance</w:t>
            </w:r>
          </w:p>
        </w:tc>
        <w:tc>
          <w:tcPr>
            <w:tcW w:w="156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6"/>
        </w:trPr>
        <w:tc>
          <w:tcPr>
            <w:tcW w:w="7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5480" w:type="dxa"/>
            <w:vAlign w:val="bottom"/>
            <w:gridSpan w:val="3"/>
            <w:vMerge w:val="restart"/>
          </w:tcPr>
          <w:p>
            <w:pPr>
              <w:ind w:left="1120"/>
              <w:spacing w:after="0"/>
              <w:rPr>
                <w:sz w:val="20"/>
                <w:szCs w:val="20"/>
                <w:color w:val="auto"/>
              </w:rPr>
            </w:pPr>
            <w:r>
              <w:rPr>
                <w:rFonts w:ascii="Arial" w:cs="Arial" w:eastAsia="Arial" w:hAnsi="Arial"/>
                <w:sz w:val="18"/>
                <w:szCs w:val="18"/>
                <w:color w:val="auto"/>
              </w:rPr>
              <w:t>Committee of the Board of Directors; Director</w:t>
            </w: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Ralph J. Roberts</w:t>
            </w:r>
          </w:p>
        </w:tc>
        <w:tc>
          <w:tcPr>
            <w:tcW w:w="54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920" w:type="dxa"/>
            <w:vAlign w:val="bottom"/>
            <w:gridSpan w:val="2"/>
            <w:vMerge w:val="continue"/>
          </w:tcPr>
          <w:p>
            <w:pPr>
              <w:spacing w:after="0"/>
              <w:rPr>
                <w:sz w:val="19"/>
                <w:szCs w:val="19"/>
                <w:color w:val="auto"/>
              </w:rPr>
            </w:pPr>
          </w:p>
        </w:tc>
        <w:tc>
          <w:tcPr>
            <w:tcW w:w="3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20" w:type="dxa"/>
            <w:vAlign w:val="bottom"/>
            <w:gridSpan w:val="2"/>
          </w:tcPr>
          <w:p>
            <w:pPr>
              <w:spacing w:after="0"/>
              <w:rPr>
                <w:sz w:val="20"/>
                <w:szCs w:val="20"/>
                <w:color w:val="auto"/>
              </w:rPr>
            </w:pPr>
            <w:r>
              <w:rPr>
                <w:rFonts w:ascii="Arial" w:cs="Arial" w:eastAsia="Arial" w:hAnsi="Arial"/>
                <w:sz w:val="18"/>
                <w:szCs w:val="18"/>
                <w:color w:val="auto"/>
              </w:rPr>
              <w:t>/s/ Brian L. Roberts</w:t>
            </w:r>
          </w:p>
        </w:tc>
        <w:tc>
          <w:tcPr>
            <w:tcW w:w="5480" w:type="dxa"/>
            <w:vAlign w:val="bottom"/>
            <w:gridSpan w:val="3"/>
          </w:tcPr>
          <w:p>
            <w:pPr>
              <w:ind w:left="1120"/>
              <w:spacing w:after="0"/>
              <w:rPr>
                <w:sz w:val="20"/>
                <w:szCs w:val="20"/>
                <w:color w:val="auto"/>
              </w:rPr>
            </w:pPr>
            <w:r>
              <w:rPr>
                <w:rFonts w:ascii="Arial" w:cs="Arial" w:eastAsia="Arial" w:hAnsi="Arial"/>
                <w:sz w:val="18"/>
                <w:szCs w:val="18"/>
                <w:color w:val="auto"/>
              </w:rPr>
              <w:t>Chairman and CEO; Director (Principal</w:t>
            </w:r>
          </w:p>
        </w:tc>
        <w:tc>
          <w:tcPr>
            <w:tcW w:w="156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6"/>
        </w:trPr>
        <w:tc>
          <w:tcPr>
            <w:tcW w:w="7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5480" w:type="dxa"/>
            <w:vAlign w:val="bottom"/>
            <w:gridSpan w:val="3"/>
            <w:vMerge w:val="restart"/>
          </w:tcPr>
          <w:p>
            <w:pPr>
              <w:ind w:left="1120"/>
              <w:spacing w:after="0"/>
              <w:rPr>
                <w:sz w:val="20"/>
                <w:szCs w:val="20"/>
                <w:color w:val="auto"/>
              </w:rPr>
            </w:pPr>
            <w:r>
              <w:rPr>
                <w:rFonts w:ascii="Arial" w:cs="Arial" w:eastAsia="Arial" w:hAnsi="Arial"/>
                <w:sz w:val="18"/>
                <w:szCs w:val="18"/>
                <w:color w:val="auto"/>
              </w:rPr>
              <w:t>Executive Officer)</w:t>
            </w: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Brian L. Roberts</w:t>
            </w:r>
          </w:p>
        </w:tc>
        <w:tc>
          <w:tcPr>
            <w:tcW w:w="54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920" w:type="dxa"/>
            <w:vAlign w:val="bottom"/>
            <w:gridSpan w:val="2"/>
            <w:vMerge w:val="continue"/>
          </w:tcPr>
          <w:p>
            <w:pPr>
              <w:spacing w:after="0"/>
              <w:rPr>
                <w:sz w:val="19"/>
                <w:szCs w:val="19"/>
                <w:color w:val="auto"/>
              </w:rPr>
            </w:pPr>
          </w:p>
        </w:tc>
        <w:tc>
          <w:tcPr>
            <w:tcW w:w="3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20" w:type="dxa"/>
            <w:vAlign w:val="bottom"/>
            <w:gridSpan w:val="2"/>
          </w:tcPr>
          <w:p>
            <w:pPr>
              <w:spacing w:after="0"/>
              <w:rPr>
                <w:sz w:val="20"/>
                <w:szCs w:val="20"/>
                <w:color w:val="auto"/>
              </w:rPr>
            </w:pPr>
            <w:r>
              <w:rPr>
                <w:rFonts w:ascii="Arial" w:cs="Arial" w:eastAsia="Arial" w:hAnsi="Arial"/>
                <w:sz w:val="18"/>
                <w:szCs w:val="18"/>
                <w:color w:val="auto"/>
              </w:rPr>
              <w:t>/s/ John R. Alchin</w:t>
            </w:r>
          </w:p>
        </w:tc>
        <w:tc>
          <w:tcPr>
            <w:tcW w:w="5480" w:type="dxa"/>
            <w:vAlign w:val="bottom"/>
            <w:gridSpan w:val="3"/>
          </w:tcPr>
          <w:p>
            <w:pPr>
              <w:ind w:left="1120"/>
              <w:spacing w:after="0"/>
              <w:rPr>
                <w:sz w:val="20"/>
                <w:szCs w:val="20"/>
                <w:color w:val="auto"/>
              </w:rPr>
            </w:pPr>
            <w:r>
              <w:rPr>
                <w:rFonts w:ascii="Arial" w:cs="Arial" w:eastAsia="Arial" w:hAnsi="Arial"/>
                <w:sz w:val="18"/>
                <w:szCs w:val="18"/>
                <w:color w:val="auto"/>
              </w:rPr>
              <w:t>Executive Vice President, Co-Chief Financial</w:t>
            </w:r>
          </w:p>
        </w:tc>
        <w:tc>
          <w:tcPr>
            <w:tcW w:w="156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6"/>
        </w:trPr>
        <w:tc>
          <w:tcPr>
            <w:tcW w:w="7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5480" w:type="dxa"/>
            <w:vAlign w:val="bottom"/>
            <w:gridSpan w:val="3"/>
            <w:vMerge w:val="restart"/>
          </w:tcPr>
          <w:p>
            <w:pPr>
              <w:ind w:left="1120"/>
              <w:spacing w:after="0"/>
              <w:rPr>
                <w:sz w:val="20"/>
                <w:szCs w:val="20"/>
                <w:color w:val="auto"/>
              </w:rPr>
            </w:pPr>
            <w:r>
              <w:rPr>
                <w:rFonts w:ascii="Arial" w:cs="Arial" w:eastAsia="Arial" w:hAnsi="Arial"/>
                <w:sz w:val="18"/>
                <w:szCs w:val="18"/>
                <w:color w:val="auto"/>
              </w:rPr>
              <w:t>Officer and Treasurer (Co-Principal Financial Officer)</w:t>
            </w: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John R. Alchin</w:t>
            </w:r>
          </w:p>
        </w:tc>
        <w:tc>
          <w:tcPr>
            <w:tcW w:w="54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920" w:type="dxa"/>
            <w:vAlign w:val="bottom"/>
            <w:gridSpan w:val="2"/>
            <w:vMerge w:val="continue"/>
          </w:tcPr>
          <w:p>
            <w:pPr>
              <w:spacing w:after="0"/>
              <w:rPr>
                <w:sz w:val="19"/>
                <w:szCs w:val="19"/>
                <w:color w:val="auto"/>
              </w:rPr>
            </w:pPr>
          </w:p>
        </w:tc>
        <w:tc>
          <w:tcPr>
            <w:tcW w:w="3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20" w:type="dxa"/>
            <w:vAlign w:val="bottom"/>
          </w:tcPr>
          <w:p>
            <w:pPr>
              <w:ind w:left="170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020" w:type="dxa"/>
            <w:vAlign w:val="bottom"/>
          </w:tcPr>
          <w:p>
            <w:pPr>
              <w:spacing w:after="0"/>
              <w:rPr>
                <w:sz w:val="15"/>
                <w:szCs w:val="15"/>
                <w:color w:val="auto"/>
              </w:rPr>
            </w:pPr>
          </w:p>
        </w:tc>
        <w:tc>
          <w:tcPr>
            <w:tcW w:w="254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w w:val="90"/>
              </w:rPr>
              <w:t>Title</w:t>
            </w:r>
          </w:p>
        </w:tc>
        <w:tc>
          <w:tcPr>
            <w:tcW w:w="800" w:type="dxa"/>
            <w:vAlign w:val="bottom"/>
          </w:tcPr>
          <w:p>
            <w:pPr>
              <w:spacing w:after="0"/>
              <w:rPr>
                <w:sz w:val="15"/>
                <w:szCs w:val="15"/>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95"/>
        </w:trPr>
        <w:tc>
          <w:tcPr>
            <w:tcW w:w="76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20" w:type="dxa"/>
            <w:vAlign w:val="bottom"/>
            <w:gridSpan w:val="2"/>
          </w:tcPr>
          <w:p>
            <w:pPr>
              <w:spacing w:after="0"/>
              <w:rPr>
                <w:sz w:val="20"/>
                <w:szCs w:val="20"/>
                <w:color w:val="auto"/>
              </w:rPr>
            </w:pPr>
            <w:r>
              <w:rPr>
                <w:rFonts w:ascii="Arial" w:cs="Arial" w:eastAsia="Arial" w:hAnsi="Arial"/>
                <w:sz w:val="18"/>
                <w:szCs w:val="18"/>
                <w:color w:val="auto"/>
              </w:rPr>
              <w:t>/s/ Lawrence S. Smith</w:t>
            </w:r>
          </w:p>
        </w:tc>
        <w:tc>
          <w:tcPr>
            <w:tcW w:w="5560" w:type="dxa"/>
            <w:vAlign w:val="bottom"/>
            <w:gridSpan w:val="3"/>
          </w:tcPr>
          <w:p>
            <w:pPr>
              <w:ind w:left="1120"/>
              <w:spacing w:after="0"/>
              <w:rPr>
                <w:sz w:val="20"/>
                <w:szCs w:val="20"/>
                <w:color w:val="auto"/>
              </w:rPr>
            </w:pPr>
            <w:r>
              <w:rPr>
                <w:rFonts w:ascii="Arial" w:cs="Arial" w:eastAsia="Arial" w:hAnsi="Arial"/>
                <w:sz w:val="18"/>
                <w:szCs w:val="18"/>
                <w:color w:val="auto"/>
                <w:w w:val="99"/>
              </w:rPr>
              <w:t>Executive Vice President and Co-Chief Financial Officer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6"/>
        </w:trPr>
        <w:tc>
          <w:tcPr>
            <w:tcW w:w="7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5560" w:type="dxa"/>
            <w:vAlign w:val="bottom"/>
            <w:gridSpan w:val="3"/>
            <w:vMerge w:val="restart"/>
          </w:tcPr>
          <w:p>
            <w:pPr>
              <w:ind w:left="1120"/>
              <w:spacing w:after="0"/>
              <w:rPr>
                <w:sz w:val="20"/>
                <w:szCs w:val="20"/>
                <w:color w:val="auto"/>
              </w:rPr>
            </w:pPr>
            <w:r>
              <w:rPr>
                <w:rFonts w:ascii="Arial" w:cs="Arial" w:eastAsia="Arial" w:hAnsi="Arial"/>
                <w:sz w:val="18"/>
                <w:szCs w:val="18"/>
                <w:color w:val="auto"/>
              </w:rPr>
              <w:t>(Co-Principal Financial Officer)</w:t>
            </w: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Lawrence S. Smith</w:t>
            </w:r>
          </w:p>
        </w:tc>
        <w:tc>
          <w:tcPr>
            <w:tcW w:w="55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920" w:type="dxa"/>
            <w:vAlign w:val="bottom"/>
            <w:gridSpan w:val="2"/>
            <w:vMerge w:val="continue"/>
          </w:tcPr>
          <w:p>
            <w:pPr>
              <w:spacing w:after="0"/>
              <w:rPr>
                <w:sz w:val="19"/>
                <w:szCs w:val="19"/>
                <w:color w:val="auto"/>
              </w:rPr>
            </w:pPr>
          </w:p>
        </w:tc>
        <w:tc>
          <w:tcPr>
            <w:tcW w:w="3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920" w:type="dxa"/>
            <w:vAlign w:val="bottom"/>
            <w:gridSpan w:val="2"/>
          </w:tcPr>
          <w:p>
            <w:pPr>
              <w:spacing w:after="0"/>
              <w:rPr>
                <w:sz w:val="20"/>
                <w:szCs w:val="20"/>
                <w:color w:val="auto"/>
              </w:rPr>
            </w:pPr>
            <w:r>
              <w:rPr>
                <w:rFonts w:ascii="Arial" w:cs="Arial" w:eastAsia="Arial" w:hAnsi="Arial"/>
                <w:sz w:val="18"/>
                <w:szCs w:val="18"/>
                <w:color w:val="auto"/>
              </w:rPr>
              <w:t>/s/ Lawrence J. Salva</w:t>
            </w:r>
          </w:p>
        </w:tc>
        <w:tc>
          <w:tcPr>
            <w:tcW w:w="5560" w:type="dxa"/>
            <w:vAlign w:val="bottom"/>
            <w:gridSpan w:val="3"/>
          </w:tcPr>
          <w:p>
            <w:pPr>
              <w:ind w:left="1120"/>
              <w:spacing w:after="0"/>
              <w:rPr>
                <w:sz w:val="20"/>
                <w:szCs w:val="20"/>
                <w:color w:val="auto"/>
              </w:rPr>
            </w:pPr>
            <w:r>
              <w:rPr>
                <w:rFonts w:ascii="Arial" w:cs="Arial" w:eastAsia="Arial" w:hAnsi="Arial"/>
                <w:sz w:val="18"/>
                <w:szCs w:val="18"/>
                <w:color w:val="auto"/>
              </w:rPr>
              <w:t>Senior Vice President, Chief Accounting Officer and</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6"/>
        </w:trPr>
        <w:tc>
          <w:tcPr>
            <w:tcW w:w="7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5560" w:type="dxa"/>
            <w:vAlign w:val="bottom"/>
            <w:gridSpan w:val="3"/>
            <w:vMerge w:val="restart"/>
          </w:tcPr>
          <w:p>
            <w:pPr>
              <w:ind w:left="1120"/>
              <w:spacing w:after="0"/>
              <w:rPr>
                <w:sz w:val="20"/>
                <w:szCs w:val="20"/>
                <w:color w:val="auto"/>
              </w:rPr>
            </w:pPr>
            <w:r>
              <w:rPr>
                <w:rFonts w:ascii="Arial" w:cs="Arial" w:eastAsia="Arial" w:hAnsi="Arial"/>
                <w:sz w:val="18"/>
                <w:szCs w:val="18"/>
                <w:color w:val="auto"/>
              </w:rPr>
              <w:t>Controller (Principal Accounting Officer)</w:t>
            </w: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Lawrence J. Salva</w:t>
            </w:r>
          </w:p>
        </w:tc>
        <w:tc>
          <w:tcPr>
            <w:tcW w:w="55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920" w:type="dxa"/>
            <w:vAlign w:val="bottom"/>
            <w:gridSpan w:val="2"/>
            <w:vMerge w:val="continue"/>
          </w:tcPr>
          <w:p>
            <w:pPr>
              <w:spacing w:after="0"/>
              <w:rPr>
                <w:sz w:val="19"/>
                <w:szCs w:val="19"/>
                <w:color w:val="auto"/>
              </w:rPr>
            </w:pPr>
          </w:p>
        </w:tc>
        <w:tc>
          <w:tcPr>
            <w:tcW w:w="3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/s/ S. Decker Anstrom</w:t>
            </w:r>
          </w:p>
        </w:tc>
        <w:tc>
          <w:tcPr>
            <w:tcW w:w="5560" w:type="dxa"/>
            <w:vAlign w:val="bottom"/>
            <w:gridSpan w:val="3"/>
          </w:tcPr>
          <w:p>
            <w:pPr>
              <w:jc w:val="center"/>
              <w:ind w:left="812"/>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gridSpan w:val="2"/>
          </w:tcPr>
          <w:p>
            <w:pPr>
              <w:spacing w:after="0"/>
              <w:rPr>
                <w:sz w:val="9"/>
                <w:szCs w:val="9"/>
                <w:color w:val="auto"/>
              </w:rPr>
            </w:pPr>
          </w:p>
        </w:tc>
        <w:tc>
          <w:tcPr>
            <w:tcW w:w="3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2"/>
          </w:tcPr>
          <w:p>
            <w:pPr>
              <w:spacing w:after="0"/>
              <w:rPr>
                <w:sz w:val="20"/>
                <w:szCs w:val="20"/>
                <w:color w:val="auto"/>
              </w:rPr>
            </w:pPr>
            <w:r>
              <w:rPr>
                <w:rFonts w:ascii="Arial" w:cs="Arial" w:eastAsia="Arial" w:hAnsi="Arial"/>
                <w:sz w:val="18"/>
                <w:szCs w:val="18"/>
                <w:color w:val="auto"/>
              </w:rPr>
              <w:t>S. Decker Anstrom</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/s/ C. Michael Armstrong</w:t>
            </w:r>
          </w:p>
        </w:tc>
        <w:tc>
          <w:tcPr>
            <w:tcW w:w="5560" w:type="dxa"/>
            <w:vAlign w:val="bottom"/>
            <w:gridSpan w:val="3"/>
          </w:tcPr>
          <w:p>
            <w:pPr>
              <w:jc w:val="center"/>
              <w:ind w:left="812"/>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gridSpan w:val="2"/>
          </w:tcPr>
          <w:p>
            <w:pPr>
              <w:spacing w:after="0"/>
              <w:rPr>
                <w:sz w:val="9"/>
                <w:szCs w:val="9"/>
                <w:color w:val="auto"/>
              </w:rPr>
            </w:pPr>
          </w:p>
        </w:tc>
        <w:tc>
          <w:tcPr>
            <w:tcW w:w="3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2"/>
          </w:tcPr>
          <w:p>
            <w:pPr>
              <w:spacing w:after="0"/>
              <w:rPr>
                <w:sz w:val="20"/>
                <w:szCs w:val="20"/>
                <w:color w:val="auto"/>
              </w:rPr>
            </w:pPr>
            <w:r>
              <w:rPr>
                <w:rFonts w:ascii="Arial" w:cs="Arial" w:eastAsia="Arial" w:hAnsi="Arial"/>
                <w:sz w:val="18"/>
                <w:szCs w:val="18"/>
                <w:color w:val="auto"/>
              </w:rPr>
              <w:t>C. Michael Armstrong</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/s/ Kenneth J. Bacon</w:t>
            </w:r>
          </w:p>
        </w:tc>
        <w:tc>
          <w:tcPr>
            <w:tcW w:w="5560" w:type="dxa"/>
            <w:vAlign w:val="bottom"/>
            <w:gridSpan w:val="3"/>
          </w:tcPr>
          <w:p>
            <w:pPr>
              <w:jc w:val="center"/>
              <w:ind w:left="812"/>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gridSpan w:val="2"/>
          </w:tcPr>
          <w:p>
            <w:pPr>
              <w:spacing w:after="0"/>
              <w:rPr>
                <w:sz w:val="9"/>
                <w:szCs w:val="9"/>
                <w:color w:val="auto"/>
              </w:rPr>
            </w:pPr>
          </w:p>
        </w:tc>
        <w:tc>
          <w:tcPr>
            <w:tcW w:w="3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2"/>
          </w:tcPr>
          <w:p>
            <w:pPr>
              <w:spacing w:after="0"/>
              <w:rPr>
                <w:sz w:val="20"/>
                <w:szCs w:val="20"/>
                <w:color w:val="auto"/>
              </w:rPr>
            </w:pPr>
            <w:r>
              <w:rPr>
                <w:rFonts w:ascii="Arial" w:cs="Arial" w:eastAsia="Arial" w:hAnsi="Arial"/>
                <w:sz w:val="18"/>
                <w:szCs w:val="18"/>
                <w:color w:val="auto"/>
              </w:rPr>
              <w:t>Kenneth J. Bacon</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/s/ Sheldon M. Bonovitz</w:t>
            </w:r>
          </w:p>
        </w:tc>
        <w:tc>
          <w:tcPr>
            <w:tcW w:w="5560" w:type="dxa"/>
            <w:vAlign w:val="bottom"/>
            <w:gridSpan w:val="3"/>
          </w:tcPr>
          <w:p>
            <w:pPr>
              <w:jc w:val="center"/>
              <w:ind w:left="812"/>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gridSpan w:val="2"/>
          </w:tcPr>
          <w:p>
            <w:pPr>
              <w:spacing w:after="0"/>
              <w:rPr>
                <w:sz w:val="9"/>
                <w:szCs w:val="9"/>
                <w:color w:val="auto"/>
              </w:rPr>
            </w:pPr>
          </w:p>
        </w:tc>
        <w:tc>
          <w:tcPr>
            <w:tcW w:w="3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2"/>
          </w:tcPr>
          <w:p>
            <w:pPr>
              <w:spacing w:after="0"/>
              <w:rPr>
                <w:sz w:val="20"/>
                <w:szCs w:val="20"/>
                <w:color w:val="auto"/>
              </w:rPr>
            </w:pPr>
            <w:r>
              <w:rPr>
                <w:rFonts w:ascii="Arial" w:cs="Arial" w:eastAsia="Arial" w:hAnsi="Arial"/>
                <w:sz w:val="18"/>
                <w:szCs w:val="18"/>
                <w:color w:val="auto"/>
              </w:rPr>
              <w:t>Sheldon M. Bonovitz</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/s/ Julian A. Brodsky</w:t>
            </w:r>
          </w:p>
        </w:tc>
        <w:tc>
          <w:tcPr>
            <w:tcW w:w="5560" w:type="dxa"/>
            <w:vAlign w:val="bottom"/>
            <w:gridSpan w:val="3"/>
          </w:tcPr>
          <w:p>
            <w:pPr>
              <w:jc w:val="center"/>
              <w:ind w:left="812"/>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gridSpan w:val="2"/>
          </w:tcPr>
          <w:p>
            <w:pPr>
              <w:spacing w:after="0"/>
              <w:rPr>
                <w:sz w:val="9"/>
                <w:szCs w:val="9"/>
                <w:color w:val="auto"/>
              </w:rPr>
            </w:pPr>
          </w:p>
        </w:tc>
        <w:tc>
          <w:tcPr>
            <w:tcW w:w="3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2"/>
          </w:tcPr>
          <w:p>
            <w:pPr>
              <w:spacing w:after="0"/>
              <w:rPr>
                <w:sz w:val="20"/>
                <w:szCs w:val="20"/>
                <w:color w:val="auto"/>
              </w:rPr>
            </w:pPr>
            <w:r>
              <w:rPr>
                <w:rFonts w:ascii="Arial" w:cs="Arial" w:eastAsia="Arial" w:hAnsi="Arial"/>
                <w:sz w:val="18"/>
                <w:szCs w:val="18"/>
                <w:color w:val="auto"/>
              </w:rPr>
              <w:t>Julian A. Brodsky</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/s/ Joseph L. Castle, II</w:t>
            </w:r>
          </w:p>
        </w:tc>
        <w:tc>
          <w:tcPr>
            <w:tcW w:w="5560" w:type="dxa"/>
            <w:vAlign w:val="bottom"/>
            <w:gridSpan w:val="3"/>
          </w:tcPr>
          <w:p>
            <w:pPr>
              <w:jc w:val="center"/>
              <w:ind w:left="812"/>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gridSpan w:val="2"/>
          </w:tcPr>
          <w:p>
            <w:pPr>
              <w:spacing w:after="0"/>
              <w:rPr>
                <w:sz w:val="9"/>
                <w:szCs w:val="9"/>
                <w:color w:val="auto"/>
              </w:rPr>
            </w:pPr>
          </w:p>
        </w:tc>
        <w:tc>
          <w:tcPr>
            <w:tcW w:w="3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2"/>
          </w:tcPr>
          <w:p>
            <w:pPr>
              <w:spacing w:after="0"/>
              <w:rPr>
                <w:sz w:val="20"/>
                <w:szCs w:val="20"/>
                <w:color w:val="auto"/>
              </w:rPr>
            </w:pPr>
            <w:r>
              <w:rPr>
                <w:rFonts w:ascii="Arial" w:cs="Arial" w:eastAsia="Arial" w:hAnsi="Arial"/>
                <w:sz w:val="18"/>
                <w:szCs w:val="18"/>
                <w:color w:val="auto"/>
              </w:rPr>
              <w:t>Joseph L. Castle, II</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/s/ Joseph J. Collins</w:t>
            </w:r>
          </w:p>
        </w:tc>
        <w:tc>
          <w:tcPr>
            <w:tcW w:w="5560" w:type="dxa"/>
            <w:vAlign w:val="bottom"/>
            <w:gridSpan w:val="3"/>
          </w:tcPr>
          <w:p>
            <w:pPr>
              <w:jc w:val="center"/>
              <w:ind w:left="812"/>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gridSpan w:val="2"/>
          </w:tcPr>
          <w:p>
            <w:pPr>
              <w:spacing w:after="0"/>
              <w:rPr>
                <w:sz w:val="9"/>
                <w:szCs w:val="9"/>
                <w:color w:val="auto"/>
              </w:rPr>
            </w:pPr>
          </w:p>
        </w:tc>
        <w:tc>
          <w:tcPr>
            <w:tcW w:w="3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2"/>
          </w:tcPr>
          <w:p>
            <w:pPr>
              <w:spacing w:after="0"/>
              <w:rPr>
                <w:sz w:val="20"/>
                <w:szCs w:val="20"/>
                <w:color w:val="auto"/>
              </w:rPr>
            </w:pPr>
            <w:r>
              <w:rPr>
                <w:rFonts w:ascii="Arial" w:cs="Arial" w:eastAsia="Arial" w:hAnsi="Arial"/>
                <w:sz w:val="18"/>
                <w:szCs w:val="18"/>
                <w:color w:val="auto"/>
              </w:rPr>
              <w:t>Joseph J. Collins</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/s/ J. Michael Cook</w:t>
            </w:r>
          </w:p>
        </w:tc>
        <w:tc>
          <w:tcPr>
            <w:tcW w:w="5560" w:type="dxa"/>
            <w:vAlign w:val="bottom"/>
            <w:gridSpan w:val="3"/>
          </w:tcPr>
          <w:p>
            <w:pPr>
              <w:jc w:val="center"/>
              <w:ind w:left="812"/>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gridSpan w:val="2"/>
          </w:tcPr>
          <w:p>
            <w:pPr>
              <w:spacing w:after="0"/>
              <w:rPr>
                <w:sz w:val="9"/>
                <w:szCs w:val="9"/>
                <w:color w:val="auto"/>
              </w:rPr>
            </w:pPr>
          </w:p>
        </w:tc>
        <w:tc>
          <w:tcPr>
            <w:tcW w:w="3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2"/>
          </w:tcPr>
          <w:p>
            <w:pPr>
              <w:spacing w:after="0"/>
              <w:rPr>
                <w:sz w:val="20"/>
                <w:szCs w:val="20"/>
                <w:color w:val="auto"/>
              </w:rPr>
            </w:pPr>
            <w:r>
              <w:rPr>
                <w:rFonts w:ascii="Arial" w:cs="Arial" w:eastAsia="Arial" w:hAnsi="Arial"/>
                <w:sz w:val="18"/>
                <w:szCs w:val="18"/>
                <w:color w:val="auto"/>
              </w:rPr>
              <w:t>J. Michael Cook</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/s/ Dr. Judith Rodin</w:t>
            </w:r>
          </w:p>
        </w:tc>
        <w:tc>
          <w:tcPr>
            <w:tcW w:w="5560" w:type="dxa"/>
            <w:vAlign w:val="bottom"/>
            <w:gridSpan w:val="3"/>
          </w:tcPr>
          <w:p>
            <w:pPr>
              <w:jc w:val="center"/>
              <w:ind w:left="812"/>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gridSpan w:val="2"/>
          </w:tcPr>
          <w:p>
            <w:pPr>
              <w:spacing w:after="0"/>
              <w:rPr>
                <w:sz w:val="9"/>
                <w:szCs w:val="9"/>
                <w:color w:val="auto"/>
              </w:rPr>
            </w:pPr>
          </w:p>
        </w:tc>
        <w:tc>
          <w:tcPr>
            <w:tcW w:w="3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2"/>
          </w:tcPr>
          <w:p>
            <w:pPr>
              <w:spacing w:after="0"/>
              <w:rPr>
                <w:sz w:val="20"/>
                <w:szCs w:val="20"/>
                <w:color w:val="auto"/>
              </w:rPr>
            </w:pPr>
            <w:r>
              <w:rPr>
                <w:rFonts w:ascii="Arial" w:cs="Arial" w:eastAsia="Arial" w:hAnsi="Arial"/>
                <w:sz w:val="18"/>
                <w:szCs w:val="18"/>
                <w:color w:val="auto"/>
              </w:rPr>
              <w:t>Dr. Judith Rodin</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/s/ Michael I. Sovern</w:t>
            </w:r>
          </w:p>
        </w:tc>
        <w:tc>
          <w:tcPr>
            <w:tcW w:w="5560" w:type="dxa"/>
            <w:vAlign w:val="bottom"/>
            <w:gridSpan w:val="3"/>
          </w:tcPr>
          <w:p>
            <w:pPr>
              <w:jc w:val="center"/>
              <w:ind w:left="812"/>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1, 2005</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gridSpan w:val="2"/>
          </w:tcPr>
          <w:p>
            <w:pPr>
              <w:spacing w:after="0"/>
              <w:rPr>
                <w:sz w:val="9"/>
                <w:szCs w:val="9"/>
                <w:color w:val="auto"/>
              </w:rPr>
            </w:pPr>
          </w:p>
        </w:tc>
        <w:tc>
          <w:tcPr>
            <w:tcW w:w="3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2"/>
          </w:tcPr>
          <w:p>
            <w:pPr>
              <w:spacing w:after="0"/>
              <w:rPr>
                <w:sz w:val="20"/>
                <w:szCs w:val="20"/>
                <w:color w:val="auto"/>
              </w:rPr>
            </w:pPr>
            <w:r>
              <w:rPr>
                <w:rFonts w:ascii="Arial" w:cs="Arial" w:eastAsia="Arial" w:hAnsi="Arial"/>
                <w:sz w:val="18"/>
                <w:szCs w:val="18"/>
                <w:color w:val="auto"/>
              </w:rPr>
              <w:t>Michael I. Sovern</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5" w:right="6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540" w:type="dxa"/>
            <w:vAlign w:val="bottom"/>
          </w:tcPr>
          <w:p>
            <w:pPr>
              <w:ind w:left="2340"/>
              <w:spacing w:after="0"/>
              <w:rPr>
                <w:sz w:val="20"/>
                <w:szCs w:val="20"/>
                <w:color w:val="auto"/>
              </w:rPr>
            </w:pPr>
            <w:r>
              <w:rPr>
                <w:rFonts w:ascii="Arial" w:cs="Arial" w:eastAsia="Arial" w:hAnsi="Arial"/>
                <w:sz w:val="18"/>
                <w:szCs w:val="18"/>
                <w:color w:val="auto"/>
              </w:rPr>
              <w:t>EXHIBIT INDEX</w:t>
            </w:r>
          </w:p>
        </w:tc>
      </w:tr>
      <w:tr>
        <w:trPr>
          <w:trHeight w:val="286"/>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540" w:type="dxa"/>
            <w:vAlign w:val="bottom"/>
          </w:tcPr>
          <w:p>
            <w:pPr>
              <w:spacing w:after="0"/>
              <w:rPr>
                <w:sz w:val="24"/>
                <w:szCs w:val="24"/>
                <w:color w:val="auto"/>
              </w:rPr>
            </w:pPr>
          </w:p>
        </w:tc>
      </w:tr>
      <w:tr>
        <w:trPr>
          <w:trHeight w:val="174"/>
        </w:trPr>
        <w:tc>
          <w:tcPr>
            <w:tcW w:w="6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1008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r>
      <w:tr>
        <w:trPr>
          <w:trHeight w:val="95"/>
        </w:trPr>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540" w:type="dxa"/>
            <w:vAlign w:val="bottom"/>
          </w:tcPr>
          <w:p>
            <w:pPr>
              <w:spacing w:after="0"/>
              <w:rPr>
                <w:sz w:val="8"/>
                <w:szCs w:val="8"/>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87"/>
              </w:rPr>
              <w:t>Comcast Corporation 2002 Restricted Stock Plan, as amended and restated (Incorporated herein by reference to Exhibit 10.7 to the Registrant’s</w:t>
            </w: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Annual Report on Form 10-K, filed with the Commission on February 23, 2005).</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Consent of Pepper Hamilton LLP (contained in Exhibits 5.1 and 5.2).</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Power of Attorney (contained in the signature pages hereto).</w:t>
            </w:r>
          </w:p>
        </w:tc>
      </w:tr>
    </w:tbl>
    <w:p>
      <w:pPr>
        <w:sectPr>
          <w:pgSz w:w="11900" w:h="16838" w:orient="portrait"/>
          <w:cols w:equalWidth="0" w:num="1">
            <w:col w:w="11260"/>
          </w:cols>
          <w:pgMar w:left="240" w:top="280" w:right="3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March 1,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19102-2148</w:t>
      </w:r>
    </w:p>
    <w:p>
      <w:pPr>
        <w:spacing w:after="0" w:line="151"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Registration Statement on Form S-8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27"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The Registration Statement relates to 4,250,000 shares of Class A Common Stock, par value $.01, of the Company (the “Shares”), which may be issued by the Company pursuant to the Comcast Corporation 2002 Restricted Stock Plan, as amended and restated effective February 16, 2005 (the “Plan”) and $65,000,000 in obligations (the “Deferred Compensation Obligations”) which may be incurred by the Company pursuant to the Plan.</w:t>
      </w:r>
    </w:p>
    <w:p>
      <w:pPr>
        <w:spacing w:after="0" w:line="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connection with our representation of the Company, as a basis for our opinions hereinafter set forth, we have examined the Registration Statement, including the exhibits thereto, the Company’s Articles of Incorporation, as amended, the Company’s By-laws, the Plan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29"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Based on the foregoing, we are of the opinion that the Shares, when issued in accordance with the terms of the Plan, will be validly issued, fully paid and non-assessable. Furthermore, it is our opinion that the Deferred Compensation Obligations incurred by the Company in accordance with the Plan will be valid and binding obligations of the Company enforceable against the Company in accordance with the terms of the Plan, except to the extent that enforcement thereof may be limited by (a) bankruptcy, insolvency, reorganization, fraudulent transfer, moratorium or other similar laws relating to or affecting creditors’ rights</w:t>
      </w:r>
    </w:p>
    <w:p>
      <w:pPr>
        <w:sectPr>
          <w:pgSz w:w="11900" w:h="16838" w:orient="portrait"/>
          <w:cols w:equalWidth="0" w:num="1">
            <w:col w:w="11420"/>
          </w:cols>
          <w:pgMar w:left="240" w:top="125" w:right="239" w:bottom="1440" w:gutter="0" w:footer="0" w:header="0"/>
        </w:sectPr>
      </w:pPr>
    </w:p>
    <w:bookmarkStart w:id="13" w:name="page14"/>
    <w:bookmarkEnd w:id="1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generally and (b) general principles of equity, regardless of whether enforceability is considered in a proceeding at law or in equity.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93"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Our opinion is limited to the Business Corporation Law of the Commonwealth of Pennsylvania, as amended, including the statutory provisions and all applicable provisions of the Constitution of the Commonwealth of Pennsylvania,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3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thereby admit that we come within the category of persons whose consent is required under Section 7 of the Securities Act of 1933, as amended, or the rules and regulations of the Securities and Exchange Commission thereunder.</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Pepper Hamilton LLP</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380"/>
          </w:cols>
          <w:pgMar w:left="240" w:top="280" w:right="2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March 1,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19102-2148</w:t>
      </w:r>
    </w:p>
    <w:p>
      <w:pPr>
        <w:spacing w:after="0" w:line="151" w:lineRule="exact"/>
        <w:rPr>
          <w:sz w:val="20"/>
          <w:szCs w:val="20"/>
          <w:color w:val="auto"/>
        </w:rPr>
      </w:pPr>
    </w:p>
    <w:p>
      <w:pPr>
        <w:ind w:left="920"/>
        <w:spacing w:after="0"/>
        <w:tabs>
          <w:tab w:leader="none" w:pos="1340" w:val="left"/>
        </w:tabs>
        <w:rPr>
          <w:sz w:val="20"/>
          <w:szCs w:val="20"/>
          <w:color w:val="auto"/>
        </w:rPr>
      </w:pPr>
      <w:r>
        <w:rPr>
          <w:rFonts w:ascii="Arial" w:cs="Arial" w:eastAsia="Arial" w:hAnsi="Arial"/>
          <w:sz w:val="18"/>
          <w:szCs w:val="18"/>
          <w:color w:val="auto"/>
        </w:rPr>
        <w:t>Re:</w:t>
        <w:tab/>
        <w:t>Comcast Corporation Restricted Stock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180" w:firstLine="913"/>
        <w:spacing w:after="0" w:line="318" w:lineRule="auto"/>
        <w:rPr>
          <w:sz w:val="20"/>
          <w:szCs w:val="20"/>
          <w:color w:val="auto"/>
        </w:rPr>
      </w:pPr>
      <w:r>
        <w:rPr>
          <w:rFonts w:ascii="Arial" w:cs="Arial" w:eastAsia="Arial" w:hAnsi="Arial"/>
          <w:sz w:val="15"/>
          <w:szCs w:val="15"/>
          <w:color w:val="auto"/>
        </w:rPr>
        <w:t>We have served as counsel to Comcast Corporation, a Pennsylvania Corporation (the “Company”), in connection with the registration by the Company of 4,250,000 shares of Class A Common Stock, par value $.01 (the “Shares”), which may be issued pursuant to the Company’s 2002 Restricted Stock Plan, as amended and restated (the “Plan”), and $65,000,000 of obligations (“Deferred Compensation Obligations”) which may be incurred by the Company pursuant to the Plan and the filing of a registration statement on Form S-8 relating to the Shares and the Deferred Compensation Obligations (the “Registration Statement”). Unless otherwise defined herein, capitalized terms used herein shall have the meanings assigned to them in the Registration Statement.</w:t>
      </w:r>
    </w:p>
    <w:p>
      <w:pPr>
        <w:spacing w:after="0" w:line="86"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18"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The Plan document states that the Plan was established to permit eligible employees and non-employee directors to defer the receipt of compensation otherwise payable to such outside directors and eligible employees in accordance with the terms of the Plan. The Plan is unfunded and states that it is maintained primarily for the purpose of providing deferred compensation to outside directors (subject to the approval of the Company’s shareholders at the 2005 Annual Meeting) and to a select group of management or highly compensated employees. For the purpose of this opinion, we have assumed that (1) the Plan was duly adopted by the Company on December 19, 1990 and amended and restated, effective as of February 16, 2005 in its current form, and (2) the Plan is maintained primarily for the purpose of providing the opportunity to defer the receipt of shares upon the vesting of awards of restricted stock and restricted stock units and to convert the right to receive shares to the right to receive the cash value of the shares to non-employee directors and a select group of management or highly compensated employees.</w:t>
      </w:r>
    </w:p>
    <w:p>
      <w:pPr>
        <w:sectPr>
          <w:pgSz w:w="11900" w:h="16838" w:orient="portrait"/>
          <w:cols w:equalWidth="0" w:num="1">
            <w:col w:w="11420"/>
          </w:cols>
          <w:pgMar w:left="240" w:top="125" w:right="239" w:bottom="1440" w:gutter="0" w:footer="0" w:header="0"/>
        </w:sectPr>
      </w:pPr>
    </w:p>
    <w:bookmarkStart w:id="15" w:name="page16"/>
    <w:bookmarkEnd w:id="15"/>
    <w:p>
      <w:pPr>
        <w:ind w:right="8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Plan is subject to parts 1 and 5 of Title I of ERISA, but not to any other provisions of ERISA.</w:t>
      </w:r>
    </w:p>
    <w:p>
      <w:pPr>
        <w:spacing w:after="0" w:line="129"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The Plan is not designed or operated with the purpose of satisfying the requirements for qualification under section 401(a) of the Internal Revenue Code of 1986, as amended.</w:t>
      </w:r>
    </w:p>
    <w:p>
      <w:pPr>
        <w:spacing w:after="0" w:line="11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12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Plan comply with the requirements of ERISA pertaining to such provisions.</w:t>
      </w:r>
    </w:p>
    <w:p>
      <w:pPr>
        <w:spacing w:after="0" w:line="11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2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Pepper Hamilton LLP</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360"/>
          </w:cols>
          <w:pgMar w:left="240" w:top="280" w:right="2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21, 2005, relating to the financial statements and management’s report on the effectiveness of internal control over financial reporting, and financial statement schedule of Comcast Corporation, appearing in the Annual Report on Form 10-K of Comcast Corporation for the year ended December 31, 2004.</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2019-12-12T03:43:39Z</dcterms:created>
  <dcterms:modified xsi:type="dcterms:W3CDTF">2019-12-12T03:43:39Z</dcterms:modified>
</cp:coreProperties>
</file>