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4960" w:type="dxa"/>
            <w:vAlign w:val="bottom"/>
          </w:tcPr>
          <w:p>
            <w:pPr>
              <w:jc w:val="center"/>
              <w:ind w:right="1900"/>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4960" w:type="dxa"/>
            <w:vAlign w:val="bottom"/>
          </w:tcPr>
          <w:p>
            <w:pPr>
              <w:jc w:val="center"/>
              <w:ind w:right="1900"/>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001-32871</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960" w:type="dxa"/>
            <w:vAlign w:val="bottom"/>
          </w:tcPr>
          <w:p>
            <w:pPr>
              <w:jc w:val="center"/>
              <w:ind w:left="378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File Number)</w:t>
            </w:r>
          </w:p>
        </w:tc>
        <w:tc>
          <w:tcPr>
            <w:tcW w:w="4960" w:type="dxa"/>
            <w:vAlign w:val="bottom"/>
          </w:tcPr>
          <w:p>
            <w:pPr>
              <w:jc w:val="center"/>
              <w:ind w:left="3760"/>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One Comcast Center</w:t>
            </w:r>
          </w:p>
        </w:tc>
        <w:tc>
          <w:tcPr>
            <w:tcW w:w="4960" w:type="dxa"/>
            <w:vAlign w:val="bottom"/>
          </w:tcPr>
          <w:p>
            <w:pPr>
              <w:spacing w:after="0"/>
              <w:rPr>
                <w:sz w:val="24"/>
                <w:szCs w:val="24"/>
                <w:color w:val="auto"/>
              </w:rPr>
            </w:pPr>
          </w:p>
        </w:tc>
      </w:tr>
      <w:tr>
        <w:trPr>
          <w:trHeight w:val="225"/>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Philadelphia, PA</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780"/>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34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August 7, 2017 Comcast Corporation (“Comcast”) consummated the issuance and sale of $1,650,000,000 aggregate principal amount of its 3.150% Notes due 2028 and $850,000,000 aggregate principal amount of its 4.000% Notes due 2047 (collectively, the “Notes”), pursuant to an underwriting agreement dated August 1, 2017 among Comcast, the Guarantors (defined below) and Citigroup Global Markets Inc., J.P. Morgan Securities LLC and Mizuho Securities USA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7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July 28, 2016, as amended at the date of the underwriting agreement (Reg. No. 333-212719), including the prospectus contained therein, and a related prospectus supplement dated August 1, 2017.</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480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800" w:val="left"/>
          <w:tab w:leader="none" w:pos="6360" w:val="left"/>
        </w:tabs>
        <w:rPr>
          <w:sz w:val="20"/>
          <w:szCs w:val="20"/>
          <w:color w:val="auto"/>
        </w:rPr>
      </w:pPr>
      <w:r>
        <w:rPr>
          <w:rFonts w:ascii="Arial" w:cs="Arial" w:eastAsia="Arial" w:hAnsi="Arial"/>
          <w:sz w:val="18"/>
          <w:szCs w:val="18"/>
          <w:color w:val="auto"/>
        </w:rPr>
        <w:t>Date: August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6380"/>
        <w:spacing w:after="0"/>
        <w:tabs>
          <w:tab w:leader="none" w:pos="6960" w:val="left"/>
        </w:tabs>
        <w:rPr>
          <w:sz w:val="20"/>
          <w:szCs w:val="20"/>
          <w:color w:val="auto"/>
        </w:rPr>
      </w:pPr>
      <w:r>
        <w:rPr>
          <w:rFonts w:ascii="Arial" w:cs="Arial" w:eastAsia="Arial" w:hAnsi="Arial"/>
          <w:sz w:val="16"/>
          <w:szCs w:val="16"/>
          <w:color w:val="auto"/>
        </w:rPr>
        <w:t>Title:</w:t>
        <w:tab/>
        <w:t>Executive Vice President, General Counsel and Secretary</w:t>
      </w:r>
    </w:p>
    <w:p>
      <w:pPr>
        <w:sectPr>
          <w:pgSz w:w="11900" w:h="16838" w:orient="portrait"/>
          <w:cols w:equalWidth="0" w:num="1">
            <w:col w:w="11100"/>
          </w:cols>
          <w:pgMar w:left="240" w:top="27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7,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unsubordinated basis by Comcast Cable Communications, LLC and NBCUniversal Media, LLC, the undersigned officers of the Company do hereby certify,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issuance of the Company’s $1,650,000,000 aggregate principal amount of 3.150% Notes Due 2028 (the “</w:t>
      </w:r>
      <w:r>
        <w:rPr>
          <w:rFonts w:ascii="Arial" w:cs="Arial" w:eastAsia="Arial" w:hAnsi="Arial"/>
          <w:sz w:val="17"/>
          <w:szCs w:val="17"/>
          <w:b w:val="1"/>
          <w:bCs w:val="1"/>
          <w:color w:val="auto"/>
        </w:rPr>
        <w:t>2028 Notes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$850,000,000 aggregate principal amount of 4.000 % Notes Due 2047 (the “</w:t>
      </w:r>
      <w:r>
        <w:rPr>
          <w:rFonts w:ascii="Arial" w:cs="Arial" w:eastAsia="Arial" w:hAnsi="Arial"/>
          <w:sz w:val="16"/>
          <w:szCs w:val="16"/>
          <w:b w:val="1"/>
          <w:bCs w:val="1"/>
          <w:color w:val="auto"/>
        </w:rPr>
        <w:t>2047 Notes</w:t>
      </w:r>
      <w:r>
        <w:rPr>
          <w:rFonts w:ascii="Arial" w:cs="Arial" w:eastAsia="Arial" w:hAnsi="Arial"/>
          <w:sz w:val="16"/>
          <w:szCs w:val="16"/>
          <w:color w:val="auto"/>
        </w:rPr>
        <w:t>,” and together with the 2028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150%</w:t>
            </w:r>
            <w:r>
              <w:rPr>
                <w:rFonts w:ascii="Arial" w:cs="Arial" w:eastAsia="Arial" w:hAnsi="Arial"/>
                <w:sz w:val="18"/>
                <w:szCs w:val="18"/>
                <w:b w:val="1"/>
                <w:bCs w:val="1"/>
                <w:color w:val="auto"/>
              </w:rPr>
              <w:t xml:space="preserve"> Notes Due 2028</w:t>
            </w:r>
          </w:p>
        </w:tc>
      </w:tr>
      <w:tr>
        <w:trPr>
          <w:trHeight w:val="20"/>
        </w:trPr>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80"/>
        </w:trPr>
        <w:tc>
          <w:tcPr>
            <w:tcW w:w="35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rPr>
              <w:t>3.150% Notes Due 2028</w:t>
            </w: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rPr>
              <w:t>$1,650,000,000</w:t>
            </w:r>
          </w:p>
        </w:tc>
        <w:tc>
          <w:tcPr>
            <w:tcW w:w="478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rPr>
              <w:t>February 15, 2028</w:t>
            </w: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300" w:type="dxa"/>
            <w:vAlign w:val="bottom"/>
          </w:tcPr>
          <w:p>
            <w:pPr>
              <w:ind w:left="500"/>
              <w:spacing w:after="0"/>
              <w:rPr>
                <w:sz w:val="20"/>
                <w:szCs w:val="20"/>
                <w:color w:val="auto"/>
              </w:rPr>
            </w:pPr>
            <w:r>
              <w:rPr>
                <w:rFonts w:ascii="Arial" w:cs="Arial" w:eastAsia="Arial" w:hAnsi="Arial"/>
                <w:sz w:val="18"/>
                <w:szCs w:val="18"/>
                <w:color w:val="auto"/>
              </w:rPr>
              <w:t>3.150%</w:t>
            </w: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10"/>
        </w:trPr>
        <w:tc>
          <w:tcPr>
            <w:tcW w:w="35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w w:val="91"/>
              </w:rPr>
              <w:t>The Company may at its option redeem the 2028 Notes in whole or in part, at any time or from time to</w:t>
            </w:r>
          </w:p>
        </w:tc>
      </w:tr>
      <w:tr>
        <w:trPr>
          <w:trHeight w:val="216"/>
        </w:trPr>
        <w:tc>
          <w:tcPr>
            <w:tcW w:w="3500" w:type="dxa"/>
            <w:vAlign w:val="bottom"/>
          </w:tcPr>
          <w:p>
            <w:pPr>
              <w:spacing w:after="0"/>
              <w:rPr>
                <w:sz w:val="18"/>
                <w:szCs w:val="18"/>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w w:val="93"/>
              </w:rPr>
              <w:t>time prior to their maturity, on at least 30 days, but not more than 60 days, prior notice mailed to the</w:t>
            </w:r>
          </w:p>
        </w:tc>
      </w:tr>
      <w:tr>
        <w:trPr>
          <w:trHeight w:val="216"/>
        </w:trPr>
        <w:tc>
          <w:tcPr>
            <w:tcW w:w="3500" w:type="dxa"/>
            <w:vAlign w:val="bottom"/>
          </w:tcPr>
          <w:p>
            <w:pPr>
              <w:spacing w:after="0"/>
              <w:rPr>
                <w:sz w:val="18"/>
                <w:szCs w:val="18"/>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w w:val="90"/>
              </w:rPr>
              <w:t>registered address of each holder of the 2028 Notes, at the “Redemption Price.” Prior to November 15,</w:t>
            </w:r>
          </w:p>
        </w:tc>
      </w:tr>
      <w:tr>
        <w:trPr>
          <w:trHeight w:val="216"/>
        </w:trPr>
        <w:tc>
          <w:tcPr>
            <w:tcW w:w="3500" w:type="dxa"/>
            <w:vAlign w:val="bottom"/>
          </w:tcPr>
          <w:p>
            <w:pPr>
              <w:spacing w:after="0"/>
              <w:rPr>
                <w:sz w:val="18"/>
                <w:szCs w:val="18"/>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rPr>
              <w:t>2027 (three months prior to the maturity of the 2028 Notes) (the “2028 Par Call Date”), the</w:t>
            </w:r>
          </w:p>
        </w:tc>
      </w:tr>
      <w:tr>
        <w:trPr>
          <w:trHeight w:val="216"/>
        </w:trPr>
        <w:tc>
          <w:tcPr>
            <w:tcW w:w="3500" w:type="dxa"/>
            <w:vAlign w:val="bottom"/>
          </w:tcPr>
          <w:p>
            <w:pPr>
              <w:spacing w:after="0"/>
              <w:rPr>
                <w:sz w:val="18"/>
                <w:szCs w:val="18"/>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w w:val="95"/>
              </w:rPr>
              <w:t>Redemption Price is the greater of (i) 100% of the principal amount of the 2028 Notes, and (ii) the</w:t>
            </w:r>
          </w:p>
        </w:tc>
      </w:tr>
      <w:tr>
        <w:trPr>
          <w:trHeight w:val="216"/>
        </w:trPr>
        <w:tc>
          <w:tcPr>
            <w:tcW w:w="3500" w:type="dxa"/>
            <w:vAlign w:val="bottom"/>
          </w:tcPr>
          <w:p>
            <w:pPr>
              <w:spacing w:after="0"/>
              <w:rPr>
                <w:sz w:val="18"/>
                <w:szCs w:val="18"/>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w w:val="89"/>
              </w:rPr>
              <w:t>sum of the present values of the principal amount of such notes and the scheduled payments of interest</w:t>
            </w:r>
          </w:p>
        </w:tc>
      </w:tr>
      <w:tr>
        <w:trPr>
          <w:trHeight w:val="230"/>
        </w:trPr>
        <w:tc>
          <w:tcPr>
            <w:tcW w:w="3500" w:type="dxa"/>
            <w:vAlign w:val="bottom"/>
          </w:tcPr>
          <w:p>
            <w:pPr>
              <w:spacing w:after="0"/>
              <w:rPr>
                <w:sz w:val="20"/>
                <w:szCs w:val="20"/>
                <w:color w:val="auto"/>
              </w:rPr>
            </w:pPr>
          </w:p>
        </w:tc>
        <w:tc>
          <w:tcPr>
            <w:tcW w:w="7900" w:type="dxa"/>
            <w:vAlign w:val="bottom"/>
            <w:gridSpan w:val="3"/>
          </w:tcPr>
          <w:p>
            <w:pPr>
              <w:ind w:left="500"/>
              <w:spacing w:after="0"/>
              <w:rPr>
                <w:sz w:val="20"/>
                <w:szCs w:val="20"/>
                <w:color w:val="auto"/>
              </w:rPr>
            </w:pPr>
            <w:r>
              <w:rPr>
                <w:rFonts w:ascii="Arial" w:cs="Arial" w:eastAsia="Arial" w:hAnsi="Arial"/>
                <w:sz w:val="18"/>
                <w:szCs w:val="18"/>
                <w:color w:val="auto"/>
              </w:rPr>
              <w:t>thereon (exclusive of interest</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2"/>
              </w:rPr>
              <w:t>accrued to the date of redemption) from the redemption date to the 2028 Par Call Date, in each case</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5"/>
              </w:rPr>
              <w:t>discounted to the redemption date on a semiannual basis (assuming a 360-day year consisting of</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3"/>
              </w:rPr>
              <w:t>twelve 30-day months) at the Treasury Rate (as defined in the 2028 Notes) plus 15 basis points. On</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4"/>
              </w:rPr>
              <w:t>and after the 2028 Par Call Date, the Redemption Price will equal 100% of the principal amount of</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2"/>
              </w:rPr>
              <w:t>such notes. In each case described in this paragraph, the Redemption Price will include accrued and</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89"/>
              </w:rPr>
              <w:t>unpaid interest thereon to the date of redemption, and in each case described in this paragraph, subject</w:t>
            </w:r>
          </w:p>
        </w:tc>
      </w:tr>
      <w:tr>
        <w:trPr>
          <w:trHeight w:val="230"/>
        </w:trPr>
        <w:tc>
          <w:tcPr>
            <w:tcW w:w="3500" w:type="dxa"/>
            <w:vAlign w:val="bottom"/>
          </w:tcPr>
          <w:p>
            <w:pPr>
              <w:spacing w:after="0"/>
              <w:rPr>
                <w:sz w:val="20"/>
                <w:szCs w:val="20"/>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to the further description in the Prospectus Supplement dated August 1, 2017.</w:t>
            </w:r>
          </w:p>
        </w:tc>
      </w:tr>
      <w:tr>
        <w:trPr>
          <w:trHeight w:val="310"/>
        </w:trPr>
        <w:tc>
          <w:tcPr>
            <w:tcW w:w="35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88"/>
              </w:rPr>
              <w:t>The 2028 Notes need not be issued at the same time and the series may be reopened for issuance of an</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4"/>
              </w:rPr>
              <w:t>unlimited principal amount of additional 2028 Notes under this series. Additional 2028 Notes of this</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0"/>
              </w:rPr>
              <w:t>series may be consolidated with, and form a single series with, 2028 Notes then outstanding, including</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7"/>
              </w:rPr>
              <w:t>for purposes of determining whether the required percentage of the holders of record has given</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6"/>
              </w:rPr>
              <w:t>approval or consent to an amendment or waiver or joined in directing the Trustee to take certain</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3"/>
              </w:rPr>
              <w:t>actions on behalf of all holders; provided that if such additional 2028 Notes are not fungible with the</w:t>
            </w:r>
          </w:p>
        </w:tc>
      </w:tr>
      <w:tr>
        <w:trPr>
          <w:trHeight w:val="216"/>
        </w:trPr>
        <w:tc>
          <w:tcPr>
            <w:tcW w:w="3500" w:type="dxa"/>
            <w:vAlign w:val="bottom"/>
          </w:tcPr>
          <w:p>
            <w:pPr>
              <w:spacing w:after="0"/>
              <w:rPr>
                <w:sz w:val="18"/>
                <w:szCs w:val="18"/>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4"/>
              </w:rPr>
              <w:t>2028 Notes then outstanding for U.S. federal income tax purposes, such additional 2028 Notes will</w:t>
            </w:r>
          </w:p>
        </w:tc>
      </w:tr>
      <w:tr>
        <w:trPr>
          <w:trHeight w:val="230"/>
        </w:trPr>
        <w:tc>
          <w:tcPr>
            <w:tcW w:w="3500" w:type="dxa"/>
            <w:vAlign w:val="bottom"/>
          </w:tcPr>
          <w:p>
            <w:pPr>
              <w:spacing w:after="0"/>
              <w:rPr>
                <w:sz w:val="20"/>
                <w:szCs w:val="20"/>
                <w:color w:val="auto"/>
              </w:rPr>
            </w:pP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have one or more separate CUSIP numbers.</w:t>
            </w: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None</w:t>
            </w: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None</w:t>
            </w:r>
          </w:p>
        </w:tc>
      </w:tr>
      <w:tr>
        <w:trPr>
          <w:trHeight w:val="306"/>
        </w:trPr>
        <w:tc>
          <w:tcPr>
            <w:tcW w:w="35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w w:val="93"/>
              </w:rPr>
              <w:t>The terms of the 2028 Notes shall include such other terms as are set forth in the Form of Note Due</w:t>
            </w:r>
          </w:p>
        </w:tc>
      </w:tr>
      <w:tr>
        <w:trPr>
          <w:trHeight w:val="194"/>
        </w:trPr>
        <w:tc>
          <w:tcPr>
            <w:tcW w:w="3500" w:type="dxa"/>
            <w:vAlign w:val="bottom"/>
          </w:tcPr>
          <w:p>
            <w:pPr>
              <w:spacing w:after="0"/>
              <w:rPr>
                <w:sz w:val="16"/>
                <w:szCs w:val="16"/>
                <w:color w:val="auto"/>
              </w:rPr>
            </w:pPr>
          </w:p>
        </w:tc>
        <w:tc>
          <w:tcPr>
            <w:tcW w:w="7900" w:type="dxa"/>
            <w:vAlign w:val="bottom"/>
            <w:gridSpan w:val="5"/>
          </w:tcPr>
          <w:p>
            <w:pPr>
              <w:ind w:left="500"/>
              <w:spacing w:after="0" w:line="194" w:lineRule="exact"/>
              <w:rPr>
                <w:sz w:val="20"/>
                <w:szCs w:val="20"/>
                <w:color w:val="auto"/>
              </w:rPr>
            </w:pPr>
            <w:r>
              <w:rPr>
                <w:rFonts w:ascii="Arial" w:cs="Arial" w:eastAsia="Arial" w:hAnsi="Arial"/>
                <w:sz w:val="18"/>
                <w:szCs w:val="18"/>
                <w:color w:val="auto"/>
              </w:rPr>
              <w:t xml:space="preserve">2028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 Due 2047</w:t>
            </w:r>
          </w:p>
        </w:tc>
      </w:tr>
      <w:tr>
        <w:trPr>
          <w:trHeight w:val="20"/>
        </w:trPr>
        <w:tc>
          <w:tcPr>
            <w:tcW w:w="3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35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4.000% Notes Due 2047</w:t>
            </w: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$850,000,000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900" w:type="dxa"/>
            <w:vAlign w:val="bottom"/>
            <w:gridSpan w:val="5"/>
          </w:tcPr>
          <w:p>
            <w:pPr>
              <w:ind w:left="500"/>
              <w:spacing w:after="0"/>
              <w:rPr>
                <w:sz w:val="20"/>
                <w:szCs w:val="20"/>
                <w:color w:val="auto"/>
              </w:rPr>
            </w:pPr>
            <w:r>
              <w:rPr>
                <w:rFonts w:ascii="Arial" w:cs="Arial" w:eastAsia="Arial" w:hAnsi="Arial"/>
                <w:sz w:val="18"/>
                <w:szCs w:val="18"/>
                <w:color w:val="auto"/>
              </w:rPr>
              <w:t>August 15, 2047</w:t>
            </w: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-201295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280" w:space="720"/>
            <w:col w:w="7400"/>
          </w:cols>
          <w:pgMar w:left="240" w:top="274" w:right="259" w:bottom="1440" w:gutter="0" w:footer="0" w:header="0"/>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The Company may at its option redeem the 2047 Notes in whole or in part, at any time or from time to time prior to their maturity, on at least 30 days, but not more than 60 days, prior notice mailed to the registered address of each holder of the 2047 Notes, at the “Redemption Price.” Prior to February 15, 2047 (six months prior to the maturity of the 2047 Notes) (the “2047 Par Call Date”), the Redemption Price is the greater of (i) 100% of the principal amount of the 2047 Notes, and (ii) the sum of the present values of the principal amount of such notes and the scheduled payments of interest thereon (exclusive of interest accrued to the date of redemption) from the redemption date to the 2047 Par Call Date, in each case discounted to the redemption date on a semiannual basis (assuming a 360-day year consisting of twelve 30-day months) at the Treasury Rate (as defined in the 2047 Notes) plus 20 basis points. On and after the 2047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Prospectus Supplement dated August 1, 2017.</w:t>
      </w:r>
    </w:p>
    <w:p>
      <w:pPr>
        <w:spacing w:after="0" w:line="67"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The 2047 Notes need not be issued at the same time and the series may be reopened for issuance of an unlimited principal amount of additional 2047 Notes under this series. Additional 2047 Notes of this series may be consolidated with, and form a single series with, 2047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2047 Notes are not fungible with the 2047 Notes then outstanding for U.S. federal income tax purposes, such additional 2047 Notes will have one or more separate CUSIP numbers.</w:t>
      </w:r>
    </w:p>
    <w:p>
      <w:pPr>
        <w:spacing w:after="0" w:line="71"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2">
            <w:col w:w="3280" w:space="720"/>
            <w:col w:w="7400"/>
          </w:cols>
          <w:pgMar w:left="240" w:top="27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20" w:type="dxa"/>
            <w:vAlign w:val="bottom"/>
            <w:gridSpan w:val="3"/>
          </w:tcPr>
          <w:p>
            <w:pPr>
              <w:ind w:left="1440"/>
              <w:spacing w:after="0"/>
              <w:rPr>
                <w:sz w:val="20"/>
                <w:szCs w:val="20"/>
                <w:color w:val="auto"/>
              </w:rPr>
            </w:pPr>
            <w:r>
              <w:rPr>
                <w:rFonts w:ascii="Arial" w:cs="Arial" w:eastAsia="Arial" w:hAnsi="Arial"/>
                <w:sz w:val="18"/>
                <w:szCs w:val="18"/>
                <w:color w:val="auto"/>
              </w:rPr>
              <w:t>None</w:t>
            </w:r>
          </w:p>
        </w:tc>
      </w:tr>
      <w:tr>
        <w:trPr>
          <w:trHeight w:val="306"/>
        </w:trPr>
        <w:tc>
          <w:tcPr>
            <w:tcW w:w="25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20" w:type="dxa"/>
            <w:vAlign w:val="bottom"/>
            <w:gridSpan w:val="3"/>
          </w:tcPr>
          <w:p>
            <w:pPr>
              <w:ind w:left="1440"/>
              <w:spacing w:after="0"/>
              <w:rPr>
                <w:sz w:val="20"/>
                <w:szCs w:val="20"/>
                <w:color w:val="auto"/>
              </w:rPr>
            </w:pPr>
            <w:r>
              <w:rPr>
                <w:rFonts w:ascii="Arial" w:cs="Arial" w:eastAsia="Arial" w:hAnsi="Arial"/>
                <w:sz w:val="18"/>
                <w:szCs w:val="18"/>
                <w:color w:val="auto"/>
                <w:w w:val="90"/>
              </w:rPr>
              <w:t>The terms of the 2047 Notes shall include such other terms as are set forth in the Form of Note Due</w:t>
            </w:r>
          </w:p>
        </w:tc>
      </w:tr>
      <w:tr>
        <w:trPr>
          <w:trHeight w:val="194"/>
        </w:trPr>
        <w:tc>
          <w:tcPr>
            <w:tcW w:w="2560" w:type="dxa"/>
            <w:vAlign w:val="bottom"/>
          </w:tcPr>
          <w:p>
            <w:pPr>
              <w:spacing w:after="0"/>
              <w:rPr>
                <w:sz w:val="16"/>
                <w:szCs w:val="16"/>
                <w:color w:val="auto"/>
              </w:rPr>
            </w:pPr>
          </w:p>
        </w:tc>
        <w:tc>
          <w:tcPr>
            <w:tcW w:w="8620" w:type="dxa"/>
            <w:vAlign w:val="bottom"/>
            <w:gridSpan w:val="3"/>
          </w:tcPr>
          <w:p>
            <w:pPr>
              <w:ind w:left="1440"/>
              <w:spacing w:after="0" w:line="194" w:lineRule="exact"/>
              <w:rPr>
                <w:sz w:val="20"/>
                <w:szCs w:val="20"/>
                <w:color w:val="auto"/>
              </w:rPr>
            </w:pPr>
            <w:r>
              <w:rPr>
                <w:rFonts w:ascii="Arial" w:cs="Arial" w:eastAsia="Arial" w:hAnsi="Arial"/>
                <w:sz w:val="18"/>
                <w:szCs w:val="18"/>
                <w:color w:val="auto"/>
              </w:rPr>
              <w:t xml:space="preserve">2047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2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Daniel C. Murdock</w:t>
      </w:r>
    </w:p>
    <w:p>
      <w:pPr>
        <w:spacing w:after="0" w:line="23" w:lineRule="exact"/>
        <w:rPr>
          <w:sz w:val="20"/>
          <w:szCs w:val="20"/>
          <w:color w:val="auto"/>
        </w:rPr>
      </w:pPr>
    </w:p>
    <w:p>
      <w:pPr>
        <w:jc w:val="both"/>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Chief Accounting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Controller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6"/>
          <w:szCs w:val="16"/>
          <w:color w:val="auto"/>
        </w:rPr>
        <w:t>Title:</w:t>
        <w:tab/>
        <w:t>Executive Vice President, General Counsel and</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800"/>
          </w:cols>
          <w:pgMar w:left="700" w:top="274" w:right="3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3.150% Note Due 2028</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CA7</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US20030NCA72</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60" w:space="720"/>
            <w:col w:w="742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February 15, 2028.</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C. Murdock</w:t>
      </w:r>
    </w:p>
    <w:p>
      <w:pPr>
        <w:spacing w:after="0" w:line="23" w:lineRule="exact"/>
        <w:rPr>
          <w:sz w:val="20"/>
          <w:szCs w:val="20"/>
          <w:color w:val="auto"/>
        </w:rPr>
      </w:pPr>
    </w:p>
    <w:p>
      <w:pPr>
        <w:jc w:val="both"/>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Chief Accounting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and Controller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2028 Note</w:t>
      </w: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2286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126365</wp:posOffset>
            </wp:positionV>
            <wp:extent cx="457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2028 Note</w:t>
      </w:r>
      <w:r>
        <w:rPr>
          <w:rFonts w:ascii="Arial" w:cs="Arial" w:eastAsia="Arial" w:hAnsi="Arial"/>
          <w:sz w:val="18"/>
          <w:szCs w:val="18"/>
          <w:color w:val="auto"/>
        </w:rPr>
        <w:t>]</w:t>
      </w:r>
    </w:p>
    <w:p>
      <w:pPr>
        <w:sectPr>
          <w:pgSz w:w="11900" w:h="16838" w:orient="portrait"/>
          <w:cols w:equalWidth="0" w:num="1">
            <w:col w:w="10660"/>
          </w:cols>
          <w:pgMar w:left="240" w:top="274" w:right="9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3.150% Note Due 2028</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7, 2017. The Issuer will pay interest semi-annually in arrears on each Interest Payment Date, commencing February 15, 2018.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12" w:name="page13"/>
    <w:bookmarkEnd w:id="12"/>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 w:name="page14"/>
    <w:bookmarkEnd w:id="13"/>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November 15, 2027 (three months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2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 w:name="page16"/>
    <w:bookmarkEnd w:id="1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60" w:type="dxa"/>
            <w:vAlign w:val="bottom"/>
            <w:gridSpan w:val="5"/>
          </w:tcPr>
          <w:p>
            <w:pPr>
              <w:jc w:val="center"/>
              <w:ind w:right="165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37"/>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60" w:type="dxa"/>
            <w:vAlign w:val="bottom"/>
            <w:gridSpan w:val="5"/>
          </w:tcPr>
          <w:p>
            <w:pPr>
              <w:jc w:val="center"/>
              <w:ind w:right="167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1800" w:type="dxa"/>
            <w:vAlign w:val="bottom"/>
            <w:tcBorders>
              <w:bottom w:val="single" w:sz="8" w:color="auto"/>
            </w:tcBorders>
          </w:tcPr>
          <w:p>
            <w:pPr>
              <w:spacing w:after="0"/>
              <w:rPr>
                <w:sz w:val="24"/>
                <w:szCs w:val="24"/>
                <w:color w:val="auto"/>
              </w:rPr>
            </w:pPr>
          </w:p>
        </w:tc>
        <w:tc>
          <w:tcPr>
            <w:tcW w:w="7860" w:type="dxa"/>
            <w:vAlign w:val="bottom"/>
            <w:gridSpan w:val="4"/>
          </w:tcPr>
          <w:p>
            <w:pPr>
              <w:ind w:left="4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Dated:</w:t>
            </w: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2"/>
          </w:tcPr>
          <w:p>
            <w:pPr>
              <w:ind w:left="1140"/>
              <w:spacing w:after="0"/>
              <w:rPr>
                <w:sz w:val="20"/>
                <w:szCs w:val="20"/>
                <w:color w:val="auto"/>
              </w:rPr>
            </w:pPr>
            <w:r>
              <w:rPr>
                <w:rFonts w:ascii="Arial" w:cs="Arial" w:eastAsia="Arial" w:hAnsi="Arial"/>
                <w:sz w:val="18"/>
                <w:szCs w:val="18"/>
                <w:color w:val="auto"/>
              </w:rPr>
              <w:t>Signed:</w:t>
            </w:r>
          </w:p>
        </w:tc>
      </w:tr>
      <w:tr>
        <w:trPr>
          <w:trHeight w:val="209"/>
        </w:trPr>
        <w:tc>
          <w:tcPr>
            <w:tcW w:w="6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(Signed exactly as name appears on the other side of this</w:t>
            </w:r>
          </w:p>
        </w:tc>
      </w:t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Security)</w:t>
            </w:r>
          </w:p>
        </w:tc>
      </w:tr>
      <w:tr>
        <w:trPr>
          <w:trHeight w:val="459"/>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09"/>
        </w:trPr>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Participant in a recognized Signature Guarantee Medallion Program (or</w:t>
            </w:r>
          </w:p>
        </w:tc>
      </w:tr>
      <w:tr>
        <w:trPr>
          <w:trHeight w:val="230"/>
        </w:trPr>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signature guarantor program reasonably acceptable to the Trustee)</w:t>
            </w:r>
          </w:p>
        </w:tc>
      </w:tr>
      <w:tr>
        <w:trPr>
          <w:trHeight w:val="365"/>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4"/>
          </w:tcPr>
          <w:p>
            <w:pPr>
              <w:jc w:val="center"/>
              <w:ind w:left="2490"/>
              <w:spacing w:after="0"/>
              <w:rPr>
                <w:sz w:val="20"/>
                <w:szCs w:val="20"/>
                <w:color w:val="auto"/>
              </w:rPr>
            </w:pPr>
            <w:r>
              <w:rPr>
                <w:rFonts w:ascii="Arial" w:cs="Arial" w:eastAsia="Arial" w:hAnsi="Arial"/>
                <w:sz w:val="18"/>
                <w:szCs w:val="18"/>
                <w:color w:val="auto"/>
                <w:w w:val="99"/>
              </w:rPr>
              <w:t>7</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2047]</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 Note Due 2047</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BZ3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US20030NBZ33</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August 15, 2047.</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C. Murdock</w:t>
      </w:r>
    </w:p>
    <w:p>
      <w:pPr>
        <w:spacing w:after="0" w:line="23" w:lineRule="exact"/>
        <w:rPr>
          <w:sz w:val="20"/>
          <w:szCs w:val="20"/>
          <w:color w:val="auto"/>
        </w:rPr>
      </w:pPr>
    </w:p>
    <w:p>
      <w:pPr>
        <w:jc w:val="both"/>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Chief Accounting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and Controller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2047 Note</w:t>
      </w: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2047 Note</w:t>
      </w:r>
      <w:r>
        <w:rPr>
          <w:rFonts w:ascii="Arial" w:cs="Arial" w:eastAsia="Arial" w:hAnsi="Arial"/>
          <w:sz w:val="18"/>
          <w:szCs w:val="18"/>
          <w:color w:val="auto"/>
        </w:rPr>
        <w:t>]</w:t>
      </w:r>
    </w:p>
    <w:p>
      <w:pPr>
        <w:sectPr>
          <w:pgSz w:w="11900" w:h="16838" w:orient="portrait"/>
          <w:cols w:equalWidth="0" w:num="1">
            <w:col w:w="10660"/>
          </w:cols>
          <w:pgMar w:left="240" w:top="274" w:right="9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4.000% Note Due 2047</w:t>
      </w:r>
    </w:p>
    <w:p>
      <w:pPr>
        <w:spacing w:after="0" w:line="37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7, 2017. The Issuer will pay interest semi-annually in arrears on each Interest Payment Date, commencing February 15, 2018.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22" w:name="page23"/>
    <w:bookmarkEnd w:id="22"/>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3" w:name="page24"/>
    <w:bookmarkEnd w:id="23"/>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15, 2047 (six months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 w:name="page25"/>
    <w:bookmarkEnd w:id="24"/>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2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J.P. Morgan Securities LLC and Mizuho Securities USA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5" w:name="page26"/>
    <w:bookmarkEnd w:id="2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 w:name="page27"/>
    <w:bookmarkEnd w:id="26"/>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7" w:name="page28"/>
    <w:bookmarkEnd w:id="27"/>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(Insert Social Security or other identifying number of assignee or transferee)</w:t>
      </w:r>
    </w:p>
    <w:p>
      <w:pPr>
        <w:sectPr>
          <w:pgSz w:w="11900" w:h="16838" w:orient="portrait"/>
          <w:cols w:equalWidth="0" w:num="1">
            <w:col w:w="11160"/>
          </w:cols>
          <w:pgMar w:left="240" w:top="274"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3810</wp:posOffset>
            </wp:positionV>
            <wp:extent cx="1143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343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agent to transfer this Security on the books of the Issuer. The agent may substitute another to act for him.</w:t>
      </w:r>
    </w:p>
    <w:p>
      <w:pPr>
        <w:spacing w:after="0" w:line="302"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-1905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(Signed exactly as name appears on the other side of this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280035</wp:posOffset>
            </wp:positionV>
            <wp:extent cx="42106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180" w:right="10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10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880" w:space="720"/>
            <w:col w:w="7560"/>
          </w:cols>
          <w:pgMar w:left="240" w:top="274" w:right="49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color w:val="auto"/>
        </w:rPr>
        <w:t>I am Executive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August 1, 2017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among the Company, the Guarantors (as defined below)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$1,650,000,000</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principal amount of its 3.150% Notes due 2028 and $850,000,000 aggregate principal amount of its 4.000% Notes due 2047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on an unsecured and unsubordinated basis by the Guarantors.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578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7, 2017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780" w:hanging="31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Underwriting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August 1, 2017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$1,650,000,000 aggregate principal amount of its 3.150% Notes due 2028 (the “</w:t>
      </w:r>
      <w:r>
        <w:rPr>
          <w:rFonts w:ascii="Arial" w:cs="Arial" w:eastAsia="Arial" w:hAnsi="Arial"/>
          <w:sz w:val="16"/>
          <w:szCs w:val="16"/>
          <w:b w:val="1"/>
          <w:bCs w:val="1"/>
          <w:color w:val="auto"/>
        </w:rPr>
        <w:t>2028 Notes</w:t>
      </w:r>
      <w:r>
        <w:rPr>
          <w:rFonts w:ascii="Arial" w:cs="Arial" w:eastAsia="Arial" w:hAnsi="Arial"/>
          <w:sz w:val="16"/>
          <w:szCs w:val="16"/>
          <w:color w:val="auto"/>
        </w:rPr>
        <w:t>”) and $850,000,000 aggregate principal amount of its 4.000% Notes due 2047 (the “</w:t>
      </w:r>
      <w:r>
        <w:rPr>
          <w:rFonts w:ascii="Arial" w:cs="Arial" w:eastAsia="Arial" w:hAnsi="Arial"/>
          <w:sz w:val="16"/>
          <w:szCs w:val="16"/>
          <w:b w:val="1"/>
          <w:bCs w:val="1"/>
          <w:color w:val="auto"/>
        </w:rPr>
        <w:t>2047 Notes</w:t>
      </w:r>
      <w:r>
        <w:rPr>
          <w:rFonts w:ascii="Arial" w:cs="Arial" w:eastAsia="Arial" w:hAnsi="Arial"/>
          <w:sz w:val="16"/>
          <w:szCs w:val="16"/>
          <w:color w:val="auto"/>
        </w:rPr>
        <w:t>,” and together with the 2028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(the “</w:t>
      </w:r>
      <w:r>
        <w:rPr>
          <w:rFonts w:ascii="Arial" w:cs="Arial" w:eastAsia="Arial" w:hAnsi="Arial"/>
          <w:sz w:val="16"/>
          <w:szCs w:val="16"/>
          <w:b w:val="1"/>
          <w:bCs w:val="1"/>
          <w:color w:val="auto"/>
        </w:rPr>
        <w:t>Guarantees</w:t>
      </w:r>
      <w:r>
        <w:rPr>
          <w:rFonts w:ascii="Arial" w:cs="Arial" w:eastAsia="Arial" w:hAnsi="Arial"/>
          <w:sz w:val="16"/>
          <w:szCs w:val="16"/>
          <w:color w:val="auto"/>
        </w:rPr>
        <w:t>”) on an unsecured and unsubordinated basis by the Guarantors.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578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7,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pacing w:after="0" w:line="225" w:lineRule="exact"/>
        <w:rPr>
          <w:sz w:val="20"/>
          <w:szCs w:val="20"/>
          <w:color w:val="auto"/>
        </w:rPr>
      </w:pPr>
    </w:p>
    <w:p>
      <w:pPr>
        <w:ind w:right="60" w:firstLine="8"/>
        <w:spacing w:after="0" w:line="291"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80" w:firstLine="8"/>
        <w:spacing w:after="0" w:line="290" w:lineRule="auto"/>
        <w:tabs>
          <w:tab w:leader="none" w:pos="3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6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578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7,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as an exhibit to a report on Form 8-K filed by the Company on the date hereof and its incorporation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reference into the Company’s registration statement on Form S-3 filed on July 28, 2016, as amended as of the date of the Underwriting Agreement (File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333-212719). In addition, we consent to the reference to our name under the caption “Legal Matters” in the prospectus, which is a part of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In giving this consent, we do not admit that we are in the category of persons whose consent is required under Section 7 of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decimal"/>
      <w:start w:val="10"/>
    </w:lvl>
  </w:abstractNum>
  <w:abstractNum w:abstractNumId="11">
    <w:nsid w:val="189A769B"/>
    <w:multiLevelType w:val="hybridMultilevel"/>
    <w:lvl w:ilvl="0">
      <w:lvlJc w:val="left"/>
      <w:lvlText w:val="%1."/>
      <w:numFmt w:val="decimal"/>
      <w:start w:val="11"/>
    </w:lvl>
  </w:abstractNum>
  <w:abstractNum w:abstractNumId="12">
    <w:nsid w:val="54E49EB4"/>
    <w:multiLevelType w:val="hybridMultilevel"/>
    <w:lvl w:ilvl="0">
      <w:lvlJc w:val="left"/>
      <w:lvlText w:val="%1."/>
      <w:numFmt w:val="decimal"/>
      <w:start w:val="12"/>
    </w:lvl>
  </w:abstractNum>
  <w:abstractNum w:abstractNumId="13">
    <w:nsid w:val="71F32454"/>
    <w:multiLevelType w:val="hybridMultilevel"/>
    <w:lvl w:ilvl="0">
      <w:lvlJc w:val="left"/>
      <w:lvlText w:val="%1."/>
      <w:numFmt w:val="decimal"/>
      <w:start w:val="13"/>
    </w:lvl>
  </w:abstractNum>
  <w:abstractNum w:abstractNumId="14">
    <w:nsid w:val="2CA88611"/>
    <w:multiLevelType w:val="hybridMultilevel"/>
    <w:lvl w:ilvl="0">
      <w:lvlJc w:val="left"/>
      <w:lvlText w:val="%1."/>
      <w:numFmt w:val="decimal"/>
      <w:start w:val="14"/>
    </w:lvl>
  </w:abstractNum>
  <w:abstractNum w:abstractNumId="15">
    <w:nsid w:val="836C40E"/>
    <w:multiLevelType w:val="hybridMultilevel"/>
    <w:lvl w:ilvl="0">
      <w:lvlJc w:val="left"/>
      <w:lvlText w:val="%1."/>
      <w:numFmt w:val="decimal"/>
      <w:start w:val="15"/>
    </w:lvl>
  </w:abstractNum>
  <w:abstractNum w:abstractNumId="16">
    <w:nsid w:val="2901D82"/>
    <w:multiLevelType w:val="hybridMultilevel"/>
    <w:lvl w:ilvl="0">
      <w:lvlJc w:val="left"/>
      <w:lvlText w:val="%1."/>
      <w:numFmt w:val="decimal"/>
      <w:start w:val="16"/>
    </w:lvl>
  </w:abstractNum>
  <w:abstractNum w:abstractNumId="17">
    <w:nsid w:val="3A95F874"/>
    <w:multiLevelType w:val="hybridMultilevel"/>
    <w:lvl w:ilvl="0">
      <w:lvlJc w:val="left"/>
      <w:lvlText w:val="%1."/>
      <w:numFmt w:val="decimal"/>
      <w:start w:val="17"/>
    </w:lvl>
  </w:abstractNum>
  <w:abstractNum w:abstractNumId="18">
    <w:nsid w:val="8138641"/>
    <w:multiLevelType w:val="hybridMultilevel"/>
    <w:lvl w:ilvl="0">
      <w:lvlJc w:val="left"/>
      <w:lvlText w:val="%1."/>
      <w:numFmt w:val="decimal"/>
      <w:start w:val="18"/>
    </w:lvl>
  </w:abstractNum>
  <w:abstractNum w:abstractNumId="19">
    <w:nsid w:val="1E7FF521"/>
    <w:multiLevelType w:val="hybridMultilevel"/>
    <w:lvl w:ilvl="0">
      <w:lvlJc w:val="left"/>
      <w:lvlText w:val="%1."/>
      <w:numFmt w:val="decimal"/>
      <w:start w:val="19"/>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1."/>
      <w:numFmt w:val="decimal"/>
      <w:start w:val="5"/>
    </w:lvl>
  </w:abstractNum>
  <w:abstractNum w:abstractNumId="25">
    <w:nsid w:val="3006C83E"/>
    <w:multiLevelType w:val="hybridMultilevel"/>
    <w:lvl w:ilvl="0">
      <w:lvlJc w:val="left"/>
      <w:lvlText w:val="%1."/>
      <w:numFmt w:val="decimal"/>
      <w:start w:val="6"/>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8"/>
    </w:lvl>
  </w:abstractNum>
  <w:abstractNum w:abstractNumId="28">
    <w:nsid w:val="5577F8E1"/>
    <w:multiLevelType w:val="hybridMultilevel"/>
    <w:lvl w:ilvl="0">
      <w:lvlJc w:val="left"/>
      <w:lvlText w:val="%1."/>
      <w:numFmt w:val="decimal"/>
      <w:start w:val="9"/>
    </w:lvl>
  </w:abstractNum>
  <w:abstractNum w:abstractNumId="29">
    <w:nsid w:val="440BADFC"/>
    <w:multiLevelType w:val="hybridMultilevel"/>
    <w:lvl w:ilvl="0">
      <w:lvlJc w:val="left"/>
      <w:lvlText w:val="%1."/>
      <w:numFmt w:val="decimal"/>
      <w:start w:val="10"/>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decimal"/>
      <w:start w:val="12"/>
    </w:lvl>
  </w:abstractNum>
  <w:abstractNum w:abstractNumId="32">
    <w:nsid w:val="77465F01"/>
    <w:multiLevelType w:val="hybridMultilevel"/>
    <w:lvl w:ilvl="0">
      <w:lvlJc w:val="left"/>
      <w:lvlText w:val="%1."/>
      <w:numFmt w:val="decimal"/>
      <w:start w:val="13"/>
    </w:lvl>
  </w:abstractNum>
  <w:abstractNum w:abstractNumId="33">
    <w:nsid w:val="7724C67E"/>
    <w:multiLevelType w:val="hybridMultilevel"/>
    <w:lvl w:ilvl="0">
      <w:lvlJc w:val="left"/>
      <w:lvlText w:val="%1."/>
      <w:numFmt w:val="decimal"/>
      <w:start w:val="14"/>
    </w:lvl>
  </w:abstractNum>
  <w:abstractNum w:abstractNumId="34">
    <w:nsid w:val="5C482A97"/>
    <w:multiLevelType w:val="hybridMultilevel"/>
    <w:lvl w:ilvl="0">
      <w:lvlJc w:val="left"/>
      <w:lvlText w:val="%1."/>
      <w:numFmt w:val="decimal"/>
      <w:start w:val="15"/>
    </w:lvl>
  </w:abstractNum>
  <w:abstractNum w:abstractNumId="35">
    <w:nsid w:val="2463B9EA"/>
    <w:multiLevelType w:val="hybridMultilevel"/>
    <w:lvl w:ilvl="0">
      <w:lvlJc w:val="left"/>
      <w:lvlText w:val="%1."/>
      <w:numFmt w:val="decimal"/>
      <w:start w:val="16"/>
    </w:lvl>
  </w:abstractNum>
  <w:abstractNum w:abstractNumId="36">
    <w:nsid w:val="5E884ADC"/>
    <w:multiLevelType w:val="hybridMultilevel"/>
    <w:lvl w:ilvl="0">
      <w:lvlJc w:val="left"/>
      <w:lvlText w:val="%1."/>
      <w:numFmt w:val="decimal"/>
      <w:start w:val="17"/>
    </w:lvl>
  </w:abstractNum>
  <w:abstractNum w:abstractNumId="37">
    <w:nsid w:val="51EAD36B"/>
    <w:multiLevelType w:val="hybridMultilevel"/>
    <w:lvl w:ilvl="0">
      <w:lvlJc w:val="left"/>
      <w:lvlText w:val="%1."/>
      <w:numFmt w:val="decimal"/>
      <w:start w:val="18"/>
    </w:lvl>
  </w:abstractNum>
  <w:abstractNum w:abstractNumId="38">
    <w:nsid w:val="2D517796"/>
    <w:multiLevelType w:val="hybridMultilevel"/>
    <w:lvl w:ilvl="0">
      <w:lvlJc w:val="left"/>
      <w:lvlText w:val="%1."/>
      <w:numFmt w:val="decimal"/>
      <w:start w:val="19"/>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2019-12-06T17:50:07Z</dcterms:created>
  <dcterms:modified xsi:type="dcterms:W3CDTF">2019-12-06T17:50:07Z</dcterms:modified>
</cp:coreProperties>
</file>