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1"/>
        </w:trPr>
        <w:tc>
          <w:tcPr>
            <w:tcW w:w="15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jc w:val="center"/>
              <w:ind w:left="1390"/>
              <w:spacing w:after="0"/>
              <w:rPr>
                <w:sz w:val="20"/>
                <w:szCs w:val="20"/>
                <w:color w:val="auto"/>
              </w:rPr>
            </w:pPr>
            <w:r>
              <w:rPr>
                <w:rFonts w:ascii="Arial" w:cs="Arial" w:eastAsia="Arial" w:hAnsi="Arial"/>
                <w:sz w:val="18"/>
                <w:szCs w:val="18"/>
                <w:b w:val="1"/>
                <w:bCs w:val="1"/>
                <w:color w:val="auto"/>
                <w:w w:val="99"/>
              </w:rPr>
              <w:t>UNITED STATES</w:t>
            </w:r>
          </w:p>
        </w:tc>
        <w:tc>
          <w:tcPr>
            <w:tcW w:w="160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22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40" w:type="dxa"/>
            <w:vAlign w:val="bottom"/>
          </w:tcPr>
          <w:p>
            <w:pPr>
              <w:jc w:val="center"/>
              <w:ind w:left="1390"/>
              <w:spacing w:after="0"/>
              <w:rPr>
                <w:sz w:val="20"/>
                <w:szCs w:val="20"/>
                <w:color w:val="auto"/>
              </w:rPr>
            </w:pPr>
            <w:r>
              <w:rPr>
                <w:rFonts w:ascii="Arial" w:cs="Arial" w:eastAsia="Arial" w:hAnsi="Arial"/>
                <w:sz w:val="18"/>
                <w:szCs w:val="18"/>
                <w:b w:val="1"/>
                <w:bCs w:val="1"/>
                <w:color w:val="auto"/>
                <w:w w:val="91"/>
              </w:rPr>
              <w:t>Washington, D.C. 20549</w:t>
            </w:r>
          </w:p>
        </w:tc>
        <w:tc>
          <w:tcPr>
            <w:tcW w:w="1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vMerge w:val="restart"/>
          </w:tcPr>
          <w:p>
            <w:pPr>
              <w:spacing w:after="0"/>
              <w:rPr>
                <w:sz w:val="20"/>
                <w:szCs w:val="20"/>
                <w:color w:val="auto"/>
              </w:rPr>
            </w:pPr>
            <w:r>
              <w:rPr>
                <w:rFonts w:ascii="Arial" w:cs="Arial" w:eastAsia="Arial" w:hAnsi="Arial"/>
                <w:sz w:val="18"/>
                <w:szCs w:val="18"/>
                <w:b w:val="1"/>
                <w:bCs w:val="1"/>
                <w:color w:val="auto"/>
              </w:rPr>
              <w:t>(Mark One)</w:t>
            </w:r>
          </w:p>
        </w:tc>
        <w:tc>
          <w:tcPr>
            <w:tcW w:w="1700" w:type="dxa"/>
            <w:vAlign w:val="bottom"/>
          </w:tcPr>
          <w:p>
            <w:pPr>
              <w:spacing w:after="0"/>
              <w:rPr>
                <w:sz w:val="20"/>
                <w:szCs w:val="20"/>
                <w:color w:val="auto"/>
              </w:rPr>
            </w:pPr>
          </w:p>
        </w:tc>
        <w:tc>
          <w:tcPr>
            <w:tcW w:w="354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FORM 10-Q</w:t>
            </w:r>
          </w:p>
        </w:tc>
        <w:tc>
          <w:tcPr>
            <w:tcW w:w="16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500" w:type="dxa"/>
            <w:vAlign w:val="bottom"/>
          </w:tcPr>
          <w:p>
            <w:pPr>
              <w:ind w:left="240"/>
              <w:spacing w:after="0"/>
              <w:rPr>
                <w:sz w:val="20"/>
                <w:szCs w:val="20"/>
                <w:color w:val="auto"/>
              </w:rPr>
            </w:pPr>
            <w:r>
              <w:rPr>
                <w:rFonts w:ascii="Arial" w:cs="Arial" w:eastAsia="Arial" w:hAnsi="Arial"/>
                <w:sz w:val="18"/>
                <w:szCs w:val="18"/>
                <w:color w:val="auto"/>
              </w:rPr>
              <w:t>x</w:t>
            </w:r>
          </w:p>
        </w:tc>
        <w:tc>
          <w:tcPr>
            <w:tcW w:w="992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220" w:type="dxa"/>
            <w:vAlign w:val="bottom"/>
            <w:gridSpan w:val="3"/>
          </w:tcPr>
          <w:p>
            <w:pPr>
              <w:jc w:val="center"/>
              <w:ind w:right="3200"/>
              <w:spacing w:after="0"/>
              <w:rPr>
                <w:sz w:val="20"/>
                <w:szCs w:val="20"/>
                <w:color w:val="auto"/>
              </w:rPr>
            </w:pPr>
            <w:r>
              <w:rPr>
                <w:rFonts w:ascii="Arial" w:cs="Arial" w:eastAsia="Arial" w:hAnsi="Arial"/>
                <w:sz w:val="18"/>
                <w:szCs w:val="18"/>
                <w:b w:val="1"/>
                <w:bCs w:val="1"/>
                <w:color w:val="auto"/>
                <w:w w:val="91"/>
              </w:rPr>
              <w:t>For the quarterly period ended March 31, 2019</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40" w:type="dxa"/>
            <w:vAlign w:val="bottom"/>
          </w:tcPr>
          <w:p>
            <w:pPr>
              <w:jc w:val="center"/>
              <w:ind w:left="1390"/>
              <w:spacing w:after="0"/>
              <w:rPr>
                <w:sz w:val="20"/>
                <w:szCs w:val="20"/>
                <w:color w:val="auto"/>
              </w:rPr>
            </w:pPr>
            <w:r>
              <w:rPr>
                <w:rFonts w:ascii="Arial" w:cs="Arial" w:eastAsia="Arial" w:hAnsi="Arial"/>
                <w:sz w:val="18"/>
                <w:szCs w:val="18"/>
                <w:b w:val="1"/>
                <w:bCs w:val="1"/>
                <w:color w:val="auto"/>
              </w:rPr>
              <w:t>Or</w:t>
            </w:r>
          </w:p>
        </w:tc>
        <w:tc>
          <w:tcPr>
            <w:tcW w:w="16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500" w:type="dxa"/>
            <w:vAlign w:val="bottom"/>
          </w:tcPr>
          <w:p>
            <w:pPr>
              <w:ind w:left="260"/>
              <w:spacing w:after="0"/>
              <w:rPr>
                <w:sz w:val="20"/>
                <w:szCs w:val="20"/>
                <w:color w:val="auto"/>
              </w:rPr>
            </w:pPr>
            <w:r>
              <w:rPr>
                <w:rFonts w:ascii="Arial" w:cs="Arial" w:eastAsia="Arial" w:hAnsi="Arial"/>
                <w:sz w:val="14"/>
                <w:szCs w:val="14"/>
                <w:color w:val="auto"/>
              </w:rPr>
              <w:t>c</w:t>
            </w:r>
          </w:p>
        </w:tc>
        <w:tc>
          <w:tcPr>
            <w:tcW w:w="992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40" w:type="dxa"/>
            <w:vAlign w:val="bottom"/>
          </w:tcPr>
          <w:p>
            <w:pPr>
              <w:ind w:left="260"/>
              <w:spacing w:after="0"/>
              <w:rPr>
                <w:sz w:val="20"/>
                <w:szCs w:val="20"/>
                <w:color w:val="auto"/>
              </w:rPr>
            </w:pPr>
            <w:r>
              <w:rPr>
                <w:rFonts w:ascii="Arial" w:cs="Arial" w:eastAsia="Arial" w:hAnsi="Arial"/>
                <w:sz w:val="18"/>
                <w:szCs w:val="18"/>
                <w:b w:val="1"/>
                <w:bCs w:val="1"/>
                <w:color w:val="auto"/>
              </w:rPr>
              <w:t>For the transition period from</w:t>
            </w:r>
          </w:p>
        </w:tc>
        <w:tc>
          <w:tcPr>
            <w:tcW w:w="4680" w:type="dxa"/>
            <w:vAlign w:val="bottom"/>
            <w:gridSpan w:val="2"/>
          </w:tcPr>
          <w:p>
            <w:pPr>
              <w:ind w:left="8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3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111760</wp:posOffset>
            </wp:positionV>
            <wp:extent cx="1826895"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State of</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Incorporation; Address and Telephone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w w:val="95"/>
              </w:rPr>
              <w:t>Commission File Number</w:t>
            </w:r>
          </w:p>
        </w:tc>
        <w:tc>
          <w:tcPr>
            <w:tcW w:w="5320" w:type="dxa"/>
            <w:vAlign w:val="bottom"/>
            <w:tcBorders>
              <w:bottom w:val="single" w:sz="8" w:color="auto"/>
            </w:tcBorders>
          </w:tcPr>
          <w:p>
            <w:pPr>
              <w:jc w:val="center"/>
              <w:ind w:left="46"/>
              <w:spacing w:after="0"/>
              <w:rPr>
                <w:sz w:val="20"/>
                <w:szCs w:val="20"/>
                <w:color w:val="auto"/>
              </w:rPr>
            </w:pPr>
            <w:r>
              <w:rPr>
                <w:rFonts w:ascii="Arial" w:cs="Arial" w:eastAsia="Arial" w:hAnsi="Arial"/>
                <w:sz w:val="16"/>
                <w:szCs w:val="16"/>
                <w:color w:val="auto"/>
                <w:w w:val="94"/>
              </w:rPr>
              <w:t>Number of Principal Executive Offices</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90"/>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001-32871</w:t>
            </w:r>
          </w:p>
        </w:tc>
        <w:tc>
          <w:tcPr>
            <w:tcW w:w="5320" w:type="dxa"/>
            <w:vAlign w:val="bottom"/>
            <w:vMerge w:val="restart"/>
          </w:tcPr>
          <w:p>
            <w:pPr>
              <w:jc w:val="center"/>
              <w:ind w:left="46"/>
              <w:spacing w:after="0"/>
              <w:rPr>
                <w:sz w:val="20"/>
                <w:szCs w:val="20"/>
                <w:color w:val="auto"/>
              </w:rPr>
            </w:pPr>
            <w:r>
              <w:rPr>
                <w:rFonts w:ascii="Arial" w:cs="Arial" w:eastAsia="Arial" w:hAnsi="Arial"/>
                <w:sz w:val="29"/>
                <w:szCs w:val="29"/>
                <w:b w:val="1"/>
                <w:bCs w:val="1"/>
                <w:color w:val="auto"/>
                <w:w w:val="99"/>
              </w:rPr>
              <w:t>COMCAST CORPORATION</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27-0000798</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532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5320" w:type="dxa"/>
            <w:vAlign w:val="bottom"/>
          </w:tcPr>
          <w:p>
            <w:pPr>
              <w:jc w:val="center"/>
              <w:ind w:left="66"/>
              <w:spacing w:after="0"/>
              <w:rPr>
                <w:sz w:val="20"/>
                <w:szCs w:val="20"/>
                <w:color w:val="auto"/>
              </w:rPr>
            </w:pPr>
            <w:r>
              <w:rPr>
                <w:rFonts w:ascii="Arial" w:cs="Arial" w:eastAsia="Arial" w:hAnsi="Arial"/>
                <w:sz w:val="14"/>
                <w:szCs w:val="14"/>
                <w:b w:val="1"/>
                <w:bCs w:val="1"/>
                <w:color w:val="auto"/>
              </w:rPr>
              <w:t>PENNSYLVANIA</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2"/>
              </w:rPr>
              <w:t>One Comcast Center</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3"/>
              </w:rPr>
              <w:t>Philadelphia, PA 19103-2838</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5320" w:type="dxa"/>
            <w:vAlign w:val="bottom"/>
          </w:tcPr>
          <w:p>
            <w:pPr>
              <w:jc w:val="center"/>
              <w:ind w:left="46"/>
              <w:spacing w:after="0"/>
              <w:rPr>
                <w:sz w:val="20"/>
                <w:szCs w:val="20"/>
                <w:color w:val="auto"/>
              </w:rPr>
            </w:pPr>
            <w:r>
              <w:rPr>
                <w:rFonts w:ascii="Arial" w:cs="Arial" w:eastAsia="Arial" w:hAnsi="Arial"/>
                <w:sz w:val="14"/>
                <w:szCs w:val="14"/>
                <w:b w:val="1"/>
                <w:bCs w:val="1"/>
                <w:color w:val="auto"/>
                <w:w w:val="93"/>
              </w:rPr>
              <w:t>(215) 286-1700</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001-36438</w:t>
            </w:r>
          </w:p>
        </w:tc>
        <w:tc>
          <w:tcPr>
            <w:tcW w:w="5320" w:type="dxa"/>
            <w:vAlign w:val="bottom"/>
            <w:vMerge w:val="restart"/>
          </w:tcPr>
          <w:p>
            <w:pPr>
              <w:jc w:val="center"/>
              <w:ind w:left="66"/>
              <w:spacing w:after="0"/>
              <w:rPr>
                <w:sz w:val="20"/>
                <w:szCs w:val="20"/>
                <w:color w:val="auto"/>
              </w:rPr>
            </w:pPr>
            <w:r>
              <w:rPr>
                <w:rFonts w:ascii="Arial" w:cs="Arial" w:eastAsia="Arial" w:hAnsi="Arial"/>
                <w:sz w:val="29"/>
                <w:szCs w:val="29"/>
                <w:b w:val="1"/>
                <w:bCs w:val="1"/>
                <w:color w:val="auto"/>
              </w:rPr>
              <w:t>NBCUNIVERSAL MEDIA, LLC</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14-1682529</w:t>
            </w: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DELAWARE</w:t>
      </w:r>
    </w:p>
    <w:p>
      <w:pPr>
        <w:jc w:val="center"/>
        <w:ind w:right="-119"/>
        <w:spacing w:after="0" w:line="226" w:lineRule="auto"/>
        <w:rPr>
          <w:sz w:val="20"/>
          <w:szCs w:val="20"/>
          <w:color w:val="auto"/>
        </w:rPr>
      </w:pPr>
      <w:r>
        <w:rPr>
          <w:rFonts w:ascii="Arial" w:cs="Arial" w:eastAsia="Arial" w:hAnsi="Arial"/>
          <w:sz w:val="14"/>
          <w:szCs w:val="14"/>
          <w:b w:val="1"/>
          <w:bCs w:val="1"/>
          <w:color w:val="auto"/>
        </w:rPr>
        <w:t>30 Rockefeller Plaza</w:t>
      </w:r>
    </w:p>
    <w:p>
      <w:pPr>
        <w:jc w:val="center"/>
        <w:ind w:right="-119"/>
        <w:spacing w:after="0" w:line="222" w:lineRule="auto"/>
        <w:rPr>
          <w:sz w:val="20"/>
          <w:szCs w:val="20"/>
          <w:color w:val="auto"/>
        </w:rPr>
      </w:pPr>
      <w:r>
        <w:rPr>
          <w:rFonts w:ascii="Arial" w:cs="Arial" w:eastAsia="Arial" w:hAnsi="Arial"/>
          <w:sz w:val="14"/>
          <w:szCs w:val="14"/>
          <w:b w:val="1"/>
          <w:bCs w:val="1"/>
          <w:color w:val="auto"/>
        </w:rPr>
        <w:t>New York, NY 10112-0015</w:t>
      </w:r>
    </w:p>
    <w:p>
      <w:pPr>
        <w:jc w:val="center"/>
        <w:ind w:right="-119"/>
        <w:spacing w:after="0"/>
        <w:rPr>
          <w:sz w:val="20"/>
          <w:szCs w:val="20"/>
          <w:color w:val="auto"/>
        </w:rPr>
      </w:pPr>
      <w:r>
        <w:rPr>
          <w:rFonts w:ascii="Arial" w:cs="Arial" w:eastAsia="Arial" w:hAnsi="Arial"/>
          <w:sz w:val="14"/>
          <w:szCs w:val="14"/>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714" w:right="23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Comcast 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x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2"/>
          <w:szCs w:val="12"/>
          <w:color w:val="auto"/>
        </w:rPr>
        <w:t>c</w:t>
      </w:r>
    </w:p>
    <w:p>
      <w:pPr>
        <w:spacing w:after="0" w:line="64" w:lineRule="exact"/>
        <w:rPr>
          <w:sz w:val="24"/>
          <w:szCs w:val="24"/>
          <w:color w:val="auto"/>
        </w:rPr>
      </w:pPr>
    </w:p>
    <w:p>
      <w:pPr>
        <w:sectPr>
          <w:pgSz w:w="11900" w:h="16838" w:orient="portrait"/>
          <w:cols w:equalWidth="0" w:num="7">
            <w:col w:w="1280" w:space="700"/>
            <w:col w:w="1300" w:space="360"/>
            <w:col w:w="1140" w:space="340"/>
            <w:col w:w="1400" w:space="440"/>
            <w:col w:w="1760" w:space="420"/>
            <w:col w:w="1740" w:space="400"/>
            <w:col w:w="140"/>
          </w:cols>
          <w:pgMar w:left="240" w:top="714"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NBCUniversal Media, LLC</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x  Smaller reporting company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w:t>
      </w:r>
    </w:p>
    <w:p>
      <w:pPr>
        <w:spacing w:after="0" w:line="145" w:lineRule="exact"/>
        <w:rPr>
          <w:sz w:val="24"/>
          <w:szCs w:val="24"/>
          <w:color w:val="auto"/>
        </w:rPr>
      </w:pPr>
    </w:p>
    <w:p>
      <w:pPr>
        <w:sectPr>
          <w:pgSz w:w="11900" w:h="16838" w:orient="portrait"/>
          <w:cols w:equalWidth="0" w:num="7">
            <w:col w:w="1640" w:space="340"/>
            <w:col w:w="1300" w:space="360"/>
            <w:col w:w="1140" w:space="340"/>
            <w:col w:w="1400" w:space="440"/>
            <w:col w:w="1760" w:space="420"/>
            <w:col w:w="1740" w:space="400"/>
            <w:col w:w="140"/>
          </w:cols>
          <w:pgMar w:left="240" w:top="714" w:right="2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If an emerging growth company, indicate by check mark whether the registrant has elected not to use the extended transition period for complying with any new or revised financial accounting standards provided pursuant to Section 13(a)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ind w:left="3600"/>
              <w:spacing w:after="0"/>
              <w:rPr>
                <w:sz w:val="20"/>
                <w:szCs w:val="20"/>
                <w:color w:val="auto"/>
              </w:rPr>
            </w:pPr>
            <w:r>
              <w:rPr>
                <w:rFonts w:ascii="Arial" w:cs="Arial" w:eastAsia="Arial" w:hAnsi="Arial"/>
                <w:sz w:val="14"/>
                <w:szCs w:val="14"/>
                <w:color w:val="auto"/>
              </w:rPr>
              <w:t>Comcast Corporation</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600"/>
              <w:spacing w:after="0"/>
              <w:rPr>
                <w:sz w:val="20"/>
                <w:szCs w:val="20"/>
                <w:color w:val="auto"/>
              </w:rPr>
            </w:pPr>
            <w:r>
              <w:rPr>
                <w:rFonts w:ascii="Arial" w:cs="Arial" w:eastAsia="Arial" w:hAnsi="Arial"/>
                <w:sz w:val="14"/>
                <w:szCs w:val="14"/>
                <w:color w:val="auto"/>
              </w:rPr>
              <w:t>NBCUniversal Media, LLC</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300" w:type="dxa"/>
            <w:vAlign w:val="bottom"/>
          </w:tcPr>
          <w:p>
            <w:pPr>
              <w:spacing w:after="0"/>
              <w:rPr>
                <w:sz w:val="20"/>
                <w:szCs w:val="20"/>
                <w:color w:val="auto"/>
              </w:rPr>
            </w:pPr>
            <w:r>
              <w:rPr>
                <w:rFonts w:ascii="Arial" w:cs="Arial" w:eastAsia="Arial" w:hAnsi="Arial"/>
                <w:sz w:val="14"/>
                <w:szCs w:val="14"/>
                <w:color w:val="auto"/>
                <w:w w:val="99"/>
              </w:rPr>
              <w:t>Indicate by check mark whether the registrant is a shell company (as defined in Rule 12b-2 of the Act).</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tcPr>
          <w:p>
            <w:pPr>
              <w:ind w:left="3240"/>
              <w:spacing w:after="0"/>
              <w:rPr>
                <w:sz w:val="20"/>
                <w:szCs w:val="20"/>
                <w:color w:val="auto"/>
              </w:rPr>
            </w:pPr>
            <w:r>
              <w:rPr>
                <w:rFonts w:ascii="Arial" w:cs="Arial" w:eastAsia="Arial" w:hAnsi="Arial"/>
                <w:sz w:val="14"/>
                <w:szCs w:val="14"/>
                <w:color w:val="auto"/>
              </w:rPr>
              <w:t>Comcast Corporation</w:t>
            </w:r>
          </w:p>
        </w:tc>
        <w:tc>
          <w:tcPr>
            <w:tcW w:w="600" w:type="dxa"/>
            <w:vAlign w:val="bottom"/>
            <w:vMerge w:val="restart"/>
          </w:tcPr>
          <w:p>
            <w:pPr>
              <w:ind w:left="34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240"/>
              <w:spacing w:after="0"/>
              <w:rPr>
                <w:sz w:val="20"/>
                <w:szCs w:val="20"/>
                <w:color w:val="auto"/>
              </w:rPr>
            </w:pPr>
            <w:r>
              <w:rPr>
                <w:rFonts w:ascii="Arial" w:cs="Arial" w:eastAsia="Arial" w:hAnsi="Arial"/>
                <w:sz w:val="14"/>
                <w:szCs w:val="14"/>
                <w:color w:val="auto"/>
              </w:rPr>
              <w:t>NBCUniversal Media, LLC</w:t>
            </w:r>
          </w:p>
        </w:tc>
        <w:tc>
          <w:tcPr>
            <w:tcW w:w="600" w:type="dxa"/>
            <w:vAlign w:val="bottom"/>
            <w:vMerge w:val="restart"/>
          </w:tcPr>
          <w:p>
            <w:pPr>
              <w:ind w:left="34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practicable date: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As of March 31, 2019, there were 4,529,070,833 shares of Comcast Corporation Class A common stock and 9,444,375 shares of Class B common stock outstanding.</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5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jc w:val="right"/>
              <w:ind w:right="17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9340" w:type="dxa"/>
            <w:vAlign w:val="bottom"/>
            <w:gridSpan w:val="20"/>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31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Comcast Corporation Financial Statements</w:t>
              </w:r>
            </w:hyperlink>
          </w:p>
        </w:tc>
        <w:tc>
          <w:tcPr>
            <w:tcW w:w="4760" w:type="dxa"/>
            <w:vAlign w:val="bottom"/>
            <w:gridSpan w:val="9"/>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Income (Unaudited)</w:t>
              </w:r>
            </w:hyperlink>
          </w:p>
        </w:tc>
        <w:tc>
          <w:tcPr>
            <w:tcW w:w="3600" w:type="dxa"/>
            <w:vAlign w:val="bottom"/>
            <w:gridSpan w:val="7"/>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Comprehensive Income (Unaudited)</w:t>
              </w:r>
            </w:hyperlink>
          </w:p>
        </w:tc>
        <w:tc>
          <w:tcPr>
            <w:tcW w:w="2040" w:type="dxa"/>
            <w:vAlign w:val="bottom"/>
          </w:tcPr>
          <w:p>
            <w:pPr>
              <w:jc w:val="right"/>
              <w:spacing w:after="0"/>
              <w:rPr>
                <w:rFonts w:ascii="Arial" w:cs="Arial" w:eastAsia="Arial" w:hAnsi="Arial"/>
                <w:sz w:val="18"/>
                <w:szCs w:val="18"/>
                <w:color w:val="2C2C2C"/>
              </w:rPr>
            </w:pPr>
            <w:hyperlink w:anchor="page5">
              <w:r>
                <w:rPr>
                  <w:rFonts w:ascii="Arial" w:cs="Arial" w:eastAsia="Arial" w:hAnsi="Arial"/>
                  <w:sz w:val="18"/>
                  <w:szCs w:val="18"/>
                  <w:color w:val="2C2C2C"/>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Cash Flows (Unaudited)</w:t>
              </w:r>
            </w:hyperlink>
          </w:p>
        </w:tc>
        <w:tc>
          <w:tcPr>
            <w:tcW w:w="860" w:type="dxa"/>
            <w:vAlign w:val="bottom"/>
            <w:tcBorders>
              <w:top w:val="single" w:sz="8" w:color="0000EE"/>
            </w:tcBorders>
            <w:gridSpan w:val="3"/>
          </w:tcPr>
          <w:p>
            <w:pPr>
              <w:spacing w:after="0"/>
              <w:rPr>
                <w:sz w:val="21"/>
                <w:szCs w:val="21"/>
                <w:color w:val="auto"/>
              </w:rPr>
            </w:pPr>
          </w:p>
        </w:tc>
        <w:tc>
          <w:tcPr>
            <w:tcW w:w="2440" w:type="dxa"/>
            <w:vAlign w:val="bottom"/>
            <w:gridSpan w:val="2"/>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6">
              <w:r>
                <w:rPr>
                  <w:rFonts w:ascii="Arial" w:cs="Arial" w:eastAsia="Arial" w:hAnsi="Arial"/>
                  <w:sz w:val="18"/>
                  <w:szCs w:val="18"/>
                  <w:color w:val="2C2C2C"/>
                </w:rPr>
                <w:t>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Balance Sheet (Unaudited)</w:t>
              </w:r>
            </w:hyperlink>
          </w:p>
        </w:tc>
        <w:tc>
          <w:tcPr>
            <w:tcW w:w="4080" w:type="dxa"/>
            <w:vAlign w:val="bottom"/>
            <w:gridSpan w:val="8"/>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7">
              <w:r>
                <w:rPr>
                  <w:rFonts w:ascii="Arial" w:cs="Arial" w:eastAsia="Arial" w:hAnsi="Arial"/>
                  <w:sz w:val="18"/>
                  <w:szCs w:val="18"/>
                  <w:color w:val="2C2C2C"/>
                </w:rPr>
                <w:t>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 of Changes in Equity (Unaudited)</w:t>
              </w:r>
            </w:hyperlink>
          </w:p>
        </w:tc>
        <w:tc>
          <w:tcPr>
            <w:tcW w:w="20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40" w:type="dxa"/>
            <w:vAlign w:val="bottom"/>
            <w:tcBorders>
              <w:top w:val="single" w:sz="8" w:color="0000EE"/>
            </w:tcBorders>
            <w:gridSpan w:val="15"/>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Notes to Condensed Consolidated Financial Statements (Unaudited)</w:t>
              </w:r>
            </w:hyperlink>
          </w:p>
        </w:tc>
        <w:tc>
          <w:tcPr>
            <w:tcW w:w="2820" w:type="dxa"/>
            <w:vAlign w:val="bottom"/>
            <w:gridSpan w:val="3"/>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3500" w:type="dxa"/>
            <w:vAlign w:val="bottom"/>
            <w:gridSpan w:val="6"/>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Controls and Procedures</w:t>
              </w:r>
            </w:hyperlink>
          </w:p>
        </w:tc>
        <w:tc>
          <w:tcPr>
            <w:tcW w:w="6080" w:type="dxa"/>
            <w:vAlign w:val="bottom"/>
            <w:gridSpan w:val="11"/>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340" w:type="dxa"/>
            <w:vAlign w:val="bottom"/>
            <w:gridSpan w:val="20"/>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6520" w:type="dxa"/>
            <w:vAlign w:val="bottom"/>
            <w:gridSpan w:val="13"/>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1A.</w:t>
            </w:r>
          </w:p>
        </w:tc>
        <w:tc>
          <w:tcPr>
            <w:tcW w:w="786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20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5.</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Other Information</w:t>
              </w:r>
            </w:hyperlink>
          </w:p>
        </w:tc>
        <w:tc>
          <w:tcPr>
            <w:tcW w:w="6540" w:type="dxa"/>
            <w:vAlign w:val="bottom"/>
            <w:gridSpan w:val="14"/>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6.</w:t>
            </w:r>
          </w:p>
        </w:tc>
        <w:tc>
          <w:tcPr>
            <w:tcW w:w="786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20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46">
              <w:r>
                <w:rPr>
                  <w:rFonts w:ascii="Arial" w:cs="Arial" w:eastAsia="Arial" w:hAnsi="Arial"/>
                  <w:sz w:val="18"/>
                  <w:szCs w:val="18"/>
                  <w:b w:val="1"/>
                  <w:bCs w:val="1"/>
                  <w:color w:val="0000EE"/>
                  <w:w w:val="96"/>
                </w:rPr>
                <w:t>SIGNATURES</w:t>
              </w:r>
            </w:hyperlink>
          </w:p>
        </w:tc>
        <w:tc>
          <w:tcPr>
            <w:tcW w:w="32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34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NBCUniversal Media, LLC Financial Statements</w:t>
              </w:r>
            </w:hyperlink>
          </w:p>
        </w:tc>
        <w:tc>
          <w:tcPr>
            <w:tcW w:w="20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11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NBCUniversal, LLC as “NBCUniversal Holdings;” NBCUniversal Enterprise, Inc. as "NBCUniversal Enterprise;" and Sky Limited and its consolidated subsidiaries as “Sky.”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months ended March 31, 2019. This Quarterly Report on Form 10-Q modifies and supersedes documents filed before it.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carefully review the information contained in this Quarterly Report on Form 10-Q and particularly consider any risk factors set forth in this Quarterly Report on Form 10-Q and in other reports or documents that we file from time to time with the SEC. In this Quarterly Report on Form 10-Q, we state our beliefs of future events and of our future financial performance. In some cases, you can identify these so-called “forward-looking statements” by words such as “may,” “will,” “should,” “expects,”</w:t>
      </w:r>
    </w:p>
    <w:p>
      <w:pPr>
        <w:sectPr>
          <w:pgSz w:w="11900" w:h="16838" w:orient="portrait"/>
          <w:cols w:equalWidth="0" w:num="1">
            <w:col w:w="11420"/>
          </w:cols>
          <w:pgMar w:left="240" w:top="418" w:right="239" w:bottom="1440" w:gutter="0" w:footer="0" w:header="0"/>
        </w:sectPr>
      </w:pPr>
    </w:p>
    <w:bookmarkStart w:id="2" w:name="page3"/>
    <w:bookmarkEnd w:id="2"/>
    <w:p>
      <w:pPr>
        <w:jc w:val="both"/>
        <w:spacing w:after="0" w:line="302" w:lineRule="auto"/>
        <w:rPr>
          <w:sz w:val="20"/>
          <w:szCs w:val="20"/>
          <w:color w:val="auto"/>
        </w:rPr>
      </w:pPr>
      <w:r>
        <w:rPr>
          <w:rFonts w:ascii="Arial" w:cs="Arial" w:eastAsia="Arial" w:hAnsi="Arial"/>
          <w:sz w:val="16"/>
          <w:szCs w:val="16"/>
          <w:color w:val="auto"/>
        </w:rPr>
        <w:t>“believes,” “estimates,” “potential,” or “continue,” or the negative of these words, and other comparable words. You should be aware that these statements are only our predictions. In evaluating these statements, you should consider various factors, including the risks outlined below and in other reports we file with the SEC. Actual events or our actual results could differ materially from our forward-looking statements as a result of any such factors, which could adversely affect our businesses, results of operations or financial condition. We undertake no obligation to update any forward-looking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17" w:lineRule="exact"/>
        <w:rPr>
          <w:sz w:val="20"/>
          <w:szCs w:val="20"/>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could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are subject to regulation by federal, state, local and foreign authorities, which impose additional costs and restrictions on our businesses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programming expenses for our video services are increasing, which could adversely affect Cable Communications’ and Sky’s video businesses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our businesses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favorable regulation, the loss of Sky’s transmission agreements with satellite or telecommunications providers or the renewal of these agreements on less favorable terms, could adversely affect Sky’s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loss of Sky’s wholesale distribution agreements with traditional multichannel video providers could adversely affect Sky’s businesses</w:t>
      </w:r>
    </w:p>
    <w:p>
      <w:pPr>
        <w:spacing w:after="0" w:line="74"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including our acquisition of Sky, and other strategic initiatives present many risks, and we may not realize the financial and strategic goals that we had contemplated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unfavorable litigation or governmental investigation results could require us to pay significant amounts or lead to onerous operating procedures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3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96"/>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26,859</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22,791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8,569</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7,429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7,900</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6,514</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1,888</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1,604</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2,240</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2,011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1,080</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588</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21,677</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18,146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5,182</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4,645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(1,150)</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676</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4,708</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3,994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(1,076)</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3,632</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3,176</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w w:val="97"/>
              </w:rPr>
              <w:t>Less: Net income (loss) attributable to noncontrolling interests and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79</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3,553</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3,118</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0.78</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0.67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0.77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0.66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w w:val="96"/>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3,632</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3,176</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 of deferred taxes of $— and $—</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 of deferred taxes of $9 and $(9)</w:t>
            </w:r>
          </w:p>
        </w:tc>
        <w:tc>
          <w:tcPr>
            <w:tcW w:w="36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(59)</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Realized (gains) losses on cash flow hedges, net of deferred taxes of $(11) and $6</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Employee benefit obligations, net of deferred taxes of $3 and $2</w:t>
            </w:r>
          </w:p>
        </w:tc>
        <w:tc>
          <w:tcPr>
            <w:tcW w:w="36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Currency translation adjustments, net of deferred taxes of $(12) and $(47)</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807</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4,432</w:t>
            </w:r>
          </w:p>
        </w:tc>
        <w:tc>
          <w:tcPr>
            <w:tcW w:w="6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3,333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 and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79</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36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4,343</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3,271</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39"/>
        </w:trPr>
        <w:tc>
          <w:tcPr>
            <w:tcW w:w="8240" w:type="dxa"/>
            <w:vAlign w:val="bottom"/>
          </w:tcPr>
          <w:p>
            <w:pPr>
              <w:ind w:left="566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96"/>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3,632</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3,176</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3,320</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2,599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245</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Noncash interest expense (income),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77</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(498)</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271</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449</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559</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(574)</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(250)</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7,231</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5,474</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(2,092)</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(547)</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and construction of real estate properties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Construction of Universal Beijing Resort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(220)</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sales of investments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(439)</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99</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429</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(3,226)</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(2,292)</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(1,288)</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222</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4,043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(2,084)</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(247)</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(869)</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(4,325)</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(576)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2,606</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3,909</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3,571</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3,597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6,177</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39"/>
        </w:trPr>
        <w:tc>
          <w:tcPr>
            <w:tcW w:w="8240" w:type="dxa"/>
            <w:vAlign w:val="bottom"/>
          </w:tcPr>
          <w:p>
            <w:pPr>
              <w:ind w:left="56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471"/>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share data)</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3,498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3,814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10,736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11,104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2,942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3,746</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3,097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3,184</w:t>
            </w:r>
          </w:p>
        </w:tc>
      </w:tr>
      <w:tr>
        <w:trPr>
          <w:trHeight w:val="27"/>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20,273</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21,848</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8,051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7,837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9,159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7,883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$51,932 and $51,306</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45,721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44,437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59,365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59,365</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68,073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66,154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intangible assets, net of accumulated amortization of $15,042 and $14,194</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36,902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38,358</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8,645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5,802</w:t>
            </w:r>
          </w:p>
        </w:tc>
      </w:tr>
      <w:tr>
        <w:trPr>
          <w:trHeight w:val="27"/>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256,189</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251,684</w:t>
            </w:r>
          </w:p>
        </w:tc>
      </w:tr>
      <w:tr>
        <w:trPr>
          <w:trHeight w:val="34"/>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10,232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8,494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1,739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1,808</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2,485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2,182</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8,832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10,721</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4,629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4,398</w:t>
            </w:r>
          </w:p>
        </w:tc>
      </w:tr>
      <w:tr>
        <w:trPr>
          <w:trHeight w:val="27"/>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27,917</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27,603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104,464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107,345</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27,819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27,589</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18,811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15,329</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1,316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1,316</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Preferred stock—authorized, 20,000,000 shares; issued, zero</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8200" w:type="dxa"/>
            <w:vAlign w:val="bottom"/>
          </w:tcPr>
          <w:p>
            <w:pPr>
              <w:ind w:left="380"/>
              <w:spacing w:after="0"/>
              <w:rPr>
                <w:sz w:val="20"/>
                <w:szCs w:val="20"/>
                <w:color w:val="auto"/>
              </w:rPr>
            </w:pPr>
            <w:r>
              <w:rPr>
                <w:rFonts w:ascii="Arial" w:cs="Arial" w:eastAsia="Arial" w:hAnsi="Arial"/>
                <w:sz w:val="18"/>
                <w:szCs w:val="18"/>
                <w:color w:val="auto"/>
                <w:w w:val="94"/>
              </w:rPr>
              <w:t>Class A common stock, $0.01 par value—authorized, 7,500,000,000 shares; issued, 5,401,861,861 and</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8200" w:type="dxa"/>
            <w:vAlign w:val="bottom"/>
          </w:tcPr>
          <w:p>
            <w:pPr>
              <w:ind w:left="540"/>
              <w:spacing w:after="0"/>
              <w:rPr>
                <w:sz w:val="20"/>
                <w:szCs w:val="20"/>
                <w:color w:val="auto"/>
              </w:rPr>
            </w:pPr>
            <w:r>
              <w:rPr>
                <w:rFonts w:ascii="Arial" w:cs="Arial" w:eastAsia="Arial" w:hAnsi="Arial"/>
                <w:sz w:val="18"/>
                <w:szCs w:val="18"/>
                <w:color w:val="auto"/>
              </w:rPr>
              <w:t>5,389,309,175; outstanding, 4,529,070,833 and 4,516,518,147</w:t>
            </w:r>
          </w:p>
        </w:tc>
        <w:tc>
          <w:tcPr>
            <w:tcW w:w="3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w w:val="90"/>
              </w:rPr>
              <w:t>Class B common stock, $0.01 par value—authorized, 75,000,000 shares; issued and outstanding, 9,444,375</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37,621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37,461</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44,379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41,983</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Treasury stock, 872,791,028 Class A common shares</w:t>
            </w:r>
          </w:p>
        </w:tc>
        <w:tc>
          <w:tcPr>
            <w:tcW w:w="300" w:type="dxa"/>
            <w:vAlign w:val="bottom"/>
          </w:tcPr>
          <w:p>
            <w:pPr>
              <w:spacing w:after="0"/>
              <w:rPr>
                <w:sz w:val="23"/>
                <w:szCs w:val="23"/>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(7,517)</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422</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3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74,959</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71,613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903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889</w:t>
            </w:r>
          </w:p>
        </w:tc>
      </w:tr>
      <w:tr>
        <w:trPr>
          <w:trHeight w:val="27"/>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3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75,862</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72,502</w:t>
            </w:r>
          </w:p>
        </w:tc>
      </w:tr>
      <w:tr>
        <w:trPr>
          <w:trHeight w:val="27"/>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256,189</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251,684</w:t>
            </w:r>
          </w:p>
        </w:tc>
      </w:tr>
      <w:tr>
        <w:trPr>
          <w:trHeight w:val="34"/>
        </w:trPr>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82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right w:val="single" w:sz="8" w:color="auto"/>
            </w:tcBorders>
          </w:tcPr>
          <w:p>
            <w:pPr>
              <w:jc w:val="center"/>
              <w:ind w:right="97"/>
              <w:spacing w:after="0"/>
              <w:rPr>
                <w:sz w:val="20"/>
                <w:szCs w:val="20"/>
                <w:color w:val="auto"/>
              </w:rPr>
            </w:pPr>
            <w:r>
              <w:rPr>
                <w:rFonts w:ascii="Arial" w:cs="Arial" w:eastAsia="Arial" w:hAnsi="Arial"/>
                <w:sz w:val="14"/>
                <w:szCs w:val="14"/>
                <w:color w:val="auto"/>
                <w:w w:val="90"/>
              </w:rPr>
              <w:t>Redeemable</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right="97"/>
              <w:spacing w:after="0" w:line="149" w:lineRule="exact"/>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right="97"/>
              <w:spacing w:after="0" w:line="149" w:lineRule="exact"/>
              <w:rPr>
                <w:sz w:val="20"/>
                <w:szCs w:val="20"/>
                <w:color w:val="auto"/>
              </w:rPr>
            </w:pPr>
            <w:r>
              <w:rPr>
                <w:rFonts w:ascii="Arial" w:cs="Arial" w:eastAsia="Arial" w:hAnsi="Arial"/>
                <w:sz w:val="14"/>
                <w:szCs w:val="14"/>
                <w:color w:val="auto"/>
                <w:w w:val="88"/>
              </w:rPr>
              <w:t>Interests and</w:t>
            </w:r>
          </w:p>
        </w:tc>
        <w:tc>
          <w:tcPr>
            <w:tcW w:w="120" w:type="dxa"/>
            <w:vAlign w:val="bottom"/>
          </w:tcPr>
          <w:p>
            <w:pPr>
              <w:spacing w:after="0"/>
              <w:rPr>
                <w:sz w:val="12"/>
                <w:szCs w:val="12"/>
                <w:color w:val="auto"/>
              </w:rPr>
            </w:pPr>
          </w:p>
        </w:tc>
        <w:tc>
          <w:tcPr>
            <w:tcW w:w="1000" w:type="dxa"/>
            <w:vAlign w:val="bottom"/>
            <w:gridSpan w:val="3"/>
            <w:vMerge w:val="restart"/>
          </w:tcPr>
          <w:p>
            <w:pPr>
              <w:jc w:val="right"/>
              <w:ind w:right="14"/>
              <w:spacing w:after="0"/>
              <w:rPr>
                <w:sz w:val="20"/>
                <w:szCs w:val="20"/>
                <w:color w:val="auto"/>
              </w:rPr>
            </w:pPr>
            <w:r>
              <w:rPr>
                <w:rFonts w:ascii="Arial" w:cs="Arial" w:eastAsia="Arial" w:hAnsi="Arial"/>
                <w:sz w:val="14"/>
                <w:szCs w:val="14"/>
                <w:color w:val="auto"/>
                <w:w w:val="91"/>
              </w:rPr>
              <w:t>Common Stock</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3"/>
              </w:rPr>
              <w:t>Accumulated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right w:val="single" w:sz="8" w:color="auto"/>
            </w:tcBorders>
          </w:tcPr>
          <w:p>
            <w:pPr>
              <w:jc w:val="center"/>
              <w:ind w:right="97"/>
              <w:spacing w:after="0" w:line="121" w:lineRule="exact"/>
              <w:rPr>
                <w:sz w:val="20"/>
                <w:szCs w:val="20"/>
                <w:color w:val="auto"/>
              </w:rPr>
            </w:pPr>
            <w:r>
              <w:rPr>
                <w:rFonts w:ascii="Arial" w:cs="Arial" w:eastAsia="Arial" w:hAnsi="Arial"/>
                <w:sz w:val="13"/>
                <w:szCs w:val="13"/>
                <w:color w:val="auto"/>
                <w:w w:val="97"/>
              </w:rPr>
              <w:t>Redeemable</w:t>
            </w: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54"/>
              <w:spacing w:after="0" w:line="121" w:lineRule="exact"/>
              <w:rPr>
                <w:sz w:val="20"/>
                <w:szCs w:val="20"/>
                <w:color w:val="auto"/>
              </w:rPr>
            </w:pPr>
            <w:r>
              <w:rPr>
                <w:rFonts w:ascii="Arial" w:cs="Arial" w:eastAsia="Arial" w:hAnsi="Arial"/>
                <w:sz w:val="13"/>
                <w:szCs w:val="13"/>
                <w:color w:val="auto"/>
              </w:rPr>
              <w:t>Additional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38"/>
              <w:spacing w:after="0" w:line="121" w:lineRule="exact"/>
              <w:rPr>
                <w:sz w:val="20"/>
                <w:szCs w:val="20"/>
                <w:color w:val="auto"/>
              </w:rPr>
            </w:pPr>
            <w:r>
              <w:rPr>
                <w:rFonts w:ascii="Arial" w:cs="Arial" w:eastAsia="Arial" w:hAnsi="Arial"/>
                <w:sz w:val="13"/>
                <w:szCs w:val="13"/>
                <w:color w:val="auto"/>
                <w:w w:val="97"/>
              </w:rPr>
              <w:t>Treasury</w:t>
            </w:r>
          </w:p>
        </w:tc>
        <w:tc>
          <w:tcPr>
            <w:tcW w:w="180" w:type="dxa"/>
            <w:vAlign w:val="bottom"/>
          </w:tcPr>
          <w:p>
            <w:pPr>
              <w:spacing w:after="0"/>
              <w:rPr>
                <w:sz w:val="10"/>
                <w:szCs w:val="10"/>
                <w:color w:val="auto"/>
              </w:rPr>
            </w:pPr>
          </w:p>
        </w:tc>
        <w:tc>
          <w:tcPr>
            <w:tcW w:w="118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8"/>
              </w:rPr>
              <w:t>Other</w:t>
            </w:r>
          </w:p>
        </w:tc>
        <w:tc>
          <w:tcPr>
            <w:tcW w:w="180" w:type="dxa"/>
            <w:vAlign w:val="bottom"/>
          </w:tcPr>
          <w:p>
            <w:pPr>
              <w:spacing w:after="0"/>
              <w:rPr>
                <w:sz w:val="10"/>
                <w:szCs w:val="10"/>
                <w:color w:val="auto"/>
              </w:rPr>
            </w:pPr>
          </w:p>
        </w:tc>
        <w:tc>
          <w:tcPr>
            <w:tcW w:w="860" w:type="dxa"/>
            <w:vAlign w:val="bottom"/>
          </w:tcPr>
          <w:p>
            <w:pPr>
              <w:jc w:val="center"/>
              <w:ind w:right="74"/>
              <w:spacing w:after="0" w:line="121" w:lineRule="exact"/>
              <w:rPr>
                <w:sz w:val="20"/>
                <w:szCs w:val="20"/>
                <w:color w:val="auto"/>
              </w:rPr>
            </w:pPr>
            <w:r>
              <w:rPr>
                <w:rFonts w:ascii="Arial" w:cs="Arial" w:eastAsia="Arial" w:hAnsi="Arial"/>
                <w:sz w:val="13"/>
                <w:szCs w:val="13"/>
                <w:color w:val="auto"/>
              </w:rPr>
              <w:t>Non-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right w:val="single" w:sz="8" w:color="auto"/>
            </w:tcBorders>
          </w:tcPr>
          <w:p>
            <w:pPr>
              <w:jc w:val="center"/>
              <w:ind w:right="77"/>
              <w:spacing w:after="0" w:line="157" w:lineRule="exact"/>
              <w:rPr>
                <w:sz w:val="20"/>
                <w:szCs w:val="20"/>
                <w:color w:val="auto"/>
              </w:rPr>
            </w:pPr>
            <w:r>
              <w:rPr>
                <w:rFonts w:ascii="Arial" w:cs="Arial" w:eastAsia="Arial" w:hAnsi="Arial"/>
                <w:sz w:val="14"/>
                <w:szCs w:val="14"/>
                <w:color w:val="auto"/>
                <w:w w:val="94"/>
              </w:rPr>
              <w:t>Subsidiary</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34"/>
              <w:spacing w:after="0" w:line="157"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3"/>
                <w:szCs w:val="13"/>
                <w:color w:val="auto"/>
              </w:rPr>
            </w:pPr>
          </w:p>
        </w:tc>
        <w:tc>
          <w:tcPr>
            <w:tcW w:w="740" w:type="dxa"/>
            <w:vAlign w:val="bottom"/>
          </w:tcPr>
          <w:p>
            <w:pPr>
              <w:jc w:val="right"/>
              <w:ind w:right="93"/>
              <w:spacing w:after="0" w:line="157" w:lineRule="exact"/>
              <w:rPr>
                <w:sz w:val="20"/>
                <w:szCs w:val="20"/>
                <w:color w:val="auto"/>
              </w:rPr>
            </w:pPr>
            <w:r>
              <w:rPr>
                <w:rFonts w:ascii="Arial" w:cs="Arial" w:eastAsia="Arial" w:hAnsi="Arial"/>
                <w:sz w:val="14"/>
                <w:szCs w:val="14"/>
                <w:color w:val="auto"/>
                <w:w w:val="96"/>
              </w:rPr>
              <w:t>Retained</w:t>
            </w:r>
          </w:p>
        </w:tc>
        <w:tc>
          <w:tcPr>
            <w:tcW w:w="140" w:type="dxa"/>
            <w:vAlign w:val="bottom"/>
          </w:tcPr>
          <w:p>
            <w:pPr>
              <w:spacing w:after="0"/>
              <w:rPr>
                <w:sz w:val="13"/>
                <w:szCs w:val="13"/>
                <w:color w:val="auto"/>
              </w:rPr>
            </w:pPr>
          </w:p>
        </w:tc>
        <w:tc>
          <w:tcPr>
            <w:tcW w:w="660" w:type="dxa"/>
            <w:vAlign w:val="bottom"/>
          </w:tcPr>
          <w:p>
            <w:pPr>
              <w:jc w:val="center"/>
              <w:ind w:right="38"/>
              <w:spacing w:after="0" w:line="157" w:lineRule="exact"/>
              <w:rPr>
                <w:sz w:val="20"/>
                <w:szCs w:val="20"/>
                <w:color w:val="auto"/>
              </w:rPr>
            </w:pPr>
            <w:r>
              <w:rPr>
                <w:rFonts w:ascii="Arial" w:cs="Arial" w:eastAsia="Arial" w:hAnsi="Arial"/>
                <w:sz w:val="14"/>
                <w:szCs w:val="14"/>
                <w:color w:val="auto"/>
                <w:w w:val="90"/>
              </w:rPr>
              <w:t>Stock at</w:t>
            </w:r>
          </w:p>
        </w:tc>
        <w:tc>
          <w:tcPr>
            <w:tcW w:w="180" w:type="dxa"/>
            <w:vAlign w:val="bottom"/>
          </w:tcPr>
          <w:p>
            <w:pPr>
              <w:spacing w:after="0"/>
              <w:rPr>
                <w:sz w:val="13"/>
                <w:szCs w:val="13"/>
                <w:color w:val="auto"/>
              </w:rPr>
            </w:pPr>
          </w:p>
        </w:tc>
        <w:tc>
          <w:tcPr>
            <w:tcW w:w="1180" w:type="dxa"/>
            <w:vAlign w:val="bottom"/>
          </w:tcPr>
          <w:p>
            <w:pPr>
              <w:jc w:val="center"/>
              <w:ind w:right="77"/>
              <w:spacing w:after="0" w:line="157" w:lineRule="exact"/>
              <w:rPr>
                <w:sz w:val="20"/>
                <w:szCs w:val="20"/>
                <w:color w:val="auto"/>
              </w:rPr>
            </w:pPr>
            <w:r>
              <w:rPr>
                <w:rFonts w:ascii="Arial" w:cs="Arial" w:eastAsia="Arial" w:hAnsi="Arial"/>
                <w:sz w:val="14"/>
                <w:szCs w:val="14"/>
                <w:color w:val="auto"/>
                <w:w w:val="91"/>
              </w:rPr>
              <w:t>Comprehensive</w:t>
            </w:r>
          </w:p>
        </w:tc>
        <w:tc>
          <w:tcPr>
            <w:tcW w:w="180" w:type="dxa"/>
            <w:vAlign w:val="bottom"/>
          </w:tcPr>
          <w:p>
            <w:pPr>
              <w:spacing w:after="0"/>
              <w:rPr>
                <w:sz w:val="13"/>
                <w:szCs w:val="13"/>
                <w:color w:val="auto"/>
              </w:rPr>
            </w:pPr>
          </w:p>
        </w:tc>
        <w:tc>
          <w:tcPr>
            <w:tcW w:w="86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7"/>
              </w:rPr>
              <w:t>controlling</w:t>
            </w:r>
          </w:p>
        </w:tc>
        <w:tc>
          <w:tcPr>
            <w:tcW w:w="800" w:type="dxa"/>
            <w:vAlign w:val="bottom"/>
          </w:tcPr>
          <w:p>
            <w:pPr>
              <w:jc w:val="right"/>
              <w:ind w:right="172"/>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ind w:right="77"/>
              <w:spacing w:after="0"/>
              <w:rPr>
                <w:sz w:val="20"/>
                <w:szCs w:val="20"/>
                <w:color w:val="auto"/>
              </w:rPr>
            </w:pPr>
            <w:r>
              <w:rPr>
                <w:rFonts w:ascii="Arial" w:cs="Arial" w:eastAsia="Arial" w:hAnsi="Arial"/>
                <w:sz w:val="14"/>
                <w:szCs w:val="14"/>
                <w:color w:val="auto"/>
                <w:w w:val="92"/>
              </w:rPr>
              <w:t>Preferred Stock</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A</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B</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7"/>
              </w:rPr>
              <w:t>Earnings</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0"/>
              </w:rPr>
              <w:t>Cost</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4"/>
              </w:rPr>
              <w:t>Income (Loss)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3"/>
              </w:rPr>
              <w:t>Interests</w:t>
            </w: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1,357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37,497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38,202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843</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96"/>
              </w:rPr>
              <w:t>$ 69,459</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Cumulative effects of adoption of</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accounting standards</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Repurchases of common stock under</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0"/>
              </w:rPr>
              <w:t>repurchase program and employee plans</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(1,432)</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w w:val="99"/>
              </w:rPr>
              <w:t>Dividends declared ($0.19 per common</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share)</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180" w:type="dxa"/>
            <w:vAlign w:val="bottom"/>
          </w:tcPr>
          <w:p>
            <w:pPr>
              <w:spacing w:after="0"/>
              <w:rPr>
                <w:sz w:val="20"/>
                <w:szCs w:val="20"/>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350</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3"/>
                <w:szCs w:val="23"/>
                <w:color w:val="auto"/>
              </w:rPr>
            </w:pP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3,118</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1,354</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37,375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38,961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(7,517)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b w:val="1"/>
                <w:bCs w:val="1"/>
                <w:color w:val="auto"/>
              </w:rPr>
              <w:t>608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1,228</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w w:val="96"/>
              </w:rPr>
              <w:t>$ 70,710</w:t>
            </w:r>
          </w:p>
        </w:tc>
        <w:tc>
          <w:tcPr>
            <w:tcW w:w="0" w:type="dxa"/>
            <w:vAlign w:val="bottom"/>
          </w:tcPr>
          <w:p>
            <w:pPr>
              <w:spacing w:after="0"/>
              <w:rPr>
                <w:sz w:val="1"/>
                <w:szCs w:val="1"/>
                <w:color w:val="auto"/>
              </w:rPr>
            </w:pPr>
          </w:p>
        </w:tc>
      </w:tr>
      <w:tr>
        <w:trPr>
          <w:trHeight w:val="34"/>
        </w:trPr>
        <w:tc>
          <w:tcPr>
            <w:tcW w:w="3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1,316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37,461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41,983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889</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96"/>
              </w:rPr>
              <w:t>$ 72,502</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Repurchases of common stock under</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0"/>
              </w:rPr>
              <w:t>repurchase program and employee plans</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w w:val="99"/>
              </w:rPr>
              <w:t>Dividends declared ($0.21 per common</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share)</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180" w:type="dxa"/>
            <w:vAlign w:val="bottom"/>
          </w:tcPr>
          <w:p>
            <w:pPr>
              <w:spacing w:after="0"/>
              <w:rPr>
                <w:sz w:val="20"/>
                <w:szCs w:val="20"/>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3"/>
                <w:szCs w:val="23"/>
                <w:color w:val="auto"/>
              </w:rPr>
            </w:pP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3,553</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1,316</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37,621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44,379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(7,517)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b w:val="1"/>
                <w:bCs w:val="1"/>
                <w:color w:val="auto"/>
              </w:rPr>
              <w:t>422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903</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w w:val="96"/>
              </w:rPr>
              <w:t>$ 75,862</w:t>
            </w:r>
          </w:p>
        </w:tc>
        <w:tc>
          <w:tcPr>
            <w:tcW w:w="0" w:type="dxa"/>
            <w:vAlign w:val="bottom"/>
          </w:tcPr>
          <w:p>
            <w:pPr>
              <w:spacing w:after="0"/>
              <w:rPr>
                <w:sz w:val="1"/>
                <w:szCs w:val="1"/>
                <w:color w:val="auto"/>
              </w:rPr>
            </w:pPr>
          </w:p>
        </w:tc>
      </w:tr>
      <w:tr>
        <w:trPr>
          <w:trHeight w:val="34"/>
        </w:trPr>
        <w:tc>
          <w:tcPr>
            <w:tcW w:w="4500" w:type="dxa"/>
            <w:vAlign w:val="bottom"/>
            <w:tcBorders>
              <w:bottom w:val="single" w:sz="8" w:color="auto"/>
              <w:right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00" w:type="dxa"/>
            <w:vAlign w:val="bottom"/>
            <w:gridSpan w:val="3"/>
          </w:tcPr>
          <w:p>
            <w:pPr>
              <w:spacing w:after="0"/>
              <w:rPr>
                <w:sz w:val="20"/>
                <w:szCs w:val="20"/>
                <w:color w:val="auto"/>
              </w:rPr>
            </w:pPr>
            <w:r>
              <w:rPr>
                <w:rFonts w:ascii="Arial" w:cs="Arial" w:eastAsia="Arial" w:hAnsi="Arial"/>
                <w:sz w:val="14"/>
                <w:szCs w:val="14"/>
                <w:color w:val="auto"/>
                <w:w w:val="97"/>
              </w:rPr>
              <w:t>See accompanying notes to condensed consolidated financial statements.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2018 Annual Report on Form 10-K and the notes within this Form 10-Q.</w:t>
      </w:r>
    </w:p>
    <w:p>
      <w:pPr>
        <w:spacing w:after="0" w:line="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2018, we acquired a 100% interest in Sky through a series of transactions, for total cash consideration of £30.2 billion (approximately $39.4 billion using the exchange rates on the purchase dates). See Note 6 for additional information on the transaction.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Reclassifications have been made to our condensed consolidated financial statements for the prior year period to conform to classifications used in 2019. See Note 7 for a discussion of the effects of the adoption of new accounting pronouncements on our condensed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We present our operations in six reportable business segments: (1) Comcast Cable in one reportable business segment, referred to as Cable Communications;</w:t>
      </w:r>
    </w:p>
    <w:p>
      <w:pPr>
        <w:spacing w:after="0" w:line="46" w:lineRule="exact"/>
        <w:rPr>
          <w:sz w:val="20"/>
          <w:szCs w:val="20"/>
          <w:color w:val="auto"/>
        </w:rPr>
      </w:pPr>
    </w:p>
    <w:p>
      <w:pPr>
        <w:ind w:right="20" w:firstLine="8"/>
        <w:spacing w:after="0" w:line="261" w:lineRule="auto"/>
        <w:tabs>
          <w:tab w:leader="none" w:pos="275"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in four reportable business segments: Cable Networks, Broadcast Television, Filmed Entertainment and Theme Parks (collectively, the “NBCUniversal segments”); and (3) Sky in one reportable business segment.</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Communications segment consists of the operations of Comcast Cable, which is one of the nation’s largest providers of high-speed internet, video, voice, wireless, and security and automation services (“cable services”) to residential customers under the Xfinity brand; we also provide these and other services to business customers and sell advertising.</w:t>
      </w:r>
    </w:p>
    <w:p>
      <w:pPr>
        <w:spacing w:after="0" w:line="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various digital properties.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Filmed Entertainment segment consists primarily of the operations of Universal Pictures, which produces, acquires, markets and distributes filmed entertainment worldwide; our films are also produced under the Illumination, DreamWorks Animation and Focus Features names.</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Universal theme park and resort in Beijing, China.</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Sky segment consists of the operations of Sky,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w:t>
      </w:r>
    </w:p>
    <w:p>
      <w:pPr>
        <w:spacing w:after="0" w:line="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Adjusted EBITDA to evaluate the profitability of our operating segments and the components of net income attributable to Comcast Corporation excluded from Adjusted EBITDA are not separately evaluated. Beginning in the first quarter of 2019, Comcast Cable’s wireless phone service and certain other Cable-related business development initiatives are now presented in the Cable Communications segment. Results were previously presented in Corporate and Other. Prior periods have been adjusted to reflect this presentation. To be consistent with our current management reporting presentation, certain 2018 operating results were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reclassified related to certain NBCUniversal businesses now presented in the Sky segment. Our financial data by business segment is presented in the tables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right"/>
              <w:ind w:right="773"/>
              <w:spacing w:after="0"/>
              <w:rPr>
                <w:sz w:val="20"/>
                <w:szCs w:val="20"/>
                <w:color w:val="auto"/>
              </w:rPr>
            </w:pPr>
            <w:r>
              <w:rPr>
                <w:rFonts w:ascii="Arial" w:cs="Arial" w:eastAsia="Arial" w:hAnsi="Arial"/>
                <w:sz w:val="14"/>
                <w:szCs w:val="14"/>
                <w:color w:val="auto"/>
              </w:rPr>
              <w:t>Three Months Ended March 31, 2019</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14,280</w:t>
            </w:r>
          </w:p>
        </w:tc>
        <w:tc>
          <w:tcPr>
            <w:tcW w:w="5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5,728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323</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2,868</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1,262</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2,467</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1,768</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42</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8,313</w:t>
            </w:r>
          </w:p>
        </w:tc>
        <w:tc>
          <w:tcPr>
            <w:tcW w:w="5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2,337</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71</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Sky</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4,797</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151</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26,859</w:t>
            </w:r>
          </w:p>
        </w:tc>
        <w:tc>
          <w:tcPr>
            <w:tcW w:w="5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8,553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3,320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2,092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547</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94"/>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right"/>
              <w:ind w:right="773"/>
              <w:spacing w:after="0"/>
              <w:rPr>
                <w:sz w:val="20"/>
                <w:szCs w:val="20"/>
                <w:color w:val="auto"/>
              </w:rPr>
            </w:pPr>
            <w:r>
              <w:rPr>
                <w:rFonts w:ascii="Arial" w:cs="Arial" w:eastAsia="Arial" w:hAnsi="Arial"/>
                <w:sz w:val="14"/>
                <w:szCs w:val="14"/>
                <w:color w:val="auto"/>
              </w:rPr>
              <w:t>Three Months Ended March 31, 2018</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13,703</w:t>
            </w:r>
          </w:p>
        </w:tc>
        <w:tc>
          <w:tcPr>
            <w:tcW w:w="5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3,157</w:t>
            </w:r>
          </w:p>
        </w:tc>
        <w:tc>
          <w:tcPr>
            <w:tcW w:w="5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1,254</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38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3,497</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72</w:t>
            </w: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1,647</w:t>
            </w:r>
          </w:p>
        </w:tc>
        <w:tc>
          <w:tcPr>
            <w:tcW w:w="5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1,281</w:t>
            </w:r>
          </w:p>
        </w:tc>
        <w:tc>
          <w:tcPr>
            <w:tcW w:w="5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9,497</w:t>
            </w:r>
          </w:p>
        </w:tc>
        <w:tc>
          <w:tcPr>
            <w:tcW w:w="5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2,271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130</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22,791</w:t>
            </w:r>
          </w:p>
        </w:tc>
        <w:tc>
          <w:tcPr>
            <w:tcW w:w="5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7,244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2,599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1,973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419</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25" w:lineRule="exact"/>
        <w:rPr>
          <w:rFonts w:ascii="Arial" w:cs="Arial" w:eastAsia="Arial" w:hAnsi="Arial"/>
          <w:sz w:val="14"/>
          <w:szCs w:val="14"/>
          <w:color w:val="auto"/>
        </w:rPr>
      </w:pPr>
    </w:p>
    <w:p>
      <w:pPr>
        <w:ind w:left="980" w:hanging="81"/>
        <w:spacing w:after="0"/>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advertising to our Cable Communications segment</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 for segment reporting, this revenue is recognized as the programming rights asset for the licensed content is amortized based on third party revenue</w:t>
      </w:r>
    </w:p>
    <w:p>
      <w:pPr>
        <w:spacing w:after="0" w:line="11" w:lineRule="exact"/>
        <w:rPr>
          <w:rFonts w:ascii="Arial" w:cs="Arial" w:eastAsia="Arial" w:hAnsi="Arial"/>
          <w:sz w:val="14"/>
          <w:szCs w:val="14"/>
          <w:color w:val="auto"/>
        </w:rPr>
      </w:pPr>
    </w:p>
    <w:p>
      <w:pPr>
        <w:ind w:left="980" w:hanging="81"/>
        <w:spacing w:after="0"/>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Filmed Entertainment, Cable Networks and Broadcast Television segments generate revenue by licensing content to our Sky segment</w:t>
      </w:r>
    </w:p>
    <w:p>
      <w:pPr>
        <w:spacing w:after="0" w:line="176"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Corporate and Other activities include costs associated with overhead and personnel, revenue and expenses associated with operations of Comcast Spectacor, which owns the Philadelphia Flyers and the Wells Fargo Center arena in Philadelphia, Pennsylvania, as well as other business development initiatives.</w:t>
      </w:r>
    </w:p>
    <w:p>
      <w:pPr>
        <w:spacing w:after="0" w:line="25"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w:t>
      </w:r>
    </w:p>
    <w:p>
      <w:pPr>
        <w:sectPr>
          <w:pgSz w:w="11900" w:h="16838" w:orient="portrait"/>
          <w:cols w:equalWidth="0" w:num="1">
            <w:col w:w="11420"/>
          </w:cols>
          <w:pgMar w:left="240" w:top="121"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 fixed and intangible assets and gains or losses on the sale of long-lived assets), if any. From time to time we may exclude from Adjusted EBITDA the impact of certain events, gains, losses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or other charges (such as significant legal settlements) that affect the period-to-period comparability of our operating performance. Our reconciliation of the aggregate amount of Adjusted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EBITDA for our reportable segments to consolidated income before income taxes is presented in the table below.</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40" w:type="dxa"/>
            <w:vAlign w:val="bottom"/>
          </w:tcPr>
          <w:p>
            <w:pPr>
              <w:spacing w:after="0"/>
              <w:rPr>
                <w:sz w:val="14"/>
                <w:szCs w:val="14"/>
                <w:color w:val="auto"/>
              </w:rPr>
            </w:pPr>
          </w:p>
        </w:tc>
      </w:tr>
      <w:tr>
        <w:trPr>
          <w:trHeight w:val="188"/>
        </w:trPr>
        <w:tc>
          <w:tcPr>
            <w:tcW w:w="7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6"/>
                <w:szCs w:val="16"/>
                <w:color w:val="auto"/>
              </w:rPr>
            </w:pPr>
          </w:p>
        </w:tc>
      </w:tr>
      <w:tr>
        <w:trPr>
          <w:trHeight w:val="264"/>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89"/>
              </w:rPr>
              <w:t>2018</w:t>
            </w:r>
          </w:p>
        </w:tc>
      </w:tr>
      <w:tr>
        <w:trPr>
          <w:trHeight w:val="258"/>
        </w:trPr>
        <w:tc>
          <w:tcPr>
            <w:tcW w:w="77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8,553</w:t>
            </w:r>
          </w:p>
        </w:tc>
        <w:tc>
          <w:tcPr>
            <w:tcW w:w="6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7,244</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Adjustment for Sky transaction-related costs</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64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(2,240)</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(2,011)</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(1,080)</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(588)</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(1,150)</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(777)</w:t>
            </w:r>
          </w:p>
        </w:tc>
      </w:tr>
      <w:tr>
        <w:trPr>
          <w:trHeight w:val="276"/>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676</w:t>
            </w: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w:t>
            </w:r>
          </w:p>
        </w:tc>
      </w:tr>
      <w:tr>
        <w:trPr>
          <w:trHeight w:val="277"/>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4,708</w:t>
            </w: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3,994</w:t>
            </w:r>
          </w:p>
        </w:tc>
      </w:tr>
    </w:tbl>
    <w:p>
      <w:pPr>
        <w:spacing w:after="0" w:line="49" w:lineRule="exact"/>
        <w:rPr>
          <w:sz w:val="20"/>
          <w:szCs w:val="20"/>
          <w:color w:val="auto"/>
        </w:rPr>
      </w:pPr>
    </w:p>
    <w:p>
      <w:pPr>
        <w:jc w:val="both"/>
        <w:ind w:left="340" w:hanging="332"/>
        <w:spacing w:after="0" w:line="25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 into with our other segments.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96"/>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824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4,577</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4,157</w:t>
            </w:r>
          </w:p>
        </w:tc>
      </w:tr>
      <w:tr>
        <w:trPr>
          <w:trHeight w:val="270"/>
        </w:trPr>
        <w:tc>
          <w:tcPr>
            <w:tcW w:w="8240" w:type="dxa"/>
            <w:vAlign w:val="bottom"/>
          </w:tcPr>
          <w:p>
            <w:pPr>
              <w:ind w:left="180"/>
              <w:spacing w:after="0"/>
              <w:rPr>
                <w:sz w:val="20"/>
                <w:szCs w:val="20"/>
                <w:color w:val="auto"/>
              </w:rPr>
            </w:pPr>
            <w:r>
              <w:rPr>
                <w:rFonts w:ascii="Arial" w:cs="Arial" w:eastAsia="Arial" w:hAnsi="Arial"/>
                <w:sz w:val="18"/>
                <w:szCs w:val="18"/>
                <w:color w:val="auto"/>
              </w:rPr>
              <w:t>Video</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5,628</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5,659</w:t>
            </w:r>
          </w:p>
        </w:tc>
      </w:tr>
      <w:tr>
        <w:trPr>
          <w:trHeight w:val="270"/>
        </w:trPr>
        <w:tc>
          <w:tcPr>
            <w:tcW w:w="8240" w:type="dxa"/>
            <w:vAlign w:val="bottom"/>
          </w:tcPr>
          <w:p>
            <w:pPr>
              <w:ind w:left="180"/>
              <w:spacing w:after="0"/>
              <w:rPr>
                <w:sz w:val="20"/>
                <w:szCs w:val="20"/>
                <w:color w:val="auto"/>
              </w:rPr>
            </w:pPr>
            <w:r>
              <w:rPr>
                <w:rFonts w:ascii="Arial" w:cs="Arial" w:eastAsia="Arial" w:hAnsi="Arial"/>
                <w:sz w:val="18"/>
                <w:szCs w:val="18"/>
                <w:color w:val="auto"/>
              </w:rPr>
              <w:t>Voice</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990</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1,006</w:t>
            </w:r>
          </w:p>
        </w:tc>
      </w:tr>
      <w:tr>
        <w:trPr>
          <w:trHeight w:val="270"/>
        </w:trPr>
        <w:tc>
          <w:tcPr>
            <w:tcW w:w="8240" w:type="dxa"/>
            <w:vAlign w:val="bottom"/>
          </w:tcPr>
          <w:p>
            <w:pPr>
              <w:ind w:left="18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225</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1,891</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1,726</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556</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413</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388</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35"/>
        </w:trPr>
        <w:tc>
          <w:tcPr>
            <w:tcW w:w="8240" w:type="dxa"/>
            <w:vAlign w:val="bottom"/>
          </w:tcPr>
          <w:p>
            <w:pPr>
              <w:ind w:left="40"/>
              <w:spacing w:after="0"/>
              <w:rPr>
                <w:sz w:val="20"/>
                <w:szCs w:val="20"/>
                <w:color w:val="auto"/>
              </w:rPr>
            </w:pPr>
            <w:r>
              <w:rPr>
                <w:rFonts w:ascii="Arial" w:cs="Arial" w:eastAsia="Arial" w:hAnsi="Arial"/>
                <w:sz w:val="18"/>
                <w:szCs w:val="18"/>
                <w:color w:val="auto"/>
              </w:rPr>
              <w:t>Total Cable Communications</w:t>
            </w:r>
            <w:r>
              <w:rPr>
                <w:rFonts w:ascii="Arial" w:cs="Arial" w:eastAsia="Arial" w:hAnsi="Arial"/>
                <w:sz w:val="25"/>
                <w:szCs w:val="25"/>
                <w:color w:val="auto"/>
                <w:vertAlign w:val="superscript"/>
              </w:rPr>
              <w:t>(a)(b)</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14,280</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13,703</w:t>
            </w:r>
          </w:p>
        </w:tc>
      </w:tr>
      <w:tr>
        <w:trPr>
          <w:trHeight w:val="334"/>
        </w:trPr>
        <w:tc>
          <w:tcPr>
            <w:tcW w:w="82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1,735</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1,861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852</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977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281</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2,868</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3,157</w:t>
            </w:r>
          </w:p>
        </w:tc>
      </w:tr>
      <w:tr>
        <w:trPr>
          <w:trHeight w:val="432"/>
        </w:trPr>
        <w:tc>
          <w:tcPr>
            <w:tcW w:w="824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1,317</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2,365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560</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522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590</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610</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2,467</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3,497</w:t>
            </w:r>
          </w:p>
        </w:tc>
      </w:tr>
      <w:tr>
        <w:trPr>
          <w:trHeight w:val="432"/>
        </w:trPr>
        <w:tc>
          <w:tcPr>
            <w:tcW w:w="824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817</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733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267</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248</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239</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243</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1,768</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1,647</w:t>
            </w:r>
          </w:p>
        </w:tc>
      </w:tr>
      <w:tr>
        <w:trPr>
          <w:trHeight w:val="432"/>
        </w:trPr>
        <w:tc>
          <w:tcPr>
            <w:tcW w:w="824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1,276</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1,281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97"/>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(83)</w:t>
            </w: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NBCUniversal</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8,313</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9,497</w:t>
            </w:r>
          </w:p>
        </w:tc>
      </w:tr>
      <w:tr>
        <w:trPr>
          <w:trHeight w:val="432"/>
        </w:trPr>
        <w:tc>
          <w:tcPr>
            <w:tcW w:w="8240" w:type="dxa"/>
            <w:vAlign w:val="bottom"/>
          </w:tcPr>
          <w:p>
            <w:pPr>
              <w:ind w:left="40"/>
              <w:spacing w:after="0"/>
              <w:rPr>
                <w:sz w:val="20"/>
                <w:szCs w:val="20"/>
                <w:color w:val="auto"/>
              </w:rPr>
            </w:pPr>
            <w:r>
              <w:rPr>
                <w:rFonts w:ascii="Arial" w:cs="Arial" w:eastAsia="Arial" w:hAnsi="Arial"/>
                <w:sz w:val="18"/>
                <w:szCs w:val="18"/>
                <w:color w:val="auto"/>
              </w:rPr>
              <w:t>Direct-to-consumer</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3,834</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Content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370</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593</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Sky</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4,797</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72"/>
        </w:trPr>
        <w:tc>
          <w:tcPr>
            <w:tcW w:w="824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(b)</w:t>
            </w:r>
          </w:p>
        </w:tc>
        <w:tc>
          <w:tcPr>
            <w:tcW w:w="3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108</w:t>
            </w:r>
          </w:p>
        </w:tc>
        <w:tc>
          <w:tcPr>
            <w:tcW w:w="68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243</w:t>
            </w:r>
          </w:p>
        </w:tc>
      </w:tr>
      <w:tr>
        <w:trPr>
          <w:trHeight w:val="257"/>
        </w:trPr>
        <w:tc>
          <w:tcPr>
            <w:tcW w:w="82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(639)</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26,859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22,791</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the three months ended March 31, 2019 and 2018, 2.6% and 2.7%, respectively, of Cable Communications segment revenue was derived from franchise and other regulatory fees.</w:t>
      </w:r>
    </w:p>
    <w:p>
      <w:pPr>
        <w:spacing w:after="0" w:line="134" w:lineRule="exact"/>
        <w:rPr>
          <w:rFonts w:ascii="Arial" w:cs="Arial" w:eastAsia="Arial" w:hAnsi="Arial"/>
          <w:sz w:val="13"/>
          <w:szCs w:val="13"/>
          <w:color w:val="auto"/>
        </w:rPr>
      </w:pPr>
    </w:p>
    <w:p>
      <w:pPr>
        <w:jc w:val="both"/>
        <w:ind w:left="340" w:hanging="332"/>
        <w:spacing w:after="0" w:line="25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Comcast Cable’s wireless phone service is now presented in the Cable Communications segment. Results were previously presented in Corporate and Other. We recognize revenue from our wireless phone service as the services are provided, similar to how we recognize revenue for other residential cable services. We recognize revenue from the sale of handsets at the point of sale.</w:t>
      </w:r>
    </w:p>
    <w:p>
      <w:pPr>
        <w:spacing w:after="0" w:line="90"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ectPr>
          <w:pgSz w:w="11900" w:h="16838" w:orient="portrait"/>
          <w:cols w:equalWidth="0" w:num="1">
            <w:col w:w="11420"/>
          </w:cols>
          <w:pgMar w:left="240" w:top="121"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operate primarily in the United States but also in select international markets. The table below summarizes revenue by geographic location.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89"/>
              </w:rPr>
              <w:t>2018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20,457</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20,885</w:t>
            </w: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3"/>
                <w:szCs w:val="23"/>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5,370</w:t>
            </w:r>
          </w:p>
        </w:tc>
        <w:tc>
          <w:tcPr>
            <w:tcW w:w="68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821</w:t>
            </w: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1,032</w:t>
            </w:r>
          </w:p>
        </w:tc>
        <w:tc>
          <w:tcPr>
            <w:tcW w:w="68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1,085</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8"/>
              <w:spacing w:after="0"/>
              <w:rPr>
                <w:sz w:val="20"/>
                <w:szCs w:val="20"/>
                <w:color w:val="auto"/>
              </w:rPr>
            </w:pPr>
            <w:r>
              <w:rPr>
                <w:rFonts w:ascii="Arial" w:cs="Arial" w:eastAsia="Arial" w:hAnsi="Arial"/>
                <w:sz w:val="18"/>
                <w:szCs w:val="18"/>
                <w:b w:val="1"/>
                <w:bCs w:val="1"/>
                <w:color w:val="auto"/>
              </w:rPr>
              <w:t>26,859</w:t>
            </w: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b w:val="1"/>
                <w:bCs w:val="1"/>
                <w:color w:val="auto"/>
              </w:rPr>
              <w:t>22,791</w:t>
            </w:r>
          </w:p>
        </w:tc>
      </w:tr>
      <w:tr>
        <w:trPr>
          <w:trHeight w:val="34"/>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summarize our accounts receivable and other balances that are not separately presented in our condensed consolidated balance sheet that relate to the recognition of revenue and collection of the related cash, as well as deferred costs associated with our contracts with customers.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jc w:val="center"/>
              <w:ind w:right="297"/>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11,161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11,456</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1380" w:type="dxa"/>
            <w:vAlign w:val="bottom"/>
          </w:tcPr>
          <w:p>
            <w:pPr>
              <w:spacing w:after="0"/>
              <w:rPr>
                <w:sz w:val="23"/>
                <w:szCs w:val="23"/>
                <w:color w:val="auto"/>
              </w:rPr>
            </w:pP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352</w:t>
            </w:r>
          </w:p>
        </w:tc>
      </w:tr>
      <w:tr>
        <w:trPr>
          <w:trHeight w:val="27"/>
        </w:trPr>
        <w:tc>
          <w:tcPr>
            <w:tcW w:w="7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b w:val="1"/>
                <w:bCs w:val="1"/>
                <w:color w:val="auto"/>
              </w:rPr>
              <w:t>10,736</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11,104</w:t>
            </w:r>
          </w:p>
        </w:tc>
      </w:tr>
      <w:tr>
        <w:trPr>
          <w:trHeight w:val="34"/>
        </w:trPr>
        <w:tc>
          <w:tcPr>
            <w:tcW w:w="7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67"/>
        </w:trPr>
        <w:tc>
          <w:tcPr>
            <w:tcW w:w="7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jc w:val="center"/>
              <w:ind w:right="297"/>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1,379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1,399</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1,001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991</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786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650</w:t>
            </w:r>
          </w:p>
        </w:tc>
      </w:tr>
      <w:tr>
        <w:trPr>
          <w:trHeight w:val="27"/>
        </w:trPr>
        <w:tc>
          <w:tcPr>
            <w:tcW w:w="7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Earnings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6"/>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4"/>
              </w:rPr>
              <w:t>Comcast</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130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2"/>
              </w:rPr>
              <w:t>Corporation</w:t>
            </w: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340" w:type="dxa"/>
            <w:vAlign w:val="bottom"/>
          </w:tcPr>
          <w:p>
            <w:pPr>
              <w:ind w:left="4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3,553</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4,534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0.78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3,118</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4,633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0.67</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34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34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3,553</w:t>
            </w:r>
          </w:p>
        </w:tc>
        <w:tc>
          <w:tcPr>
            <w:tcW w:w="1160" w:type="dxa"/>
            <w:vAlign w:val="bottom"/>
          </w:tcPr>
          <w:p>
            <w:pPr>
              <w:jc w:val="right"/>
              <w:ind w:right="57"/>
              <w:spacing w:after="0"/>
              <w:rPr>
                <w:sz w:val="20"/>
                <w:szCs w:val="20"/>
                <w:color w:val="auto"/>
              </w:rPr>
            </w:pPr>
            <w:r>
              <w:rPr>
                <w:rFonts w:ascii="Arial" w:cs="Arial" w:eastAsia="Arial" w:hAnsi="Arial"/>
                <w:sz w:val="18"/>
                <w:szCs w:val="18"/>
                <w:b w:val="1"/>
                <w:bCs w:val="1"/>
                <w:color w:val="auto"/>
              </w:rPr>
              <w:t>4,594</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b w:val="1"/>
                <w:bCs w:val="1"/>
                <w:color w:val="auto"/>
              </w:rPr>
              <w:t>0.77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3,118</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4,705</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b w:val="1"/>
                <w:bCs w:val="1"/>
                <w:color w:val="auto"/>
              </w:rPr>
              <w:t>0.66</w:t>
            </w:r>
          </w:p>
        </w:tc>
      </w:tr>
      <w:tr>
        <w:trPr>
          <w:trHeight w:val="34"/>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 the average market price of our common stock. The amount of potential common shares related to our share-based compensation plans that were excluded from diluted EPS because their effect would have been antidilutive was not material for the three months ended March 31, 2019 or 2018.</w:t>
      </w:r>
    </w:p>
    <w:p>
      <w:pPr>
        <w:sectPr>
          <w:pgSz w:w="11900" w:h="16838" w:orient="portrait"/>
          <w:cols w:equalWidth="0" w:num="1">
            <w:col w:w="11420"/>
          </w:cols>
          <w:pgMar w:left="240" w:top="121" w:right="239"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Long-Term Debt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2019, our debt had a carrying value of $109.1 billion and an estimated fair value of $115.8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we had borrowings of $222 million related to the Universal Beijing Resort term loans.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2019, we made debt repayments of $2.1 billion primarily related to our dollar-denominated term loan due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2019, we made net repayments of $615 million under Sky’s £1 billion revolving credit facility due 2021, which was terminated in February 2019. As of March 31, 2019, there were no amounts outstanding under our revolving credit facilities. Amounts available under our revolving credit facilities, net of amounts outstanding under our commercial paper programs and outstanding letters of credit and bank guarantees, totaled $9.2 billion.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2019, we made net repayments of $673 million under our commercial paper programs. As of March 31, 2019, we had no commercial paper outstanding.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Comcast Cable and NBCUniversal have fully and unconditionally guaranteed each other’s debt securities, including the Comcast revolving credit facility. As of March 31, 2019, the principal amount of debt securities within the cross-guarantee structure totaled $92.3 billion.</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and Comcast Cable fully and unconditionally guarantee NBCUniversal Enterprise’s $3.0 billion aggregate principal amount of senior notes, its revolving credit facility and its commercial paper program. NBCUniversal does not guarantee the NBCUniversal Enterprise senior notes, revolving credit facility or commercial paper program.</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Comcast Parent provides an unconditional guarantee of the Universal Studios Japan yen-denominated ¥385 billion (approximately $3.5 billion using exchange rates as of March 31, 2019) term loans with a final maturity of March 2022. None of Comcast, Comcast Cable nor NBCUniversal guarantee the ¥5.5 billion RMB ($815 million using exchange rates as of March 31, 2019) principal amount of Universal Beijing Resort term loans outstanding.</w:t>
      </w:r>
    </w:p>
    <w:p>
      <w:pPr>
        <w:spacing w:after="0" w:line="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2019, Sky announced a series of consent solicitations for holders of all of its outstanding debt (approximately $10.0 billion using exchange rates as of March 31, 2019). If all of the consent solicitations are successful, Comcast Parent will provide a full and unconditional guarantee of the Sky notes in exchange for noteholders consenting to (i) the transfer of the listing of three series of notes from the Main Market of the London Stock Exchange to the Professional Securities Market of the London Stock Exchange and (ii) amending certain terms of the Sky notes.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Transaction</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9, 2018, in connection with our offer to acquire the share capital of Sky, we acquired a controlling interest in Sky through a series of purchases of Sky shares at our offer price of £17.28 per Sky share. In the fourth quarter of 2018, we acquired the remaining Sky shares and now own 100% of Sky’s equity interests. Total cash consideration was £30.2 billion (approximately $39.4 billion using the exchange rates on the purchase dates). We financed the acquisition through a combination of new fixed and floating rate notes, issuance of term loans and cash on hand. Sky is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applied acquisition accounting to Sky. Sky’s results of operations are included in our consolidated results of operations since the acquisition date and are reported in our Sky segment. The net assets of Sky were recorded at their estimated fair value using primarily Level 3 inputs. In valuing acquired assets and liabilities, fair value estimates are based on, but are not limited to, future expected cash flows, market rate assumptions for contractual obligations and appropriate discount rates.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first quarter 2019, we revised our estimates of fair value, primarily related to intangible assets, property and equipment, and investments (included below in other noncurrent assets and (liabilities), net), and recorded corresponding updates to deferred taxes. We also recorded an additional valuation allowance of approximately $1.2 billion associated with our assessment of the realization of Sky’s deferred tax assets, primarily related to net operating losses. These changes resulted in an increase in goodwill of approximately $1.4 billion and an adjustment in the current period related to the fourth quarter of 2018 that resulted in an increase to depreciation and amortization expense of $53 million.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the allocation of the all-cash purchase price of £30.2 billion, or $39.4 billion, to the assets and liabilities of Sky as a result of the transaction.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color w:val="auto"/>
              </w:rPr>
              <w:t>Consideration transferred</w:t>
            </w:r>
          </w:p>
        </w:tc>
        <w:tc>
          <w:tcPr>
            <w:tcW w:w="30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39,387</w:t>
            </w:r>
          </w:p>
        </w:tc>
      </w:tr>
      <w:tr>
        <w:trPr>
          <w:trHeight w:val="54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Allocation of purchase price</w:t>
            </w:r>
          </w:p>
        </w:tc>
        <w:tc>
          <w:tcPr>
            <w:tcW w:w="3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Cash</w:t>
            </w:r>
          </w:p>
        </w:tc>
        <w:tc>
          <w:tcPr>
            <w:tcW w:w="30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1,283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Accounts receivable and other current assets</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2,359</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2,512</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4,127</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19,539</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(5,885)</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(11,468)</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Deferred tax assets (liabilities), net</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(2,974)</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assets and (liabilities), net</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(1,398)</w:t>
            </w:r>
          </w:p>
        </w:tc>
      </w:tr>
      <w:tr>
        <w:trPr>
          <w:trHeight w:val="27"/>
        </w:trPr>
        <w:tc>
          <w:tcPr>
            <w:tcW w:w="69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Fair value of identifiable net assets acquired</w:t>
            </w:r>
          </w:p>
        </w:tc>
        <w:tc>
          <w:tcPr>
            <w:tcW w:w="30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8,095</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31,292</w:t>
            </w:r>
          </w:p>
        </w:tc>
      </w:tr>
      <w:tr>
        <w:trPr>
          <w:trHeight w:val="27"/>
        </w:trPr>
        <w:tc>
          <w:tcPr>
            <w:tcW w:w="69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includes customer premise equipment with a carrying value of $1.4 billion, which have original estimated useful lives of 5 to 7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remaining property and equipment consists of real estate and improvements, network assets and other equipment.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Finite-lived intangible assets primarily consist of customer relationships with a carrying amount of $9.5 billion and developed technology and software with a carrying amount of $4.3 billion, with original estimated useful lives between 6 and 19 years and 4 to 9 years, respectively. Indefinite-lived assets consist of trade names with a carrying amount of $5.8 billion.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consists primarily of intangible assets that do not qualify for separate recognition, including increased footprint, assembled workforce, noncontractual relationships and agreements. The acquired goodwill is not expected to be deductible for tax purposes.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unaudited pro forma information has been presented as if the Sky transaction occurred on January 1, 2017. This information is based on historical results of operations, adjusted for allocation of purchase price and other acquisition accounting adjustments, and is not necessarily indicative of what the results would have been had we operated the business since January 1, 2017. For pro forma purposes, 2018 earnings were adjusted to exclude transaction-related costs. No pro forma adjustments have been made for cost savings or synergies that have been or may be achieved by the combined businesses.</w:t>
      </w:r>
    </w:p>
    <w:p>
      <w:pPr>
        <w:sectPr>
          <w:pgSz w:w="11900" w:h="16838" w:orient="portrait"/>
          <w:cols w:equalWidth="0" w:num="1">
            <w:col w:w="11420"/>
          </w:cols>
          <w:pgMar w:left="240" w:top="121" w:right="239" w:bottom="1440"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60" w:type="dxa"/>
            <w:vAlign w:val="bottom"/>
          </w:tcPr>
          <w:p>
            <w:pPr>
              <w:jc w:val="right"/>
              <w:ind w:right="396"/>
              <w:spacing w:after="0"/>
              <w:rPr>
                <w:sz w:val="20"/>
                <w:szCs w:val="20"/>
                <w:color w:val="auto"/>
              </w:rPr>
            </w:pPr>
            <w:r>
              <w:rPr>
                <w:rFonts w:ascii="Arial" w:cs="Arial" w:eastAsia="Arial" w:hAnsi="Arial"/>
                <w:sz w:val="14"/>
                <w:szCs w:val="14"/>
                <w:color w:val="auto"/>
              </w:rPr>
              <w:t>Three Months Ended</w:t>
            </w:r>
          </w:p>
        </w:tc>
      </w:tr>
      <w:tr>
        <w:trPr>
          <w:trHeight w:val="188"/>
        </w:trPr>
        <w:tc>
          <w:tcPr>
            <w:tcW w:w="7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8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color w:val="auto"/>
              </w:rPr>
              <w:t>March 31, 2018</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Revenue</w:t>
            </w: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27,762</w:t>
            </w:r>
          </w:p>
        </w:tc>
      </w:tr>
      <w:tr>
        <w:trPr>
          <w:trHeight w:val="270"/>
        </w:trPr>
        <w:tc>
          <w:tcPr>
            <w:tcW w:w="774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2,983</w:t>
            </w:r>
          </w:p>
        </w:tc>
      </w:tr>
      <w:tr>
        <w:trPr>
          <w:trHeight w:val="270"/>
        </w:trPr>
        <w:tc>
          <w:tcPr>
            <w:tcW w:w="7740" w:type="dxa"/>
            <w:vAlign w:val="bottom"/>
          </w:tcPr>
          <w:p>
            <w:pPr>
              <w:ind w:left="40"/>
              <w:spacing w:after="0"/>
              <w:rPr>
                <w:sz w:val="20"/>
                <w:szCs w:val="20"/>
                <w:color w:val="auto"/>
              </w:rPr>
            </w:pPr>
            <w:r>
              <w:rPr>
                <w:rFonts w:ascii="Arial" w:cs="Arial" w:eastAsia="Arial" w:hAnsi="Arial"/>
                <w:sz w:val="18"/>
                <w:szCs w:val="18"/>
                <w:color w:val="auto"/>
              </w:rPr>
              <w:t>Basic earnings per common share attributable to Comcast Corporation shareholders</w:t>
            </w: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0.64</w:t>
            </w:r>
          </w:p>
        </w:tc>
      </w:tr>
      <w:tr>
        <w:trPr>
          <w:trHeight w:val="270"/>
        </w:trPr>
        <w:tc>
          <w:tcPr>
            <w:tcW w:w="7740" w:type="dxa"/>
            <w:vAlign w:val="bottom"/>
          </w:tcPr>
          <w:p>
            <w:pPr>
              <w:ind w:left="40"/>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0.63</w:t>
            </w:r>
          </w:p>
        </w:tc>
      </w:tr>
      <w:tr>
        <w:trPr>
          <w:trHeight w:val="27"/>
        </w:trPr>
        <w:tc>
          <w:tcPr>
            <w:tcW w:w="77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The debt financing is secured by the assets of Universal Beijing Resort and the equity interests of the investors. As of March 31, 2019, Universal Beijing Resort had $815 million principal amount of term loans outstanding under the debt financing agreements.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condensed consolidated statement of cash flows includes the costs of construction and related borrowings in the "construction of Universal Beijing Resort" and "proceeds from borrowings" captions, respectively, and equity contributions from our investing partner are included in other financing activities.</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March 31, 2019, our condensed consolidated balance sheet included assets, primarily property and equipment, and liabilities, including the term loans, of Universal Beijing Resort totaling $1.8 billion and $1.3 billion,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updated the accounting guidance related to leases. The most significant change in the updated accounting guidance requires lessees to recognize lease assets and liabilities on the balance sheet for all operating leases with the exception of short-term leases. The standard also expands the disclosures regarding the amount, timing and uncertainty of cash flows arising from leases. For a lessee, the recognition, measurement and presentation of expenses and cash flows arising from a lease did not significantly change from previous guidance. We adopted the updated guidance on January 1, 2019 on a prospective basis and as a result, prior period amounts were not adjusted to reflect the impacts of the updated guidance. In addition, as permitted under the transition guidance within the new standard, prior scoping and classification conclusions were carried forward for leases existing as of the adoption date.</w:t>
      </w:r>
    </w:p>
    <w:p>
      <w:pPr>
        <w:spacing w:after="0" w:line="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Upon adoption, we recorded $4.2 billion and $4.8 billion for operating lease assets and liabilities, respectively, which includes the impact of fair value adjustments, prepaid and deferred rent and lease incentives. The adoption of the updated accounting guidance did not significantly impact our recognition of finance leases, which were previously described as capital leases. As of the date of adoption, our liabilities for finance leases were $787 million, including $229 million of additional contracts determined to be leases in connection with the Sky transaction, which were recorded in long-term debt, and the related assets were recorded in property and equipment, net. Our finance leases were not considered material for further disclosure. The adoption of the new accounting guidance did not have a material impact on our consolidated results of operations or cash flows. See Note 11 for further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2019, the FASB updated the accounting guidance related to film and television costs. The updated guidance aligns the accounting for production costs of episodic television series with those of films, allowing for costs to be capitalized in excess of amounts of revenue contracted for each episode. The updated guidance also updates certain presentation and disclosure requirements for capitalized film and television costs, and requires impairment testing to be performed at a group level for capitalized film and television costs when the content is predominately monetized with other owned or licensed content. The updated guidance is effective for us as of January 1, 2020 and early adoption is permitted. We are currently in the process of determining the impact that the updated accounting guidance will have on our consolidated financial statements, however we do not expect there to be a material impact on our consolidated results of operations or cash flows.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Film and Television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453"/>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1,544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1,600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144</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1,267</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1,063</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2,851</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2,807</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7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2,390</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2,289</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820</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953</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3,210</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3,242</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4,932</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5,534</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10,993</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11,583</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2,942</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3,746</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2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b w:val="1"/>
                <w:bCs w:val="1"/>
                <w:color w:val="auto"/>
              </w:rPr>
              <w:t>8,051</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7,837</w:t>
            </w:r>
          </w:p>
        </w:tc>
      </w:tr>
      <w:tr>
        <w:trPr>
          <w:trHeight w:val="34"/>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Investments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3"/>
          </w:tcPr>
          <w:p>
            <w:pPr>
              <w:jc w:val="right"/>
              <w:ind w:right="894"/>
              <w:spacing w:after="0"/>
              <w:rPr>
                <w:sz w:val="20"/>
                <w:szCs w:val="20"/>
                <w:color w:val="auto"/>
              </w:rPr>
            </w:pPr>
            <w:r>
              <w:rPr>
                <w:rFonts w:ascii="Arial" w:cs="Arial" w:eastAsia="Arial" w:hAnsi="Arial"/>
                <w:sz w:val="14"/>
                <w:szCs w:val="14"/>
                <w:color w:val="auto"/>
              </w:rPr>
              <w:t>Three Months Ended</w:t>
            </w:r>
          </w:p>
        </w:tc>
      </w:tr>
      <w:tr>
        <w:trPr>
          <w:trHeight w:val="188"/>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w:t>
            </w:r>
          </w:p>
        </w:tc>
        <w:tc>
          <w:tcPr>
            <w:tcW w:w="12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color w:val="auto"/>
              </w:rPr>
              <w:t>2019</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262</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26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214</w:t>
            </w:r>
          </w:p>
        </w:tc>
        <w:tc>
          <w:tcPr>
            <w:tcW w:w="40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28</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147</w:t>
            </w:r>
          </w:p>
        </w:tc>
      </w:tr>
      <w:tr>
        <w:trPr>
          <w:trHeight w:val="27"/>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ind w:right="96"/>
              <w:spacing w:after="0"/>
              <w:rPr>
                <w:sz w:val="20"/>
                <w:szCs w:val="20"/>
                <w:color w:val="auto"/>
              </w:rPr>
            </w:pPr>
            <w:r>
              <w:rPr>
                <w:rFonts w:ascii="Arial" w:cs="Arial" w:eastAsia="Arial" w:hAnsi="Arial"/>
                <w:sz w:val="18"/>
                <w:szCs w:val="18"/>
                <w:b w:val="1"/>
                <w:bCs w:val="1"/>
                <w:color w:val="auto"/>
              </w:rPr>
              <w:t>676</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126</w:t>
            </w:r>
          </w:p>
        </w:tc>
      </w:tr>
      <w:tr>
        <w:trPr>
          <w:trHeight w:val="34"/>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35"/>
        </w:trPr>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456"/>
              <w:spacing w:after="0"/>
              <w:rPr>
                <w:sz w:val="20"/>
                <w:szCs w:val="20"/>
                <w:color w:val="auto"/>
              </w:rPr>
            </w:pPr>
            <w:r>
              <w:rPr>
                <w:rFonts w:ascii="Arial" w:cs="Arial" w:eastAsia="Arial" w:hAnsi="Arial"/>
                <w:sz w:val="14"/>
                <w:szCs w:val="14"/>
                <w:color w:val="auto"/>
              </w:rPr>
              <w:t>March 31,</w:t>
            </w:r>
          </w:p>
        </w:tc>
        <w:tc>
          <w:tcPr>
            <w:tcW w:w="400" w:type="dxa"/>
            <w:vAlign w:val="bottom"/>
          </w:tcPr>
          <w:p>
            <w:pPr>
              <w:spacing w:after="0"/>
              <w:rPr>
                <w:sz w:val="24"/>
                <w:szCs w:val="24"/>
                <w:color w:val="auto"/>
              </w:rPr>
            </w:pPr>
          </w:p>
        </w:tc>
        <w:tc>
          <w:tcPr>
            <w:tcW w:w="1220" w:type="dxa"/>
            <w:vAlign w:val="bottom"/>
          </w:tcPr>
          <w:p>
            <w:pPr>
              <w:jc w:val="right"/>
              <w:ind w:right="274"/>
              <w:spacing w:after="0"/>
              <w:rPr>
                <w:sz w:val="20"/>
                <w:szCs w:val="20"/>
                <w:color w:val="auto"/>
              </w:rPr>
            </w:pPr>
            <w:r>
              <w:rPr>
                <w:rFonts w:ascii="Arial" w:cs="Arial" w:eastAsia="Arial" w:hAnsi="Arial"/>
                <w:sz w:val="14"/>
                <w:szCs w:val="14"/>
                <w:color w:val="auto"/>
                <w:w w:val="95"/>
              </w:rPr>
              <w:t>December 31,</w:t>
            </w:r>
          </w:p>
        </w:tc>
      </w:tr>
      <w:tr>
        <w:trPr>
          <w:trHeight w:val="18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color w:val="auto"/>
              </w:rPr>
              <w:t>2019</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4,960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4,035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26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538</w:t>
            </w:r>
          </w:p>
        </w:tc>
        <w:tc>
          <w:tcPr>
            <w:tcW w:w="40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341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26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1,942</w:t>
            </w:r>
          </w:p>
        </w:tc>
        <w:tc>
          <w:tcPr>
            <w:tcW w:w="40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1,805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6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1,805</w:t>
            </w:r>
          </w:p>
        </w:tc>
        <w:tc>
          <w:tcPr>
            <w:tcW w:w="40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1,796</w:t>
            </w:r>
          </w:p>
        </w:tc>
      </w:tr>
      <w:tr>
        <w:trPr>
          <w:trHeight w:val="27"/>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260" w:type="dxa"/>
            <w:vAlign w:val="bottom"/>
          </w:tcPr>
          <w:p>
            <w:pPr>
              <w:spacing w:after="0"/>
              <w:rPr>
                <w:sz w:val="20"/>
                <w:szCs w:val="20"/>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9,245</w:t>
            </w:r>
          </w:p>
        </w:tc>
        <w:tc>
          <w:tcPr>
            <w:tcW w:w="40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7,977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26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94</w:t>
            </w:r>
          </w:p>
        </w:tc>
      </w:tr>
      <w:tr>
        <w:trPr>
          <w:trHeight w:val="27"/>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ind w:right="96"/>
              <w:spacing w:after="0"/>
              <w:rPr>
                <w:sz w:val="20"/>
                <w:szCs w:val="20"/>
                <w:color w:val="auto"/>
              </w:rPr>
            </w:pPr>
            <w:r>
              <w:rPr>
                <w:rFonts w:ascii="Arial" w:cs="Arial" w:eastAsia="Arial" w:hAnsi="Arial"/>
                <w:sz w:val="18"/>
                <w:szCs w:val="18"/>
                <w:b w:val="1"/>
                <w:bCs w:val="1"/>
                <w:color w:val="auto"/>
              </w:rPr>
              <w:t>9,159</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7,883</w:t>
            </w:r>
          </w:p>
        </w:tc>
      </w:tr>
      <w:tr>
        <w:trPr>
          <w:trHeight w:val="34"/>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Atairos follows investment company accounting and records its investments at their fair values each reporting period with the net gains or losses reflected in its statement of operations. We recognize our proportionate share of these gains and losses in equity in net income (losses) of investees, net. For the three months ended March 31, 2019 and 2018, we recognized our proportionate share of Atairos’ income of $374 million and $35 million, respectively. For the three months ended March 31, 2019 and 2018, we made cash capital contributions to Atairos totaling $37 million and $31 million, respectively. As of March 31, 2019 and December 31, 2018, our investment in Atairos was $3.1 billion and $2.7 billion,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2019 and 2018, we recognized our proportionate share of Hulu’s losses of $141 million and $131 million, respectively, in equity in net income (losses) of investees, net. For the three months ended March 31, 2019 and 2018, we made cash capital contributions to Hulu totaling $233 million and $114 million, respectively. As of March 31, 2019 and December 31, 2018, our investment in Hulu was $341 million and $248 million, respectively.</w:t>
      </w:r>
    </w:p>
    <w:p>
      <w:pPr>
        <w:sectPr>
          <w:pgSz w:w="11900" w:h="16838" w:orient="portrait"/>
          <w:cols w:equalWidth="0" w:num="1">
            <w:col w:w="11420"/>
          </w:cols>
          <w:pgMar w:left="240" w:top="121"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Time Warner Inc. acquired a 10% interest in Hulu, which diluted our interest in Hulu from 33% to 30%. Given the contingent nature of put and call options related to its shares, we recorded a deferred gain as a result of the dilution. In the first quarter of 2019, the put and call options expired unexercised and we recognized the previously deferred gain of $159 million in other income (loss), net.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2019 and 2018, we recognized unrealized gains of $162 million and $37 million, respectively, in realized and unrealized gains (losses) on equity securities, net related to our investment in Snap. As of March 31, 2019 and December 31, 2018, our investment in Snap was $324 million and $162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hold two series of preferred stock of Verizon Americas, Inc., formerly known as AirTouch Communications, Inc. (“AirTouch”), a subsidiary of Verizon Communications Inc., which are redeemable in April 2020. As of both March 31, 2019 and December 31, 2018, our investment in AirTouch was $1.6 billion. We account for our investment in AirTouch as a held to maturity investment using the cost method. As of March 31, 2019, the estimated fair value of the AirTouch preferred stock and the estimated fair value of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2019, we granted 12.4 million RSUs and 41.9 million stock options related to our annual management awards. The weighted-average fair values associated with these grants were $39.88 per RSU and $7.91 per stock option.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96"/>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127</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47</w:t>
            </w:r>
          </w:p>
        </w:tc>
        <w:tc>
          <w:tcPr>
            <w:tcW w:w="7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8"/>
              <w:spacing w:after="0"/>
              <w:rPr>
                <w:sz w:val="20"/>
                <w:szCs w:val="20"/>
                <w:color w:val="auto"/>
              </w:rPr>
            </w:pPr>
            <w:r>
              <w:rPr>
                <w:rFonts w:ascii="Arial" w:cs="Arial" w:eastAsia="Arial" w:hAnsi="Arial"/>
                <w:sz w:val="18"/>
                <w:szCs w:val="18"/>
                <w:b w:val="1"/>
                <w:bCs w:val="1"/>
                <w:color w:val="auto"/>
              </w:rPr>
              <w:t>183</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139</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2019, we had unrecognized pretax compensation expense of $1.5 billion and $670 million related to nonvested RSUs and nonvested stock options, respectively.</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w w:val="94"/>
              </w:rPr>
              <w:t>Three Months Ended</w:t>
            </w:r>
          </w:p>
        </w:tc>
        <w:tc>
          <w:tcPr>
            <w:tcW w:w="920" w:type="dxa"/>
            <w:vAlign w:val="bottom"/>
          </w:tcPr>
          <w:p>
            <w:pPr>
              <w:spacing w:after="0"/>
              <w:rPr>
                <w:sz w:val="14"/>
                <w:szCs w:val="14"/>
                <w:color w:val="auto"/>
              </w:rPr>
            </w:pPr>
          </w:p>
        </w:tc>
      </w:tr>
      <w:tr>
        <w:trPr>
          <w:trHeight w:val="188"/>
        </w:trPr>
        <w:tc>
          <w:tcPr>
            <w:tcW w:w="33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96"/>
              </w:rPr>
              <w:t>2018</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w:t>
            </w:r>
          </w:p>
        </w:tc>
        <w:tc>
          <w:tcPr>
            <w:tcW w:w="58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rPr>
              <w:t>970</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854</w:t>
            </w: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58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rPr>
              <w:t>189</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162</w:t>
            </w:r>
          </w:p>
        </w:tc>
      </w:tr>
      <w:tr>
        <w:trPr>
          <w:trHeight w:val="27"/>
        </w:trPr>
        <w:tc>
          <w:tcPr>
            <w:tcW w:w="330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507"/>
        </w:trPr>
        <w:tc>
          <w:tcPr>
            <w:tcW w:w="3300" w:type="dxa"/>
            <w:vAlign w:val="bottom"/>
          </w:tcPr>
          <w:p>
            <w:pPr>
              <w:spacing w:after="0"/>
              <w:rPr>
                <w:sz w:val="24"/>
                <w:szCs w:val="24"/>
                <w:color w:val="auto"/>
              </w:rPr>
            </w:pPr>
          </w:p>
        </w:tc>
        <w:tc>
          <w:tcPr>
            <w:tcW w:w="4940" w:type="dxa"/>
            <w:vAlign w:val="bottom"/>
          </w:tcPr>
          <w:p>
            <w:pPr>
              <w:jc w:val="right"/>
              <w:ind w:right="2354"/>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2019:</w:t>
      </w:r>
    </w:p>
    <w:p>
      <w:pPr>
        <w:spacing w:after="0" w:line="7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acquired $1.6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a liability of $953 million for a quarterly cash dividend of $0.21 per common share to be paid in April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center"/>
              <w:ind w:right="296"/>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color w:val="auto"/>
                <w:w w:val="90"/>
              </w:rPr>
              <w:t>December 31,</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3,498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3,814</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44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46</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44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49</w:t>
            </w:r>
          </w:p>
        </w:tc>
      </w:tr>
      <w:tr>
        <w:trPr>
          <w:trHeight w:val="27"/>
        </w:trPr>
        <w:tc>
          <w:tcPr>
            <w:tcW w:w="8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4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6"/>
              <w:spacing w:after="0"/>
              <w:rPr>
                <w:sz w:val="20"/>
                <w:szCs w:val="20"/>
                <w:color w:val="auto"/>
              </w:rPr>
            </w:pPr>
            <w:r>
              <w:rPr>
                <w:rFonts w:ascii="Arial" w:cs="Arial" w:eastAsia="Arial" w:hAnsi="Arial"/>
                <w:sz w:val="18"/>
                <w:szCs w:val="18"/>
                <w:b w:val="1"/>
                <w:bCs w:val="1"/>
                <w:color w:val="auto"/>
              </w:rPr>
              <w:t>3,597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3,909</w:t>
            </w:r>
          </w:p>
        </w:tc>
      </w:tr>
      <w:tr>
        <w:trPr>
          <w:trHeight w:val="34"/>
        </w:trPr>
        <w:tc>
          <w:tcPr>
            <w:tcW w:w="8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05"/>
        </w:trPr>
        <w:tc>
          <w:tcPr>
            <w:tcW w:w="80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6"/>
        </w:trPr>
        <w:tc>
          <w:tcPr>
            <w:tcW w:w="8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jc w:val="center"/>
              <w:ind w:right="296"/>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24"/>
                <w:szCs w:val="24"/>
                <w:color w:val="auto"/>
              </w:rPr>
            </w:pPr>
          </w:p>
        </w:tc>
        <w:tc>
          <w:tcPr>
            <w:tcW w:w="1260" w:type="dxa"/>
            <w:vAlign w:val="bottom"/>
          </w:tcPr>
          <w:p>
            <w:pPr>
              <w:jc w:val="center"/>
              <w:ind w:right="156"/>
              <w:spacing w:after="0"/>
              <w:rPr>
                <w:sz w:val="20"/>
                <w:szCs w:val="20"/>
                <w:color w:val="auto"/>
              </w:rPr>
            </w:pPr>
            <w:r>
              <w:rPr>
                <w:rFonts w:ascii="Arial" w:cs="Arial" w:eastAsia="Arial" w:hAnsi="Arial"/>
                <w:sz w:val="14"/>
                <w:szCs w:val="14"/>
                <w:color w:val="auto"/>
                <w:w w:val="93"/>
              </w:rPr>
              <w:t>March 31,</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44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20</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44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318</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310</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440" w:type="dxa"/>
            <w:vAlign w:val="bottom"/>
          </w:tcPr>
          <w:p>
            <w:pPr>
              <w:spacing w:after="0"/>
              <w:rPr>
                <w:sz w:val="23"/>
                <w:szCs w:val="23"/>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277</w:t>
            </w:r>
          </w:p>
        </w:tc>
      </w:tr>
      <w:tr>
        <w:trPr>
          <w:trHeight w:val="27"/>
        </w:trPr>
        <w:tc>
          <w:tcPr>
            <w:tcW w:w="8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4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6"/>
              <w:spacing w:after="0"/>
              <w:rPr>
                <w:sz w:val="20"/>
                <w:szCs w:val="20"/>
                <w:color w:val="auto"/>
              </w:rPr>
            </w:pPr>
            <w:r>
              <w:rPr>
                <w:rFonts w:ascii="Arial" w:cs="Arial" w:eastAsia="Arial" w:hAnsi="Arial"/>
                <w:sz w:val="18"/>
                <w:szCs w:val="18"/>
                <w:b w:val="1"/>
                <w:bCs w:val="1"/>
                <w:color w:val="auto"/>
              </w:rPr>
              <w:t>422</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608</w:t>
            </w:r>
          </w:p>
        </w:tc>
      </w:tr>
      <w:tr>
        <w:trPr>
          <w:trHeight w:val="34"/>
        </w:trPr>
        <w:tc>
          <w:tcPr>
            <w:tcW w:w="8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leases consist primarily of real estate, vehicles and other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utilize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 Lease expense for operating leases recorded in the balance sheet is included in operating costs and expenses and is based on the future minimum lease payments recognized on a straight-line basis over the term of the lease plus any variable lease costs. Operating lease expenses, inclusive of short-term and variable lease expenses, recognized in our condensed consolidated statement of income for the three months ended March 31, 2019 were $274 million. These amounts do not include lease costs associated with production activities or other amounts capitalized in our condensed consolidated balance sheet, which are not material.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lease assets and liabilities recorded in our condensed consolidated balance sheet.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6300" w:type="dxa"/>
            <w:vAlign w:val="bottom"/>
          </w:tcPr>
          <w:p>
            <w:pPr>
              <w:jc w:val="right"/>
              <w:ind w:right="2430"/>
              <w:spacing w:after="0"/>
              <w:rPr>
                <w:sz w:val="20"/>
                <w:szCs w:val="20"/>
                <w:color w:val="auto"/>
              </w:rPr>
            </w:pPr>
            <w:r>
              <w:rPr>
                <w:rFonts w:ascii="Arial" w:cs="Arial" w:eastAsia="Arial" w:hAnsi="Arial"/>
                <w:sz w:val="18"/>
                <w:szCs w:val="18"/>
                <w:b w:val="1"/>
                <w:bCs w:val="1"/>
                <w:color w:val="auto"/>
              </w:rPr>
              <w:t>Condensed Consolidated Balance Sheet</w:t>
            </w:r>
          </w:p>
        </w:tc>
        <w:tc>
          <w:tcPr>
            <w:tcW w:w="1460" w:type="dxa"/>
            <w:vAlign w:val="bottom"/>
          </w:tcPr>
          <w:p>
            <w:pPr>
              <w:spacing w:after="0"/>
              <w:rPr>
                <w:sz w:val="20"/>
                <w:szCs w:val="20"/>
                <w:color w:val="auto"/>
              </w:rPr>
            </w:pPr>
          </w:p>
        </w:tc>
      </w:tr>
      <w:tr>
        <w:trPr>
          <w:trHeight w:val="265"/>
        </w:trPr>
        <w:tc>
          <w:tcPr>
            <w:tcW w:w="366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1460" w:type="dxa"/>
            <w:vAlign w:val="bottom"/>
          </w:tcPr>
          <w:p>
            <w:pPr>
              <w:jc w:val="right"/>
              <w:ind w:right="557"/>
              <w:spacing w:after="0"/>
              <w:rPr>
                <w:sz w:val="20"/>
                <w:szCs w:val="20"/>
                <w:color w:val="auto"/>
              </w:rPr>
            </w:pPr>
            <w:r>
              <w:rPr>
                <w:rFonts w:ascii="Arial" w:cs="Arial" w:eastAsia="Arial" w:hAnsi="Arial"/>
                <w:sz w:val="14"/>
                <w:szCs w:val="14"/>
                <w:color w:val="auto"/>
              </w:rPr>
              <w:t>March 31,</w:t>
            </w:r>
          </w:p>
        </w:tc>
      </w:t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color w:val="auto"/>
              </w:rPr>
              <w:t>2019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6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4,100</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w w:val="99"/>
              </w:rPr>
              <w:t>Accrued expenses and other current liabilities</w:t>
            </w:r>
          </w:p>
        </w:tc>
        <w:tc>
          <w:tcPr>
            <w:tcW w:w="6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693</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6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4,014</w:t>
            </w:r>
          </w:p>
        </w:tc>
      </w:tr>
      <w:tr>
        <w:trPr>
          <w:trHeight w:val="27"/>
        </w:trPr>
        <w:tc>
          <w:tcPr>
            <w:tcW w:w="36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7"/>
        </w:trPr>
        <w:tc>
          <w:tcPr>
            <w:tcW w:w="3660" w:type="dxa"/>
            <w:vAlign w:val="bottom"/>
          </w:tcPr>
          <w:p>
            <w:pPr>
              <w:spacing w:after="0"/>
              <w:rPr>
                <w:sz w:val="24"/>
                <w:szCs w:val="24"/>
                <w:color w:val="auto"/>
              </w:rPr>
            </w:pPr>
          </w:p>
        </w:tc>
        <w:tc>
          <w:tcPr>
            <w:tcW w:w="6300" w:type="dxa"/>
            <w:vAlign w:val="bottom"/>
          </w:tcPr>
          <w:p>
            <w:pPr>
              <w:jc w:val="right"/>
              <w:ind w:right="4070"/>
              <w:spacing w:after="0"/>
              <w:rPr>
                <w:sz w:val="20"/>
                <w:szCs w:val="20"/>
                <w:color w:val="auto"/>
              </w:rPr>
            </w:pPr>
            <w:r>
              <w:rPr>
                <w:rFonts w:ascii="Arial" w:cs="Arial" w:eastAsia="Arial" w:hAnsi="Arial"/>
                <w:sz w:val="18"/>
                <w:szCs w:val="18"/>
                <w:color w:val="auto"/>
              </w:rPr>
              <w:t>16</w:t>
            </w: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future minimum rental commitments for operating leases as of March 31, 2019 applying the new accounting guidance.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60" w:type="dxa"/>
            <w:vAlign w:val="bottom"/>
          </w:tcPr>
          <w:p>
            <w:pPr>
              <w:jc w:val="right"/>
              <w:ind w:right="553"/>
              <w:spacing w:after="0"/>
              <w:rPr>
                <w:sz w:val="20"/>
                <w:szCs w:val="20"/>
                <w:color w:val="auto"/>
              </w:rPr>
            </w:pPr>
            <w:r>
              <w:rPr>
                <w:rFonts w:ascii="Arial" w:cs="Arial" w:eastAsia="Arial" w:hAnsi="Arial"/>
                <w:sz w:val="14"/>
                <w:szCs w:val="14"/>
                <w:color w:val="auto"/>
              </w:rPr>
              <w:t>March 31,</w:t>
            </w:r>
          </w:p>
        </w:tc>
      </w:tr>
      <w:tr>
        <w:trPr>
          <w:trHeight w:val="188"/>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2019</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Remaining nine months of 2019</w:t>
            </w:r>
          </w:p>
        </w:tc>
        <w:tc>
          <w:tcPr>
            <w:tcW w:w="3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669</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2020</w:t>
            </w:r>
          </w:p>
        </w:tc>
        <w:tc>
          <w:tcPr>
            <w:tcW w:w="376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832</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2021</w:t>
            </w:r>
          </w:p>
        </w:tc>
        <w:tc>
          <w:tcPr>
            <w:tcW w:w="376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724</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2022</w:t>
            </w:r>
          </w:p>
        </w:tc>
        <w:tc>
          <w:tcPr>
            <w:tcW w:w="376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592</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2023</w:t>
            </w:r>
          </w:p>
        </w:tc>
        <w:tc>
          <w:tcPr>
            <w:tcW w:w="376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501</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76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2,536</w:t>
            </w:r>
          </w:p>
        </w:tc>
      </w:tr>
      <w:tr>
        <w:trPr>
          <w:trHeight w:val="27"/>
        </w:trPr>
        <w:tc>
          <w:tcPr>
            <w:tcW w:w="62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3760" w:type="dxa"/>
            <w:vAlign w:val="bottom"/>
          </w:tcPr>
          <w:p>
            <w:pPr>
              <w:spacing w:after="0"/>
              <w:rPr>
                <w:sz w:val="20"/>
                <w:szCs w:val="20"/>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5,854</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76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1,147</w:t>
            </w:r>
          </w:p>
        </w:tc>
      </w:tr>
      <w:tr>
        <w:trPr>
          <w:trHeight w:val="27"/>
        </w:trPr>
        <w:tc>
          <w:tcPr>
            <w:tcW w:w="62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Total liability</w:t>
            </w:r>
          </w:p>
        </w:tc>
        <w:tc>
          <w:tcPr>
            <w:tcW w:w="37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13"/>
              <w:spacing w:after="0"/>
              <w:rPr>
                <w:sz w:val="20"/>
                <w:szCs w:val="20"/>
                <w:color w:val="auto"/>
              </w:rPr>
            </w:pPr>
            <w:r>
              <w:rPr>
                <w:rFonts w:ascii="Arial" w:cs="Arial" w:eastAsia="Arial" w:hAnsi="Arial"/>
                <w:sz w:val="18"/>
                <w:szCs w:val="18"/>
                <w:b w:val="1"/>
                <w:bCs w:val="1"/>
                <w:color w:val="auto"/>
              </w:rPr>
              <w:t>4,707</w:t>
            </w:r>
          </w:p>
        </w:tc>
      </w:tr>
      <w:tr>
        <w:trPr>
          <w:trHeight w:val="34"/>
        </w:trPr>
        <w:tc>
          <w:tcPr>
            <w:tcW w:w="62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remaining lease term for operating leases and the weighted average discount rate used to calculate our operating lease liabilities as of March 31, 2019 were 10 years and 3.84%,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2019, cash payments for operating leases recorded in the condensed consolidated balance sheet were $213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 that have not yet commenced and lease assets and liabilities associated with leases entered into during the period were not material.</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tables below summarize our future minimum rental commitments for operating leases as of December 31, 2018 and rent expense for operating leases for the three months ended March 31, 2018 using the accounting guidance in effect at that time. These amounts have been updated to include $804 million of future cash payments related to additional contracts determined to be operating leases in connection with the Sky transaction.</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2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2019</w:t>
            </w:r>
          </w:p>
        </w:tc>
        <w:tc>
          <w:tcPr>
            <w:tcW w:w="44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891</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2020</w:t>
            </w:r>
          </w:p>
        </w:tc>
        <w:tc>
          <w:tcPr>
            <w:tcW w:w="44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824</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2021</w:t>
            </w:r>
          </w:p>
        </w:tc>
        <w:tc>
          <w:tcPr>
            <w:tcW w:w="44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722</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2022</w:t>
            </w:r>
          </w:p>
        </w:tc>
        <w:tc>
          <w:tcPr>
            <w:tcW w:w="44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592</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2023</w:t>
            </w:r>
          </w:p>
        </w:tc>
        <w:tc>
          <w:tcPr>
            <w:tcW w:w="44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513</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4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2,608</w:t>
            </w:r>
          </w:p>
        </w:tc>
      </w:tr>
      <w:tr>
        <w:trPr>
          <w:trHeight w:val="27"/>
        </w:trPr>
        <w:tc>
          <w:tcPr>
            <w:tcW w:w="534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420"/>
        </w:trPr>
        <w:tc>
          <w:tcPr>
            <w:tcW w:w="5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20" w:type="dxa"/>
            <w:vAlign w:val="bottom"/>
          </w:tcPr>
          <w:p>
            <w:pPr>
              <w:jc w:val="center"/>
              <w:ind w:right="137"/>
              <w:spacing w:after="0"/>
              <w:rPr>
                <w:sz w:val="20"/>
                <w:szCs w:val="20"/>
                <w:color w:val="auto"/>
              </w:rPr>
            </w:pPr>
            <w:r>
              <w:rPr>
                <w:rFonts w:ascii="Arial" w:cs="Arial" w:eastAsia="Arial" w:hAnsi="Arial"/>
                <w:sz w:val="14"/>
                <w:szCs w:val="14"/>
                <w:color w:val="auto"/>
                <w:w w:val="91"/>
              </w:rPr>
              <w:t>Three Months Ended</w:t>
            </w:r>
          </w:p>
        </w:tc>
      </w:tr>
      <w:tr>
        <w:trPr>
          <w:trHeight w:val="188"/>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94"/>
              </w:rPr>
              <w:t>March 31, 2018</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Rental expense</w:t>
            </w:r>
          </w:p>
        </w:tc>
        <w:tc>
          <w:tcPr>
            <w:tcW w:w="44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186</w:t>
            </w:r>
          </w:p>
        </w:tc>
      </w:tr>
      <w:tr>
        <w:trPr>
          <w:trHeight w:val="27"/>
        </w:trPr>
        <w:tc>
          <w:tcPr>
            <w:tcW w:w="534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2019, the fair value of the NBCUniversal Enterprise redeemable subsidiary preferred stock was $739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In addition, 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See Note 5 for additional information on the cross-guarantee structure.</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26,859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26,859</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26,859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26,859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8,569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8,569</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7,746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7,900</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1,888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1,888</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2,226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2,240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1,079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1,080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21,508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21,677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5,351</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5,182</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4,215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4,143</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2,181</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2,238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(15,415)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676</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3,421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3,265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1,790</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7,507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(15,415)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4,708</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3,553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4,134</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3,275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1,784</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6,301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(15,415)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3,632</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3,553</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4,134</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3,275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1,784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6,222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(15,415)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3,553</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4,343</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4,122</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3,275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1,752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7,160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(16,309)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4,343</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13"/>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22,791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22,791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22,791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22,791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7,429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7,429</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6,260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6,514</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1,604</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1,604</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2,011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588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17,880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18,146</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4,911</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4,645</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3,520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2,826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1,942</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1,588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(13,069)</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126</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3,011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3,316</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2,779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1,518</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6,439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(13,069)</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3,994</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3,118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3,316</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2,788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1,513</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5,510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(13,069)</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3,176</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3,118</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3,316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2,788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1,513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5,452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(13,069)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3,118</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3,271</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3,369</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2,789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1,696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5,791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(13,645)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3,271</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621"/>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8,253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7,231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3,908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(2,092)</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Construction of Universal</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Beijing Resort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3,879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(7,171)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222</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(2,084)</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(4,325)</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rPr>
              <w:t>Impact of foreign currency on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w w:val="94"/>
              </w:rPr>
              <w:t>Increase (decrease) in cash,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w w:val="95"/>
              </w:rPr>
              <w:t>equivalents and restricted cash</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 beginning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3,493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3,909</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4"/>
              </w:rPr>
              <w:t>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214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3,383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3,597</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5,474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(897)</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Construction of Universal</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Beijing Resort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429</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(2,292)</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3,973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4,043</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(1,729)</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4"/>
              </w:rPr>
              <w:t>Increase (decrease) in cash, cash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w w:val="95"/>
              </w:rPr>
              <w:t>equivalents and restricted cash</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2,592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2,606</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 beginning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3,075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3,571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4"/>
              </w:rPr>
              <w:t>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510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5,667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6,177</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3,498</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10,736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10,736</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2,942</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3,097</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19,936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20,273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8,051</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7,826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9,159</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158,868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147,534</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129,829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56,005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98,613</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(590,849)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45,058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45,721</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68,073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68,073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36,892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36,902</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7,642</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8,645</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161,056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147,803</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129,976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57,233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351,456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(591,335)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256,189</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10,232</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1,739</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2,485</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8,832</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4,629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22,574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27,917</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78,460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104,464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27,980</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27,819</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14,033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18,811</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1,316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74,905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147,181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127,631</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47,386</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268,651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(590,849)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74,905</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74,959</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147,181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127,631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47,386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268,651</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(590,849)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74,959</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903</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74,959</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147,181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127,631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47,386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269,554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(590,849)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75,862</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161,056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147,803</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129,976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57,233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351,456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(591,335)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256,189</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3,814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11,104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11,104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3,746</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3,184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21,318</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21,848</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7,837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7,837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7,883</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157,264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147,028</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130,214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53,853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97,872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43,767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44,437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66,154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66,154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38,347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38,358</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4,910</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5,802</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159,338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147,267</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130,357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55,172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346,239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(586,689)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251,684</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8,494</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1,808</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1,808</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2,182</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7,572</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10,721</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4,398</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23,749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27,603</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81,661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15,690</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107,345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27,734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27,589</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15,329</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1,316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71,559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146,657</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127,897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45,872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265,805</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71,559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71,613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146,657</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127,897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45,872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265,805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71,613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71,613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146,657</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127,897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45,872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266,694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72,502</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159,338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147,267</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130,357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55,172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346,239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(586,689)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251,684</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940"/>
        <w:spacing w:after="0" w:line="274"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9, 2018, in connection with our offer to acquire the share capital of Sky, we acquired a controlling interest in Sky through a series of purchases of Sky shares at our offer price of £17.28 per Sky share. In the fourth quarter of 2018, we acquired the remaining Sky shares and now own 100% of Sky’s equity interests. Total cash consideration was £30.2 billion (approximately $39.4 billion using the exchange rates on the purchase dates). We financed the acquisition through a combination of new fixed and floating rate notes, issuance of term loans and cash on hand.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Comcast Cable is one of the nation’s largest providers of high-speed internet, video, voice, wireless, and security and automation services (“cable services”) to residential customers under the Xfinity brand; we also provide these and other services to business customers and sell advertising. As of March 31, 2019, our cable systems had 30.7 million total customer relationships, including 28.4 million residential and 2.3 million business customer relationships, and passed approximately 58 million homes and businesses. Our Cable Communications segment generates revenue primarily from residential and business customers that subscribe to our cable services, which we market individually and as bundled services, and from the sale of advertising.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r>
        <w:rPr>
          <w:rFonts w:ascii="Arial" w:cs="Arial" w:eastAsia="Arial" w:hAnsi="Arial"/>
          <w:sz w:val="18"/>
          <w:szCs w:val="18"/>
          <w:i w:val="1"/>
          <w:iCs w:val="1"/>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our cable television studio production operations; and our various digital properties. Our Cable Networks segment generates revenue primarily from the distribution of our cable network programming to traditional and virtual multichannel video providers; from the sale of advertising on our cable networks and digital properties; from the licensing of our owned programming, including programming from our cable television studio production operations, to cable and broadcast networks and subscription video on demand services; and from the sale of our owned programming on standard-definition digital video discs and Blu-ray discs (together, “DVDs”) and through digital distribution services such as iTunes.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our various digital properties. Our Broadcast Television segment generates revenue primarily from the sale of advertising on our broadcast networks, owned local broadcast television stations and digital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Filmed Entertainment segment primarily produces, acquires, markets and distributes filmed entertainment worldwide. Our films are produced primarily under the Universal Pictures, Illumination, DreamWorks Animation and Focus Features names. Our Filmed Entertainment segment generates revenue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Our Filmed Entertainment segment also generates revenue from Fandango, a movie ticketing and entertainment business, the sale of consumer products, the production and licensing of live stage plays, and the distribution of filmed entertainment produced by third parties.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75"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theme park in Beijing, China. Our Theme Parks segment generates revenue primarily from ticket sales and guest spending at our Universal theme parks.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Sky segment consists of the operations of Sky,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 As of March 31, 2019, Sky had 23.7 million retail customer relationships.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has intensified audience fragmentation, which has and likely will continue to adversely affect the audience ratings of NBCUniversal’s cable networks and broadcast television programming and Sky’s owned television channels.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additional information on the competition our businesses face, see our 2018 Annual Report on Form 10-K and refer to Item 1: Business and Item 1A: Risk Factors. Within the Business section, refer to the “Competition” discussion, and within the Risk Factors section, refer to the risk factors entitled “Our businesses currently face a wide range of competition, and our businesses and results of operations could be adversely affected if we do not compete effectively” and “Changes in consumer behavior driven by online distribution platforms for viewing content could adversely affect our businesses and challenge existing business models.”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our businesses is subject to seasonal and cyclical variations. In our Cable Communications segment, our results are impacted by the seasonal nature of residential customers receiving our cable services in college and vacation markets. This generally results in fewer net customer relationship additions in the second quarter of each year. In our Sky segment, our results are impacted by the seasonal nature of residential customers receiving direct-to-home ("DTH") and over the top ("OTT") video services, including the start of the new soccer seasons and the Christmas holiday. This generally results in greater net customer relationship additions and higher subscriber acquisition costs in the fourth quarter of each year due to higher marketing expenses.</w:t>
      </w:r>
    </w:p>
    <w:p>
      <w:pPr>
        <w:spacing w:after="0" w:line="10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Revenue in our Cable Communications, Cable Networks, Broadcast Television and Sky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 The results of Sky’s advertising business are subject to cyclical advertising patterns and changes in viewership levels. This includes seasonally higher audience levels in winter months and increased competition during major sporting events where public service broadcasters lease the rights, such as the Olympic Games and the FIFA World Cup</w:t>
      </w:r>
      <w:r>
        <w:rPr>
          <w:rFonts w:ascii="Arial" w:cs="Arial" w:eastAsia="Arial" w:hAnsi="Arial"/>
          <w:sz w:val="22"/>
          <w:szCs w:val="22"/>
          <w:color w:val="auto"/>
          <w:vertAlign w:val="superscript"/>
        </w:rPr>
        <w:t>TM</w:t>
      </w:r>
      <w:r>
        <w:rPr>
          <w:rFonts w:ascii="Arial" w:cs="Arial" w:eastAsia="Arial" w:hAnsi="Arial"/>
          <w:sz w:val="16"/>
          <w:szCs w:val="16"/>
          <w:color w:val="auto"/>
        </w:rPr>
        <w:t>. The results for Sky’s content business are also subject to fluctuations as a result of changes in timing, nature and quantity of original programming distributed to other markets.</w:t>
      </w:r>
    </w:p>
    <w:p>
      <w:pPr>
        <w:spacing w:after="0" w:line="10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revenue and operating costs and expenses (comprised of total costs and expenses, excluding depreciation and amortization expense and other operating gains) are cyclical as a result of our periodic broadcasts of major sporting events, such as the Olympic Games, which affect our Cable Networks and Broadcast Television segments, and the Super Bowl, which affects our Broadcast Television segment. In particular, our advertising revenue increases due to increased demand for advertising time and our distribution revenue increases in the period of these broadcasts. Our operating costs and expenses also increase as a result of our production costs for these broadcasts and the amortization of the related rights fees.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7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in our Filmed Entertainment segment fluctuates due to the timing, nature and number of films released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our Cable Networks, Broadcast Television and Filmed Entertainment segments also fluctuates due to the timing of when our content is made available to licensees.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Exclusive tier one sports rights, such as domestic and UEFA Champions League soccer, Formula 1, and English cricket, play a key role within Sky’s wider content strategy. In Europe broadcasting rights for tier one sports are usually tendered through a competitive auction process, with the winning bidder or bidders acquiring rights over a three to five-year period. This creates some level of cyclicality for Sky, although the staggered timing of tier one sports rights auctions usually gives Sky time to react to any material changes in the competitive dynamics of the prevailing market.</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791"/>
              <w:spacing w:after="0"/>
              <w:rPr>
                <w:sz w:val="20"/>
                <w:szCs w:val="20"/>
                <w:color w:val="auto"/>
              </w:rPr>
            </w:pPr>
            <w:r>
              <w:rPr>
                <w:rFonts w:ascii="Arial" w:cs="Arial" w:eastAsia="Arial" w:hAnsi="Arial"/>
                <w:sz w:val="14"/>
                <w:szCs w:val="14"/>
                <w:color w:val="auto"/>
              </w:rPr>
              <w:t>Three Months Ended</w:t>
            </w:r>
          </w:p>
        </w:tc>
        <w:tc>
          <w:tcPr>
            <w:tcW w:w="1240" w:type="dxa"/>
            <w:vAlign w:val="bottom"/>
          </w:tcPr>
          <w:p>
            <w:pPr>
              <w:ind w:left="320"/>
              <w:spacing w:after="0"/>
              <w:rPr>
                <w:sz w:val="20"/>
                <w:szCs w:val="20"/>
                <w:color w:val="auto"/>
              </w:rPr>
            </w:pPr>
            <w:r>
              <w:rPr>
                <w:rFonts w:ascii="Arial" w:cs="Arial" w:eastAsia="Arial" w:hAnsi="Arial"/>
                <w:sz w:val="14"/>
                <w:szCs w:val="14"/>
                <w:color w:val="auto"/>
              </w:rPr>
              <w:t>Increase/</w:t>
            </w:r>
          </w:p>
        </w:tc>
      </w:tr>
      <w:tr>
        <w:trPr>
          <w:trHeight w:val="188"/>
        </w:trPr>
        <w:tc>
          <w:tcPr>
            <w:tcW w:w="7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(Decrease)</w:t>
            </w:r>
          </w:p>
        </w:tc>
      </w:tr>
      <w:tr>
        <w:trPr>
          <w:trHeight w:val="264"/>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spacing w:after="0"/>
              <w:rPr>
                <w:sz w:val="22"/>
                <w:szCs w:val="22"/>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26,859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22,791</w:t>
            </w:r>
          </w:p>
        </w:tc>
        <w:tc>
          <w:tcPr>
            <w:tcW w:w="1240" w:type="dxa"/>
            <w:vAlign w:val="bottom"/>
          </w:tcPr>
          <w:p>
            <w:pPr>
              <w:ind w:left="700"/>
              <w:spacing w:after="0"/>
              <w:rPr>
                <w:sz w:val="20"/>
                <w:szCs w:val="20"/>
                <w:color w:val="auto"/>
              </w:rPr>
            </w:pPr>
            <w:r>
              <w:rPr>
                <w:rFonts w:ascii="Arial" w:cs="Arial" w:eastAsia="Arial" w:hAnsi="Arial"/>
                <w:sz w:val="18"/>
                <w:szCs w:val="18"/>
                <w:color w:val="auto"/>
              </w:rPr>
              <w:t>17.9%</w:t>
            </w:r>
          </w:p>
        </w:tc>
      </w:tr>
      <w:tr>
        <w:trPr>
          <w:trHeight w:val="270"/>
        </w:trPr>
        <w:tc>
          <w:tcPr>
            <w:tcW w:w="72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2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8,569</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7,429</w:t>
            </w:r>
          </w:p>
        </w:tc>
        <w:tc>
          <w:tcPr>
            <w:tcW w:w="1240" w:type="dxa"/>
            <w:vAlign w:val="bottom"/>
          </w:tcPr>
          <w:p>
            <w:pPr>
              <w:ind w:left="700"/>
              <w:spacing w:after="0"/>
              <w:rPr>
                <w:sz w:val="20"/>
                <w:szCs w:val="20"/>
                <w:color w:val="auto"/>
              </w:rPr>
            </w:pPr>
            <w:r>
              <w:rPr>
                <w:rFonts w:ascii="Arial" w:cs="Arial" w:eastAsia="Arial" w:hAnsi="Arial"/>
                <w:sz w:val="18"/>
                <w:szCs w:val="18"/>
                <w:color w:val="auto"/>
              </w:rPr>
              <w:t>15.3</w:t>
            </w:r>
          </w:p>
        </w:tc>
      </w:tr>
      <w:tr>
        <w:trPr>
          <w:trHeight w:val="270"/>
        </w:trPr>
        <w:tc>
          <w:tcPr>
            <w:tcW w:w="72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0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7,900</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6,514</w:t>
            </w:r>
          </w:p>
        </w:tc>
        <w:tc>
          <w:tcPr>
            <w:tcW w:w="1240" w:type="dxa"/>
            <w:vAlign w:val="bottom"/>
          </w:tcPr>
          <w:p>
            <w:pPr>
              <w:ind w:left="700"/>
              <w:spacing w:after="0"/>
              <w:rPr>
                <w:sz w:val="20"/>
                <w:szCs w:val="20"/>
                <w:color w:val="auto"/>
              </w:rPr>
            </w:pPr>
            <w:r>
              <w:rPr>
                <w:rFonts w:ascii="Arial" w:cs="Arial" w:eastAsia="Arial" w:hAnsi="Arial"/>
                <w:sz w:val="18"/>
                <w:szCs w:val="18"/>
                <w:color w:val="auto"/>
              </w:rPr>
              <w:t>21.3</w:t>
            </w:r>
          </w:p>
        </w:tc>
      </w:tr>
      <w:tr>
        <w:trPr>
          <w:trHeight w:val="270"/>
        </w:trPr>
        <w:tc>
          <w:tcPr>
            <w:tcW w:w="72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0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1,888</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1,604</w:t>
            </w:r>
          </w:p>
        </w:tc>
        <w:tc>
          <w:tcPr>
            <w:tcW w:w="1240" w:type="dxa"/>
            <w:vAlign w:val="bottom"/>
          </w:tcPr>
          <w:p>
            <w:pPr>
              <w:ind w:left="700"/>
              <w:spacing w:after="0"/>
              <w:rPr>
                <w:sz w:val="20"/>
                <w:szCs w:val="20"/>
                <w:color w:val="auto"/>
              </w:rPr>
            </w:pPr>
            <w:r>
              <w:rPr>
                <w:rFonts w:ascii="Arial" w:cs="Arial" w:eastAsia="Arial" w:hAnsi="Arial"/>
                <w:sz w:val="18"/>
                <w:szCs w:val="18"/>
                <w:color w:val="auto"/>
              </w:rPr>
              <w:t>17.7</w:t>
            </w:r>
          </w:p>
        </w:tc>
      </w:tr>
      <w:tr>
        <w:trPr>
          <w:trHeight w:val="270"/>
        </w:trPr>
        <w:tc>
          <w:tcPr>
            <w:tcW w:w="72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2,240</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2,011</w:t>
            </w:r>
          </w:p>
        </w:tc>
        <w:tc>
          <w:tcPr>
            <w:tcW w:w="1240" w:type="dxa"/>
            <w:vAlign w:val="bottom"/>
          </w:tcPr>
          <w:p>
            <w:pPr>
              <w:ind w:left="720"/>
              <w:spacing w:after="0"/>
              <w:rPr>
                <w:sz w:val="20"/>
                <w:szCs w:val="20"/>
                <w:color w:val="auto"/>
              </w:rPr>
            </w:pPr>
            <w:r>
              <w:rPr>
                <w:rFonts w:ascii="Arial" w:cs="Arial" w:eastAsia="Arial" w:hAnsi="Arial"/>
                <w:sz w:val="18"/>
                <w:szCs w:val="18"/>
                <w:color w:val="auto"/>
              </w:rPr>
              <w:t>11.4</w:t>
            </w:r>
          </w:p>
        </w:tc>
      </w:tr>
      <w:tr>
        <w:trPr>
          <w:trHeight w:val="270"/>
        </w:trPr>
        <w:tc>
          <w:tcPr>
            <w:tcW w:w="72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1,080</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588</w:t>
            </w:r>
          </w:p>
        </w:tc>
        <w:tc>
          <w:tcPr>
            <w:tcW w:w="1240" w:type="dxa"/>
            <w:vAlign w:val="bottom"/>
          </w:tcPr>
          <w:p>
            <w:pPr>
              <w:ind w:left="700"/>
              <w:spacing w:after="0"/>
              <w:rPr>
                <w:sz w:val="20"/>
                <w:szCs w:val="20"/>
                <w:color w:val="auto"/>
              </w:rPr>
            </w:pPr>
            <w:r>
              <w:rPr>
                <w:rFonts w:ascii="Arial" w:cs="Arial" w:eastAsia="Arial" w:hAnsi="Arial"/>
                <w:sz w:val="18"/>
                <w:szCs w:val="18"/>
                <w:color w:val="auto"/>
              </w:rPr>
              <w:t>84.0</w:t>
            </w:r>
          </w:p>
        </w:tc>
      </w:tr>
      <w:tr>
        <w:trPr>
          <w:trHeight w:val="27"/>
        </w:trPr>
        <w:tc>
          <w:tcPr>
            <w:tcW w:w="7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5,182</w:t>
            </w:r>
          </w:p>
        </w:tc>
        <w:tc>
          <w:tcPr>
            <w:tcW w:w="42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4,645</w:t>
            </w:r>
          </w:p>
        </w:tc>
        <w:tc>
          <w:tcPr>
            <w:tcW w:w="1240" w:type="dxa"/>
            <w:vAlign w:val="bottom"/>
          </w:tcPr>
          <w:p>
            <w:pPr>
              <w:ind w:left="720"/>
              <w:spacing w:after="0"/>
              <w:rPr>
                <w:sz w:val="20"/>
                <w:szCs w:val="20"/>
                <w:color w:val="auto"/>
              </w:rPr>
            </w:pPr>
            <w:r>
              <w:rPr>
                <w:rFonts w:ascii="Arial" w:cs="Arial" w:eastAsia="Arial" w:hAnsi="Arial"/>
                <w:sz w:val="18"/>
                <w:szCs w:val="18"/>
                <w:color w:val="auto"/>
              </w:rPr>
              <w:t>11.5</w:t>
            </w:r>
          </w:p>
        </w:tc>
      </w:tr>
      <w:tr>
        <w:trPr>
          <w:trHeight w:val="270"/>
        </w:trPr>
        <w:tc>
          <w:tcPr>
            <w:tcW w:w="7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(1,150)</w:t>
            </w:r>
          </w:p>
        </w:tc>
        <w:tc>
          <w:tcPr>
            <w:tcW w:w="420" w:type="dxa"/>
            <w:vAlign w:val="bottom"/>
          </w:tcPr>
          <w:p>
            <w:pPr>
              <w:spacing w:after="0"/>
              <w:rPr>
                <w:sz w:val="23"/>
                <w:szCs w:val="23"/>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(777)</w:t>
            </w:r>
          </w:p>
        </w:tc>
        <w:tc>
          <w:tcPr>
            <w:tcW w:w="1240" w:type="dxa"/>
            <w:vAlign w:val="bottom"/>
          </w:tcPr>
          <w:p>
            <w:pPr>
              <w:ind w:left="700"/>
              <w:spacing w:after="0"/>
              <w:rPr>
                <w:sz w:val="20"/>
                <w:szCs w:val="20"/>
                <w:color w:val="auto"/>
              </w:rPr>
            </w:pPr>
            <w:r>
              <w:rPr>
                <w:rFonts w:ascii="Arial" w:cs="Arial" w:eastAsia="Arial" w:hAnsi="Arial"/>
                <w:sz w:val="18"/>
                <w:szCs w:val="18"/>
                <w:color w:val="auto"/>
              </w:rPr>
              <w:t>48.0</w:t>
            </w:r>
          </w:p>
        </w:tc>
      </w:tr>
      <w:tr>
        <w:trPr>
          <w:trHeight w:val="270"/>
        </w:trPr>
        <w:tc>
          <w:tcPr>
            <w:tcW w:w="726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0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676</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126</w:t>
            </w:r>
          </w:p>
        </w:tc>
        <w:tc>
          <w:tcPr>
            <w:tcW w:w="1240" w:type="dxa"/>
            <w:vAlign w:val="bottom"/>
          </w:tcPr>
          <w:p>
            <w:pPr>
              <w:ind w:left="740"/>
              <w:spacing w:after="0"/>
              <w:rPr>
                <w:sz w:val="20"/>
                <w:szCs w:val="20"/>
                <w:color w:val="auto"/>
              </w:rPr>
            </w:pPr>
            <w:r>
              <w:rPr>
                <w:rFonts w:ascii="Arial" w:cs="Arial" w:eastAsia="Arial" w:hAnsi="Arial"/>
                <w:sz w:val="18"/>
                <w:szCs w:val="18"/>
                <w:color w:val="auto"/>
              </w:rPr>
              <w:t>NM</w:t>
            </w:r>
          </w:p>
        </w:tc>
      </w:tr>
      <w:tr>
        <w:trPr>
          <w:trHeight w:val="27"/>
        </w:trPr>
        <w:tc>
          <w:tcPr>
            <w:tcW w:w="7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4,708</w:t>
            </w:r>
          </w:p>
        </w:tc>
        <w:tc>
          <w:tcPr>
            <w:tcW w:w="42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3,994</w:t>
            </w:r>
          </w:p>
        </w:tc>
        <w:tc>
          <w:tcPr>
            <w:tcW w:w="1240" w:type="dxa"/>
            <w:vAlign w:val="bottom"/>
          </w:tcPr>
          <w:p>
            <w:pPr>
              <w:ind w:left="700"/>
              <w:spacing w:after="0"/>
              <w:rPr>
                <w:sz w:val="20"/>
                <w:szCs w:val="20"/>
                <w:color w:val="auto"/>
              </w:rPr>
            </w:pPr>
            <w:r>
              <w:rPr>
                <w:rFonts w:ascii="Arial" w:cs="Arial" w:eastAsia="Arial" w:hAnsi="Arial"/>
                <w:sz w:val="18"/>
                <w:szCs w:val="18"/>
                <w:color w:val="auto"/>
              </w:rPr>
              <w:t>17.9</w:t>
            </w:r>
          </w:p>
        </w:tc>
      </w:tr>
      <w:tr>
        <w:trPr>
          <w:trHeight w:val="270"/>
        </w:trPr>
        <w:tc>
          <w:tcPr>
            <w:tcW w:w="72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w:t>
            </w:r>
          </w:p>
        </w:tc>
        <w:tc>
          <w:tcPr>
            <w:tcW w:w="420" w:type="dxa"/>
            <w:vAlign w:val="bottom"/>
          </w:tcPr>
          <w:p>
            <w:pPr>
              <w:spacing w:after="0"/>
              <w:rPr>
                <w:sz w:val="23"/>
                <w:szCs w:val="23"/>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(818)</w:t>
            </w:r>
          </w:p>
        </w:tc>
        <w:tc>
          <w:tcPr>
            <w:tcW w:w="1240" w:type="dxa"/>
            <w:vAlign w:val="bottom"/>
          </w:tcPr>
          <w:p>
            <w:pPr>
              <w:ind w:left="700"/>
              <w:spacing w:after="0"/>
              <w:rPr>
                <w:sz w:val="20"/>
                <w:szCs w:val="20"/>
                <w:color w:val="auto"/>
              </w:rPr>
            </w:pPr>
            <w:r>
              <w:rPr>
                <w:rFonts w:ascii="Arial" w:cs="Arial" w:eastAsia="Arial" w:hAnsi="Arial"/>
                <w:sz w:val="18"/>
                <w:szCs w:val="18"/>
                <w:color w:val="auto"/>
              </w:rPr>
              <w:t>31.5</w:t>
            </w:r>
          </w:p>
        </w:tc>
      </w:tr>
      <w:tr>
        <w:trPr>
          <w:trHeight w:val="27"/>
        </w:trPr>
        <w:tc>
          <w:tcPr>
            <w:tcW w:w="7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3,632</w:t>
            </w:r>
          </w:p>
        </w:tc>
        <w:tc>
          <w:tcPr>
            <w:tcW w:w="42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3,176</w:t>
            </w:r>
          </w:p>
        </w:tc>
        <w:tc>
          <w:tcPr>
            <w:tcW w:w="1240" w:type="dxa"/>
            <w:vAlign w:val="bottom"/>
          </w:tcPr>
          <w:p>
            <w:pPr>
              <w:ind w:left="700"/>
              <w:spacing w:after="0"/>
              <w:rPr>
                <w:sz w:val="20"/>
                <w:szCs w:val="20"/>
                <w:color w:val="auto"/>
              </w:rPr>
            </w:pPr>
            <w:r>
              <w:rPr>
                <w:rFonts w:ascii="Arial" w:cs="Arial" w:eastAsia="Arial" w:hAnsi="Arial"/>
                <w:sz w:val="18"/>
                <w:szCs w:val="18"/>
                <w:color w:val="auto"/>
              </w:rPr>
              <w:t>14.4</w:t>
            </w:r>
          </w:p>
        </w:tc>
      </w:tr>
      <w:tr>
        <w:trPr>
          <w:trHeight w:val="270"/>
        </w:trPr>
        <w:tc>
          <w:tcPr>
            <w:tcW w:w="7260" w:type="dxa"/>
            <w:vAlign w:val="bottom"/>
          </w:tcPr>
          <w:p>
            <w:pPr>
              <w:ind w:left="40"/>
              <w:spacing w:after="0"/>
              <w:rPr>
                <w:sz w:val="20"/>
                <w:szCs w:val="20"/>
                <w:color w:val="auto"/>
              </w:rPr>
            </w:pPr>
            <w:r>
              <w:rPr>
                <w:rFonts w:ascii="Arial" w:cs="Arial" w:eastAsia="Arial" w:hAnsi="Arial"/>
                <w:sz w:val="18"/>
                <w:szCs w:val="18"/>
                <w:color w:val="auto"/>
                <w:w w:val="91"/>
              </w:rPr>
              <w:t>Less: Net income attributable to noncontrolling interests and redeemable subsidiary preferred stock</w:t>
            </w:r>
          </w:p>
        </w:tc>
        <w:tc>
          <w:tcPr>
            <w:tcW w:w="30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79</w:t>
            </w:r>
          </w:p>
        </w:tc>
        <w:tc>
          <w:tcPr>
            <w:tcW w:w="42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58</w:t>
            </w:r>
          </w:p>
        </w:tc>
        <w:tc>
          <w:tcPr>
            <w:tcW w:w="1240" w:type="dxa"/>
            <w:vAlign w:val="bottom"/>
          </w:tcPr>
          <w:p>
            <w:pPr>
              <w:ind w:left="700"/>
              <w:spacing w:after="0"/>
              <w:rPr>
                <w:sz w:val="20"/>
                <w:szCs w:val="20"/>
                <w:color w:val="auto"/>
              </w:rPr>
            </w:pPr>
            <w:r>
              <w:rPr>
                <w:rFonts w:ascii="Arial" w:cs="Arial" w:eastAsia="Arial" w:hAnsi="Arial"/>
                <w:sz w:val="18"/>
                <w:szCs w:val="18"/>
                <w:color w:val="auto"/>
              </w:rPr>
              <w:t>34.8</w:t>
            </w:r>
          </w:p>
        </w:tc>
      </w:tr>
      <w:tr>
        <w:trPr>
          <w:trHeight w:val="27"/>
        </w:trPr>
        <w:tc>
          <w:tcPr>
            <w:tcW w:w="7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3,553</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3,118</w:t>
            </w:r>
          </w:p>
        </w:tc>
        <w:tc>
          <w:tcPr>
            <w:tcW w:w="1240" w:type="dxa"/>
            <w:vAlign w:val="bottom"/>
          </w:tcPr>
          <w:p>
            <w:pPr>
              <w:ind w:left="700"/>
              <w:spacing w:after="0"/>
              <w:rPr>
                <w:sz w:val="20"/>
                <w:szCs w:val="20"/>
                <w:color w:val="auto"/>
              </w:rPr>
            </w:pPr>
            <w:r>
              <w:rPr>
                <w:rFonts w:ascii="Arial" w:cs="Arial" w:eastAsia="Arial" w:hAnsi="Arial"/>
                <w:sz w:val="18"/>
                <w:szCs w:val="18"/>
                <w:b w:val="1"/>
                <w:bCs w:val="1"/>
                <w:color w:val="auto"/>
              </w:rPr>
              <w:t>14.0%</w:t>
            </w:r>
          </w:p>
        </w:tc>
      </w:tr>
      <w:tr>
        <w:trPr>
          <w:trHeight w:val="34"/>
        </w:trPr>
        <w:tc>
          <w:tcPr>
            <w:tcW w:w="7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w w:val="99"/>
              </w:rPr>
              <w:t>Basic earnings per common share attributable to Comcast Corporation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0.78</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0.67</w:t>
            </w:r>
          </w:p>
        </w:tc>
        <w:tc>
          <w:tcPr>
            <w:tcW w:w="1240" w:type="dxa"/>
            <w:vAlign w:val="bottom"/>
          </w:tcPr>
          <w:p>
            <w:pPr>
              <w:ind w:left="700"/>
              <w:spacing w:after="0"/>
              <w:rPr>
                <w:sz w:val="20"/>
                <w:szCs w:val="20"/>
                <w:color w:val="auto"/>
              </w:rPr>
            </w:pPr>
            <w:r>
              <w:rPr>
                <w:rFonts w:ascii="Arial" w:cs="Arial" w:eastAsia="Arial" w:hAnsi="Arial"/>
                <w:sz w:val="18"/>
                <w:szCs w:val="18"/>
                <w:b w:val="1"/>
                <w:bCs w:val="1"/>
                <w:color w:val="auto"/>
              </w:rPr>
              <w:t>16.5%</w:t>
            </w:r>
          </w:p>
        </w:tc>
      </w:tr>
      <w:tr>
        <w:trPr>
          <w:trHeight w:val="270"/>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w w:val="97"/>
              </w:rPr>
              <w:t>Diluted earnings per common share attributable to Comcast Corporation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0.77</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0.66</w:t>
            </w:r>
          </w:p>
        </w:tc>
        <w:tc>
          <w:tcPr>
            <w:tcW w:w="1240" w:type="dxa"/>
            <w:vAlign w:val="bottom"/>
          </w:tcPr>
          <w:p>
            <w:pPr>
              <w:ind w:left="700"/>
              <w:spacing w:after="0"/>
              <w:rPr>
                <w:sz w:val="20"/>
                <w:szCs w:val="20"/>
                <w:color w:val="auto"/>
              </w:rPr>
            </w:pPr>
            <w:r>
              <w:rPr>
                <w:rFonts w:ascii="Arial" w:cs="Arial" w:eastAsia="Arial" w:hAnsi="Arial"/>
                <w:sz w:val="18"/>
                <w:szCs w:val="18"/>
                <w:b w:val="1"/>
                <w:bCs w:val="1"/>
                <w:color w:val="auto"/>
              </w:rPr>
              <w:t>16.7%</w:t>
            </w:r>
          </w:p>
        </w:tc>
      </w:tr>
      <w:tr>
        <w:trPr>
          <w:trHeight w:val="34"/>
        </w:trPr>
        <w:tc>
          <w:tcPr>
            <w:tcW w:w="7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6"/>
        </w:trPr>
        <w:tc>
          <w:tcPr>
            <w:tcW w:w="7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335"/>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color w:val="auto"/>
                <w:vertAlign w:val="superscript"/>
              </w:rPr>
              <w:t>(a)</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8,553</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7,244</w:t>
            </w:r>
          </w:p>
        </w:tc>
        <w:tc>
          <w:tcPr>
            <w:tcW w:w="1240" w:type="dxa"/>
            <w:vAlign w:val="bottom"/>
          </w:tcPr>
          <w:p>
            <w:pPr>
              <w:ind w:left="700"/>
              <w:spacing w:after="0"/>
              <w:rPr>
                <w:sz w:val="20"/>
                <w:szCs w:val="20"/>
                <w:color w:val="auto"/>
              </w:rPr>
            </w:pPr>
            <w:r>
              <w:rPr>
                <w:rFonts w:ascii="Arial" w:cs="Arial" w:eastAsia="Arial" w:hAnsi="Arial"/>
                <w:sz w:val="18"/>
                <w:szCs w:val="18"/>
                <w:b w:val="1"/>
                <w:bCs w:val="1"/>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691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 Percentage changes that are considered not meaningful are denoted with NM.</w:t>
      </w:r>
    </w:p>
    <w:p>
      <w:pPr>
        <w:spacing w:after="0" w:line="73" w:lineRule="exact"/>
        <w:rPr>
          <w:sz w:val="20"/>
          <w:szCs w:val="20"/>
          <w:color w:val="auto"/>
        </w:rPr>
      </w:pPr>
    </w:p>
    <w:p>
      <w:pPr>
        <w:ind w:left="260" w:hanging="252"/>
        <w:spacing w:after="0" w:line="273"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Measures” section on page 37 for additional information, including our definition and our use of Adjusted EBITDA, and for a reconciliation from net income attributable to Comcast Corporation to Adjusted EBITDA.</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comparability of our consolidated results of operations was impacted by the Sky transaction in the fourth quarter of 2018. Sky’s results of operations are included in our consolidated financial statements following the October 9, 2018 acquisition date.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Sky, Cable Communications and Filmed Entertainment segments accounted for the increase in consolidated revenue for the three months ended March 31, 2019, which was partially offset by a decrease in revenue in our Cable Networks and Broadcast Television segments. Consolidated revenue for the three months ended March 31, 2018 included revenue associated with our broadcasts of the 2018 PyeongChang Olympics and the 2018 Super Bowl in February 2018.</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75"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business development initiatives and other businesses is discussed separately below under the heading “Corporate and Other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Sky and Cable Communications segments accounted for the increase in consolidated operating costs and expenses for the three months ended March 31, 2019, which were partially offset by decreases in operating costs and expenses in our Cable Networks, Broadcast Television and Filmed Entertainment segments.</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for our segments are discussed separately below under the heading “Segment Operating Results.” Operating costs and expenses for our corporate operations, businesses development initiatives and other businesses are discussed separately below under the heading “Corporate and Other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3"/>
          </w:tcPr>
          <w:p>
            <w:pPr>
              <w:jc w:val="right"/>
              <w:ind w:right="893"/>
              <w:spacing w:after="0"/>
              <w:rPr>
                <w:sz w:val="20"/>
                <w:szCs w:val="20"/>
                <w:color w:val="auto"/>
              </w:rPr>
            </w:pPr>
            <w:r>
              <w:rPr>
                <w:rFonts w:ascii="Arial" w:cs="Arial" w:eastAsia="Arial" w:hAnsi="Arial"/>
                <w:sz w:val="14"/>
                <w:szCs w:val="14"/>
                <w:color w:val="auto"/>
              </w:rPr>
              <w:t>Three Months Ended</w:t>
            </w:r>
          </w:p>
        </w:tc>
        <w:tc>
          <w:tcPr>
            <w:tcW w:w="1360" w:type="dxa"/>
            <w:vAlign w:val="bottom"/>
          </w:tcPr>
          <w:p>
            <w:pPr>
              <w:jc w:val="right"/>
              <w:ind w:right="335"/>
              <w:spacing w:after="0"/>
              <w:rPr>
                <w:sz w:val="20"/>
                <w:szCs w:val="20"/>
                <w:color w:val="auto"/>
              </w:rPr>
            </w:pPr>
            <w:r>
              <w:rPr>
                <w:rFonts w:ascii="Arial" w:cs="Arial" w:eastAsia="Arial" w:hAnsi="Arial"/>
                <w:sz w:val="14"/>
                <w:szCs w:val="14"/>
                <w:color w:val="auto"/>
              </w:rPr>
              <w:t>Increase/</w:t>
            </w:r>
          </w:p>
        </w:tc>
      </w:tr>
      <w:tr>
        <w:trPr>
          <w:trHeight w:val="188"/>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March 31</w:t>
            </w:r>
          </w:p>
        </w:tc>
        <w:tc>
          <w:tcPr>
            <w:tcW w:w="1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(Decrease)</w:t>
            </w:r>
          </w:p>
        </w:tc>
      </w:tr>
      <w:tr>
        <w:trPr>
          <w:trHeight w:val="264"/>
        </w:trPr>
        <w:tc>
          <w:tcPr>
            <w:tcW w:w="7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color w:val="auto"/>
              </w:rPr>
              <w:t>2019</w:t>
            </w: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2018</w:t>
            </w:r>
          </w:p>
        </w:tc>
        <w:tc>
          <w:tcPr>
            <w:tcW w:w="1360" w:type="dxa"/>
            <w:vAlign w:val="bottom"/>
            <w:tcBorders>
              <w:bottom w:val="single" w:sz="8" w:color="auto"/>
            </w:tcBorders>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2,035</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2,061</w:t>
            </w: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710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300" w:type="dxa"/>
            <w:vAlign w:val="bottom"/>
          </w:tcPr>
          <w:p>
            <w:pPr>
              <w:spacing w:after="0"/>
              <w:rPr>
                <w:sz w:val="23"/>
                <w:szCs w:val="23"/>
                <w:color w:val="auto"/>
              </w:rPr>
            </w:pP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515</w:t>
            </w:r>
          </w:p>
        </w:tc>
        <w:tc>
          <w:tcPr>
            <w:tcW w:w="480" w:type="dxa"/>
            <w:vAlign w:val="bottom"/>
          </w:tcPr>
          <w:p>
            <w:pPr>
              <w:spacing w:after="0"/>
              <w:rPr>
                <w:sz w:val="23"/>
                <w:szCs w:val="23"/>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510</w:t>
            </w: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1.0</w:t>
            </w:r>
          </w:p>
        </w:tc>
      </w:tr>
      <w:tr>
        <w:trPr>
          <w:trHeight w:val="270"/>
        </w:trPr>
        <w:tc>
          <w:tcPr>
            <w:tcW w:w="7100" w:type="dxa"/>
            <w:vAlign w:val="bottom"/>
          </w:tcPr>
          <w:p>
            <w:pPr>
              <w:ind w:left="40"/>
              <w:spacing w:after="0"/>
              <w:rPr>
                <w:sz w:val="20"/>
                <w:szCs w:val="20"/>
                <w:color w:val="auto"/>
              </w:rPr>
            </w:pPr>
            <w:r>
              <w:rPr>
                <w:rFonts w:ascii="Arial" w:cs="Arial" w:eastAsia="Arial" w:hAnsi="Arial"/>
                <w:sz w:val="18"/>
                <w:szCs w:val="18"/>
                <w:color w:val="auto"/>
              </w:rPr>
              <w:t>Sky</w:t>
            </w:r>
          </w:p>
        </w:tc>
        <w:tc>
          <w:tcPr>
            <w:tcW w:w="300" w:type="dxa"/>
            <w:vAlign w:val="bottom"/>
          </w:tcPr>
          <w:p>
            <w:pPr>
              <w:spacing w:after="0"/>
              <w:rPr>
                <w:sz w:val="23"/>
                <w:szCs w:val="23"/>
                <w:color w:val="auto"/>
              </w:rPr>
            </w:pP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741</w:t>
            </w:r>
          </w:p>
        </w:tc>
        <w:tc>
          <w:tcPr>
            <w:tcW w:w="480" w:type="dxa"/>
            <w:vAlign w:val="bottom"/>
          </w:tcPr>
          <w:p>
            <w:pPr>
              <w:spacing w:after="0"/>
              <w:rPr>
                <w:sz w:val="23"/>
                <w:szCs w:val="23"/>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NM</w:t>
            </w:r>
          </w:p>
        </w:tc>
      </w:tr>
      <w:tr>
        <w:trPr>
          <w:trHeight w:val="270"/>
        </w:trPr>
        <w:tc>
          <w:tcPr>
            <w:tcW w:w="710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3"/>
                <w:szCs w:val="23"/>
                <w:color w:val="auto"/>
              </w:rPr>
            </w:pP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3"/>
                <w:szCs w:val="23"/>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28</w:t>
            </w: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3.6</w:t>
            </w:r>
          </w:p>
        </w:tc>
      </w:tr>
      <w:tr>
        <w:trPr>
          <w:trHeight w:val="27"/>
        </w:trPr>
        <w:tc>
          <w:tcPr>
            <w:tcW w:w="7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97"/>
              <w:spacing w:after="0"/>
              <w:rPr>
                <w:sz w:val="20"/>
                <w:szCs w:val="20"/>
                <w:color w:val="auto"/>
              </w:rPr>
            </w:pPr>
            <w:r>
              <w:rPr>
                <w:rFonts w:ascii="Arial" w:cs="Arial" w:eastAsia="Arial" w:hAnsi="Arial"/>
                <w:sz w:val="18"/>
                <w:szCs w:val="18"/>
                <w:b w:val="1"/>
                <w:bCs w:val="1"/>
                <w:color w:val="auto"/>
              </w:rPr>
              <w:t>3,320</w:t>
            </w:r>
          </w:p>
        </w:tc>
        <w:tc>
          <w:tcPr>
            <w:tcW w:w="4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53"/>
              <w:spacing w:after="0"/>
              <w:rPr>
                <w:sz w:val="20"/>
                <w:szCs w:val="20"/>
                <w:color w:val="auto"/>
              </w:rPr>
            </w:pPr>
            <w:r>
              <w:rPr>
                <w:rFonts w:ascii="Arial" w:cs="Arial" w:eastAsia="Arial" w:hAnsi="Arial"/>
                <w:sz w:val="18"/>
                <w:szCs w:val="18"/>
                <w:b w:val="1"/>
                <w:bCs w:val="1"/>
                <w:color w:val="auto"/>
              </w:rPr>
              <w:t>2,599</w:t>
            </w:r>
          </w:p>
        </w:tc>
        <w:tc>
          <w:tcPr>
            <w:tcW w:w="1360" w:type="dxa"/>
            <w:vAlign w:val="bottom"/>
          </w:tcPr>
          <w:p>
            <w:pPr>
              <w:jc w:val="right"/>
              <w:spacing w:after="0"/>
              <w:rPr>
                <w:sz w:val="20"/>
                <w:szCs w:val="20"/>
                <w:color w:val="auto"/>
              </w:rPr>
            </w:pPr>
            <w:r>
              <w:rPr>
                <w:rFonts w:ascii="Arial" w:cs="Arial" w:eastAsia="Arial" w:hAnsi="Arial"/>
                <w:sz w:val="18"/>
                <w:szCs w:val="18"/>
                <w:color w:val="auto"/>
              </w:rPr>
              <w:t>27.7 %</w:t>
            </w:r>
          </w:p>
        </w:tc>
      </w:tr>
      <w:tr>
        <w:trPr>
          <w:trHeight w:val="34"/>
        </w:trPr>
        <w:tc>
          <w:tcPr>
            <w:tcW w:w="7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depreciation and amortization expense increased for the three months ended March 31, 2019 primarily due to depreciation and amortization expense related to Sky. During the first quarter 2019, we recorded adjustments to the purchase price allocation of Sky, primarily related to intangible assets and property and equipment. This change resulted in an adjustment in the current period related to the fourth quarter of 2018 that increased depreciation and amortization expense by $53 million.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from acquisition-related intangible assets, such as customer relationships, totaled $504 million and $205 million for the three months ended March 31, 2019 and 2018, respectively. Amounts primarily relate to customer relationship intangible assets recorded in connection with the Sky transaction in the fourth quarter of 2018 and the NBCUniversal transaction in 2011 (see Note 6 to Comcast’s condensed consolidated financial statements for additional information on the Sky transaction).</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Interest Expense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increased for the three months ended March 31, 2019 compared to the same period in 2018 primarily due to increases in our debt outstanding associated with the financing of and debt assumed in connection with the Sky transaction in the fourth quarter of 2018.</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Investment and Other Income (Loss), Net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89"/>
              </w:rPr>
              <w:t>2018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262</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360" w:type="dxa"/>
            <w:vAlign w:val="bottom"/>
          </w:tcPr>
          <w:p>
            <w:pPr>
              <w:spacing w:after="0"/>
              <w:rPr>
                <w:sz w:val="23"/>
                <w:szCs w:val="23"/>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214</w:t>
            </w:r>
          </w:p>
        </w:tc>
        <w:tc>
          <w:tcPr>
            <w:tcW w:w="66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28</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200</w:t>
            </w:r>
          </w:p>
        </w:tc>
        <w:tc>
          <w:tcPr>
            <w:tcW w:w="66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147</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8"/>
              <w:spacing w:after="0"/>
              <w:rPr>
                <w:sz w:val="20"/>
                <w:szCs w:val="20"/>
                <w:color w:val="auto"/>
              </w:rPr>
            </w:pPr>
            <w:r>
              <w:rPr>
                <w:rFonts w:ascii="Arial" w:cs="Arial" w:eastAsia="Arial" w:hAnsi="Arial"/>
                <w:sz w:val="18"/>
                <w:szCs w:val="18"/>
                <w:b w:val="1"/>
                <w:bCs w:val="1"/>
                <w:color w:val="auto"/>
              </w:rPr>
              <w:t>676</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126</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change in equity in net income (losses) of investees, net for the three months ended March 31, 2019 compared to the same period in 2018 was primarily related to our equity method investments in Atairos and Hulu. The income at Atairos was driven by fair value adjustments on its underlying investments. The loss at Hulu was primarily due to higher programming, advertising and marketing costs, and higher other administrative expenses. The equity in net income (losses) of Atairos and Hulu for the three months ended March 31, 2019 and 2018 are presented in the table below.</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w w:val="93"/>
              </w:rPr>
              <w:t>Three Months Ended</w:t>
            </w:r>
          </w:p>
        </w:tc>
        <w:tc>
          <w:tcPr>
            <w:tcW w:w="900" w:type="dxa"/>
            <w:vAlign w:val="bottom"/>
          </w:tcPr>
          <w:p>
            <w:pPr>
              <w:spacing w:after="0"/>
              <w:rPr>
                <w:sz w:val="14"/>
                <w:szCs w:val="14"/>
                <w:color w:val="auto"/>
              </w:rPr>
            </w:pPr>
          </w:p>
        </w:tc>
      </w:tr>
      <w:tr>
        <w:trPr>
          <w:trHeight w:val="188"/>
        </w:trPr>
        <w:tc>
          <w:tcPr>
            <w:tcW w:w="8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89"/>
              </w:rPr>
              <w:t>2018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Atairos</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9"/>
              <w:spacing w:after="0"/>
              <w:rPr>
                <w:sz w:val="20"/>
                <w:szCs w:val="20"/>
                <w:color w:val="auto"/>
              </w:rPr>
            </w:pPr>
            <w:r>
              <w:rPr>
                <w:rFonts w:ascii="Arial" w:cs="Arial" w:eastAsia="Arial" w:hAnsi="Arial"/>
                <w:sz w:val="18"/>
                <w:szCs w:val="18"/>
                <w:color w:val="auto"/>
              </w:rPr>
              <w:t>374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35</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Hulu</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8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Gains (Losses) on Equity Securities, Net</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realized and unrealized gains (losses) on equity securities, net for the three months ended March 31, 2019 compared to the same period in 2018 was primarily due to unrealized gains of $162 million related to our investment in Snap.</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 Net</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other income (loss), net for the three months ended March 31, 2019 compared to the same period in 2018 was primarily related to the recognition of the previously deferred gain related to Hulu of $159 million. See Note 9 to Comcast’s condensed consolidated financial statements and Note 8 to NBCUniversal’s condensed consolidated financial statements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expense for the three months ended March 31, 2019 and 2018 reflects an effective income tax rate that differs from the federal statutory rate primarily due to state and foreign income taxes and adjustments associated with uncertain tax positions. The increase in income tax expense for the three months ended March 31, 2019 compared to the same period in 2018 was primarily due to higher taxable income from operations. We also recognized an income tax benefit of $128 million during the first quarter of 2018 related to the enactment of federal tax legislation in 2018.</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We use Adjusted EBITDA as the measure of profit or loss for our operating segments. See Note 2 to both Comcast’s and NBCUniversal’s condensed consolidated financial statements for our definition of Adjusted EBITDA and a reconciliation from the aggregate amount of Adjusted EBITDA for our reportable business segments to consolidated income before income taxes.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first quarter of 2019, Comcast Cable’s wireless phone service and certain other Cable-related business development initiatives are now presented in the Cable Communications segment. Results were previously presented in Corporate and Other. Prior periods have been adjusted to reflect this presentation. To be consistent with our current management reporting presentation, certain 2018 operating results were reclassified related to certain NBCUniversal businesses now presented in the Sky segment.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7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jc w:val="right"/>
              <w:ind w:right="193"/>
              <w:spacing w:after="0"/>
              <w:rPr>
                <w:sz w:val="20"/>
                <w:szCs w:val="20"/>
                <w:color w:val="auto"/>
              </w:rPr>
            </w:pPr>
            <w:r>
              <w:rPr>
                <w:rFonts w:ascii="Arial" w:cs="Arial" w:eastAsia="Arial" w:hAnsi="Arial"/>
                <w:sz w:val="14"/>
                <w:szCs w:val="14"/>
                <w:color w:val="auto"/>
              </w:rPr>
              <w:t>Increase/</w:t>
            </w:r>
          </w:p>
        </w:tc>
        <w:tc>
          <w:tcPr>
            <w:tcW w:w="110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(Decrease)</w:t>
            </w:r>
          </w:p>
        </w:tc>
        <w:tc>
          <w:tcPr>
            <w:tcW w:w="1100" w:type="dxa"/>
            <w:vAlign w:val="bottom"/>
            <w:tcBorders>
              <w:bottom w:val="single" w:sz="8" w:color="auto"/>
            </w:tcBorders>
          </w:tcPr>
          <w:p>
            <w:pPr>
              <w:spacing w:after="0"/>
              <w:rPr>
                <w:sz w:val="16"/>
                <w:szCs w:val="16"/>
                <w:color w:val="auto"/>
              </w:rPr>
            </w:pPr>
          </w:p>
        </w:tc>
      </w:tr>
      <w:tr>
        <w:trPr>
          <w:trHeight w:val="264"/>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35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4,577</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4,157</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420</w:t>
            </w:r>
          </w:p>
        </w:tc>
        <w:tc>
          <w:tcPr>
            <w:tcW w:w="110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5,628</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5,659</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(31)</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(0.5)</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990</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1,006</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(16)</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(1.6)</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225</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185</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40</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21.4</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1,891</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1,726</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165</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9.5</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556</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582</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(26)</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(4.5)</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413</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388</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25</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7.0</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b w:val="1"/>
                <w:bCs w:val="1"/>
                <w:color w:val="auto"/>
              </w:rPr>
              <w:t>14,280</w:t>
            </w:r>
          </w:p>
        </w:tc>
        <w:tc>
          <w:tcPr>
            <w:tcW w:w="7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13,703</w:t>
            </w:r>
          </w:p>
        </w:tc>
        <w:tc>
          <w:tcPr>
            <w:tcW w:w="560" w:type="dxa"/>
            <w:vAlign w:val="bottom"/>
          </w:tcPr>
          <w:p>
            <w:pPr>
              <w:spacing w:after="0"/>
              <w:rPr>
                <w:sz w:val="20"/>
                <w:szCs w:val="20"/>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b w:val="1"/>
                <w:bCs w:val="1"/>
                <w:color w:val="auto"/>
              </w:rPr>
              <w:t>577</w:t>
            </w: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4.2</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3,419</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3,326</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93</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2.8</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1,880</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1,856</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24</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1.3</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625</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640</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(15)</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(2.3)</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972</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978</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(6)</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(0.6)</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391</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402</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(11)</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(2.6)</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1,265</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1,284</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(19)</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(1.6)</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8,552</w:t>
            </w:r>
          </w:p>
        </w:tc>
        <w:tc>
          <w:tcPr>
            <w:tcW w:w="7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8,486</w:t>
            </w:r>
          </w:p>
        </w:tc>
        <w:tc>
          <w:tcPr>
            <w:tcW w:w="560" w:type="dxa"/>
            <w:vAlign w:val="bottom"/>
          </w:tcPr>
          <w:p>
            <w:pPr>
              <w:spacing w:after="0"/>
              <w:rPr>
                <w:sz w:val="20"/>
                <w:szCs w:val="20"/>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66</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0.8</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b w:val="1"/>
                <w:bCs w:val="1"/>
                <w:color w:val="auto"/>
              </w:rPr>
              <w:t>5,728</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5,217</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753"/>
              <w:spacing w:after="0"/>
              <w:rPr>
                <w:sz w:val="20"/>
                <w:szCs w:val="20"/>
                <w:color w:val="auto"/>
              </w:rPr>
            </w:pPr>
            <w:r>
              <w:rPr>
                <w:rFonts w:ascii="Arial" w:cs="Arial" w:eastAsia="Arial" w:hAnsi="Arial"/>
                <w:sz w:val="18"/>
                <w:szCs w:val="18"/>
                <w:b w:val="1"/>
                <w:bCs w:val="1"/>
                <w:color w:val="auto"/>
              </w:rPr>
              <w:t>511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9.8 %</w:t>
            </w:r>
          </w:p>
        </w:tc>
      </w:tr>
      <w:tr>
        <w:trPr>
          <w:trHeight w:val="34"/>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621"/>
        </w:trPr>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393"/>
              <w:spacing w:after="0"/>
              <w:rPr>
                <w:sz w:val="20"/>
                <w:szCs w:val="20"/>
                <w:color w:val="auto"/>
              </w:rPr>
            </w:pPr>
            <w:r>
              <w:rPr>
                <w:rFonts w:ascii="Arial" w:cs="Arial" w:eastAsia="Arial" w:hAnsi="Arial"/>
                <w:sz w:val="18"/>
                <w:szCs w:val="18"/>
                <w:color w:val="auto"/>
              </w:rPr>
              <w:t>29</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80" w:type="dxa"/>
            <w:vAlign w:val="bottom"/>
            <w:tcBorders>
              <w:bottom w:val="single" w:sz="8" w:color="auto"/>
            </w:tcBorders>
          </w:tcPr>
          <w:p>
            <w:pPr>
              <w:jc w:val="center"/>
              <w:ind w:left="893"/>
              <w:spacing w:after="0"/>
              <w:rPr>
                <w:sz w:val="20"/>
                <w:szCs w:val="20"/>
                <w:color w:val="auto"/>
              </w:rPr>
            </w:pPr>
            <w:r>
              <w:rPr>
                <w:rFonts w:ascii="Arial" w:cs="Arial" w:eastAsia="Arial" w:hAnsi="Arial"/>
                <w:sz w:val="14"/>
                <w:szCs w:val="14"/>
                <w:color w:val="auto"/>
                <w:w w:val="96"/>
              </w:rPr>
              <w:t>Net Additions</w:t>
            </w:r>
          </w:p>
        </w:tc>
        <w:tc>
          <w:tcPr>
            <w:tcW w:w="960" w:type="dxa"/>
            <w:vAlign w:val="bottom"/>
            <w:tcBorders>
              <w:bottom w:val="single" w:sz="8" w:color="auto"/>
            </w:tcBorders>
          </w:tcPr>
          <w:p>
            <w:pPr>
              <w:spacing w:after="0"/>
              <w:rPr>
                <w:sz w:val="16"/>
                <w:szCs w:val="16"/>
                <w:color w:val="auto"/>
              </w:rPr>
            </w:pPr>
          </w:p>
        </w:tc>
      </w:tr>
      <w:tr>
        <w:trPr>
          <w:trHeight w:val="156"/>
        </w:trPr>
        <w:tc>
          <w:tcPr>
            <w:tcW w:w="5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9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Three Months Ended</w:t>
            </w:r>
          </w:p>
        </w:tc>
      </w:tr>
      <w:tr>
        <w:trPr>
          <w:trHeight w:val="188"/>
        </w:trPr>
        <w:tc>
          <w:tcPr>
            <w:tcW w:w="5500" w:type="dxa"/>
            <w:vAlign w:val="bottom"/>
          </w:tcPr>
          <w:p>
            <w:pPr>
              <w:spacing w:after="0"/>
              <w:rPr>
                <w:sz w:val="16"/>
                <w:szCs w:val="16"/>
                <w:color w:val="auto"/>
              </w:rPr>
            </w:pPr>
          </w:p>
        </w:tc>
        <w:tc>
          <w:tcPr>
            <w:tcW w:w="1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March 31</w:t>
            </w:r>
          </w:p>
        </w:tc>
        <w:tc>
          <w:tcPr>
            <w:tcW w:w="1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left="893"/>
              <w:spacing w:after="0"/>
              <w:rPr>
                <w:sz w:val="20"/>
                <w:szCs w:val="20"/>
                <w:color w:val="auto"/>
              </w:rPr>
            </w:pPr>
            <w:r>
              <w:rPr>
                <w:rFonts w:ascii="Arial" w:cs="Arial" w:eastAsia="Arial" w:hAnsi="Arial"/>
                <w:sz w:val="14"/>
                <w:szCs w:val="14"/>
                <w:color w:val="auto"/>
                <w:w w:val="95"/>
              </w:rPr>
              <w:t>March 31</w:t>
            </w:r>
          </w:p>
        </w:tc>
        <w:tc>
          <w:tcPr>
            <w:tcW w:w="960" w:type="dxa"/>
            <w:vAlign w:val="bottom"/>
            <w:tcBorders>
              <w:bottom w:val="single" w:sz="8" w:color="auto"/>
            </w:tcBorders>
          </w:tcPr>
          <w:p>
            <w:pPr>
              <w:spacing w:after="0"/>
              <w:rPr>
                <w:sz w:val="16"/>
                <w:szCs w:val="16"/>
                <w:color w:val="auto"/>
              </w:rPr>
            </w:pPr>
          </w:p>
        </w:tc>
      </w:tr>
      <w:tr>
        <w:trPr>
          <w:trHeight w:val="19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94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color w:val="auto"/>
              </w:rPr>
              <w:t>2019</w:t>
            </w: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c>
          <w:tcPr>
            <w:tcW w:w="1980" w:type="dxa"/>
            <w:vAlign w:val="bottom"/>
            <w:tcBorders>
              <w:bottom w:val="single" w:sz="8" w:color="auto"/>
            </w:tcBorders>
          </w:tcPr>
          <w:p>
            <w:pPr>
              <w:jc w:val="right"/>
              <w:ind w:right="1013"/>
              <w:spacing w:after="0"/>
              <w:rPr>
                <w:sz w:val="20"/>
                <w:szCs w:val="20"/>
                <w:color w:val="auto"/>
              </w:rPr>
            </w:pPr>
            <w:r>
              <w:rPr>
                <w:rFonts w:ascii="Arial" w:cs="Arial" w:eastAsia="Arial" w:hAnsi="Arial"/>
                <w:sz w:val="14"/>
                <w:szCs w:val="14"/>
                <w:color w:val="auto"/>
              </w:rPr>
              <w:t>2019</w:t>
            </w: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1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Residential customer relationships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28,385</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27,436</w:t>
            </w:r>
          </w:p>
        </w:tc>
        <w:tc>
          <w:tcPr>
            <w:tcW w:w="1980" w:type="dxa"/>
            <w:vAlign w:val="bottom"/>
          </w:tcPr>
          <w:p>
            <w:pPr>
              <w:jc w:val="right"/>
              <w:ind w:right="533"/>
              <w:spacing w:after="0"/>
              <w:rPr>
                <w:sz w:val="20"/>
                <w:szCs w:val="20"/>
                <w:color w:val="auto"/>
              </w:rPr>
            </w:pPr>
            <w:r>
              <w:rPr>
                <w:rFonts w:ascii="Arial" w:cs="Arial" w:eastAsia="Arial" w:hAnsi="Arial"/>
                <w:sz w:val="18"/>
                <w:szCs w:val="18"/>
                <w:color w:val="auto"/>
              </w:rPr>
              <w:t>276</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252</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Business services customer relationships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2,327</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2,208</w:t>
            </w:r>
          </w:p>
        </w:tc>
        <w:tc>
          <w:tcPr>
            <w:tcW w:w="1980" w:type="dxa"/>
            <w:vAlign w:val="bottom"/>
          </w:tcPr>
          <w:p>
            <w:pPr>
              <w:jc w:val="right"/>
              <w:ind w:right="533"/>
              <w:spacing w:after="0"/>
              <w:rPr>
                <w:sz w:val="20"/>
                <w:szCs w:val="20"/>
                <w:color w:val="auto"/>
              </w:rPr>
            </w:pPr>
            <w:r>
              <w:rPr>
                <w:rFonts w:ascii="Arial" w:cs="Arial" w:eastAsia="Arial" w:hAnsi="Arial"/>
                <w:sz w:val="18"/>
                <w:szCs w:val="18"/>
                <w:color w:val="auto"/>
              </w:rPr>
              <w:t>25</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30,712</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29,645</w:t>
            </w:r>
          </w:p>
        </w:tc>
        <w:tc>
          <w:tcPr>
            <w:tcW w:w="1980" w:type="dxa"/>
            <w:vAlign w:val="bottom"/>
          </w:tcPr>
          <w:p>
            <w:pPr>
              <w:jc w:val="right"/>
              <w:ind w:right="533"/>
              <w:spacing w:after="0"/>
              <w:rPr>
                <w:sz w:val="20"/>
                <w:szCs w:val="20"/>
                <w:color w:val="auto"/>
              </w:rPr>
            </w:pPr>
            <w:r>
              <w:rPr>
                <w:rFonts w:ascii="Arial" w:cs="Arial" w:eastAsia="Arial" w:hAnsi="Arial"/>
                <w:sz w:val="18"/>
                <w:szCs w:val="18"/>
                <w:color w:val="auto"/>
              </w:rPr>
              <w:t>300</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281</w:t>
            </w:r>
          </w:p>
        </w:tc>
      </w:tr>
      <w:tr>
        <w:trPr>
          <w:trHeight w:val="27"/>
        </w:trPr>
        <w:tc>
          <w:tcPr>
            <w:tcW w:w="5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Residential customer relationships mix</w:t>
            </w:r>
          </w:p>
        </w:tc>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One product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9,295</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8,390</w:t>
            </w:r>
          </w:p>
        </w:tc>
        <w:tc>
          <w:tcPr>
            <w:tcW w:w="1980" w:type="dxa"/>
            <w:vAlign w:val="bottom"/>
          </w:tcPr>
          <w:p>
            <w:pPr>
              <w:jc w:val="right"/>
              <w:ind w:right="533"/>
              <w:spacing w:after="0"/>
              <w:rPr>
                <w:sz w:val="20"/>
                <w:szCs w:val="20"/>
                <w:color w:val="auto"/>
              </w:rPr>
            </w:pPr>
            <w:r>
              <w:rPr>
                <w:rFonts w:ascii="Arial" w:cs="Arial" w:eastAsia="Arial" w:hAnsi="Arial"/>
                <w:sz w:val="18"/>
                <w:szCs w:val="18"/>
                <w:color w:val="auto"/>
              </w:rPr>
              <w:t>280</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Two product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9,009</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9,060</w:t>
            </w:r>
          </w:p>
        </w:tc>
        <w:tc>
          <w:tcPr>
            <w:tcW w:w="1980" w:type="dxa"/>
            <w:vAlign w:val="bottom"/>
          </w:tcPr>
          <w:p>
            <w:pPr>
              <w:jc w:val="right"/>
              <w:ind w:right="533"/>
              <w:spacing w:after="0"/>
              <w:rPr>
                <w:sz w:val="20"/>
                <w:szCs w:val="20"/>
                <w:color w:val="auto"/>
              </w:rPr>
            </w:pPr>
            <w:r>
              <w:rPr>
                <w:rFonts w:ascii="Arial" w:cs="Arial" w:eastAsia="Arial" w:hAnsi="Arial"/>
                <w:sz w:val="18"/>
                <w:szCs w:val="18"/>
                <w:color w:val="auto"/>
              </w:rPr>
              <w:t>17</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Three or more product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10,081</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9,987</w:t>
            </w:r>
          </w:p>
        </w:tc>
        <w:tc>
          <w:tcPr>
            <w:tcW w:w="1980" w:type="dxa"/>
            <w:vAlign w:val="bottom"/>
          </w:tcPr>
          <w:p>
            <w:pPr>
              <w:jc w:val="right"/>
              <w:ind w:right="473"/>
              <w:spacing w:after="0"/>
              <w:rPr>
                <w:sz w:val="20"/>
                <w:szCs w:val="20"/>
                <w:color w:val="auto"/>
              </w:rPr>
            </w:pPr>
            <w:r>
              <w:rPr>
                <w:rFonts w:ascii="Arial" w:cs="Arial" w:eastAsia="Arial" w:hAnsi="Arial"/>
                <w:sz w:val="18"/>
                <w:szCs w:val="18"/>
                <w:color w:val="auto"/>
              </w:rPr>
              <w:t>(22)</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25,449</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24,214</w:t>
            </w:r>
          </w:p>
        </w:tc>
        <w:tc>
          <w:tcPr>
            <w:tcW w:w="1980" w:type="dxa"/>
            <w:vAlign w:val="bottom"/>
          </w:tcPr>
          <w:p>
            <w:pPr>
              <w:jc w:val="right"/>
              <w:ind w:right="533"/>
              <w:spacing w:after="0"/>
              <w:rPr>
                <w:sz w:val="20"/>
                <w:szCs w:val="20"/>
                <w:color w:val="auto"/>
              </w:rPr>
            </w:pPr>
            <w:r>
              <w:rPr>
                <w:rFonts w:ascii="Arial" w:cs="Arial" w:eastAsia="Arial" w:hAnsi="Arial"/>
                <w:sz w:val="18"/>
                <w:szCs w:val="18"/>
                <w:color w:val="auto"/>
              </w:rPr>
              <w:t>352</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351</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2,148</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2,034</w:t>
            </w:r>
          </w:p>
        </w:tc>
        <w:tc>
          <w:tcPr>
            <w:tcW w:w="1980" w:type="dxa"/>
            <w:vAlign w:val="bottom"/>
          </w:tcPr>
          <w:p>
            <w:pPr>
              <w:jc w:val="right"/>
              <w:ind w:right="533"/>
              <w:spacing w:after="0"/>
              <w:rPr>
                <w:sz w:val="20"/>
                <w:szCs w:val="20"/>
                <w:color w:val="auto"/>
              </w:rPr>
            </w:pPr>
            <w:r>
              <w:rPr>
                <w:rFonts w:ascii="Arial" w:cs="Arial" w:eastAsia="Arial" w:hAnsi="Arial"/>
                <w:sz w:val="18"/>
                <w:szCs w:val="18"/>
                <w:color w:val="auto"/>
              </w:rPr>
              <w:t>23</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27,598</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26,249</w:t>
            </w:r>
          </w:p>
        </w:tc>
        <w:tc>
          <w:tcPr>
            <w:tcW w:w="1980" w:type="dxa"/>
            <w:vAlign w:val="bottom"/>
          </w:tcPr>
          <w:p>
            <w:pPr>
              <w:jc w:val="right"/>
              <w:ind w:right="533"/>
              <w:spacing w:after="0"/>
              <w:rPr>
                <w:sz w:val="20"/>
                <w:szCs w:val="20"/>
                <w:color w:val="auto"/>
              </w:rPr>
            </w:pPr>
            <w:r>
              <w:rPr>
                <w:rFonts w:ascii="Arial" w:cs="Arial" w:eastAsia="Arial" w:hAnsi="Arial"/>
                <w:sz w:val="18"/>
                <w:szCs w:val="18"/>
                <w:color w:val="auto"/>
              </w:rPr>
              <w:t>375</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379</w:t>
            </w:r>
          </w:p>
        </w:tc>
      </w:tr>
      <w:tr>
        <w:trPr>
          <w:trHeight w:val="27"/>
        </w:trPr>
        <w:tc>
          <w:tcPr>
            <w:tcW w:w="5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20,852</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21,210</w:t>
            </w:r>
          </w:p>
        </w:tc>
        <w:tc>
          <w:tcPr>
            <w:tcW w:w="1980" w:type="dxa"/>
            <w:vAlign w:val="bottom"/>
          </w:tcPr>
          <w:p>
            <w:pPr>
              <w:jc w:val="right"/>
              <w:ind w:right="473"/>
              <w:spacing w:after="0"/>
              <w:rPr>
                <w:sz w:val="20"/>
                <w:szCs w:val="20"/>
                <w:color w:val="auto"/>
              </w:rPr>
            </w:pPr>
            <w:r>
              <w:rPr>
                <w:rFonts w:ascii="Arial" w:cs="Arial" w:eastAsia="Arial" w:hAnsi="Arial"/>
                <w:sz w:val="18"/>
                <w:szCs w:val="18"/>
                <w:color w:val="auto"/>
              </w:rPr>
              <w:t>(107)</w:t>
            </w: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1,014</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1,051</w:t>
            </w:r>
          </w:p>
        </w:tc>
        <w:tc>
          <w:tcPr>
            <w:tcW w:w="1980" w:type="dxa"/>
            <w:vAlign w:val="bottom"/>
          </w:tcPr>
          <w:p>
            <w:pPr>
              <w:jc w:val="right"/>
              <w:ind w:right="473"/>
              <w:spacing w:after="0"/>
              <w:rPr>
                <w:sz w:val="20"/>
                <w:szCs w:val="20"/>
                <w:color w:val="auto"/>
              </w:rPr>
            </w:pPr>
            <w:r>
              <w:rPr>
                <w:rFonts w:ascii="Arial" w:cs="Arial" w:eastAsia="Arial" w:hAnsi="Arial"/>
                <w:sz w:val="18"/>
                <w:szCs w:val="18"/>
                <w:color w:val="auto"/>
              </w:rPr>
              <w:t>(14)</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21,865</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22,261</w:t>
            </w:r>
          </w:p>
        </w:tc>
        <w:tc>
          <w:tcPr>
            <w:tcW w:w="1980" w:type="dxa"/>
            <w:vAlign w:val="bottom"/>
          </w:tcPr>
          <w:p>
            <w:pPr>
              <w:jc w:val="right"/>
              <w:ind w:right="473"/>
              <w:spacing w:after="0"/>
              <w:rPr>
                <w:sz w:val="20"/>
                <w:szCs w:val="20"/>
                <w:color w:val="auto"/>
              </w:rPr>
            </w:pPr>
            <w:r>
              <w:rPr>
                <w:rFonts w:ascii="Arial" w:cs="Arial" w:eastAsia="Arial" w:hAnsi="Arial"/>
                <w:sz w:val="18"/>
                <w:szCs w:val="18"/>
                <w:color w:val="auto"/>
              </w:rPr>
              <w:t>(121)</w:t>
            </w: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5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10,089</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10,245</w:t>
            </w:r>
          </w:p>
        </w:tc>
        <w:tc>
          <w:tcPr>
            <w:tcW w:w="1980" w:type="dxa"/>
            <w:vAlign w:val="bottom"/>
          </w:tcPr>
          <w:p>
            <w:pPr>
              <w:jc w:val="right"/>
              <w:ind w:right="473"/>
              <w:spacing w:after="0"/>
              <w:rPr>
                <w:sz w:val="20"/>
                <w:szCs w:val="20"/>
                <w:color w:val="auto"/>
              </w:rPr>
            </w:pPr>
            <w:r>
              <w:rPr>
                <w:rFonts w:ascii="Arial" w:cs="Arial" w:eastAsia="Arial" w:hAnsi="Arial"/>
                <w:sz w:val="18"/>
                <w:szCs w:val="18"/>
                <w:color w:val="auto"/>
              </w:rPr>
              <w:t>(63)</w:t>
            </w: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1,307</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1,253</w:t>
            </w:r>
          </w:p>
        </w:tc>
        <w:tc>
          <w:tcPr>
            <w:tcW w:w="1980" w:type="dxa"/>
            <w:vAlign w:val="bottom"/>
          </w:tcPr>
          <w:p>
            <w:pPr>
              <w:jc w:val="right"/>
              <w:ind w:right="533"/>
              <w:spacing w:after="0"/>
              <w:rPr>
                <w:sz w:val="20"/>
                <w:szCs w:val="20"/>
                <w:color w:val="auto"/>
              </w:rPr>
            </w:pPr>
            <w:r>
              <w:rPr>
                <w:rFonts w:ascii="Arial" w:cs="Arial" w:eastAsia="Arial" w:hAnsi="Arial"/>
                <w:sz w:val="18"/>
                <w:szCs w:val="18"/>
                <w:color w:val="auto"/>
              </w:rPr>
              <w:t>10</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11,396</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11,498</w:t>
            </w:r>
          </w:p>
        </w:tc>
        <w:tc>
          <w:tcPr>
            <w:tcW w:w="1980" w:type="dxa"/>
            <w:vAlign w:val="bottom"/>
          </w:tcPr>
          <w:p>
            <w:pPr>
              <w:jc w:val="right"/>
              <w:ind w:right="473"/>
              <w:spacing w:after="0"/>
              <w:rPr>
                <w:sz w:val="20"/>
                <w:szCs w:val="20"/>
                <w:color w:val="auto"/>
              </w:rPr>
            </w:pPr>
            <w:r>
              <w:rPr>
                <w:rFonts w:ascii="Arial" w:cs="Arial" w:eastAsia="Arial" w:hAnsi="Arial"/>
                <w:sz w:val="18"/>
                <w:szCs w:val="18"/>
                <w:color w:val="auto"/>
              </w:rPr>
              <w:t>(53)</w:t>
            </w: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Security and automation</w:t>
            </w:r>
          </w:p>
        </w:tc>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Security and automation customers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1,333</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1,176</w:t>
            </w:r>
          </w:p>
        </w:tc>
        <w:tc>
          <w:tcPr>
            <w:tcW w:w="1980" w:type="dxa"/>
            <w:vAlign w:val="bottom"/>
          </w:tcPr>
          <w:p>
            <w:pPr>
              <w:jc w:val="right"/>
              <w:ind w:right="533"/>
              <w:spacing w:after="0"/>
              <w:rPr>
                <w:sz w:val="20"/>
                <w:szCs w:val="20"/>
                <w:color w:val="auto"/>
              </w:rPr>
            </w:pPr>
            <w:r>
              <w:rPr>
                <w:rFonts w:ascii="Arial" w:cs="Arial" w:eastAsia="Arial" w:hAnsi="Arial"/>
                <w:sz w:val="18"/>
                <w:szCs w:val="18"/>
                <w:color w:val="auto"/>
              </w:rPr>
              <w:t>17</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5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Wireless</w:t>
            </w:r>
          </w:p>
        </w:tc>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Wireless lines</w:t>
            </w:r>
          </w:p>
        </w:tc>
        <w:tc>
          <w:tcPr>
            <w:tcW w:w="1940" w:type="dxa"/>
            <w:vAlign w:val="bottom"/>
          </w:tcPr>
          <w:p>
            <w:pPr>
              <w:jc w:val="right"/>
              <w:ind w:right="492"/>
              <w:spacing w:after="0"/>
              <w:rPr>
                <w:sz w:val="20"/>
                <w:szCs w:val="20"/>
                <w:color w:val="auto"/>
              </w:rPr>
            </w:pPr>
            <w:r>
              <w:rPr>
                <w:rFonts w:ascii="Arial" w:cs="Arial" w:eastAsia="Arial" w:hAnsi="Arial"/>
                <w:sz w:val="18"/>
                <w:szCs w:val="18"/>
                <w:color w:val="auto"/>
              </w:rPr>
              <w:t>1,405</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577</w:t>
            </w:r>
          </w:p>
        </w:tc>
        <w:tc>
          <w:tcPr>
            <w:tcW w:w="1980" w:type="dxa"/>
            <w:vAlign w:val="bottom"/>
          </w:tcPr>
          <w:p>
            <w:pPr>
              <w:jc w:val="right"/>
              <w:ind w:right="533"/>
              <w:spacing w:after="0"/>
              <w:rPr>
                <w:sz w:val="20"/>
                <w:szCs w:val="20"/>
                <w:color w:val="auto"/>
              </w:rPr>
            </w:pPr>
            <w:r>
              <w:rPr>
                <w:rFonts w:ascii="Arial" w:cs="Arial" w:eastAsia="Arial" w:hAnsi="Arial"/>
                <w:sz w:val="18"/>
                <w:szCs w:val="18"/>
                <w:color w:val="auto"/>
              </w:rPr>
              <w:t>170</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Customer metrics are presented based on actual amounts. Minor differences may exist due to rounding. Customer relationships represent the number of residential and business customers that subscribe to at least one of our cable services. One product, two product, and three or more product customers represent residential customers that subscribe to one, two, or three or more of our cable services, respectively. For multiple dwelling units (“MDUs”), including buildings located on college campuses, whose residents have the ability to receive additional cable services, such as additional programming choices or our high-definition video (“HD”) or digital video recorder (“DVR”) advanced services, we count and report customers based on the number of potential billable relationships within each MDU. For MDUs whose residents are not able to receive additional cable services, the MDU is counted as a single customer. In 2017, we began to offer prepaid services that allow customers to prepay for at least 30 days of service. Residential high-speed internet and video customers as of March 31, 2019 included prepaid customers totaling approximately 171,000 and 7,000, respectively. Wireless lines represent the number of activated eligible wireless devices on customers’ accounts. Individual customer relationships may have multiple wireless lines.</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Average monthly total revenue per customer relationship for the three months ended March 31, 2019 and 2018 was $155.75 and $154.82, respectively. This metric is impacted by rate adjustments and changes in the types and levels of services received by our residential and business services customers, as well as changes in advertising revenue. While revenue from our high-speed internet, video, voice and wireless services is also impacted by changes in the allocation of revenue among services sold in a bundle, the allocation does not impact average monthly total revenue per customer relationship.</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monthly Adjusted EBITDA per customer relationship for the three months ended March 31, 2019 and 2018 was $62.48 and $58.94, respectively. Each of our cable services has a different contribution to operating margin. We use average monthly Adjusted EBITDA per customer relationship to evaluate the profitability of our customer base across our service offerings. We believe this metric is useful particularly as we continue to focus on growing our higher-margin businesses, including residential high-speed internet and business services.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High-speed internet revenue increased 10.1% for the three months ended March 31, 2019 compared to the same period in 2018. An increase in the number of residential customers receiving our high-speed internet services accounted for an increase in revenue of 5.1% for the three months ended March 31, 2019. The remaining increase in revenue was primarily due to an increase in average high-speed internet rates.</w:t>
      </w:r>
    </w:p>
    <w:p>
      <w:pPr>
        <w:sectPr>
          <w:pgSz w:w="11900" w:h="16838" w:orient="portrait"/>
          <w:cols w:equalWidth="0" w:num="1">
            <w:col w:w="11420"/>
          </w:cols>
          <w:pgMar w:left="240" w:top="175"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75"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Video revenue was flat for the three months ended March 31, 2019 compared to the same period in 2018 primarily due to a decline in the number of residential video customers, which was partially offset by an increase in average video rates.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experienced, and expect that we will continue to experience, declines in the number of residential video customers due to competitive pressures, and we expect that our video revenue will continue to decline. Competition is intense, both from traditional multichannel video providers and online video distribution services. We believe our X1 platform helps us compete more effectively against this competition, and have also continued to employ sales and marketing programs, such as promotions, bundled service offerings and service offerings targeted at specific market segments.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Voice revenue decreased 1.6% for the three months ended March 31, 2019 compared to the same period in 2018 primarily due to a decline in the number of residential voice customers. We expect that the number of residential voice customers and voice revenue will continue to decline.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Wireless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Wireless revenue increased 21.4% for the three months ended March 31, 2019 compared to the same period in 2018 primarily due to an increase in the number of customer lines. Although customer lines increased, the number of wireless handsets sold declined in the period due to the number of customers electing to bring their own device.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2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Business services revenue increased 9.5% for the three months ended March 31, 2019 compared to the same period in 2018. The increase was primarily due to an increase in the number of customers receiving our small and medium-sized business services offerings and an increase in average rates.</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 increases in the number of business customers are primarily the result of our efforts to gain market share from competitors by offering competitive services and pricing. We expect that the contribution to our growth rate from medium-sized and enterprise customers will increase relative to that of our small-business customers as small business services matures.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revenue decreased 4.5% for the three months ended March 31, 2019 compared to the same period in 2018, primarily due to a decrease in political advertising revenue. Excluding the impact of political advertising revenue, advertising decreased 1.8% for the three months ended March 31, 2019 compared to the same period in 2018.</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March 31, 2019 and 2018, 5% and 4% of our Cable Communications segment advertising revenue was generated from our NBCUniversal segments, respectively. These amounts are eliminated in our condensed consolidated financial statements but are included in the amounts presented above.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increased 7.0% for the three months ended March 31, 2019 compared to the same period in 2018 primarily due to increases in revenue from our security and automation services and the licensing of our X1 platform to other multichannel video providers.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Programming expenses increased for the three months ended March 31, 2019 compared to the same period in 2018 primarily due to increases in programming license fees, including sports programming costs and retransmission consent fees.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Technical and product support expenses increased for the three months ended March 31, 2019 compared to the same period in 2018. The increase was primarily due to expenses related to the continued development, deployment and support of our products and services and expenses related to the continued growth in business services, partially offset by a decrease in costs associated with our wireless phone service. This decrease reflects the decline in costs of handsets sold due to the number of customers electing to bring their own device, partially offset by an increase in variable network fees as a result of the increase in customer lines.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service expenses decreased for the three months ended March 31, 2019 compared to the same period in 2018 primarily due to lower personnel costs as a result of reduced call volumes.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marketing and promotion expenses were flat for the three months ended March 31, 2019 compared to the same period in 2018, reflecting the absence of advertising expenses associated with the 2018 PyeongChang Olympics, offset by an increase in spending associated with attracting new customers.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decreased for the three months ended March 31, 2019 compared to the same period in 2018 primarily due to a decrease in the revenue to which the fees apply.</w:t>
      </w:r>
    </w:p>
    <w:p>
      <w:pPr>
        <w:sectPr>
          <w:pgSz w:w="11900" w:h="16838" w:orient="portrait"/>
          <w:cols w:equalWidth="0" w:num="1">
            <w:col w:w="11420"/>
          </w:cols>
          <w:pgMar w:left="240" w:top="17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75"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costs and expenses decreased for the three months ended March 31, 2019 compared to the same period in 2018 primarily due to increased costs incurred in the prior year period as we continued to scale our wireless phone service.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Margin</w:t>
      </w:r>
    </w:p>
    <w:p>
      <w:pPr>
        <w:spacing w:after="0" w:line="11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Cable Communications segment operating margin is Adjusted EBITDA as a percentage of revenue. The most significant operating costs and expenses for our Cable Communications segment are the programming expenses we incur to provide content to our video customers, which increased 2.8% for the three months ended March 31, 2019 compared to the same period in 2018.</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Communications segment operating margin for the three months ended March 31, 2019 and 2018 was 40.1% and 38.1%, respectively. We continue to focus on growing our higher-margin businesses, particularly residential high-speed internet and business services, and on improving losses related to our wireless phone service and overall operating cost management. Losses from our wireless phone service were $103 million in the current year period compared to losses of $189 million in the prior year period.</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w w:val="96"/>
              </w:rPr>
              <w:t>2018</w:t>
            </w: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2,868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3,157</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(289)</w:t>
            </w: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2,467</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3,497</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(1,030)</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(29.4)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1,768</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1,647</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121</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7.4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1,276</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1,281</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(5)</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(0.4)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(66)</w:t>
            </w:r>
          </w:p>
        </w:tc>
        <w:tc>
          <w:tcPr>
            <w:tcW w:w="6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(85)</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19</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8,313</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9,497</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(1,184)</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(12.5)%</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1,262</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1,254</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8</w:t>
            </w:r>
          </w:p>
        </w:tc>
        <w:tc>
          <w:tcPr>
            <w:tcW w:w="106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387</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507</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(120)</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(23.7)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364</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203</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161</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78.7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498</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495</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0.5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(174)</w:t>
            </w:r>
          </w:p>
        </w:tc>
        <w:tc>
          <w:tcPr>
            <w:tcW w:w="6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(188)</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14</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2,337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2,271</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66</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1,735</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1,861</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(126)</w:t>
            </w: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852</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977</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(125)</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281</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319</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(38)</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(12.0)</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2,868</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3,157</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(289)</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(9.2)</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1,143</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1,425</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(282)</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(19.8)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359</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357</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104</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121</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(17)</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(14.0)</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1,606</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1,903</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(297)</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(15.6)</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1,262</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1,254</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8</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0.7 %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13"/>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614"/>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Cable Networks revenue decreased for the three months ended March 31, 2019 compared to the same period in 2018 primarily due to decreases in distribution revenue and advertising revenue resulting from our broadcast of the 2018 PyeongChang Olympics. Excluding $378 million of revenue associated with our broadcast of the 2018 PyeongChang Olympics, Cable Networks revenue increased 3.2% for the three months ended March 31, 2019 compared to the same period in 2018.</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jc w:val="center"/>
              <w:ind w:right="276"/>
              <w:spacing w:after="0"/>
              <w:rPr>
                <w:sz w:val="20"/>
                <w:szCs w:val="20"/>
                <w:color w:val="auto"/>
              </w:rPr>
            </w:pPr>
            <w:r>
              <w:rPr>
                <w:rFonts w:ascii="Arial" w:cs="Arial" w:eastAsia="Arial" w:hAnsi="Arial"/>
                <w:sz w:val="14"/>
                <w:szCs w:val="14"/>
                <w:color w:val="auto"/>
                <w:w w:val="93"/>
              </w:rPr>
              <w:t>Three Months Ended</w:t>
            </w:r>
          </w:p>
        </w:tc>
        <w:tc>
          <w:tcPr>
            <w:tcW w:w="1340" w:type="dxa"/>
            <w:vAlign w:val="bottom"/>
          </w:tcPr>
          <w:p>
            <w:pPr>
              <w:jc w:val="center"/>
              <w:ind w:right="81"/>
              <w:spacing w:after="0"/>
              <w:rPr>
                <w:sz w:val="20"/>
                <w:szCs w:val="20"/>
                <w:color w:val="auto"/>
              </w:rPr>
            </w:pPr>
            <w:r>
              <w:rPr>
                <w:rFonts w:ascii="Arial" w:cs="Arial" w:eastAsia="Arial" w:hAnsi="Arial"/>
                <w:sz w:val="14"/>
                <w:szCs w:val="14"/>
                <w:color w:val="auto"/>
                <w:w w:val="86"/>
              </w:rPr>
              <w:t>Increase/</w:t>
            </w:r>
          </w:p>
        </w:tc>
      </w:tr>
      <w:tr>
        <w:trPr>
          <w:trHeight w:val="188"/>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381"/>
              <w:spacing w:after="0"/>
              <w:rPr>
                <w:sz w:val="20"/>
                <w:szCs w:val="20"/>
                <w:color w:val="auto"/>
              </w:rPr>
            </w:pPr>
            <w:r>
              <w:rPr>
                <w:rFonts w:ascii="Arial" w:cs="Arial" w:eastAsia="Arial" w:hAnsi="Arial"/>
                <w:sz w:val="14"/>
                <w:szCs w:val="14"/>
                <w:color w:val="auto"/>
                <w:w w:val="95"/>
              </w:rPr>
              <w:t>March 31</w:t>
            </w: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89"/>
              </w:rPr>
              <w:t>(Decrease)</w:t>
            </w:r>
          </w:p>
        </w:tc>
      </w:tr>
      <w:tr>
        <w:trPr>
          <w:trHeight w:val="196"/>
        </w:trPr>
        <w:tc>
          <w:tcPr>
            <w:tcW w:w="7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w w:val="96"/>
              </w:rPr>
              <w:t>2018</w:t>
            </w:r>
          </w:p>
        </w:tc>
        <w:tc>
          <w:tcPr>
            <w:tcW w:w="13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6"/>
              </w:rPr>
              <w:t>%</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 xml:space="preserve">1,735  </w:t>
            </w:r>
            <w:r>
              <w:rPr>
                <w:rFonts w:ascii="Arial" w:cs="Arial" w:eastAsia="Arial" w:hAnsi="Arial"/>
                <w:sz w:val="18"/>
                <w:szCs w:val="18"/>
                <w:color w:val="auto"/>
              </w:rPr>
              <w:t>$</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1,861</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Distribution, excluding 2018 PyeongChang Olympics</w:t>
            </w:r>
          </w:p>
        </w:tc>
        <w:tc>
          <w:tcPr>
            <w:tcW w:w="240" w:type="dxa"/>
            <w:vAlign w:val="bottom"/>
          </w:tcPr>
          <w:p>
            <w:pPr>
              <w:spacing w:after="0"/>
              <w:rPr>
                <w:sz w:val="23"/>
                <w:szCs w:val="23"/>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1,735</w:t>
            </w:r>
          </w:p>
        </w:tc>
        <w:tc>
          <w:tcPr>
            <w:tcW w:w="840" w:type="dxa"/>
            <w:vAlign w:val="bottom"/>
          </w:tcPr>
          <w:p>
            <w:pPr>
              <w:jc w:val="right"/>
              <w:ind w:right="176"/>
              <w:spacing w:after="0"/>
              <w:rPr>
                <w:sz w:val="20"/>
                <w:szCs w:val="20"/>
                <w:color w:val="auto"/>
              </w:rPr>
            </w:pPr>
            <w:r>
              <w:rPr>
                <w:rFonts w:ascii="Arial" w:cs="Arial" w:eastAsia="Arial" w:hAnsi="Arial"/>
                <w:sz w:val="18"/>
                <w:szCs w:val="18"/>
                <w:i w:val="1"/>
                <w:iCs w:val="1"/>
                <w:color w:val="auto"/>
              </w:rPr>
              <w:t>1,625</w:t>
            </w:r>
          </w:p>
        </w:tc>
        <w:tc>
          <w:tcPr>
            <w:tcW w:w="1340" w:type="dxa"/>
            <w:vAlign w:val="bottom"/>
          </w:tcPr>
          <w:p>
            <w:pPr>
              <w:jc w:val="right"/>
              <w:ind w:right="181"/>
              <w:spacing w:after="0"/>
              <w:rPr>
                <w:sz w:val="20"/>
                <w:szCs w:val="20"/>
                <w:color w:val="auto"/>
              </w:rPr>
            </w:pPr>
            <w:r>
              <w:rPr>
                <w:rFonts w:ascii="Arial" w:cs="Arial" w:eastAsia="Arial" w:hAnsi="Arial"/>
                <w:sz w:val="18"/>
                <w:szCs w:val="18"/>
                <w:i w:val="1"/>
                <w:iCs w:val="1"/>
                <w:color w:val="auto"/>
              </w:rPr>
              <w:t>6.8</w:t>
            </w:r>
          </w:p>
        </w:tc>
      </w:tr>
      <w:tr>
        <w:trPr>
          <w:trHeight w:val="27"/>
        </w:trPr>
        <w:tc>
          <w:tcPr>
            <w:tcW w:w="7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Distribution revenue decreased for the three months ended March 31, 2019 compared to the same period in 2018 primarily due to our broadcast of the 2018 PyeongChang Olympics. Excluding $236 million of revenue associated with our broadcast of 2018 PyeongChang Olympics, distribution revenue increased primarily due to increases in contractual rates charged under distribution agreements and the timing of contract renewals, partially offset by modest declines in the number of subscribers at our cable networks.</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jc w:val="center"/>
              <w:ind w:right="276"/>
              <w:spacing w:after="0"/>
              <w:rPr>
                <w:sz w:val="20"/>
                <w:szCs w:val="20"/>
                <w:color w:val="auto"/>
              </w:rPr>
            </w:pPr>
            <w:r>
              <w:rPr>
                <w:rFonts w:ascii="Arial" w:cs="Arial" w:eastAsia="Arial" w:hAnsi="Arial"/>
                <w:sz w:val="14"/>
                <w:szCs w:val="14"/>
                <w:color w:val="auto"/>
                <w:w w:val="93"/>
              </w:rPr>
              <w:t>Three Months Ended</w:t>
            </w:r>
          </w:p>
        </w:tc>
        <w:tc>
          <w:tcPr>
            <w:tcW w:w="1340" w:type="dxa"/>
            <w:vAlign w:val="bottom"/>
          </w:tcPr>
          <w:p>
            <w:pPr>
              <w:jc w:val="center"/>
              <w:ind w:right="61"/>
              <w:spacing w:after="0"/>
              <w:rPr>
                <w:sz w:val="20"/>
                <w:szCs w:val="20"/>
                <w:color w:val="auto"/>
              </w:rPr>
            </w:pPr>
            <w:r>
              <w:rPr>
                <w:rFonts w:ascii="Arial" w:cs="Arial" w:eastAsia="Arial" w:hAnsi="Arial"/>
                <w:sz w:val="14"/>
                <w:szCs w:val="14"/>
                <w:color w:val="auto"/>
                <w:w w:val="90"/>
              </w:rPr>
              <w:t>Increase/</w:t>
            </w:r>
          </w:p>
        </w:tc>
      </w:tr>
      <w:tr>
        <w:trPr>
          <w:trHeight w:val="188"/>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401"/>
              <w:spacing w:after="0"/>
              <w:rPr>
                <w:sz w:val="20"/>
                <w:szCs w:val="20"/>
                <w:color w:val="auto"/>
              </w:rPr>
            </w:pPr>
            <w:r>
              <w:rPr>
                <w:rFonts w:ascii="Arial" w:cs="Arial" w:eastAsia="Arial" w:hAnsi="Arial"/>
                <w:sz w:val="14"/>
                <w:szCs w:val="14"/>
                <w:color w:val="auto"/>
                <w:w w:val="92"/>
              </w:rPr>
              <w:t>March 31</w:t>
            </w: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89"/>
              </w:rPr>
              <w:t>(Decrease)</w:t>
            </w:r>
          </w:p>
        </w:tc>
      </w:tr>
      <w:tr>
        <w:trPr>
          <w:trHeight w:val="196"/>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w w:val="96"/>
              </w:rPr>
              <w:t>2018</w:t>
            </w:r>
          </w:p>
        </w:tc>
        <w:tc>
          <w:tcPr>
            <w:tcW w:w="13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6"/>
              </w:rPr>
              <w:t>%</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ind w:left="400"/>
              <w:spacing w:after="0"/>
              <w:rPr>
                <w:sz w:val="20"/>
                <w:szCs w:val="20"/>
                <w:color w:val="auto"/>
              </w:rPr>
            </w:pPr>
            <w:r>
              <w:rPr>
                <w:rFonts w:ascii="Arial" w:cs="Arial" w:eastAsia="Arial" w:hAnsi="Arial"/>
                <w:sz w:val="18"/>
                <w:szCs w:val="18"/>
                <w:b w:val="1"/>
                <w:bCs w:val="1"/>
                <w:color w:val="auto"/>
              </w:rPr>
              <w:t xml:space="preserve">852  </w:t>
            </w:r>
            <w:r>
              <w:rPr>
                <w:rFonts w:ascii="Arial" w:cs="Arial" w:eastAsia="Arial" w:hAnsi="Arial"/>
                <w:sz w:val="18"/>
                <w:szCs w:val="18"/>
                <w:color w:val="auto"/>
              </w:rPr>
              <w:t>$</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977</w:t>
            </w:r>
          </w:p>
        </w:tc>
        <w:tc>
          <w:tcPr>
            <w:tcW w:w="1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7840" w:type="dxa"/>
            <w:vAlign w:val="bottom"/>
          </w:tcPr>
          <w:p>
            <w:pPr>
              <w:ind w:left="20"/>
              <w:spacing w:after="0"/>
              <w:rPr>
                <w:sz w:val="20"/>
                <w:szCs w:val="20"/>
                <w:color w:val="auto"/>
              </w:rPr>
            </w:pPr>
            <w:r>
              <w:rPr>
                <w:rFonts w:ascii="Arial" w:cs="Arial" w:eastAsia="Arial" w:hAnsi="Arial"/>
                <w:sz w:val="18"/>
                <w:szCs w:val="18"/>
                <w:i w:val="1"/>
                <w:iCs w:val="1"/>
                <w:color w:val="auto"/>
              </w:rPr>
              <w:t>Advertising, excluding 2018 PyeongChang Olympics</w:t>
            </w:r>
          </w:p>
        </w:tc>
        <w:tc>
          <w:tcPr>
            <w:tcW w:w="240" w:type="dxa"/>
            <w:vAlign w:val="bottom"/>
          </w:tcPr>
          <w:p>
            <w:pPr>
              <w:spacing w:after="0"/>
              <w:rPr>
                <w:sz w:val="23"/>
                <w:szCs w:val="23"/>
                <w:color w:val="auto"/>
              </w:rPr>
            </w:pPr>
          </w:p>
        </w:tc>
        <w:tc>
          <w:tcPr>
            <w:tcW w:w="110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852</w:t>
            </w:r>
          </w:p>
        </w:tc>
        <w:tc>
          <w:tcPr>
            <w:tcW w:w="840" w:type="dxa"/>
            <w:vAlign w:val="bottom"/>
          </w:tcPr>
          <w:p>
            <w:pPr>
              <w:jc w:val="right"/>
              <w:ind w:right="176"/>
              <w:spacing w:after="0"/>
              <w:rPr>
                <w:sz w:val="20"/>
                <w:szCs w:val="20"/>
                <w:color w:val="auto"/>
              </w:rPr>
            </w:pPr>
            <w:r>
              <w:rPr>
                <w:rFonts w:ascii="Arial" w:cs="Arial" w:eastAsia="Arial" w:hAnsi="Arial"/>
                <w:sz w:val="18"/>
                <w:szCs w:val="18"/>
                <w:i w:val="1"/>
                <w:iCs w:val="1"/>
                <w:color w:val="auto"/>
              </w:rPr>
              <w:t>835</w:t>
            </w:r>
          </w:p>
        </w:tc>
        <w:tc>
          <w:tcPr>
            <w:tcW w:w="1340" w:type="dxa"/>
            <w:vAlign w:val="bottom"/>
          </w:tcPr>
          <w:p>
            <w:pPr>
              <w:jc w:val="right"/>
              <w:ind w:right="161"/>
              <w:spacing w:after="0"/>
              <w:rPr>
                <w:sz w:val="20"/>
                <w:szCs w:val="20"/>
                <w:color w:val="auto"/>
              </w:rPr>
            </w:pPr>
            <w:r>
              <w:rPr>
                <w:rFonts w:ascii="Arial" w:cs="Arial" w:eastAsia="Arial" w:hAnsi="Arial"/>
                <w:sz w:val="18"/>
                <w:szCs w:val="18"/>
                <w:i w:val="1"/>
                <w:iCs w:val="1"/>
                <w:color w:val="auto"/>
              </w:rPr>
              <w:t>2.0</w:t>
            </w:r>
          </w:p>
        </w:tc>
      </w:tr>
      <w:tr>
        <w:trPr>
          <w:trHeight w:val="27"/>
        </w:trPr>
        <w:tc>
          <w:tcPr>
            <w:tcW w:w="7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Advertising revenue decreased for the three months ended March 31, 2019 compared to the same period in 2018 primarily due to our broadcast of the 2018 PyeongChang Olympics. Excluding $142 million of revenue associated with our broadcast of the 2018 PyeongChang Olympics, advertising revenue increased primarily due to higher prices for advertising units sold, partially offset by modest declines in audience ratings at our networks.</w:t>
      </w:r>
    </w:p>
    <w:p>
      <w:pPr>
        <w:spacing w:after="0" w:line="1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both the three months ended March 31, 2019 and 2018, 15% of our Cable Networks segment revenue was generated from our Cable Communications segment. These amounts are eliminated in our condensed consolidated financial statements but are included in the amounts presented above.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costs and expenses decreased for the three months ended March 31, 2019 compared to the same period in 2018 primarily due to decreases in programming and production costs and advertising, marketing, and promotion costs. The decrease in programming and production costs was primarily due to the absence of costs associated with our broadcast of the 2018 PyeongChang Olympics. The decrease in advertising, marketing and promotion costs was due to the decrease in spending related to programming on our cable networks and our digital properties, and the absence of spending related to the 2018 PyeongChang Olympics.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1,317</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2,365</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(1,048)</w:t>
            </w:r>
          </w:p>
        </w:tc>
        <w:tc>
          <w:tcPr>
            <w:tcW w:w="106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560</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522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38</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7.2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590</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610</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(20)</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(3.2)</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2,467</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3,497</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(1,030)</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(29.4)</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1,577</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2,476</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(899)</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(36.3)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382</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381</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121</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133</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(12)</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(8.9)</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2,080</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2,990</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(910)</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(30.4)</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387</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507</w:t>
            </w: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(120)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(23.7)%</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75"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Broadcast Television revenue decreased for the three months ended March 31, 2019 compared to the same period in 2018 due to decreases in advertising revenue and distribution and other revenue resulting from our broadcasts of the 2018 PyeongChang Olympics and the 2018 Super Bowl, partially offset by an increase in content licensing revenue. Excluding $1.2 billion of revenue associated with our broadcasts of the 2018 PyeongChang Olympics and the 2018 Super Bowl, Broadcast Television revenue increased 7.1% for the three months ended March 31, 2019 compared to the same period in 2018.</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jc w:val="center"/>
              <w:ind w:right="276"/>
              <w:spacing w:after="0"/>
              <w:rPr>
                <w:sz w:val="20"/>
                <w:szCs w:val="20"/>
                <w:color w:val="auto"/>
              </w:rPr>
            </w:pPr>
            <w:r>
              <w:rPr>
                <w:rFonts w:ascii="Arial" w:cs="Arial" w:eastAsia="Arial" w:hAnsi="Arial"/>
                <w:sz w:val="14"/>
                <w:szCs w:val="14"/>
                <w:color w:val="auto"/>
                <w:w w:val="93"/>
              </w:rPr>
              <w:t>Three Months Ended</w:t>
            </w:r>
          </w:p>
        </w:tc>
        <w:tc>
          <w:tcPr>
            <w:tcW w:w="1340" w:type="dxa"/>
            <w:vAlign w:val="bottom"/>
          </w:tcPr>
          <w:p>
            <w:pPr>
              <w:jc w:val="center"/>
              <w:ind w:right="81"/>
              <w:spacing w:after="0"/>
              <w:rPr>
                <w:sz w:val="20"/>
                <w:szCs w:val="20"/>
                <w:color w:val="auto"/>
              </w:rPr>
            </w:pPr>
            <w:r>
              <w:rPr>
                <w:rFonts w:ascii="Arial" w:cs="Arial" w:eastAsia="Arial" w:hAnsi="Arial"/>
                <w:sz w:val="14"/>
                <w:szCs w:val="14"/>
                <w:color w:val="auto"/>
                <w:w w:val="86"/>
              </w:rPr>
              <w:t>Increase/</w:t>
            </w:r>
          </w:p>
        </w:tc>
      </w:tr>
      <w:tr>
        <w:trPr>
          <w:trHeight w:val="188"/>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401"/>
              <w:spacing w:after="0"/>
              <w:rPr>
                <w:sz w:val="20"/>
                <w:szCs w:val="20"/>
                <w:color w:val="auto"/>
              </w:rPr>
            </w:pPr>
            <w:r>
              <w:rPr>
                <w:rFonts w:ascii="Arial" w:cs="Arial" w:eastAsia="Arial" w:hAnsi="Arial"/>
                <w:sz w:val="14"/>
                <w:szCs w:val="14"/>
                <w:color w:val="auto"/>
                <w:w w:val="92"/>
              </w:rPr>
              <w:t>March 31</w:t>
            </w: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89"/>
              </w:rPr>
              <w:t>(Decrease)</w:t>
            </w:r>
          </w:p>
        </w:tc>
      </w:tr>
      <w:tr>
        <w:trPr>
          <w:trHeight w:val="196"/>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w w:val="96"/>
              </w:rPr>
              <w:t>2018</w:t>
            </w: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79"/>
              </w:rPr>
              <w:t>%</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 xml:space="preserve">1,317  </w:t>
            </w:r>
            <w:r>
              <w:rPr>
                <w:rFonts w:ascii="Arial" w:cs="Arial" w:eastAsia="Arial" w:hAnsi="Arial"/>
                <w:sz w:val="18"/>
                <w:szCs w:val="18"/>
                <w:color w:val="auto"/>
              </w:rPr>
              <w:t>$</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2,365</w:t>
            </w:r>
          </w:p>
        </w:tc>
        <w:tc>
          <w:tcPr>
            <w:tcW w:w="134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0"/>
        </w:trPr>
        <w:tc>
          <w:tcPr>
            <w:tcW w:w="7800" w:type="dxa"/>
            <w:vAlign w:val="bottom"/>
          </w:tcPr>
          <w:p>
            <w:pPr>
              <w:ind w:left="20"/>
              <w:spacing w:after="0"/>
              <w:rPr>
                <w:sz w:val="20"/>
                <w:szCs w:val="20"/>
                <w:color w:val="auto"/>
              </w:rPr>
            </w:pPr>
            <w:r>
              <w:rPr>
                <w:rFonts w:ascii="Arial" w:cs="Arial" w:eastAsia="Arial" w:hAnsi="Arial"/>
                <w:sz w:val="18"/>
                <w:szCs w:val="18"/>
                <w:i w:val="1"/>
                <w:iCs w:val="1"/>
                <w:color w:val="auto"/>
              </w:rPr>
              <w:t>Advertising, excluding 2018 PyeongChang Olympics and Super Bowl</w:t>
            </w:r>
          </w:p>
        </w:tc>
        <w:tc>
          <w:tcPr>
            <w:tcW w:w="240" w:type="dxa"/>
            <w:vAlign w:val="bottom"/>
          </w:tcPr>
          <w:p>
            <w:pPr>
              <w:spacing w:after="0"/>
              <w:rPr>
                <w:sz w:val="23"/>
                <w:szCs w:val="23"/>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1,317</w:t>
            </w:r>
          </w:p>
        </w:tc>
        <w:tc>
          <w:tcPr>
            <w:tcW w:w="840" w:type="dxa"/>
            <w:vAlign w:val="bottom"/>
          </w:tcPr>
          <w:p>
            <w:pPr>
              <w:jc w:val="right"/>
              <w:ind w:right="176"/>
              <w:spacing w:after="0"/>
              <w:rPr>
                <w:sz w:val="20"/>
                <w:szCs w:val="20"/>
                <w:color w:val="auto"/>
              </w:rPr>
            </w:pPr>
            <w:r>
              <w:rPr>
                <w:rFonts w:ascii="Arial" w:cs="Arial" w:eastAsia="Arial" w:hAnsi="Arial"/>
                <w:sz w:val="18"/>
                <w:szCs w:val="18"/>
                <w:i w:val="1"/>
                <w:iCs w:val="1"/>
                <w:color w:val="auto"/>
              </w:rPr>
              <w:t>1,284</w:t>
            </w:r>
          </w:p>
        </w:tc>
        <w:tc>
          <w:tcPr>
            <w:tcW w:w="1340" w:type="dxa"/>
            <w:vAlign w:val="bottom"/>
          </w:tcPr>
          <w:p>
            <w:pPr>
              <w:jc w:val="right"/>
              <w:ind w:right="181"/>
              <w:spacing w:after="0"/>
              <w:rPr>
                <w:sz w:val="20"/>
                <w:szCs w:val="20"/>
                <w:color w:val="auto"/>
              </w:rPr>
            </w:pPr>
            <w:r>
              <w:rPr>
                <w:rFonts w:ascii="Arial" w:cs="Arial" w:eastAsia="Arial" w:hAnsi="Arial"/>
                <w:sz w:val="18"/>
                <w:szCs w:val="18"/>
                <w:i w:val="1"/>
                <w:iCs w:val="1"/>
                <w:color w:val="auto"/>
              </w:rPr>
              <w:t>2.6</w:t>
            </w:r>
          </w:p>
        </w:tc>
      </w:tr>
      <w:tr>
        <w:trPr>
          <w:trHeight w:val="27"/>
        </w:trPr>
        <w:tc>
          <w:tcPr>
            <w:tcW w:w="7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decreased for the three months ended March 31, 2019 compared to the same period in 2018 primarily due to our broadcasts of the 2018 PyeongChang Olympics and the 2018 Super Bowl. Excluding $1.1 billion of revenue associated with our broadcasts of the 2018 PyeongChang Olympics and the 2018 Super Bowl, advertising revenue increased due to higher prices for advertising units sold, partially offset by the impact of continued declines in audience ratings.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jc w:val="center"/>
              <w:ind w:right="276"/>
              <w:spacing w:after="0"/>
              <w:rPr>
                <w:sz w:val="20"/>
                <w:szCs w:val="20"/>
                <w:color w:val="auto"/>
              </w:rPr>
            </w:pPr>
            <w:r>
              <w:rPr>
                <w:rFonts w:ascii="Arial" w:cs="Arial" w:eastAsia="Arial" w:hAnsi="Arial"/>
                <w:sz w:val="14"/>
                <w:szCs w:val="14"/>
                <w:color w:val="auto"/>
                <w:w w:val="93"/>
              </w:rPr>
              <w:t>Three Months Ended</w:t>
            </w:r>
          </w:p>
        </w:tc>
        <w:tc>
          <w:tcPr>
            <w:tcW w:w="1340" w:type="dxa"/>
            <w:vAlign w:val="bottom"/>
          </w:tcPr>
          <w:p>
            <w:pPr>
              <w:jc w:val="center"/>
              <w:ind w:right="81"/>
              <w:spacing w:after="0"/>
              <w:rPr>
                <w:sz w:val="20"/>
                <w:szCs w:val="20"/>
                <w:color w:val="auto"/>
              </w:rPr>
            </w:pPr>
            <w:r>
              <w:rPr>
                <w:rFonts w:ascii="Arial" w:cs="Arial" w:eastAsia="Arial" w:hAnsi="Arial"/>
                <w:sz w:val="14"/>
                <w:szCs w:val="14"/>
                <w:color w:val="auto"/>
                <w:w w:val="86"/>
              </w:rPr>
              <w:t>Increase/</w:t>
            </w:r>
          </w:p>
        </w:tc>
      </w:tr>
      <w:tr>
        <w:trPr>
          <w:trHeight w:val="188"/>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401"/>
              <w:spacing w:after="0"/>
              <w:rPr>
                <w:sz w:val="20"/>
                <w:szCs w:val="20"/>
                <w:color w:val="auto"/>
              </w:rPr>
            </w:pPr>
            <w:r>
              <w:rPr>
                <w:rFonts w:ascii="Arial" w:cs="Arial" w:eastAsia="Arial" w:hAnsi="Arial"/>
                <w:sz w:val="14"/>
                <w:szCs w:val="14"/>
                <w:color w:val="auto"/>
                <w:w w:val="92"/>
              </w:rPr>
              <w:t>March 31</w:t>
            </w: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89"/>
              </w:rPr>
              <w:t>(Decrease)</w:t>
            </w:r>
          </w:p>
        </w:tc>
      </w:tr>
      <w:tr>
        <w:trPr>
          <w:trHeight w:val="196"/>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w w:val="96"/>
              </w:rPr>
              <w:t>2018</w:t>
            </w: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79"/>
              </w:rPr>
              <w:t>%</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Distribution and other</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ind w:left="400"/>
              <w:spacing w:after="0"/>
              <w:rPr>
                <w:sz w:val="20"/>
                <w:szCs w:val="20"/>
                <w:color w:val="auto"/>
              </w:rPr>
            </w:pPr>
            <w:r>
              <w:rPr>
                <w:rFonts w:ascii="Arial" w:cs="Arial" w:eastAsia="Arial" w:hAnsi="Arial"/>
                <w:sz w:val="18"/>
                <w:szCs w:val="18"/>
                <w:b w:val="1"/>
                <w:bCs w:val="1"/>
                <w:color w:val="auto"/>
              </w:rPr>
              <w:t xml:space="preserve">590  </w:t>
            </w:r>
            <w:r>
              <w:rPr>
                <w:rFonts w:ascii="Arial" w:cs="Arial" w:eastAsia="Arial" w:hAnsi="Arial"/>
                <w:sz w:val="18"/>
                <w:szCs w:val="18"/>
                <w:color w:val="auto"/>
              </w:rPr>
              <w:t>$</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610</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7800" w:type="dxa"/>
            <w:vAlign w:val="bottom"/>
          </w:tcPr>
          <w:p>
            <w:pPr>
              <w:ind w:left="20"/>
              <w:spacing w:after="0"/>
              <w:rPr>
                <w:sz w:val="20"/>
                <w:szCs w:val="20"/>
                <w:color w:val="auto"/>
              </w:rPr>
            </w:pPr>
            <w:r>
              <w:rPr>
                <w:rFonts w:ascii="Arial" w:cs="Arial" w:eastAsia="Arial" w:hAnsi="Arial"/>
                <w:sz w:val="18"/>
                <w:szCs w:val="18"/>
                <w:i w:val="1"/>
                <w:iCs w:val="1"/>
                <w:color w:val="auto"/>
              </w:rPr>
              <w:t>Distribution and other, excluding 2018 PyeongChang Olympics</w:t>
            </w:r>
          </w:p>
        </w:tc>
        <w:tc>
          <w:tcPr>
            <w:tcW w:w="240" w:type="dxa"/>
            <w:vAlign w:val="bottom"/>
          </w:tcPr>
          <w:p>
            <w:pPr>
              <w:spacing w:after="0"/>
              <w:rPr>
                <w:sz w:val="23"/>
                <w:szCs w:val="23"/>
                <w:color w:val="auto"/>
              </w:rPr>
            </w:pPr>
          </w:p>
        </w:tc>
        <w:tc>
          <w:tcPr>
            <w:tcW w:w="110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590</w:t>
            </w:r>
          </w:p>
        </w:tc>
        <w:tc>
          <w:tcPr>
            <w:tcW w:w="840" w:type="dxa"/>
            <w:vAlign w:val="bottom"/>
          </w:tcPr>
          <w:p>
            <w:pPr>
              <w:jc w:val="right"/>
              <w:ind w:right="176"/>
              <w:spacing w:after="0"/>
              <w:rPr>
                <w:sz w:val="20"/>
                <w:szCs w:val="20"/>
                <w:color w:val="auto"/>
              </w:rPr>
            </w:pPr>
            <w:r>
              <w:rPr>
                <w:rFonts w:ascii="Arial" w:cs="Arial" w:eastAsia="Arial" w:hAnsi="Arial"/>
                <w:sz w:val="18"/>
                <w:szCs w:val="18"/>
                <w:i w:val="1"/>
                <w:iCs w:val="1"/>
                <w:color w:val="auto"/>
              </w:rPr>
              <w:t>498</w:t>
            </w:r>
          </w:p>
        </w:tc>
        <w:tc>
          <w:tcPr>
            <w:tcW w:w="1340" w:type="dxa"/>
            <w:vAlign w:val="bottom"/>
          </w:tcPr>
          <w:p>
            <w:pPr>
              <w:jc w:val="right"/>
              <w:ind w:right="181"/>
              <w:spacing w:after="0"/>
              <w:rPr>
                <w:sz w:val="20"/>
                <w:szCs w:val="20"/>
                <w:color w:val="auto"/>
              </w:rPr>
            </w:pPr>
            <w:r>
              <w:rPr>
                <w:rFonts w:ascii="Arial" w:cs="Arial" w:eastAsia="Arial" w:hAnsi="Arial"/>
                <w:sz w:val="18"/>
                <w:szCs w:val="18"/>
                <w:i w:val="1"/>
                <w:iCs w:val="1"/>
                <w:color w:val="auto"/>
              </w:rPr>
              <w:t>18.6</w:t>
            </w:r>
          </w:p>
        </w:tc>
      </w:tr>
      <w:tr>
        <w:trPr>
          <w:trHeight w:val="27"/>
        </w:trPr>
        <w:tc>
          <w:tcPr>
            <w:tcW w:w="7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Distribution and other revenue decreased for the three months ended March 31, 2019 compared to the same period in 2018 primarily due to our broadcast of the 2018 PyeongChang Olympics. Excluding $112 million of revenue associated with our broadcast of the 2018 PyeongChang Olympics, distribution and other revenue increased primarily due to increases in fees recognized under our retransmission consent agreements.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Content licensing revenue increased for the three months ended March 31, 2019 compared to the same period in 2018 primarily due to the timing of content provided under our licensing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decreased for the three months ended March 31, 2019 compared to the same period in 2018 primarily due to a decrease in programming and production costs. The decrease in programming and production costs was primarily due to the absence of programming and production costs associated with our broadcasts of the 2018 PyeongChang Olympics and the 2018 Super Bowl, partially offset by higher studio production costs and our continued investment in original programming.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445</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423</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22</w:t>
            </w:r>
          </w:p>
        </w:tc>
        <w:tc>
          <w:tcPr>
            <w:tcW w:w="104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817</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733</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84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11.5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267</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248</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7.4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239</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243</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(4)</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1,768</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1,647</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121</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7.4</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733</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735</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261</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301</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(40)</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410</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408</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1,404</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1,444</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(40)</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(2.7)</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364</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203</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161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78.7 %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Filmed Entertainment revenue increased for the three months ended March 31, 2019 compared to the same period in 2018 due to increases in content licensing revenue, theatrical revenue and home entertainment revenue. The increase in content licensing revenue was primarily due to the timing of when content was made available under licensing agreements. The increase in theatrical revenue was primarily due to the strong performances of several releases in our 2019 slate, including </w:t>
      </w:r>
      <w:r>
        <w:rPr>
          <w:rFonts w:ascii="Arial" w:cs="Arial" w:eastAsia="Arial" w:hAnsi="Arial"/>
          <w:sz w:val="17"/>
          <w:szCs w:val="17"/>
          <w:i w:val="1"/>
          <w:iCs w:val="1"/>
          <w:color w:val="auto"/>
        </w:rPr>
        <w:t>How to Train Your Dragon: The Hidden World, Us</w:t>
      </w:r>
      <w:r>
        <w:rPr>
          <w:rFonts w:ascii="Arial" w:cs="Arial" w:eastAsia="Arial" w:hAnsi="Arial"/>
          <w:sz w:val="17"/>
          <w:szCs w:val="17"/>
          <w:color w:val="auto"/>
        </w:rPr>
        <w:t xml:space="preserve"> and </w:t>
      </w:r>
      <w:r>
        <w:rPr>
          <w:rFonts w:ascii="Arial" w:cs="Arial" w:eastAsia="Arial" w:hAnsi="Arial"/>
          <w:sz w:val="17"/>
          <w:szCs w:val="17"/>
          <w:i w:val="1"/>
          <w:iCs w:val="1"/>
          <w:color w:val="auto"/>
        </w:rPr>
        <w:t>Glass</w:t>
      </w:r>
      <w:r>
        <w:rPr>
          <w:rFonts w:ascii="Arial" w:cs="Arial" w:eastAsia="Arial" w:hAnsi="Arial"/>
          <w:sz w:val="17"/>
          <w:szCs w:val="17"/>
          <w:color w:val="auto"/>
        </w:rPr>
        <w:t xml:space="preserve">, which were partially offset by successful performances of several releases in prior year period, including </w:t>
      </w:r>
      <w:r>
        <w:rPr>
          <w:rFonts w:ascii="Arial" w:cs="Arial" w:eastAsia="Arial" w:hAnsi="Arial"/>
          <w:sz w:val="17"/>
          <w:szCs w:val="17"/>
          <w:i w:val="1"/>
          <w:iCs w:val="1"/>
          <w:color w:val="auto"/>
        </w:rPr>
        <w:t>Fifty Shades Freed</w:t>
      </w:r>
      <w:r>
        <w:rPr>
          <w:rFonts w:ascii="Arial" w:cs="Arial" w:eastAsia="Arial" w:hAnsi="Arial"/>
          <w:sz w:val="17"/>
          <w:szCs w:val="17"/>
          <w:color w:val="auto"/>
        </w:rPr>
        <w:t xml:space="preserve">, </w:t>
      </w:r>
      <w:r>
        <w:rPr>
          <w:rFonts w:ascii="Arial" w:cs="Arial" w:eastAsia="Arial" w:hAnsi="Arial"/>
          <w:sz w:val="17"/>
          <w:szCs w:val="17"/>
          <w:i w:val="1"/>
          <w:iCs w:val="1"/>
          <w:color w:val="auto"/>
        </w:rPr>
        <w:t>Pacific Rim Uprising</w:t>
      </w:r>
      <w:r>
        <w:rPr>
          <w:rFonts w:ascii="Arial" w:cs="Arial" w:eastAsia="Arial" w:hAnsi="Arial"/>
          <w:sz w:val="17"/>
          <w:szCs w:val="17"/>
          <w:color w:val="auto"/>
        </w:rPr>
        <w:t xml:space="preserve">, </w:t>
      </w:r>
      <w:r>
        <w:rPr>
          <w:rFonts w:ascii="Arial" w:cs="Arial" w:eastAsia="Arial" w:hAnsi="Arial"/>
          <w:sz w:val="17"/>
          <w:szCs w:val="17"/>
          <w:i w:val="1"/>
          <w:iCs w:val="1"/>
          <w:color w:val="auto"/>
        </w:rPr>
        <w:t>Darkest Hour</w:t>
      </w:r>
      <w:r>
        <w:rPr>
          <w:rFonts w:ascii="Arial" w:cs="Arial" w:eastAsia="Arial" w:hAnsi="Arial"/>
          <w:sz w:val="17"/>
          <w:szCs w:val="17"/>
          <w:color w:val="auto"/>
        </w:rPr>
        <w:t xml:space="preserve"> and </w:t>
      </w:r>
      <w:r>
        <w:rPr>
          <w:rFonts w:ascii="Arial" w:cs="Arial" w:eastAsia="Arial" w:hAnsi="Arial"/>
          <w:sz w:val="17"/>
          <w:szCs w:val="17"/>
          <w:i w:val="1"/>
          <w:iCs w:val="1"/>
          <w:color w:val="auto"/>
        </w:rPr>
        <w:t>Pitch Perfect 3.</w:t>
      </w:r>
      <w:r>
        <w:rPr>
          <w:rFonts w:ascii="Arial" w:cs="Arial" w:eastAsia="Arial" w:hAnsi="Arial"/>
          <w:sz w:val="17"/>
          <w:szCs w:val="17"/>
          <w:color w:val="auto"/>
        </w:rPr>
        <w:t xml:space="preserve"> Home entertainment revenue increased primarily due to higher sales of 2019 releases, including </w:t>
      </w:r>
      <w:r>
        <w:rPr>
          <w:rFonts w:ascii="Arial" w:cs="Arial" w:eastAsia="Arial" w:hAnsi="Arial"/>
          <w:sz w:val="17"/>
          <w:szCs w:val="17"/>
          <w:i w:val="1"/>
          <w:iCs w:val="1"/>
          <w:color w:val="auto"/>
        </w:rPr>
        <w:t>Dr. Seuss</w:t>
      </w:r>
      <w:r>
        <w:rPr>
          <w:rFonts w:ascii="Arial" w:cs="Arial" w:eastAsia="Arial" w:hAnsi="Arial"/>
          <w:sz w:val="17"/>
          <w:szCs w:val="17"/>
          <w:color w:val="auto"/>
        </w:rPr>
        <w:t xml:space="preserve">’ </w:t>
      </w:r>
      <w:r>
        <w:rPr>
          <w:rFonts w:ascii="Arial" w:cs="Arial" w:eastAsia="Arial" w:hAnsi="Arial"/>
          <w:sz w:val="17"/>
          <w:szCs w:val="17"/>
          <w:i w:val="1"/>
          <w:iCs w:val="1"/>
          <w:color w:val="auto"/>
        </w:rPr>
        <w:t>The Grinch</w:t>
      </w:r>
      <w:r>
        <w:rPr>
          <w:rFonts w:ascii="Arial" w:cs="Arial" w:eastAsia="Arial" w:hAnsi="Arial"/>
          <w:sz w:val="17"/>
          <w:szCs w:val="17"/>
          <w:color w:val="auto"/>
        </w:rPr>
        <w:t xml:space="preserve">, </w:t>
      </w:r>
      <w:r>
        <w:rPr>
          <w:rFonts w:ascii="Arial" w:cs="Arial" w:eastAsia="Arial" w:hAnsi="Arial"/>
          <w:sz w:val="17"/>
          <w:szCs w:val="17"/>
          <w:i w:val="1"/>
          <w:iCs w:val="1"/>
          <w:color w:val="auto"/>
        </w:rPr>
        <w:t>Halloween</w:t>
      </w:r>
      <w:r>
        <w:rPr>
          <w:rFonts w:ascii="Arial" w:cs="Arial" w:eastAsia="Arial" w:hAnsi="Arial"/>
          <w:sz w:val="17"/>
          <w:szCs w:val="17"/>
          <w:color w:val="auto"/>
        </w:rPr>
        <w:t xml:space="preserve"> and </w:t>
      </w:r>
      <w:r>
        <w:rPr>
          <w:rFonts w:ascii="Arial" w:cs="Arial" w:eastAsia="Arial" w:hAnsi="Arial"/>
          <w:sz w:val="17"/>
          <w:szCs w:val="17"/>
          <w:i w:val="1"/>
          <w:iCs w:val="1"/>
          <w:color w:val="auto"/>
        </w:rPr>
        <w:t>Night School</w:t>
      </w:r>
      <w:r>
        <w:rPr>
          <w:rFonts w:ascii="Arial" w:cs="Arial" w:eastAsia="Arial" w:hAnsi="Arial"/>
          <w:sz w:val="17"/>
          <w:szCs w:val="17"/>
          <w:color w:val="auto"/>
        </w:rPr>
        <w:t xml:space="preserve">, which were partially offset by sales of 2018 releases in the prior year period, including </w:t>
      </w:r>
      <w:r>
        <w:rPr>
          <w:rFonts w:ascii="Arial" w:cs="Arial" w:eastAsia="Arial" w:hAnsi="Arial"/>
          <w:sz w:val="17"/>
          <w:szCs w:val="17"/>
          <w:i w:val="1"/>
          <w:iCs w:val="1"/>
          <w:color w:val="auto"/>
        </w:rPr>
        <w:t>American Made</w:t>
      </w:r>
      <w:r>
        <w:rPr>
          <w:rFonts w:ascii="Arial" w:cs="Arial" w:eastAsia="Arial" w:hAnsi="Arial"/>
          <w:sz w:val="17"/>
          <w:szCs w:val="17"/>
          <w:color w:val="auto"/>
        </w:rPr>
        <w:t xml:space="preserve">, </w:t>
      </w:r>
      <w:r>
        <w:rPr>
          <w:rFonts w:ascii="Arial" w:cs="Arial" w:eastAsia="Arial" w:hAnsi="Arial"/>
          <w:sz w:val="17"/>
          <w:szCs w:val="17"/>
          <w:i w:val="1"/>
          <w:iCs w:val="1"/>
          <w:color w:val="auto"/>
        </w:rPr>
        <w:t>Pitch Perfect 3 and Despicable Me 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costs and expenses decreased for the three months ended March 31, 2019 compared to the same period in 2018 primarily due to decreases in other operating and administrative costs due to the absence of expenses associated with the sale of a business in 2018 and a reduction in employee-related costs.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right"/>
              <w:ind w:right="159"/>
              <w:spacing w:after="0"/>
              <w:rPr>
                <w:sz w:val="20"/>
                <w:szCs w:val="20"/>
                <w:color w:val="auto"/>
              </w:rPr>
            </w:pPr>
            <w:r>
              <w:rPr>
                <w:rFonts w:ascii="Arial" w:cs="Arial" w:eastAsia="Arial" w:hAnsi="Arial"/>
                <w:sz w:val="14"/>
                <w:szCs w:val="14"/>
                <w:color w:val="auto"/>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1,276</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1,281</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(5)</w:t>
            </w: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778</w:t>
            </w:r>
          </w:p>
        </w:tc>
        <w:tc>
          <w:tcPr>
            <w:tcW w:w="70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786</w:t>
            </w:r>
          </w:p>
        </w:tc>
        <w:tc>
          <w:tcPr>
            <w:tcW w:w="560" w:type="dxa"/>
            <w:vAlign w:val="bottom"/>
          </w:tcPr>
          <w:p>
            <w:pPr>
              <w:spacing w:after="0"/>
              <w:rPr>
                <w:sz w:val="23"/>
                <w:szCs w:val="23"/>
                <w:color w:val="auto"/>
              </w:rPr>
            </w:pP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(8)</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(0.9)</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9"/>
              <w:spacing w:after="0"/>
              <w:rPr>
                <w:sz w:val="20"/>
                <w:szCs w:val="20"/>
                <w:color w:val="auto"/>
              </w:rPr>
            </w:pPr>
            <w:r>
              <w:rPr>
                <w:rFonts w:ascii="Arial" w:cs="Arial" w:eastAsia="Arial" w:hAnsi="Arial"/>
                <w:sz w:val="18"/>
                <w:szCs w:val="18"/>
                <w:b w:val="1"/>
                <w:bCs w:val="1"/>
                <w:color w:val="auto"/>
              </w:rPr>
              <w:t>498</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b w:val="1"/>
                <w:bCs w:val="1"/>
                <w:color w:val="auto"/>
              </w:rPr>
              <w:t>495</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9"/>
              <w:spacing w:after="0"/>
              <w:rPr>
                <w:sz w:val="20"/>
                <w:szCs w:val="20"/>
                <w:color w:val="auto"/>
              </w:rPr>
            </w:pPr>
            <w:r>
              <w:rPr>
                <w:rFonts w:ascii="Arial" w:cs="Arial" w:eastAsia="Arial" w:hAnsi="Arial"/>
                <w:sz w:val="18"/>
                <w:szCs w:val="18"/>
                <w:b w:val="1"/>
                <w:bCs w:val="1"/>
                <w:color w:val="auto"/>
              </w:rPr>
              <w:t>3</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0.5 %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Theme Parks revenue was relatively consistent for the three months ended March 31, 2019 compared to the same period in 2018, reflecting modest declines in attendance, in part due to the timing of spring holidays, which benefited the same period last year, and modest declines in guest spending.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Theme Parks operating costs and expenses remained flat for the three months ended March 31, 2019 compared to the same period in 2018.</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Segment Results of Operations</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discussion below compares Sky’s actual results for the three months ended March 31, 2019 to pro forma results for Sky for the three months ended March 31, 2018. The pro forma segment information includes adjustments as if the Sky transaction occurred on January 1, 2017. Our pro forma data is also adjusted for the effects of acquisition accounting and eliminating the costs and expenses directly related to the transaction, but does not include adjustments for costs related to integration activities, cost savings or synergies that have been or may be achieved by the combined business. Pro forma amounts are not necessarily indicative of what our results would have been had we operated the Sky business since January 1, 2017, nor of our future results.</w:t>
      </w:r>
    </w:p>
    <w:p>
      <w:pPr>
        <w:sectPr>
          <w:pgSz w:w="11900" w:h="16838" w:orient="portrait"/>
          <w:cols w:equalWidth="0" w:num="1">
            <w:col w:w="11420"/>
          </w:cols>
          <w:pgMar w:left="240" w:top="175"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75"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ind w:right="980"/>
        <w:spacing w:after="0"/>
        <w:rPr>
          <w:sz w:val="20"/>
          <w:szCs w:val="20"/>
          <w:color w:val="auto"/>
        </w:rPr>
      </w:pPr>
      <w:r>
        <w:rPr>
          <w:rFonts w:ascii="Arial" w:cs="Arial" w:eastAsia="Arial" w:hAnsi="Arial"/>
          <w:sz w:val="14"/>
          <w:szCs w:val="14"/>
          <w:color w:val="auto"/>
        </w:rPr>
        <w:t>Three Months Ended</w:t>
      </w:r>
    </w:p>
    <w:p>
      <w:pPr>
        <w:jc w:val="center"/>
        <w:ind w:right="980"/>
        <w:spacing w:after="0"/>
        <w:rPr>
          <w:sz w:val="20"/>
          <w:szCs w:val="20"/>
          <w:color w:val="auto"/>
        </w:rPr>
      </w:pPr>
      <w:r>
        <w:rPr>
          <w:rFonts w:ascii="Arial" w:cs="Arial" w:eastAsia="Arial" w:hAnsi="Arial"/>
          <w:sz w:val="14"/>
          <w:szCs w:val="14"/>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Increase/</w:t>
            </w:r>
          </w:p>
        </w:tc>
        <w:tc>
          <w:tcPr>
            <w:tcW w:w="1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4"/>
              </w:rPr>
              <w:t>Constant Currency</w:t>
            </w:r>
          </w:p>
        </w:tc>
      </w:tr>
      <w:tr>
        <w:trPr>
          <w:trHeight w:val="188"/>
        </w:trPr>
        <w:tc>
          <w:tcPr>
            <w:tcW w:w="36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Actual</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Pro Forma</w:t>
            </w: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(Decrease)</w:t>
            </w:r>
          </w:p>
        </w:tc>
        <w:tc>
          <w:tcPr>
            <w:tcW w:w="1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Growth</w:t>
            </w:r>
            <w:r>
              <w:rPr>
                <w:rFonts w:ascii="Arial" w:cs="Arial" w:eastAsia="Arial" w:hAnsi="Arial"/>
                <w:sz w:val="8"/>
                <w:szCs w:val="8"/>
                <w:color w:val="auto"/>
                <w:w w:val="98"/>
              </w:rPr>
              <w:t>(a)</w:t>
            </w: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Direct-to-consumer</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3,834</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4,132</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14"/>
              <w:spacing w:after="0"/>
              <w:rPr>
                <w:sz w:val="20"/>
                <w:szCs w:val="20"/>
                <w:color w:val="auto"/>
              </w:rPr>
            </w:pPr>
            <w:r>
              <w:rPr>
                <w:rFonts w:ascii="Arial" w:cs="Arial" w:eastAsia="Arial" w:hAnsi="Arial"/>
                <w:sz w:val="18"/>
                <w:szCs w:val="18"/>
                <w:color w:val="auto"/>
              </w:rPr>
              <w:t>(298)</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(7.2)%</w:t>
            </w: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Content</w:t>
            </w:r>
          </w:p>
        </w:tc>
        <w:tc>
          <w:tcPr>
            <w:tcW w:w="92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370</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286</w:t>
            </w:r>
          </w:p>
        </w:tc>
        <w:tc>
          <w:tcPr>
            <w:tcW w:w="600" w:type="dxa"/>
            <w:vAlign w:val="bottom"/>
          </w:tcPr>
          <w:p>
            <w:pPr>
              <w:spacing w:after="0"/>
              <w:rPr>
                <w:sz w:val="23"/>
                <w:szCs w:val="23"/>
                <w:color w:val="auto"/>
              </w:rPr>
            </w:pPr>
          </w:p>
        </w:tc>
        <w:tc>
          <w:tcPr>
            <w:tcW w:w="1500" w:type="dxa"/>
            <w:vAlign w:val="bottom"/>
          </w:tcPr>
          <w:p>
            <w:pPr>
              <w:jc w:val="right"/>
              <w:ind w:right="574"/>
              <w:spacing w:after="0"/>
              <w:rPr>
                <w:sz w:val="20"/>
                <w:szCs w:val="20"/>
                <w:color w:val="auto"/>
              </w:rPr>
            </w:pPr>
            <w:r>
              <w:rPr>
                <w:rFonts w:ascii="Arial" w:cs="Arial" w:eastAsia="Arial" w:hAnsi="Arial"/>
                <w:sz w:val="18"/>
                <w:szCs w:val="18"/>
                <w:color w:val="auto"/>
              </w:rPr>
              <w:t>84</w:t>
            </w: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29.5</w:t>
            </w:r>
          </w:p>
        </w:tc>
        <w:tc>
          <w:tcPr>
            <w:tcW w:w="1460" w:type="dxa"/>
            <w:vAlign w:val="bottom"/>
          </w:tcPr>
          <w:p>
            <w:pPr>
              <w:jc w:val="right"/>
              <w:ind w:right="174"/>
              <w:spacing w:after="0"/>
              <w:rPr>
                <w:sz w:val="20"/>
                <w:szCs w:val="20"/>
                <w:color w:val="auto"/>
              </w:rPr>
            </w:pPr>
            <w:r>
              <w:rPr>
                <w:rFonts w:ascii="Arial" w:cs="Arial" w:eastAsia="Arial" w:hAnsi="Arial"/>
                <w:sz w:val="18"/>
                <w:szCs w:val="18"/>
                <w:color w:val="auto"/>
              </w:rPr>
              <w:t>38.0</w:t>
            </w: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92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593</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631</w:t>
            </w:r>
          </w:p>
        </w:tc>
        <w:tc>
          <w:tcPr>
            <w:tcW w:w="600" w:type="dxa"/>
            <w:vAlign w:val="bottom"/>
          </w:tcPr>
          <w:p>
            <w:pPr>
              <w:spacing w:after="0"/>
              <w:rPr>
                <w:sz w:val="23"/>
                <w:szCs w:val="23"/>
                <w:color w:val="auto"/>
              </w:rPr>
            </w:pPr>
          </w:p>
        </w:tc>
        <w:tc>
          <w:tcPr>
            <w:tcW w:w="1500" w:type="dxa"/>
            <w:vAlign w:val="bottom"/>
          </w:tcPr>
          <w:p>
            <w:pPr>
              <w:jc w:val="right"/>
              <w:ind w:right="514"/>
              <w:spacing w:after="0"/>
              <w:rPr>
                <w:sz w:val="20"/>
                <w:szCs w:val="20"/>
                <w:color w:val="auto"/>
              </w:rPr>
            </w:pPr>
            <w:r>
              <w:rPr>
                <w:rFonts w:ascii="Arial" w:cs="Arial" w:eastAsia="Arial" w:hAnsi="Arial"/>
                <w:sz w:val="18"/>
                <w:szCs w:val="18"/>
                <w:color w:val="auto"/>
              </w:rPr>
              <w:t>(38)</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(6.0)</w:t>
            </w:r>
          </w:p>
        </w:tc>
        <w:tc>
          <w:tcPr>
            <w:tcW w:w="1460" w:type="dxa"/>
            <w:vAlign w:val="bottom"/>
          </w:tcPr>
          <w:p>
            <w:pPr>
              <w:jc w:val="right"/>
              <w:ind w:right="174"/>
              <w:spacing w:after="0"/>
              <w:rPr>
                <w:sz w:val="20"/>
                <w:szCs w:val="20"/>
                <w:color w:val="auto"/>
              </w:rPr>
            </w:pPr>
            <w:r>
              <w:rPr>
                <w:rFonts w:ascii="Arial" w:cs="Arial" w:eastAsia="Arial" w:hAnsi="Arial"/>
                <w:sz w:val="18"/>
                <w:szCs w:val="18"/>
                <w:color w:val="auto"/>
              </w:rPr>
              <w:t>0.7</w:t>
            </w:r>
          </w:p>
        </w:tc>
      </w:tr>
      <w:tr>
        <w:trPr>
          <w:trHeight w:val="27"/>
        </w:trPr>
        <w:tc>
          <w:tcPr>
            <w:tcW w:w="3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9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4,797</w:t>
            </w:r>
          </w:p>
        </w:tc>
        <w:tc>
          <w:tcPr>
            <w:tcW w:w="42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5,049</w:t>
            </w:r>
          </w:p>
        </w:tc>
        <w:tc>
          <w:tcPr>
            <w:tcW w:w="600" w:type="dxa"/>
            <w:vAlign w:val="bottom"/>
          </w:tcPr>
          <w:p>
            <w:pPr>
              <w:spacing w:after="0"/>
              <w:rPr>
                <w:sz w:val="20"/>
                <w:szCs w:val="20"/>
                <w:color w:val="auto"/>
              </w:rPr>
            </w:pPr>
          </w:p>
        </w:tc>
        <w:tc>
          <w:tcPr>
            <w:tcW w:w="1500" w:type="dxa"/>
            <w:vAlign w:val="bottom"/>
          </w:tcPr>
          <w:p>
            <w:pPr>
              <w:jc w:val="right"/>
              <w:ind w:right="514"/>
              <w:spacing w:after="0"/>
              <w:rPr>
                <w:sz w:val="20"/>
                <w:szCs w:val="20"/>
                <w:color w:val="auto"/>
              </w:rPr>
            </w:pPr>
            <w:r>
              <w:rPr>
                <w:rFonts w:ascii="Arial" w:cs="Arial" w:eastAsia="Arial" w:hAnsi="Arial"/>
                <w:sz w:val="18"/>
                <w:szCs w:val="18"/>
                <w:b w:val="1"/>
                <w:bCs w:val="1"/>
                <w:color w:val="auto"/>
              </w:rPr>
              <w:t>(252)</w:t>
            </w:r>
          </w:p>
        </w:tc>
        <w:tc>
          <w:tcPr>
            <w:tcW w:w="1100" w:type="dxa"/>
            <w:vAlign w:val="bottom"/>
          </w:tcPr>
          <w:p>
            <w:pPr>
              <w:jc w:val="right"/>
              <w:ind w:right="272"/>
              <w:spacing w:after="0"/>
              <w:rPr>
                <w:sz w:val="20"/>
                <w:szCs w:val="20"/>
                <w:color w:val="auto"/>
              </w:rPr>
            </w:pPr>
            <w:r>
              <w:rPr>
                <w:rFonts w:ascii="Arial" w:cs="Arial" w:eastAsia="Arial" w:hAnsi="Arial"/>
                <w:sz w:val="18"/>
                <w:szCs w:val="18"/>
                <w:b w:val="1"/>
                <w:bCs w:val="1"/>
                <w:color w:val="auto"/>
              </w:rPr>
              <w:t>(5.0)</w:t>
            </w:r>
          </w:p>
        </w:tc>
        <w:tc>
          <w:tcPr>
            <w:tcW w:w="1460" w:type="dxa"/>
            <w:vAlign w:val="bottom"/>
          </w:tcPr>
          <w:p>
            <w:pPr>
              <w:jc w:val="right"/>
              <w:ind w:right="174"/>
              <w:spacing w:after="0"/>
              <w:rPr>
                <w:sz w:val="20"/>
                <w:szCs w:val="20"/>
                <w:color w:val="auto"/>
              </w:rPr>
            </w:pPr>
            <w:r>
              <w:rPr>
                <w:rFonts w:ascii="Arial" w:cs="Arial" w:eastAsia="Arial" w:hAnsi="Arial"/>
                <w:sz w:val="18"/>
                <w:szCs w:val="18"/>
                <w:b w:val="1"/>
                <w:bCs w:val="1"/>
                <w:color w:val="auto"/>
              </w:rPr>
              <w:t>1.9</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92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2,301</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2,261</w:t>
            </w:r>
          </w:p>
        </w:tc>
        <w:tc>
          <w:tcPr>
            <w:tcW w:w="600" w:type="dxa"/>
            <w:vAlign w:val="bottom"/>
          </w:tcPr>
          <w:p>
            <w:pPr>
              <w:spacing w:after="0"/>
              <w:rPr>
                <w:sz w:val="23"/>
                <w:szCs w:val="23"/>
                <w:color w:val="auto"/>
              </w:rPr>
            </w:pPr>
          </w:p>
        </w:tc>
        <w:tc>
          <w:tcPr>
            <w:tcW w:w="1500" w:type="dxa"/>
            <w:vAlign w:val="bottom"/>
          </w:tcPr>
          <w:p>
            <w:pPr>
              <w:jc w:val="right"/>
              <w:ind w:right="574"/>
              <w:spacing w:after="0"/>
              <w:rPr>
                <w:sz w:val="20"/>
                <w:szCs w:val="20"/>
                <w:color w:val="auto"/>
              </w:rPr>
            </w:pPr>
            <w:r>
              <w:rPr>
                <w:rFonts w:ascii="Arial" w:cs="Arial" w:eastAsia="Arial" w:hAnsi="Arial"/>
                <w:sz w:val="18"/>
                <w:szCs w:val="18"/>
                <w:color w:val="auto"/>
              </w:rPr>
              <w:t>40</w:t>
            </w: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1.8</w:t>
            </w:r>
          </w:p>
        </w:tc>
        <w:tc>
          <w:tcPr>
            <w:tcW w:w="1460" w:type="dxa"/>
            <w:vAlign w:val="bottom"/>
          </w:tcPr>
          <w:p>
            <w:pPr>
              <w:jc w:val="right"/>
              <w:ind w:right="174"/>
              <w:spacing w:after="0"/>
              <w:rPr>
                <w:sz w:val="20"/>
                <w:szCs w:val="20"/>
                <w:color w:val="auto"/>
              </w:rPr>
            </w:pPr>
            <w:r>
              <w:rPr>
                <w:rFonts w:ascii="Arial" w:cs="Arial" w:eastAsia="Arial" w:hAnsi="Arial"/>
                <w:sz w:val="18"/>
                <w:szCs w:val="18"/>
                <w:color w:val="auto"/>
              </w:rPr>
              <w:t>9.3</w:t>
            </w: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Direct network costs</w:t>
            </w:r>
          </w:p>
        </w:tc>
        <w:tc>
          <w:tcPr>
            <w:tcW w:w="92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385</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401</w:t>
            </w:r>
          </w:p>
        </w:tc>
        <w:tc>
          <w:tcPr>
            <w:tcW w:w="600" w:type="dxa"/>
            <w:vAlign w:val="bottom"/>
          </w:tcPr>
          <w:p>
            <w:pPr>
              <w:spacing w:after="0"/>
              <w:rPr>
                <w:sz w:val="23"/>
                <w:szCs w:val="23"/>
                <w:color w:val="auto"/>
              </w:rPr>
            </w:pPr>
          </w:p>
        </w:tc>
        <w:tc>
          <w:tcPr>
            <w:tcW w:w="1500" w:type="dxa"/>
            <w:vAlign w:val="bottom"/>
          </w:tcPr>
          <w:p>
            <w:pPr>
              <w:jc w:val="right"/>
              <w:ind w:right="514"/>
              <w:spacing w:after="0"/>
              <w:rPr>
                <w:sz w:val="20"/>
                <w:szCs w:val="20"/>
                <w:color w:val="auto"/>
              </w:rPr>
            </w:pPr>
            <w:r>
              <w:rPr>
                <w:rFonts w:ascii="Arial" w:cs="Arial" w:eastAsia="Arial" w:hAnsi="Arial"/>
                <w:sz w:val="18"/>
                <w:szCs w:val="18"/>
                <w:color w:val="auto"/>
              </w:rPr>
              <w:t>(16)</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(3.9)</w:t>
            </w:r>
          </w:p>
        </w:tc>
        <w:tc>
          <w:tcPr>
            <w:tcW w:w="1460" w:type="dxa"/>
            <w:vAlign w:val="bottom"/>
          </w:tcPr>
          <w:p>
            <w:pPr>
              <w:jc w:val="right"/>
              <w:ind w:right="174"/>
              <w:spacing w:after="0"/>
              <w:rPr>
                <w:sz w:val="20"/>
                <w:szCs w:val="20"/>
                <w:color w:val="auto"/>
              </w:rPr>
            </w:pPr>
            <w:r>
              <w:rPr>
                <w:rFonts w:ascii="Arial" w:cs="Arial" w:eastAsia="Arial" w:hAnsi="Arial"/>
                <w:sz w:val="18"/>
                <w:szCs w:val="18"/>
                <w:color w:val="auto"/>
              </w:rPr>
              <w:t>2.6</w:t>
            </w: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1,448</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1,588</w:t>
            </w:r>
          </w:p>
        </w:tc>
        <w:tc>
          <w:tcPr>
            <w:tcW w:w="600" w:type="dxa"/>
            <w:vAlign w:val="bottom"/>
          </w:tcPr>
          <w:p>
            <w:pPr>
              <w:spacing w:after="0"/>
              <w:rPr>
                <w:sz w:val="23"/>
                <w:szCs w:val="23"/>
                <w:color w:val="auto"/>
              </w:rPr>
            </w:pPr>
          </w:p>
        </w:tc>
        <w:tc>
          <w:tcPr>
            <w:tcW w:w="1500" w:type="dxa"/>
            <w:vAlign w:val="bottom"/>
          </w:tcPr>
          <w:p>
            <w:pPr>
              <w:jc w:val="right"/>
              <w:ind w:right="514"/>
              <w:spacing w:after="0"/>
              <w:rPr>
                <w:sz w:val="20"/>
                <w:szCs w:val="20"/>
                <w:color w:val="auto"/>
              </w:rPr>
            </w:pPr>
            <w:r>
              <w:rPr>
                <w:rFonts w:ascii="Arial" w:cs="Arial" w:eastAsia="Arial" w:hAnsi="Arial"/>
                <w:sz w:val="18"/>
                <w:szCs w:val="18"/>
                <w:color w:val="auto"/>
              </w:rPr>
              <w:t>(140)</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(8.8)</w:t>
            </w:r>
          </w:p>
        </w:tc>
        <w:tc>
          <w:tcPr>
            <w:tcW w:w="1460" w:type="dxa"/>
            <w:vAlign w:val="bottom"/>
          </w:tcPr>
          <w:p>
            <w:pPr>
              <w:jc w:val="right"/>
              <w:ind w:right="134"/>
              <w:spacing w:after="0"/>
              <w:rPr>
                <w:sz w:val="20"/>
                <w:szCs w:val="20"/>
                <w:color w:val="auto"/>
              </w:rPr>
            </w:pPr>
            <w:r>
              <w:rPr>
                <w:rFonts w:ascii="Arial" w:cs="Arial" w:eastAsia="Arial" w:hAnsi="Arial"/>
                <w:sz w:val="18"/>
                <w:szCs w:val="18"/>
                <w:color w:val="auto"/>
              </w:rPr>
              <w:t>(2.2)</w:t>
            </w:r>
          </w:p>
        </w:tc>
      </w:tr>
      <w:tr>
        <w:trPr>
          <w:trHeight w:val="27"/>
        </w:trPr>
        <w:tc>
          <w:tcPr>
            <w:tcW w:w="3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9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4,134</w:t>
            </w:r>
          </w:p>
        </w:tc>
        <w:tc>
          <w:tcPr>
            <w:tcW w:w="42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4,250</w:t>
            </w:r>
          </w:p>
        </w:tc>
        <w:tc>
          <w:tcPr>
            <w:tcW w:w="600" w:type="dxa"/>
            <w:vAlign w:val="bottom"/>
          </w:tcPr>
          <w:p>
            <w:pPr>
              <w:spacing w:after="0"/>
              <w:rPr>
                <w:sz w:val="20"/>
                <w:szCs w:val="20"/>
                <w:color w:val="auto"/>
              </w:rPr>
            </w:pPr>
          </w:p>
        </w:tc>
        <w:tc>
          <w:tcPr>
            <w:tcW w:w="1500" w:type="dxa"/>
            <w:vAlign w:val="bottom"/>
          </w:tcPr>
          <w:p>
            <w:pPr>
              <w:jc w:val="right"/>
              <w:ind w:right="514"/>
              <w:spacing w:after="0"/>
              <w:rPr>
                <w:sz w:val="20"/>
                <w:szCs w:val="20"/>
                <w:color w:val="auto"/>
              </w:rPr>
            </w:pPr>
            <w:r>
              <w:rPr>
                <w:rFonts w:ascii="Arial" w:cs="Arial" w:eastAsia="Arial" w:hAnsi="Arial"/>
                <w:sz w:val="18"/>
                <w:szCs w:val="18"/>
                <w:color w:val="auto"/>
              </w:rPr>
              <w:t>(116)</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(2.7)</w:t>
            </w:r>
          </w:p>
        </w:tc>
        <w:tc>
          <w:tcPr>
            <w:tcW w:w="1460" w:type="dxa"/>
            <w:vAlign w:val="bottom"/>
          </w:tcPr>
          <w:p>
            <w:pPr>
              <w:jc w:val="right"/>
              <w:ind w:right="174"/>
              <w:spacing w:after="0"/>
              <w:rPr>
                <w:sz w:val="20"/>
                <w:szCs w:val="20"/>
                <w:color w:val="auto"/>
              </w:rPr>
            </w:pPr>
            <w:r>
              <w:rPr>
                <w:rFonts w:ascii="Arial" w:cs="Arial" w:eastAsia="Arial" w:hAnsi="Arial"/>
                <w:sz w:val="18"/>
                <w:szCs w:val="18"/>
                <w:color w:val="auto"/>
              </w:rPr>
              <w:t>4.4</w:t>
            </w:r>
          </w:p>
        </w:tc>
      </w:tr>
      <w:tr>
        <w:trPr>
          <w:trHeight w:val="27"/>
        </w:trPr>
        <w:tc>
          <w:tcPr>
            <w:tcW w:w="3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920" w:type="dxa"/>
            <w:vAlign w:val="bottom"/>
          </w:tcPr>
          <w:p>
            <w:pPr>
              <w:jc w:val="right"/>
              <w:ind w:right="719"/>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663</w:t>
            </w: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799</w:t>
            </w: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514"/>
              <w:spacing w:after="0"/>
              <w:rPr>
                <w:sz w:val="20"/>
                <w:szCs w:val="20"/>
                <w:color w:val="auto"/>
              </w:rPr>
            </w:pPr>
            <w:r>
              <w:rPr>
                <w:rFonts w:ascii="Arial" w:cs="Arial" w:eastAsia="Arial" w:hAnsi="Arial"/>
                <w:sz w:val="18"/>
                <w:szCs w:val="18"/>
                <w:b w:val="1"/>
                <w:bCs w:val="1"/>
                <w:color w:val="auto"/>
              </w:rPr>
              <w:t>(136)</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(17.0)%</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(11.3)%</w:t>
            </w:r>
          </w:p>
        </w:tc>
      </w:tr>
      <w:tr>
        <w:trPr>
          <w:trHeight w:val="34"/>
        </w:trPr>
        <w:tc>
          <w:tcPr>
            <w:tcW w:w="3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260" w:hanging="252"/>
        <w:spacing w:after="0" w:line="273"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37 for additional information, including our definition and our use of constant currency, and for a reconciliation of Sky’s constant currency growth rates.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00" w:type="dxa"/>
            <w:vAlign w:val="bottom"/>
            <w:tcBorders>
              <w:bottom w:val="single" w:sz="8" w:color="auto"/>
            </w:tcBorders>
          </w:tcPr>
          <w:p>
            <w:pPr>
              <w:jc w:val="center"/>
              <w:ind w:left="985"/>
              <w:spacing w:after="0"/>
              <w:rPr>
                <w:sz w:val="20"/>
                <w:szCs w:val="20"/>
                <w:color w:val="auto"/>
              </w:rPr>
            </w:pPr>
            <w:r>
              <w:rPr>
                <w:rFonts w:ascii="Arial" w:cs="Arial" w:eastAsia="Arial" w:hAnsi="Arial"/>
                <w:sz w:val="14"/>
                <w:szCs w:val="14"/>
                <w:color w:val="auto"/>
                <w:w w:val="96"/>
              </w:rPr>
              <w:t>Net Additions</w:t>
            </w:r>
          </w:p>
        </w:tc>
        <w:tc>
          <w:tcPr>
            <w:tcW w:w="1040" w:type="dxa"/>
            <w:vAlign w:val="bottom"/>
            <w:tcBorders>
              <w:bottom w:val="single" w:sz="8" w:color="auto"/>
            </w:tcBorders>
          </w:tcPr>
          <w:p>
            <w:pPr>
              <w:spacing w:after="0"/>
              <w:rPr>
                <w:sz w:val="16"/>
                <w:szCs w:val="16"/>
                <w:color w:val="auto"/>
              </w:rPr>
            </w:pPr>
          </w:p>
        </w:tc>
      </w:tr>
      <w:tr>
        <w:trPr>
          <w:trHeight w:val="156"/>
        </w:trPr>
        <w:tc>
          <w:tcPr>
            <w:tcW w:w="50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9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Three Months Ended</w:t>
            </w:r>
          </w:p>
        </w:tc>
      </w:tr>
      <w:tr>
        <w:trPr>
          <w:trHeight w:val="188"/>
        </w:trPr>
        <w:tc>
          <w:tcPr>
            <w:tcW w:w="5040" w:type="dxa"/>
            <w:vAlign w:val="bottom"/>
          </w:tcPr>
          <w:p>
            <w:pPr>
              <w:spacing w:after="0"/>
              <w:rPr>
                <w:sz w:val="16"/>
                <w:szCs w:val="16"/>
                <w:color w:val="auto"/>
              </w:rPr>
            </w:pPr>
          </w:p>
        </w:tc>
        <w:tc>
          <w:tcPr>
            <w:tcW w:w="2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March 31</w:t>
            </w:r>
          </w:p>
        </w:tc>
        <w:tc>
          <w:tcPr>
            <w:tcW w:w="1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left="985"/>
              <w:spacing w:after="0"/>
              <w:rPr>
                <w:sz w:val="20"/>
                <w:szCs w:val="20"/>
                <w:color w:val="auto"/>
              </w:rPr>
            </w:pPr>
            <w:r>
              <w:rPr>
                <w:rFonts w:ascii="Arial" w:cs="Arial" w:eastAsia="Arial" w:hAnsi="Arial"/>
                <w:sz w:val="14"/>
                <w:szCs w:val="14"/>
                <w:color w:val="auto"/>
                <w:w w:val="95"/>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2040" w:type="dxa"/>
            <w:vAlign w:val="bottom"/>
            <w:tcBorders>
              <w:bottom w:val="single" w:sz="8" w:color="auto"/>
            </w:tcBorders>
          </w:tcPr>
          <w:p>
            <w:pPr>
              <w:jc w:val="center"/>
              <w:ind w:right="484"/>
              <w:spacing w:after="0"/>
              <w:rPr>
                <w:sz w:val="20"/>
                <w:szCs w:val="20"/>
                <w:color w:val="auto"/>
              </w:rPr>
            </w:pPr>
            <w:r>
              <w:rPr>
                <w:rFonts w:ascii="Arial" w:cs="Arial" w:eastAsia="Arial" w:hAnsi="Arial"/>
                <w:sz w:val="14"/>
                <w:szCs w:val="14"/>
                <w:color w:val="auto"/>
              </w:rPr>
              <w:t>Actual</w:t>
            </w:r>
          </w:p>
        </w:tc>
        <w:tc>
          <w:tcPr>
            <w:tcW w:w="1400" w:type="dxa"/>
            <w:vAlign w:val="bottom"/>
            <w:tcBorders>
              <w:bottom w:val="single" w:sz="8" w:color="auto"/>
            </w:tcBorders>
          </w:tcPr>
          <w:p>
            <w:pPr>
              <w:jc w:val="center"/>
              <w:ind w:right="462"/>
              <w:spacing w:after="0"/>
              <w:rPr>
                <w:sz w:val="20"/>
                <w:szCs w:val="20"/>
                <w:color w:val="auto"/>
              </w:rPr>
            </w:pPr>
            <w:r>
              <w:rPr>
                <w:rFonts w:ascii="Arial" w:cs="Arial" w:eastAsia="Arial" w:hAnsi="Arial"/>
                <w:sz w:val="14"/>
                <w:szCs w:val="14"/>
                <w:color w:val="auto"/>
                <w:w w:val="93"/>
              </w:rPr>
              <w:t>Pro Forma</w:t>
            </w:r>
          </w:p>
        </w:tc>
        <w:tc>
          <w:tcPr>
            <w:tcW w:w="1900" w:type="dxa"/>
            <w:vAlign w:val="bottom"/>
            <w:tcBorders>
              <w:bottom w:val="single" w:sz="8" w:color="auto"/>
            </w:tcBorders>
          </w:tcPr>
          <w:p>
            <w:pPr>
              <w:jc w:val="center"/>
              <w:ind w:right="365"/>
              <w:spacing w:after="0"/>
              <w:rPr>
                <w:sz w:val="20"/>
                <w:szCs w:val="20"/>
                <w:color w:val="auto"/>
              </w:rPr>
            </w:pPr>
            <w:r>
              <w:rPr>
                <w:rFonts w:ascii="Arial" w:cs="Arial" w:eastAsia="Arial" w:hAnsi="Arial"/>
                <w:sz w:val="14"/>
                <w:szCs w:val="14"/>
                <w:color w:val="auto"/>
                <w:w w:val="97"/>
              </w:rPr>
              <w:t>Actual</w:t>
            </w:r>
          </w:p>
        </w:tc>
        <w:tc>
          <w:tcPr>
            <w:tcW w:w="104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color w:val="auto"/>
                <w:w w:val="90"/>
              </w:rPr>
              <w:t>Pro Forma</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40" w:type="dxa"/>
            <w:vAlign w:val="bottom"/>
            <w:tcBorders>
              <w:bottom w:val="single" w:sz="8" w:color="auto"/>
            </w:tcBorders>
          </w:tcPr>
          <w:p>
            <w:pPr>
              <w:jc w:val="right"/>
              <w:ind w:right="1084"/>
              <w:spacing w:after="0"/>
              <w:rPr>
                <w:sz w:val="20"/>
                <w:szCs w:val="20"/>
                <w:color w:val="auto"/>
              </w:rPr>
            </w:pPr>
            <w:r>
              <w:rPr>
                <w:rFonts w:ascii="Arial" w:cs="Arial" w:eastAsia="Arial" w:hAnsi="Arial"/>
                <w:sz w:val="14"/>
                <w:szCs w:val="14"/>
                <w:color w:val="auto"/>
              </w:rPr>
              <w:t>2019</w:t>
            </w:r>
          </w:p>
        </w:tc>
        <w:tc>
          <w:tcPr>
            <w:tcW w:w="140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color w:val="auto"/>
              </w:rPr>
              <w:t>2018</w:t>
            </w:r>
          </w:p>
        </w:tc>
        <w:tc>
          <w:tcPr>
            <w:tcW w:w="1900" w:type="dxa"/>
            <w:vAlign w:val="bottom"/>
            <w:tcBorders>
              <w:bottom w:val="single" w:sz="8" w:color="auto"/>
            </w:tcBorders>
          </w:tcPr>
          <w:p>
            <w:pPr>
              <w:jc w:val="right"/>
              <w:ind w:right="945"/>
              <w:spacing w:after="0"/>
              <w:rPr>
                <w:sz w:val="20"/>
                <w:szCs w:val="20"/>
                <w:color w:val="auto"/>
              </w:rPr>
            </w:pPr>
            <w:r>
              <w:rPr>
                <w:rFonts w:ascii="Arial" w:cs="Arial" w:eastAsia="Arial" w:hAnsi="Arial"/>
                <w:sz w:val="14"/>
                <w:szCs w:val="14"/>
                <w:color w:val="auto"/>
              </w:rPr>
              <w:t>2019</w:t>
            </w: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2040" w:type="dxa"/>
            <w:vAlign w:val="bottom"/>
          </w:tcPr>
          <w:p>
            <w:pPr>
              <w:jc w:val="right"/>
              <w:ind w:right="604"/>
              <w:spacing w:after="0"/>
              <w:rPr>
                <w:sz w:val="20"/>
                <w:szCs w:val="20"/>
                <w:color w:val="auto"/>
              </w:rPr>
            </w:pPr>
            <w:r>
              <w:rPr>
                <w:rFonts w:ascii="Arial" w:cs="Arial" w:eastAsia="Arial" w:hAnsi="Arial"/>
                <w:sz w:val="18"/>
                <w:szCs w:val="18"/>
                <w:color w:val="auto"/>
              </w:rPr>
              <w:t>23,712</w:t>
            </w:r>
          </w:p>
        </w:tc>
        <w:tc>
          <w:tcPr>
            <w:tcW w:w="1400" w:type="dxa"/>
            <w:vAlign w:val="bottom"/>
          </w:tcPr>
          <w:p>
            <w:pPr>
              <w:jc w:val="right"/>
              <w:ind w:right="262"/>
              <w:spacing w:after="0"/>
              <w:rPr>
                <w:sz w:val="20"/>
                <w:szCs w:val="20"/>
                <w:color w:val="auto"/>
              </w:rPr>
            </w:pPr>
            <w:r>
              <w:rPr>
                <w:rFonts w:ascii="Arial" w:cs="Arial" w:eastAsia="Arial" w:hAnsi="Arial"/>
                <w:sz w:val="18"/>
                <w:szCs w:val="18"/>
                <w:color w:val="auto"/>
              </w:rPr>
              <w:t>22,903</w:t>
            </w:r>
          </w:p>
        </w:tc>
        <w:tc>
          <w:tcPr>
            <w:tcW w:w="1900" w:type="dxa"/>
            <w:vAlign w:val="bottom"/>
          </w:tcPr>
          <w:p>
            <w:pPr>
              <w:jc w:val="right"/>
              <w:ind w:right="465"/>
              <w:spacing w:after="0"/>
              <w:rPr>
                <w:sz w:val="20"/>
                <w:szCs w:val="20"/>
                <w:color w:val="auto"/>
              </w:rPr>
            </w:pPr>
            <w:r>
              <w:rPr>
                <w:rFonts w:ascii="Arial" w:cs="Arial" w:eastAsia="Arial" w:hAnsi="Arial"/>
                <w:sz w:val="18"/>
                <w:szCs w:val="18"/>
                <w:color w:val="auto"/>
              </w:rPr>
              <w:t>112</w:t>
            </w: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38</w:t>
            </w:r>
          </w:p>
        </w:tc>
      </w:tr>
      <w:tr>
        <w:trPr>
          <w:trHeight w:val="27"/>
        </w:trPr>
        <w:tc>
          <w:tcPr>
            <w:tcW w:w="50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Sky customer relationships represent the number of residential retail customers that subscribe to at least one of Sky’s four primary services of video, high-speed internet, voice and wireless phone service. Commercial retail customers include hotels, bars, workplaces and restaurants with an active subscription for the purpose of providing Sky services to third party customers. We report commercial customers on a consistent basis based on the number of commercial agreements per venue in the U.K., a residential equivalent unit based upon the multiple of residential customer revenue in Italy and the number of active venues (bars and restaurants) or rooms (hotels and clinics) in Germany.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w:t>
      </w:r>
    </w:p>
    <w:p>
      <w:pPr>
        <w:spacing w:after="0" w:line="12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Direct-to-consumer revenue decreased 7.2% for the three months ended March 31, 2019 compared to the same period in 2018. Excluding the impact of foreign currency, direct-to-consumer revenue was relatively consistent for the three months ended March 31, 2019 compared to the same period in 2018, reflecting a decrease in average revenue per customer relationship, offset by an increase in customer relationships.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Content revenue increased 29.5% for the three months ended March 31, 2019 compared to the same period in 2018. Excluding the impact of foreign currency, content revenue increased 38.0% for the three months ended March 31, 2019 compared to the same period in 2018 primarily due to new sports programming licensing agreements, increased penetration of premium sports and movie channels on third party television networks and increased sales of original programming.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revenue decreased 6.0% for the three months ended March 31, 2019 compared to the same period in 2018. Excluding the impact of foreign currency, advertising revenue was flat for the three months ended March 31, 2019 compared to the same period in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Operating Costs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Programming and Production Costs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Programming and production costs increased 1.8% for the three months ended March 31, 2019 compared to the same period in 2018. Excluding the impact of foreign currency, programming and production costs increased 9.3% for the three months ended March 31, 2019 compared to the same period in 2018 primarily due to new sports programming contracts in Italy and Germany.</w:t>
      </w:r>
    </w:p>
    <w:p>
      <w:pPr>
        <w:sectPr>
          <w:pgSz w:w="11900" w:h="16838" w:orient="portrait"/>
          <w:cols w:equalWidth="0" w:num="1">
            <w:col w:w="11420"/>
          </w:cols>
          <w:pgMar w:left="240" w:top="17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75"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Network Costs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Direct network costs decreased 3.9% for the three months ended March 31, 2019 compared to the same period in 2018. Excluding the impact of foreign currency, direct network costs increased 2.6% for the three months ended March 31, 2019 compared to the same period in 2018 primarily due to an increase in costs associated with Sky’s wireless phone service as a result of an increase in the number of customers receiving the service.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expenses decreased 8.8% for the three months ended March 31, 2019 compared to the same period in 2018. Excluding the impact of foreign currency, other expenses decreased 2.2% for three months ended March 31, 2019 compared to the same period in 2018 primarily due to a decrease in marketing costs.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right"/>
              <w:ind w:right="138"/>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6"/>
                <w:szCs w:val="16"/>
                <w:color w:val="auto"/>
              </w:rPr>
            </w:pPr>
          </w:p>
        </w:tc>
      </w:tr>
      <w:tr>
        <w:trPr>
          <w:trHeight w:val="19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96"/>
              </w:rPr>
              <w:t>2018</w:t>
            </w: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19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108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243</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(135)</w:t>
            </w:r>
          </w:p>
        </w:tc>
        <w:tc>
          <w:tcPr>
            <w:tcW w:w="106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346</w:t>
            </w:r>
          </w:p>
        </w:tc>
        <w:tc>
          <w:tcPr>
            <w:tcW w:w="68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428</w:t>
            </w:r>
          </w:p>
        </w:tc>
        <w:tc>
          <w:tcPr>
            <w:tcW w:w="520" w:type="dxa"/>
            <w:vAlign w:val="bottom"/>
          </w:tcPr>
          <w:p>
            <w:pPr>
              <w:spacing w:after="0"/>
              <w:rPr>
                <w:sz w:val="23"/>
                <w:szCs w:val="23"/>
                <w:color w:val="auto"/>
              </w:rPr>
            </w:pP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(82)</w:t>
            </w: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(19.1)</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340" w:type="dxa"/>
            <w:vAlign w:val="bottom"/>
          </w:tcPr>
          <w:p>
            <w:pPr>
              <w:spacing w:after="0"/>
              <w:rPr>
                <w:sz w:val="23"/>
                <w:szCs w:val="23"/>
                <w:color w:val="auto"/>
              </w:rPr>
            </w:pP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(51)</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58"/>
              <w:spacing w:after="0"/>
              <w:rPr>
                <w:sz w:val="20"/>
                <w:szCs w:val="20"/>
                <w:color w:val="auto"/>
              </w:rPr>
            </w:pPr>
            <w:r>
              <w:rPr>
                <w:rFonts w:ascii="Arial" w:cs="Arial" w:eastAsia="Arial" w:hAnsi="Arial"/>
                <w:sz w:val="18"/>
                <w:szCs w:val="18"/>
                <w:b w:val="1"/>
                <w:bCs w:val="1"/>
                <w:color w:val="auto"/>
              </w:rPr>
              <w:t>(187)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(185)</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8"/>
              <w:spacing w:after="0"/>
              <w:rPr>
                <w:sz w:val="20"/>
                <w:szCs w:val="20"/>
                <w:color w:val="auto"/>
              </w:rPr>
            </w:pPr>
            <w:r>
              <w:rPr>
                <w:rFonts w:ascii="Arial" w:cs="Arial" w:eastAsia="Arial" w:hAnsi="Arial"/>
                <w:sz w:val="18"/>
                <w:szCs w:val="18"/>
                <w:b w:val="1"/>
                <w:bCs w:val="1"/>
                <w:color w:val="auto"/>
              </w:rPr>
              <w:t>(2)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primarily relates to revenue from Comcast Spectacor, which owns the Philadelphia Flyers and the Wells Fargo Center arena in Philadelphia, Pennsylvania.</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Corporate and Other revenue decreased for the three months ended March 31, 2019 primarily due to the sale of a controlling interest in our arena management-related businesses in the second quarter of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other business development initiatives, and operating costs and expenses associated with Comcast Spectacor.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and Other operating costs and expenses decreased for the three months ended March 31, 2019 primarily due to the sale of a controlling interest in our arena management-related businesses in the second quarter of 2018, which was partially offset by transaction-related expenses directly related to the Sky transaction, including expenses resulting from the replacement of share-based compensation awards. Corporate and Other Adjusted EBITDA excludes $51 million of transaction-related expenses.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Consolidated 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consolidated Adjusted EBITDA may not be directly comparable to similar measures used by other companies.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define consolidated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5"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net income, net income attributable to Comcast Corporation, or net cash provided by operating activities that we have reported in accordance with GAAP.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Attributable to Comcast Corporation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40" w:type="dxa"/>
            <w:vAlign w:val="bottom"/>
          </w:tcPr>
          <w:p>
            <w:pPr>
              <w:spacing w:after="0"/>
              <w:rPr>
                <w:sz w:val="14"/>
                <w:szCs w:val="14"/>
                <w:color w:val="auto"/>
              </w:rPr>
            </w:pPr>
          </w:p>
        </w:tc>
      </w:tr>
      <w:tr>
        <w:trPr>
          <w:trHeight w:val="188"/>
        </w:trPr>
        <w:tc>
          <w:tcPr>
            <w:tcW w:w="8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6"/>
                <w:szCs w:val="16"/>
                <w:color w:val="auto"/>
              </w:rPr>
            </w:pPr>
          </w:p>
        </w:tc>
      </w:tr>
      <w:tr>
        <w:trPr>
          <w:trHeight w:val="264"/>
        </w:trPr>
        <w:tc>
          <w:tcPr>
            <w:tcW w:w="8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w w:val="89"/>
              </w:rPr>
              <w:t>2018</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14"/>
              <w:spacing w:after="0"/>
              <w:rPr>
                <w:sz w:val="20"/>
                <w:szCs w:val="20"/>
                <w:color w:val="auto"/>
              </w:rPr>
            </w:pPr>
            <w:r>
              <w:rPr>
                <w:rFonts w:ascii="Arial" w:cs="Arial" w:eastAsia="Arial" w:hAnsi="Arial"/>
                <w:sz w:val="18"/>
                <w:szCs w:val="18"/>
                <w:b w:val="1"/>
                <w:bCs w:val="1"/>
                <w:color w:val="auto"/>
              </w:rPr>
              <w:t>3,553</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3,118</w:t>
            </w: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 and redeemable subsidiary preferred stock</w:t>
            </w:r>
          </w:p>
        </w:tc>
        <w:tc>
          <w:tcPr>
            <w:tcW w:w="34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79</w:t>
            </w:r>
          </w:p>
        </w:tc>
        <w:tc>
          <w:tcPr>
            <w:tcW w:w="66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58</w:t>
            </w: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1,076</w:t>
            </w:r>
          </w:p>
        </w:tc>
        <w:tc>
          <w:tcPr>
            <w:tcW w:w="66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818</w:t>
            </w: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1,150</w:t>
            </w:r>
          </w:p>
        </w:tc>
        <w:tc>
          <w:tcPr>
            <w:tcW w:w="66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777</w:t>
            </w: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40" w:type="dxa"/>
            <w:vAlign w:val="bottom"/>
          </w:tcPr>
          <w:p>
            <w:pPr>
              <w:spacing w:after="0"/>
              <w:rPr>
                <w:sz w:val="23"/>
                <w:szCs w:val="23"/>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(676)</w:t>
            </w:r>
          </w:p>
        </w:tc>
        <w:tc>
          <w:tcPr>
            <w:tcW w:w="6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2,240</w:t>
            </w:r>
          </w:p>
        </w:tc>
        <w:tc>
          <w:tcPr>
            <w:tcW w:w="66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2,011</w:t>
            </w: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1,080</w:t>
            </w:r>
          </w:p>
        </w:tc>
        <w:tc>
          <w:tcPr>
            <w:tcW w:w="66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588</w:t>
            </w: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34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14"/>
              <w:spacing w:after="0"/>
              <w:rPr>
                <w:sz w:val="20"/>
                <w:szCs w:val="20"/>
                <w:color w:val="auto"/>
              </w:rPr>
            </w:pPr>
            <w:r>
              <w:rPr>
                <w:rFonts w:ascii="Arial" w:cs="Arial" w:eastAsia="Arial" w:hAnsi="Arial"/>
                <w:sz w:val="18"/>
                <w:szCs w:val="18"/>
                <w:b w:val="1"/>
                <w:bCs w:val="1"/>
                <w:color w:val="auto"/>
              </w:rPr>
              <w:t>8,553</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7,244</w:t>
            </w:r>
          </w:p>
        </w:tc>
      </w:tr>
      <w:tr>
        <w:trPr>
          <w:trHeight w:val="34"/>
        </w:trPr>
        <w:tc>
          <w:tcPr>
            <w:tcW w:w="8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Sky Constant Currency Growth Rates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3"/>
          </w:tcPr>
          <w:p>
            <w:pPr>
              <w:jc w:val="right"/>
              <w:ind w:right="692"/>
              <w:spacing w:after="0"/>
              <w:rPr>
                <w:sz w:val="20"/>
                <w:szCs w:val="20"/>
                <w:color w:val="auto"/>
              </w:rPr>
            </w:pPr>
            <w:r>
              <w:rPr>
                <w:rFonts w:ascii="Arial" w:cs="Arial" w:eastAsia="Arial" w:hAnsi="Arial"/>
                <w:sz w:val="14"/>
                <w:szCs w:val="14"/>
                <w:color w:val="auto"/>
              </w:rPr>
              <w:t>Three Months Ended</w:t>
            </w:r>
          </w:p>
        </w:tc>
        <w:tc>
          <w:tcPr>
            <w:tcW w:w="1420" w:type="dxa"/>
            <w:vAlign w:val="bottom"/>
          </w:tcPr>
          <w:p>
            <w:pPr>
              <w:spacing w:after="0"/>
              <w:rPr>
                <w:sz w:val="14"/>
                <w:szCs w:val="14"/>
                <w:color w:val="auto"/>
              </w:rPr>
            </w:pPr>
          </w:p>
        </w:tc>
      </w:tr>
      <w:tr>
        <w:trPr>
          <w:trHeight w:val="188"/>
        </w:trPr>
        <w:tc>
          <w:tcPr>
            <w:tcW w:w="7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56"/>
        </w:trPr>
        <w:tc>
          <w:tcPr>
            <w:tcW w:w="7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jc w:val="center"/>
              <w:spacing w:after="0" w:line="157" w:lineRule="exact"/>
              <w:rPr>
                <w:sz w:val="20"/>
                <w:szCs w:val="20"/>
                <w:color w:val="auto"/>
              </w:rPr>
            </w:pPr>
            <w:r>
              <w:rPr>
                <w:rFonts w:ascii="Arial" w:cs="Arial" w:eastAsia="Arial" w:hAnsi="Arial"/>
                <w:sz w:val="14"/>
                <w:szCs w:val="14"/>
                <w:color w:val="auto"/>
                <w:w w:val="94"/>
              </w:rPr>
              <w:t>Constant Currency</w:t>
            </w:r>
          </w:p>
        </w:tc>
      </w:tr>
      <w:tr>
        <w:trPr>
          <w:trHeight w:val="188"/>
        </w:trPr>
        <w:tc>
          <w:tcPr>
            <w:tcW w:w="7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Actual</w:t>
            </w:r>
          </w:p>
        </w:tc>
        <w:tc>
          <w:tcPr>
            <w:tcW w:w="14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Constant Currency</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Growth</w:t>
            </w:r>
          </w:p>
        </w:tc>
      </w:tr>
      <w:tr>
        <w:trPr>
          <w:trHeight w:val="264"/>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2019</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2018</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7240" w:type="dxa"/>
            <w:vAlign w:val="bottom"/>
          </w:tcPr>
          <w:p>
            <w:pPr>
              <w:ind w:left="180"/>
              <w:spacing w:after="0"/>
              <w:rPr>
                <w:sz w:val="20"/>
                <w:szCs w:val="20"/>
                <w:color w:val="auto"/>
              </w:rPr>
            </w:pPr>
            <w:r>
              <w:rPr>
                <w:rFonts w:ascii="Arial" w:cs="Arial" w:eastAsia="Arial" w:hAnsi="Arial"/>
                <w:sz w:val="18"/>
                <w:szCs w:val="18"/>
                <w:color w:val="auto"/>
              </w:rPr>
              <w:t>Direct-to-consumer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3,834</w:t>
            </w:r>
          </w:p>
        </w:tc>
        <w:tc>
          <w:tcPr>
            <w:tcW w:w="4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3,851</w:t>
            </w: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7240" w:type="dxa"/>
            <w:vAlign w:val="bottom"/>
          </w:tcPr>
          <w:p>
            <w:pPr>
              <w:ind w:left="180"/>
              <w:spacing w:after="0"/>
              <w:rPr>
                <w:sz w:val="20"/>
                <w:szCs w:val="20"/>
                <w:color w:val="auto"/>
              </w:rPr>
            </w:pPr>
            <w:r>
              <w:rPr>
                <w:rFonts w:ascii="Arial" w:cs="Arial" w:eastAsia="Arial" w:hAnsi="Arial"/>
                <w:sz w:val="18"/>
                <w:szCs w:val="18"/>
                <w:color w:val="auto"/>
              </w:rPr>
              <w:t>Content</w:t>
            </w:r>
          </w:p>
        </w:tc>
        <w:tc>
          <w:tcPr>
            <w:tcW w:w="28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370</w:t>
            </w:r>
          </w:p>
        </w:tc>
        <w:tc>
          <w:tcPr>
            <w:tcW w:w="460" w:type="dxa"/>
            <w:vAlign w:val="bottom"/>
          </w:tcPr>
          <w:p>
            <w:pPr>
              <w:spacing w:after="0"/>
              <w:rPr>
                <w:sz w:val="23"/>
                <w:szCs w:val="23"/>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268</w:t>
            </w:r>
          </w:p>
        </w:tc>
        <w:tc>
          <w:tcPr>
            <w:tcW w:w="1420" w:type="dxa"/>
            <w:vAlign w:val="bottom"/>
          </w:tcPr>
          <w:p>
            <w:pPr>
              <w:jc w:val="right"/>
              <w:ind w:right="194"/>
              <w:spacing w:after="0"/>
              <w:rPr>
                <w:sz w:val="20"/>
                <w:szCs w:val="20"/>
                <w:color w:val="auto"/>
              </w:rPr>
            </w:pPr>
            <w:r>
              <w:rPr>
                <w:rFonts w:ascii="Arial" w:cs="Arial" w:eastAsia="Arial" w:hAnsi="Arial"/>
                <w:sz w:val="18"/>
                <w:szCs w:val="18"/>
                <w:color w:val="auto"/>
              </w:rPr>
              <w:t>38.0</w:t>
            </w:r>
          </w:p>
        </w:tc>
      </w:tr>
      <w:tr>
        <w:trPr>
          <w:trHeight w:val="270"/>
        </w:trPr>
        <w:tc>
          <w:tcPr>
            <w:tcW w:w="724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28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593</w:t>
            </w:r>
          </w:p>
        </w:tc>
        <w:tc>
          <w:tcPr>
            <w:tcW w:w="460" w:type="dxa"/>
            <w:vAlign w:val="bottom"/>
          </w:tcPr>
          <w:p>
            <w:pPr>
              <w:spacing w:after="0"/>
              <w:rPr>
                <w:sz w:val="23"/>
                <w:szCs w:val="23"/>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589</w:t>
            </w:r>
          </w:p>
        </w:tc>
        <w:tc>
          <w:tcPr>
            <w:tcW w:w="1420" w:type="dxa"/>
            <w:vAlign w:val="bottom"/>
          </w:tcPr>
          <w:p>
            <w:pPr>
              <w:jc w:val="right"/>
              <w:ind w:right="194"/>
              <w:spacing w:after="0"/>
              <w:rPr>
                <w:sz w:val="20"/>
                <w:szCs w:val="20"/>
                <w:color w:val="auto"/>
              </w:rPr>
            </w:pPr>
            <w:r>
              <w:rPr>
                <w:rFonts w:ascii="Arial" w:cs="Arial" w:eastAsia="Arial" w:hAnsi="Arial"/>
                <w:sz w:val="18"/>
                <w:szCs w:val="18"/>
                <w:color w:val="auto"/>
              </w:rPr>
              <w:t>0.7</w:t>
            </w:r>
          </w:p>
        </w:tc>
      </w:tr>
      <w:tr>
        <w:trPr>
          <w:trHeight w:val="27"/>
        </w:trPr>
        <w:tc>
          <w:tcPr>
            <w:tcW w:w="7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4,797</w:t>
            </w:r>
          </w:p>
        </w:tc>
        <w:tc>
          <w:tcPr>
            <w:tcW w:w="460" w:type="dxa"/>
            <w:vAlign w:val="bottom"/>
          </w:tcPr>
          <w:p>
            <w:pPr>
              <w:spacing w:after="0"/>
              <w:rPr>
                <w:sz w:val="20"/>
                <w:szCs w:val="20"/>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4,708</w:t>
            </w:r>
          </w:p>
        </w:tc>
        <w:tc>
          <w:tcPr>
            <w:tcW w:w="1420" w:type="dxa"/>
            <w:vAlign w:val="bottom"/>
          </w:tcPr>
          <w:p>
            <w:pPr>
              <w:jc w:val="right"/>
              <w:ind w:right="194"/>
              <w:spacing w:after="0"/>
              <w:rPr>
                <w:sz w:val="20"/>
                <w:szCs w:val="20"/>
                <w:color w:val="auto"/>
              </w:rPr>
            </w:pPr>
            <w:r>
              <w:rPr>
                <w:rFonts w:ascii="Arial" w:cs="Arial" w:eastAsia="Arial" w:hAnsi="Arial"/>
                <w:sz w:val="18"/>
                <w:szCs w:val="18"/>
                <w:b w:val="1"/>
                <w:bCs w:val="1"/>
                <w:color w:val="auto"/>
              </w:rPr>
              <w:t>1.9</w:t>
            </w: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724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28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2,301</w:t>
            </w:r>
          </w:p>
        </w:tc>
        <w:tc>
          <w:tcPr>
            <w:tcW w:w="460" w:type="dxa"/>
            <w:vAlign w:val="bottom"/>
          </w:tcPr>
          <w:p>
            <w:pPr>
              <w:spacing w:after="0"/>
              <w:rPr>
                <w:sz w:val="23"/>
                <w:szCs w:val="23"/>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2,105</w:t>
            </w:r>
          </w:p>
        </w:tc>
        <w:tc>
          <w:tcPr>
            <w:tcW w:w="1420" w:type="dxa"/>
            <w:vAlign w:val="bottom"/>
          </w:tcPr>
          <w:p>
            <w:pPr>
              <w:jc w:val="right"/>
              <w:ind w:right="194"/>
              <w:spacing w:after="0"/>
              <w:rPr>
                <w:sz w:val="20"/>
                <w:szCs w:val="20"/>
                <w:color w:val="auto"/>
              </w:rPr>
            </w:pPr>
            <w:r>
              <w:rPr>
                <w:rFonts w:ascii="Arial" w:cs="Arial" w:eastAsia="Arial" w:hAnsi="Arial"/>
                <w:sz w:val="18"/>
                <w:szCs w:val="18"/>
                <w:color w:val="auto"/>
              </w:rPr>
              <w:t>9.3</w:t>
            </w:r>
          </w:p>
        </w:tc>
      </w:tr>
      <w:tr>
        <w:trPr>
          <w:trHeight w:val="270"/>
        </w:trPr>
        <w:tc>
          <w:tcPr>
            <w:tcW w:w="7240" w:type="dxa"/>
            <w:vAlign w:val="bottom"/>
          </w:tcPr>
          <w:p>
            <w:pPr>
              <w:ind w:left="180"/>
              <w:spacing w:after="0"/>
              <w:rPr>
                <w:sz w:val="20"/>
                <w:szCs w:val="20"/>
                <w:color w:val="auto"/>
              </w:rPr>
            </w:pPr>
            <w:r>
              <w:rPr>
                <w:rFonts w:ascii="Arial" w:cs="Arial" w:eastAsia="Arial" w:hAnsi="Arial"/>
                <w:sz w:val="18"/>
                <w:szCs w:val="18"/>
                <w:color w:val="auto"/>
              </w:rPr>
              <w:t>Direct network costs</w:t>
            </w:r>
          </w:p>
        </w:tc>
        <w:tc>
          <w:tcPr>
            <w:tcW w:w="28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385</w:t>
            </w:r>
          </w:p>
        </w:tc>
        <w:tc>
          <w:tcPr>
            <w:tcW w:w="460" w:type="dxa"/>
            <w:vAlign w:val="bottom"/>
          </w:tcPr>
          <w:p>
            <w:pPr>
              <w:spacing w:after="0"/>
              <w:rPr>
                <w:sz w:val="23"/>
                <w:szCs w:val="23"/>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375</w:t>
            </w:r>
          </w:p>
        </w:tc>
        <w:tc>
          <w:tcPr>
            <w:tcW w:w="1420" w:type="dxa"/>
            <w:vAlign w:val="bottom"/>
          </w:tcPr>
          <w:p>
            <w:pPr>
              <w:jc w:val="right"/>
              <w:ind w:right="194"/>
              <w:spacing w:after="0"/>
              <w:rPr>
                <w:sz w:val="20"/>
                <w:szCs w:val="20"/>
                <w:color w:val="auto"/>
              </w:rPr>
            </w:pPr>
            <w:r>
              <w:rPr>
                <w:rFonts w:ascii="Arial" w:cs="Arial" w:eastAsia="Arial" w:hAnsi="Arial"/>
                <w:sz w:val="18"/>
                <w:szCs w:val="18"/>
                <w:color w:val="auto"/>
              </w:rPr>
              <w:t>2.6</w:t>
            </w:r>
          </w:p>
        </w:tc>
      </w:tr>
      <w:tr>
        <w:trPr>
          <w:trHeight w:val="270"/>
        </w:trPr>
        <w:tc>
          <w:tcPr>
            <w:tcW w:w="72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1,448</w:t>
            </w:r>
          </w:p>
        </w:tc>
        <w:tc>
          <w:tcPr>
            <w:tcW w:w="460" w:type="dxa"/>
            <w:vAlign w:val="bottom"/>
          </w:tcPr>
          <w:p>
            <w:pPr>
              <w:spacing w:after="0"/>
              <w:rPr>
                <w:sz w:val="23"/>
                <w:szCs w:val="23"/>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1,481</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(2.2)</w:t>
            </w:r>
          </w:p>
        </w:tc>
      </w:tr>
      <w:tr>
        <w:trPr>
          <w:trHeight w:val="27"/>
        </w:trPr>
        <w:tc>
          <w:tcPr>
            <w:tcW w:w="7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4,134</w:t>
            </w:r>
          </w:p>
        </w:tc>
        <w:tc>
          <w:tcPr>
            <w:tcW w:w="460" w:type="dxa"/>
            <w:vAlign w:val="bottom"/>
          </w:tcPr>
          <w:p>
            <w:pPr>
              <w:spacing w:after="0"/>
              <w:rPr>
                <w:sz w:val="20"/>
                <w:szCs w:val="20"/>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3,961</w:t>
            </w:r>
          </w:p>
        </w:tc>
        <w:tc>
          <w:tcPr>
            <w:tcW w:w="1420" w:type="dxa"/>
            <w:vAlign w:val="bottom"/>
          </w:tcPr>
          <w:p>
            <w:pPr>
              <w:jc w:val="right"/>
              <w:ind w:right="194"/>
              <w:spacing w:after="0"/>
              <w:rPr>
                <w:sz w:val="20"/>
                <w:szCs w:val="20"/>
                <w:color w:val="auto"/>
              </w:rPr>
            </w:pPr>
            <w:r>
              <w:rPr>
                <w:rFonts w:ascii="Arial" w:cs="Arial" w:eastAsia="Arial" w:hAnsi="Arial"/>
                <w:sz w:val="18"/>
                <w:szCs w:val="18"/>
                <w:color w:val="auto"/>
              </w:rPr>
              <w:t>4.4</w:t>
            </w:r>
          </w:p>
        </w:tc>
      </w:tr>
      <w:tr>
        <w:trPr>
          <w:trHeight w:val="27"/>
        </w:trPr>
        <w:tc>
          <w:tcPr>
            <w:tcW w:w="7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663</w:t>
            </w:r>
          </w:p>
        </w:tc>
        <w:tc>
          <w:tcPr>
            <w:tcW w:w="460" w:type="dxa"/>
            <w:vAlign w:val="bottom"/>
          </w:tcPr>
          <w:p>
            <w:pPr>
              <w:jc w:val="right"/>
              <w:ind w:right="1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747</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r>
      <w:tr>
        <w:trPr>
          <w:trHeight w:val="34"/>
        </w:trPr>
        <w:tc>
          <w:tcPr>
            <w:tcW w:w="7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ectPr>
          <w:pgSz w:w="11900" w:h="16838" w:orient="portrait"/>
          <w:cols w:equalWidth="0" w:num="1">
            <w:col w:w="11420"/>
          </w:cols>
          <w:pgMar w:left="240" w:top="175"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75"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w w:val="96"/>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5,182</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4,645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3,320</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2,599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245</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(535)</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(970)</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(189)</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178</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b w:val="1"/>
                <w:bCs w:val="1"/>
                <w:color w:val="auto"/>
              </w:rPr>
              <w:t>7,231</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5,474</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variance in changes in operating assets and liabilities for the three months ended March 31, 2019 compared to the same period in 2018 was primarily due to our broadcast of the 2018 PyeongChang Olympics in the prior year period, the timing of film and television costs at Sky, including sports rights, and a reduction in Cable Communications wireless inventory, partially offset by our broadcast of the 2018 Super Bowl in prior year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used in investing activities for the three months ended March 31, 2019 consisted primarily of capital expenditures, cash paid for intangible assets and purchases of investments. Capital expenditures increased for the three months ended March 31, 2019 compared to the same period in 2018 primarily due to the inclusion of spending at Sky and an increase in spending by our Theme Parks segment, partially offset by a decrease in spending by our Cable Communications segment due to lower spending on customer premise equipment and scalable infrastructure. Purchases of investments for the three months ended March 31, 2019 consisted primarily of our cash capital contributions of $233 million to Hulu and $37 million to Atairos.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financing activities for the three months ended March 31, 2019 consisted primarily of repayments of debt, dividend payments and repurchases of common stock under our employee plans.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repayments of our term loans and repurchases or exchanges of our outstanding public notes and debentures, depending on various factors, such as market conditions. See Notes 5 and 6 to Comcast’s condensed consolidated financial statements for additional information on our financing activities, including details of our debt repayments and borrowings.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significant availability under our lines of credit and commercial paper programs to meet our short-term liquidity requirements.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2019, amounts available under our revolving credit facilities, net of amounts outstanding under our commercial paper programs and outstanding letters of credit and bank guarantees, totaled $9.2 billion.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$12 billion, which does not have an expiration date. Under the authorization, we may repurchase shares in the open market or in private transactions. We have paused our share repurchase program for 2019 in order to accelerate the reduction of indebtedness we incurred in connection with the acquisition of Sky and no common stock share repurchases were made under this authorization for the three months ended March 31, 2019.</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$247 million for the three months ended March 31, 2019 related to employee taxes associated with the administration of our share-based compensation plans.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2019, our Board of Directors approved a 10% increase in our dividend to $0.84 per share on an annualized basis. In January 2019, our Board of Directors approved our first quarter dividend of $0.21 per share to be paid in April 2019. We expect to continue to pay quarterly dividends, although each dividend is subject to approval by our Board of Directors. On January 23, 2019, we paid dividends totaling $869 million.</w:t>
      </w:r>
    </w:p>
    <w:p>
      <w:pPr>
        <w:sectPr>
          <w:pgSz w:w="11900" w:h="16838" w:orient="portrait"/>
          <w:cols w:equalWidth="0" w:num="1">
            <w:col w:w="11420"/>
          </w:cols>
          <w:pgMar w:left="240" w:top="175"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75"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2018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to Comcast’s condensed consolidated financial statements and Note 6 to NBCUniversal’s condensed consolidated financial statements for additional information related to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2018 Annual Report on Form 10-K and there have been no significant changes to this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 except as noted below. On October 9, 2018, we acquired a controlling interest in Sky. See Note 6 to Comcast’s condensed consolidated financial statements for additional information. In connection with the integration of Sky, we are in the process of analyzing and evaluating our internal controls over financial reporting. This process may result in additions or changes to our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75"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11 to Comcast’s condensed consolidated financial statements included in this Quarterly Report on Form 10-Q for a discussion of legal proceedings.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2018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w:t>
      </w:r>
      <w:r>
        <w:rPr>
          <w:rFonts w:ascii="Arial" w:cs="Arial" w:eastAsia="Arial" w:hAnsi="Arial"/>
          <w:sz w:val="18"/>
          <w:szCs w:val="18"/>
          <w:i w:val="1"/>
          <w:iCs w:val="1"/>
          <w:color w:val="auto"/>
        </w:rPr>
        <w:t>de minimis</w:t>
      </w:r>
      <w:r>
        <w:rPr>
          <w:rFonts w:ascii="Arial" w:cs="Arial" w:eastAsia="Arial" w:hAnsi="Arial"/>
          <w:sz w:val="18"/>
          <w:szCs w:val="18"/>
          <w:color w:val="auto"/>
        </w:rPr>
        <w:t>. As of the date of this report, we are not aware of any activity, transaction or dealing during the three months ended March 31, 2019 that requires disclosure under the Act, except with respect to the following:</w:t>
      </w:r>
    </w:p>
    <w:p>
      <w:pPr>
        <w:spacing w:after="0" w:line="134" w:lineRule="exact"/>
        <w:rPr>
          <w:sz w:val="20"/>
          <w:szCs w:val="20"/>
          <w:color w:val="auto"/>
        </w:rPr>
      </w:pPr>
    </w:p>
    <w:p>
      <w:pPr>
        <w:jc w:val="both"/>
        <w:ind w:left="660" w:hanging="328"/>
        <w:spacing w:after="0" w:line="29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 to our August 2016 acquisition of DreamWorks Animation, a non-U.S. subsidiary of DreamWorks Animation entered into a licensing agreement in January 2016 that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Animation conducted its licensing activity in compliance with applicable laws and that the license is for the permissible exportation of informational materials pursuant to certain statutory and regulatory exemptions from U.S. sanctions.</w:t>
      </w:r>
    </w:p>
    <w:p>
      <w:pPr>
        <w:spacing w:after="0" w:line="104" w:lineRule="exact"/>
        <w:rPr>
          <w:rFonts w:ascii="Arial" w:cs="Arial" w:eastAsia="Arial" w:hAnsi="Arial"/>
          <w:sz w:val="16"/>
          <w:szCs w:val="16"/>
          <w:color w:val="auto"/>
        </w:rPr>
      </w:pPr>
    </w:p>
    <w:p>
      <w:pPr>
        <w:jc w:val="both"/>
        <w:ind w:left="660" w:hanging="328"/>
        <w:spacing w:after="0" w:line="27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Prior to our fourth quarter 2018 acquisition of Sky, a non-U.S. subsidiary of Sky entered into two licensing agreements that licensed some of Sky’s owned programming content to a broadcasting company that is owned and controlled by the Government of Iran. The first agreement was entered into in June 2012, and was amended in July 2016, to license 150 hours of programming content for various three-year license terms for a one-time fee of €86,250. The last remaining programming license under this agreement expired in January 2019. The second agreement was entered into in June 2015 to license 80 hours of programming content for various three-year license terms for a one-time fee of €45,700. To date, no programming content has been provided, and the license fee has not been paid, pursuant to the agreement. We believe that Sky conducted its licensing activity in compliance with applicable laws and that the licenses are for the permissible exportation of informational materials pursuant to certain statutory and regulatory exemptions from U.S. sanctions.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75"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color w:val="auto"/>
                <w:w w:val="99"/>
              </w:rPr>
              <w:t>Exhibit</w:t>
            </w:r>
          </w:p>
        </w:tc>
        <w:tc>
          <w:tcPr>
            <w:tcW w:w="10640" w:type="dxa"/>
            <w:vAlign w:val="bottom"/>
          </w:tcPr>
          <w:p>
            <w:pPr>
              <w:spacing w:after="0"/>
              <w:rPr>
                <w:sz w:val="14"/>
                <w:szCs w:val="14"/>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No.</w:t>
            </w:r>
          </w:p>
        </w:tc>
        <w:tc>
          <w:tcPr>
            <w:tcW w:w="10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Description</w:t>
            </w:r>
          </w:p>
        </w:tc>
      </w:tr>
      <w:tr>
        <w:trPr>
          <w:trHeight w:val="202"/>
        </w:trPr>
        <w:tc>
          <w:tcPr>
            <w:tcW w:w="780" w:type="dxa"/>
            <w:vAlign w:val="bottom"/>
            <w:gridSpan w:val="4"/>
          </w:tcPr>
          <w:p>
            <w:pPr>
              <w:ind w:left="4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640" w:type="dxa"/>
            <w:vAlign w:val="bottom"/>
          </w:tcPr>
          <w:p>
            <w:pPr>
              <w:ind w:left="180"/>
              <w:spacing w:after="0" w:line="202" w:lineRule="exact"/>
              <w:rPr>
                <w:sz w:val="20"/>
                <w:szCs w:val="20"/>
                <w:color w:val="auto"/>
              </w:rPr>
            </w:pPr>
            <w:r>
              <w:rPr>
                <w:rFonts w:ascii="Arial" w:cs="Arial" w:eastAsia="Arial" w:hAnsi="Arial"/>
                <w:sz w:val="18"/>
                <w:szCs w:val="18"/>
                <w:color w:val="auto"/>
                <w:w w:val="94"/>
              </w:rPr>
              <w:t>Form of Restricted Stock Unit Award and Long-Term Incentive Awards Summary Schedule under the Comcast Corporation 2002 Restricted</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Stock Plan.</w:t>
            </w:r>
          </w:p>
        </w:tc>
      </w:tr>
      <w:tr>
        <w:trPr>
          <w:trHeight w:val="230"/>
        </w:trPr>
        <w:tc>
          <w:tcPr>
            <w:tcW w:w="360" w:type="dxa"/>
            <w:vAlign w:val="bottom"/>
            <w:gridSpan w:val="2"/>
          </w:tcPr>
          <w:p>
            <w:pPr>
              <w:ind w:left="40"/>
              <w:spacing w:after="0"/>
              <w:rPr>
                <w:rFonts w:ascii="Arial" w:cs="Arial" w:eastAsia="Arial" w:hAnsi="Arial"/>
                <w:sz w:val="18"/>
                <w:szCs w:val="18"/>
                <w:color w:val="0000FF"/>
                <w:w w:val="85"/>
              </w:rPr>
            </w:pPr>
            <w:hyperlink w:anchor="page7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85"/>
              </w:rPr>
            </w:pPr>
            <w:hyperlink w:anchor="page7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and Chief Financial Officer pursuant to Section 906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960" w:right="20" w:hanging="925"/>
        <w:spacing w:after="0" w:line="25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months ended March 31, 2019, filed with the Securities and Exchange Commission on April 25, 2019, formatted in XBRL (eXtensible Business Reporting Language):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ind w:left="960" w:hanging="925"/>
        <w:spacing w:after="0" w:line="181" w:lineRule="auto"/>
        <w:tabs>
          <w:tab w:leader="none" w:pos="960" w:val="left"/>
        </w:tabs>
        <w:numPr>
          <w:ilvl w:val="0"/>
          <w:numId w:val="11"/>
        </w:numPr>
        <w:rPr>
          <w:rFonts w:ascii="Arial" w:cs="Arial" w:eastAsia="Arial" w:hAnsi="Arial"/>
          <w:sz w:val="27"/>
          <w:szCs w:val="27"/>
          <w:color w:val="auto"/>
          <w:vertAlign w:val="subscript"/>
        </w:rPr>
      </w:pPr>
      <w:r>
        <w:rPr>
          <w:rFonts w:ascii="Arial" w:cs="Arial" w:eastAsia="Arial" w:hAnsi="Arial"/>
          <w:sz w:val="12"/>
          <w:szCs w:val="12"/>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99"/>
              </w:rPr>
              <w:t>Exhibit</w:t>
            </w:r>
          </w:p>
        </w:tc>
        <w:tc>
          <w:tcPr>
            <w:tcW w:w="10640" w:type="dxa"/>
            <w:vAlign w:val="bottom"/>
          </w:tcPr>
          <w:p>
            <w:pPr>
              <w:spacing w:after="0"/>
              <w:rPr>
                <w:sz w:val="14"/>
                <w:szCs w:val="14"/>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No.</w:t>
            </w:r>
          </w:p>
        </w:tc>
        <w:tc>
          <w:tcPr>
            <w:tcW w:w="10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Description</w:t>
            </w:r>
          </w:p>
        </w:tc>
      </w:tr>
      <w:tr>
        <w:trPr>
          <w:trHeight w:val="202"/>
        </w:trPr>
        <w:tc>
          <w:tcPr>
            <w:tcW w:w="360" w:type="dxa"/>
            <w:vAlign w:val="bottom"/>
            <w:gridSpan w:val="2"/>
          </w:tcPr>
          <w:p>
            <w:pPr>
              <w:jc w:val="right"/>
              <w:spacing w:after="0" w:line="202" w:lineRule="exact"/>
              <w:rPr>
                <w:rFonts w:ascii="Arial" w:cs="Arial" w:eastAsia="Arial" w:hAnsi="Arial"/>
                <w:sz w:val="18"/>
                <w:szCs w:val="18"/>
                <w:color w:val="0000FF"/>
                <w:w w:val="96"/>
              </w:rPr>
            </w:pPr>
            <w:hyperlink w:anchor="page73">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420" w:type="dxa"/>
            <w:vAlign w:val="bottom"/>
          </w:tcPr>
          <w:p>
            <w:pPr>
              <w:spacing w:after="0"/>
              <w:rPr>
                <w:sz w:val="17"/>
                <w:szCs w:val="17"/>
                <w:color w:val="auto"/>
              </w:rPr>
            </w:pPr>
          </w:p>
        </w:tc>
        <w:tc>
          <w:tcPr>
            <w:tcW w:w="10640" w:type="dxa"/>
            <w:vAlign w:val="bottom"/>
          </w:tcPr>
          <w:p>
            <w:pPr>
              <w:ind w:left="180"/>
              <w:spacing w:after="0" w:line="202" w:lineRule="exact"/>
              <w:rPr>
                <w:sz w:val="20"/>
                <w:szCs w:val="20"/>
                <w:color w:val="auto"/>
              </w:rPr>
            </w:pPr>
            <w:r>
              <w:rPr>
                <w:rFonts w:ascii="Arial" w:cs="Arial" w:eastAsia="Arial" w:hAnsi="Arial"/>
                <w:sz w:val="18"/>
                <w:szCs w:val="18"/>
                <w:color w:val="auto"/>
                <w:w w:val="99"/>
              </w:rPr>
              <w:t>Certification of Principal Executive Officer and Principal Financial Officer pursuant to Section 302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250"/>
        </w:trPr>
        <w:tc>
          <w:tcPr>
            <w:tcW w:w="360" w:type="dxa"/>
            <w:vAlign w:val="bottom"/>
            <w:gridSpan w:val="2"/>
          </w:tcPr>
          <w:p>
            <w:pPr>
              <w:jc w:val="right"/>
              <w:spacing w:after="0"/>
              <w:rPr>
                <w:rFonts w:ascii="Arial" w:cs="Arial" w:eastAsia="Arial" w:hAnsi="Arial"/>
                <w:sz w:val="18"/>
                <w:szCs w:val="18"/>
                <w:color w:val="0000FF"/>
                <w:w w:val="96"/>
              </w:rPr>
            </w:pPr>
            <w:hyperlink w:anchor="page76">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hyperlink>
          </w:p>
        </w:tc>
        <w:tc>
          <w:tcPr>
            <w:tcW w:w="420" w:type="dxa"/>
            <w:vAlign w:val="bottom"/>
          </w:tcPr>
          <w:p>
            <w:pPr>
              <w:spacing w:after="0"/>
              <w:rPr>
                <w:sz w:val="21"/>
                <w:szCs w:val="21"/>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w w:val="99"/>
              </w:rPr>
              <w:t>Certification of Principal Executive Officer and Principal Financial Officer pursuant to Section 906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960" w:right="40" w:hanging="925"/>
        <w:spacing w:after="0" w:line="276"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following financial statements from NBCUniversal Media, LLC’s Quarterly Report on Form 10-Q for the three months ended March 31, 2019, filed with the Securities and Exchange Commission on April 25, 2019, formatted in XBRL (eXtensible Business Reporting Language):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7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NBCUNIVERSAL MEDIA, LLC</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75"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8060" w:type="dxa"/>
            <w:vAlign w:val="bottom"/>
            <w:gridSpan w:val="7"/>
          </w:tcPr>
          <w:p>
            <w:pPr>
              <w:spacing w:after="0"/>
              <w:rPr>
                <w:sz w:val="20"/>
                <w:szCs w:val="20"/>
                <w:color w:val="auto"/>
              </w:rPr>
            </w:pPr>
            <w:r>
              <w:rPr>
                <w:rFonts w:ascii="Arial" w:cs="Arial" w:eastAsia="Arial" w:hAnsi="Arial"/>
                <w:sz w:val="18"/>
                <w:szCs w:val="18"/>
                <w:color w:val="auto"/>
              </w:rPr>
              <w:t>Index</w:t>
            </w:r>
          </w:p>
        </w:tc>
        <w:tc>
          <w:tcPr>
            <w:tcW w:w="3320" w:type="dxa"/>
            <w:vAlign w:val="bottom"/>
          </w:tcPr>
          <w:p>
            <w:pPr>
              <w:jc w:val="center"/>
              <w:ind w:left="2210"/>
              <w:spacing w:after="0"/>
              <w:rPr>
                <w:sz w:val="20"/>
                <w:szCs w:val="20"/>
                <w:color w:val="auto"/>
              </w:rPr>
            </w:pPr>
            <w:r>
              <w:rPr>
                <w:rFonts w:ascii="Arial" w:cs="Arial" w:eastAsia="Arial" w:hAnsi="Arial"/>
                <w:sz w:val="18"/>
                <w:szCs w:val="18"/>
                <w:color w:val="auto"/>
                <w:w w:val="80"/>
              </w:rPr>
              <w:t>Page</w:t>
            </w:r>
          </w:p>
        </w:tc>
      </w:tr>
      <w:tr>
        <w:trPr>
          <w:trHeight w:val="27"/>
        </w:trPr>
        <w:tc>
          <w:tcPr>
            <w:tcW w:w="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8060" w:type="dxa"/>
            <w:vAlign w:val="bottom"/>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Condensed Consolidated Statement of Income (Unaudited)</w:t>
              </w:r>
            </w:hyperlink>
          </w:p>
        </w:tc>
        <w:tc>
          <w:tcPr>
            <w:tcW w:w="3320" w:type="dxa"/>
            <w:vAlign w:val="bottom"/>
          </w:tcPr>
          <w:p>
            <w:pPr>
              <w:jc w:val="center"/>
              <w:ind w:left="2210"/>
              <w:spacing w:after="0" w:line="196" w:lineRule="exact"/>
              <w:rPr>
                <w:rFonts w:ascii="Arial" w:cs="Arial" w:eastAsia="Arial" w:hAnsi="Arial"/>
                <w:sz w:val="18"/>
                <w:szCs w:val="18"/>
                <w:color w:val="2C2C2C"/>
                <w:w w:val="89"/>
              </w:rPr>
            </w:pPr>
            <w:hyperlink w:anchor="page48">
              <w:r>
                <w:rPr>
                  <w:rFonts w:ascii="Arial" w:cs="Arial" w:eastAsia="Arial" w:hAnsi="Arial"/>
                  <w:sz w:val="18"/>
                  <w:szCs w:val="18"/>
                  <w:color w:val="2C2C2C"/>
                  <w:w w:val="89"/>
                </w:rPr>
                <w:t>45</w:t>
              </w:r>
            </w:hyperlink>
          </w:p>
        </w:tc>
      </w:tr>
      <w:tr>
        <w:trPr>
          <w:trHeight w:val="20"/>
        </w:trPr>
        <w:tc>
          <w:tcPr>
            <w:tcW w:w="4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Condensed Consolidated Statement of Comprehensive Income (Unaudited)</w:t>
              </w:r>
            </w:hyperlink>
          </w:p>
        </w:tc>
        <w:tc>
          <w:tcPr>
            <w:tcW w:w="3320" w:type="dxa"/>
            <w:vAlign w:val="bottom"/>
          </w:tcPr>
          <w:p>
            <w:pPr>
              <w:jc w:val="center"/>
              <w:ind w:left="2210"/>
              <w:spacing w:after="0"/>
              <w:rPr>
                <w:rFonts w:ascii="Arial" w:cs="Arial" w:eastAsia="Arial" w:hAnsi="Arial"/>
                <w:sz w:val="18"/>
                <w:szCs w:val="18"/>
                <w:color w:val="2C2C2C"/>
                <w:w w:val="89"/>
              </w:rPr>
            </w:pPr>
            <w:hyperlink w:anchor="page49">
              <w:r>
                <w:rPr>
                  <w:rFonts w:ascii="Arial" w:cs="Arial" w:eastAsia="Arial" w:hAnsi="Arial"/>
                  <w:sz w:val="18"/>
                  <w:szCs w:val="18"/>
                  <w:color w:val="2C2C2C"/>
                  <w:w w:val="89"/>
                </w:rPr>
                <w:t>46</w:t>
              </w:r>
            </w:hyperlink>
          </w:p>
        </w:tc>
      </w:tr>
      <w:tr>
        <w:trPr>
          <w:trHeight w:val="250"/>
        </w:trPr>
        <w:tc>
          <w:tcPr>
            <w:tcW w:w="40" w:type="dxa"/>
            <w:vAlign w:val="bottom"/>
          </w:tcPr>
          <w:p>
            <w:pPr>
              <w:spacing w:after="0"/>
              <w:rPr>
                <w:sz w:val="21"/>
                <w:szCs w:val="21"/>
                <w:color w:val="auto"/>
              </w:rPr>
            </w:pPr>
          </w:p>
        </w:tc>
        <w:tc>
          <w:tcPr>
            <w:tcW w:w="4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Condensed Consolidated Statement of Cash Flows (Unaudited)</w:t>
              </w:r>
            </w:hyperlink>
          </w:p>
        </w:tc>
        <w:tc>
          <w:tcPr>
            <w:tcW w:w="860" w:type="dxa"/>
            <w:vAlign w:val="bottom"/>
            <w:tcBorders>
              <w:top w:val="single" w:sz="8" w:color="0000EE"/>
            </w:tcBorders>
            <w:gridSpan w:val="3"/>
          </w:tcPr>
          <w:p>
            <w:pPr>
              <w:spacing w:after="0"/>
              <w:rPr>
                <w:sz w:val="21"/>
                <w:szCs w:val="21"/>
                <w:color w:val="auto"/>
              </w:rPr>
            </w:pPr>
          </w:p>
        </w:tc>
        <w:tc>
          <w:tcPr>
            <w:tcW w:w="2640" w:type="dxa"/>
            <w:vAlign w:val="bottom"/>
          </w:tcPr>
          <w:p>
            <w:pPr>
              <w:spacing w:after="0"/>
              <w:rPr>
                <w:sz w:val="21"/>
                <w:szCs w:val="21"/>
                <w:color w:val="auto"/>
              </w:rPr>
            </w:pPr>
          </w:p>
        </w:tc>
        <w:tc>
          <w:tcPr>
            <w:tcW w:w="3320" w:type="dxa"/>
            <w:vAlign w:val="bottom"/>
          </w:tcPr>
          <w:p>
            <w:pPr>
              <w:jc w:val="center"/>
              <w:ind w:left="2210"/>
              <w:spacing w:after="0"/>
              <w:rPr>
                <w:rFonts w:ascii="Arial" w:cs="Arial" w:eastAsia="Arial" w:hAnsi="Arial"/>
                <w:sz w:val="18"/>
                <w:szCs w:val="18"/>
                <w:color w:val="2C2C2C"/>
                <w:w w:val="89"/>
              </w:rPr>
            </w:pPr>
            <w:hyperlink w:anchor="page50">
              <w:r>
                <w:rPr>
                  <w:rFonts w:ascii="Arial" w:cs="Arial" w:eastAsia="Arial" w:hAnsi="Arial"/>
                  <w:sz w:val="18"/>
                  <w:szCs w:val="18"/>
                  <w:color w:val="2C2C2C"/>
                  <w:w w:val="89"/>
                </w:rPr>
                <w:t>47</w:t>
              </w:r>
            </w:hyperlink>
          </w:p>
        </w:tc>
      </w:tr>
      <w:tr>
        <w:trPr>
          <w:trHeight w:val="250"/>
        </w:trPr>
        <w:tc>
          <w:tcPr>
            <w:tcW w:w="40" w:type="dxa"/>
            <w:vAlign w:val="bottom"/>
          </w:tcPr>
          <w:p>
            <w:pPr>
              <w:spacing w:after="0"/>
              <w:rPr>
                <w:sz w:val="21"/>
                <w:szCs w:val="21"/>
                <w:color w:val="auto"/>
              </w:rPr>
            </w:pPr>
          </w:p>
        </w:tc>
        <w:tc>
          <w:tcPr>
            <w:tcW w:w="3780" w:type="dxa"/>
            <w:vAlign w:val="bottom"/>
            <w:tcBorders>
              <w:bottom w:val="single" w:sz="8" w:color="0000EE"/>
            </w:tcBorders>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Condensed Consolidated Balance Sheet (Unaudited)</w:t>
              </w:r>
            </w:hyperlink>
          </w:p>
        </w:tc>
        <w:tc>
          <w:tcPr>
            <w:tcW w:w="4280" w:type="dxa"/>
            <w:vAlign w:val="bottom"/>
            <w:gridSpan w:val="6"/>
          </w:tcPr>
          <w:p>
            <w:pPr>
              <w:spacing w:after="0"/>
              <w:rPr>
                <w:sz w:val="21"/>
                <w:szCs w:val="21"/>
                <w:color w:val="auto"/>
              </w:rPr>
            </w:pPr>
          </w:p>
        </w:tc>
        <w:tc>
          <w:tcPr>
            <w:tcW w:w="3320" w:type="dxa"/>
            <w:vAlign w:val="bottom"/>
          </w:tcPr>
          <w:p>
            <w:pPr>
              <w:jc w:val="center"/>
              <w:ind w:left="2210"/>
              <w:spacing w:after="0"/>
              <w:rPr>
                <w:rFonts w:ascii="Arial" w:cs="Arial" w:eastAsia="Arial" w:hAnsi="Arial"/>
                <w:sz w:val="18"/>
                <w:szCs w:val="18"/>
                <w:color w:val="2C2C2C"/>
                <w:w w:val="89"/>
              </w:rPr>
            </w:pPr>
            <w:hyperlink w:anchor="page51">
              <w:r>
                <w:rPr>
                  <w:rFonts w:ascii="Arial" w:cs="Arial" w:eastAsia="Arial" w:hAnsi="Arial"/>
                  <w:sz w:val="18"/>
                  <w:szCs w:val="18"/>
                  <w:color w:val="2C2C2C"/>
                  <w:w w:val="89"/>
                </w:rPr>
                <w:t>48</w:t>
              </w:r>
            </w:hyperlink>
          </w:p>
        </w:tc>
      </w:tr>
      <w:tr>
        <w:trPr>
          <w:trHeight w:val="250"/>
        </w:trPr>
        <w:tc>
          <w:tcPr>
            <w:tcW w:w="40" w:type="dxa"/>
            <w:vAlign w:val="bottom"/>
          </w:tcPr>
          <w:p>
            <w:pPr>
              <w:spacing w:after="0"/>
              <w:rPr>
                <w:sz w:val="21"/>
                <w:szCs w:val="21"/>
                <w:color w:val="auto"/>
              </w:rPr>
            </w:pPr>
          </w:p>
        </w:tc>
        <w:tc>
          <w:tcPr>
            <w:tcW w:w="50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Condensed Consolidated Statement of Changes in Equity (Unaudited)</w:t>
              </w:r>
            </w:hyperlink>
          </w:p>
        </w:tc>
        <w:tc>
          <w:tcPr>
            <w:tcW w:w="3020" w:type="dxa"/>
            <w:vAlign w:val="bottom"/>
            <w:gridSpan w:val="2"/>
          </w:tcPr>
          <w:p>
            <w:pPr>
              <w:spacing w:after="0"/>
              <w:rPr>
                <w:sz w:val="21"/>
                <w:szCs w:val="21"/>
                <w:color w:val="auto"/>
              </w:rPr>
            </w:pPr>
          </w:p>
        </w:tc>
        <w:tc>
          <w:tcPr>
            <w:tcW w:w="3320" w:type="dxa"/>
            <w:vAlign w:val="bottom"/>
          </w:tcPr>
          <w:p>
            <w:pPr>
              <w:jc w:val="center"/>
              <w:ind w:left="2210"/>
              <w:spacing w:after="0"/>
              <w:rPr>
                <w:rFonts w:ascii="Arial" w:cs="Arial" w:eastAsia="Arial" w:hAnsi="Arial"/>
                <w:sz w:val="18"/>
                <w:szCs w:val="18"/>
                <w:color w:val="2C2C2C"/>
                <w:w w:val="89"/>
              </w:rPr>
            </w:pPr>
            <w:hyperlink w:anchor="page52">
              <w:r>
                <w:rPr>
                  <w:rFonts w:ascii="Arial" w:cs="Arial" w:eastAsia="Arial" w:hAnsi="Arial"/>
                  <w:sz w:val="18"/>
                  <w:szCs w:val="18"/>
                  <w:color w:val="2C2C2C"/>
                  <w:w w:val="89"/>
                </w:rPr>
                <w:t>49</w:t>
              </w:r>
            </w:hyperlink>
          </w:p>
        </w:tc>
      </w:tr>
      <w:tr>
        <w:trPr>
          <w:trHeight w:val="250"/>
        </w:trPr>
        <w:tc>
          <w:tcPr>
            <w:tcW w:w="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Condensed Consolidated Financial Statements (Unaudited)</w:t>
              </w:r>
            </w:hyperlink>
          </w:p>
        </w:tc>
        <w:tc>
          <w:tcPr>
            <w:tcW w:w="3320" w:type="dxa"/>
            <w:vAlign w:val="bottom"/>
          </w:tcPr>
          <w:p>
            <w:pPr>
              <w:jc w:val="center"/>
              <w:ind w:left="2210"/>
              <w:spacing w:after="0"/>
              <w:rPr>
                <w:rFonts w:ascii="Arial" w:cs="Arial" w:eastAsia="Arial" w:hAnsi="Arial"/>
                <w:sz w:val="18"/>
                <w:szCs w:val="18"/>
                <w:color w:val="2C2C2C"/>
                <w:w w:val="89"/>
              </w:rPr>
            </w:pPr>
            <w:hyperlink w:anchor="page53">
              <w:r>
                <w:rPr>
                  <w:rFonts w:ascii="Arial" w:cs="Arial" w:eastAsia="Arial" w:hAnsi="Arial"/>
                  <w:sz w:val="18"/>
                  <w:szCs w:val="18"/>
                  <w:color w:val="2C2C2C"/>
                  <w:w w:val="89"/>
                </w:rPr>
                <w:t>50</w:t>
              </w:r>
            </w:hyperlink>
          </w:p>
        </w:tc>
      </w:tr>
      <w:tr>
        <w:trPr>
          <w:trHeight w:val="48"/>
        </w:trPr>
        <w:tc>
          <w:tcPr>
            <w:tcW w:w="40" w:type="dxa"/>
            <w:vAlign w:val="bottom"/>
            <w:tcBorders>
              <w:bottom w:val="single" w:sz="8" w:color="auto"/>
            </w:tcBorders>
          </w:tcPr>
          <w:p>
            <w:pPr>
              <w:spacing w:after="0"/>
              <w:rPr>
                <w:sz w:val="4"/>
                <w:szCs w:val="4"/>
                <w:color w:val="auto"/>
              </w:rPr>
            </w:pPr>
          </w:p>
        </w:tc>
        <w:tc>
          <w:tcPr>
            <w:tcW w:w="3780" w:type="dxa"/>
            <w:vAlign w:val="bottom"/>
            <w:tcBorders>
              <w:top w:val="single" w:sz="8" w:color="0000EE"/>
              <w:bottom w:val="single" w:sz="8" w:color="auto"/>
            </w:tcBorders>
          </w:tcPr>
          <w:p>
            <w:pPr>
              <w:spacing w:after="0"/>
              <w:rPr>
                <w:sz w:val="4"/>
                <w:szCs w:val="4"/>
                <w:color w:val="auto"/>
              </w:rPr>
            </w:pPr>
          </w:p>
        </w:tc>
        <w:tc>
          <w:tcPr>
            <w:tcW w:w="4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75"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49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3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96"/>
              </w:rPr>
              <w:t>2018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8,345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9,530</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3,434</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4,573</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1,882</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1,972</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682</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700</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243</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242</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272</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268</w:t>
            </w:r>
          </w:p>
        </w:tc>
      </w:tr>
      <w:tr>
        <w:trPr>
          <w:trHeight w:val="27"/>
        </w:trPr>
        <w:tc>
          <w:tcPr>
            <w:tcW w:w="49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6,513</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7,755</w:t>
            </w:r>
          </w:p>
        </w:tc>
      </w:tr>
      <w:tr>
        <w:trPr>
          <w:trHeight w:val="27"/>
        </w:trPr>
        <w:tc>
          <w:tcPr>
            <w:tcW w:w="49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1,832</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1,775</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(131)</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240</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9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1,941</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1,644</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49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1,838</w:t>
            </w:r>
          </w:p>
        </w:tc>
        <w:tc>
          <w:tcPr>
            <w:tcW w:w="6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1,553</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49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NBCUniversal</w:t>
            </w:r>
          </w:p>
        </w:tc>
        <w:tc>
          <w:tcPr>
            <w:tcW w:w="3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1,784</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1,513</w:t>
            </w:r>
          </w:p>
        </w:tc>
      </w:tr>
      <w:tr>
        <w:trPr>
          <w:trHeight w:val="34"/>
        </w:trPr>
        <w:tc>
          <w:tcPr>
            <w:tcW w:w="49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492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863"/>
        </w:trPr>
        <w:tc>
          <w:tcPr>
            <w:tcW w:w="4920" w:type="dxa"/>
            <w:vAlign w:val="bottom"/>
          </w:tcPr>
          <w:p>
            <w:pPr>
              <w:spacing w:after="0"/>
              <w:rPr>
                <w:sz w:val="24"/>
                <w:szCs w:val="24"/>
                <w:color w:val="auto"/>
              </w:rPr>
            </w:pPr>
          </w:p>
        </w:tc>
        <w:tc>
          <w:tcPr>
            <w:tcW w:w="3320" w:type="dxa"/>
            <w:vAlign w:val="bottom"/>
          </w:tcPr>
          <w:p>
            <w:pPr>
              <w:jc w:val="right"/>
              <w:ind w:right="235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w w:val="96"/>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1,838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1,553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Employee benefit obligations, net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Currency translation adjustments, net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204</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1,816</w:t>
            </w:r>
          </w:p>
        </w:tc>
        <w:tc>
          <w:tcPr>
            <w:tcW w:w="6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1,740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b w:val="1"/>
                <w:bCs w:val="1"/>
                <w:color w:val="auto"/>
              </w:rPr>
              <w:t>1,752</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1,696</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39"/>
        </w:trPr>
        <w:tc>
          <w:tcPr>
            <w:tcW w:w="8240" w:type="dxa"/>
            <w:vAlign w:val="bottom"/>
          </w:tcPr>
          <w:p>
            <w:pPr>
              <w:ind w:left="562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8"/>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89"/>
              </w:rPr>
              <w:t>2018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1,838</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1,553</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515</w:t>
            </w:r>
          </w:p>
        </w:tc>
        <w:tc>
          <w:tcPr>
            <w:tcW w:w="6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510</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6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1,651</w:t>
            </w:r>
          </w:p>
        </w:tc>
        <w:tc>
          <w:tcPr>
            <w:tcW w:w="6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1,266</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Note receivable from Comcast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(870)</w:t>
            </w:r>
          </w:p>
        </w:tc>
        <w:tc>
          <w:tcPr>
            <w:tcW w:w="6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Construction of Universal Beijing Resort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(1,909)</w:t>
            </w:r>
          </w:p>
        </w:tc>
        <w:tc>
          <w:tcPr>
            <w:tcW w:w="6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(645)</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285</w:t>
            </w:r>
          </w:p>
        </w:tc>
        <w:tc>
          <w:tcPr>
            <w:tcW w:w="6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(repayments of) borrowings from Comcast, net</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Distributions to member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107</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6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(742)</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w:t>
            </w:r>
          </w:p>
        </w:tc>
        <w:tc>
          <w:tcPr>
            <w:tcW w:w="6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1,464</w:t>
            </w:r>
          </w:p>
        </w:tc>
        <w:tc>
          <w:tcPr>
            <w:tcW w:w="6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2,377</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1,136</w:t>
            </w:r>
          </w:p>
        </w:tc>
        <w:tc>
          <w:tcPr>
            <w:tcW w:w="6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2,256</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83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957"/>
        </w:trPr>
        <w:tc>
          <w:tcPr>
            <w:tcW w:w="8340" w:type="dxa"/>
            <w:vAlign w:val="bottom"/>
          </w:tcPr>
          <w:p>
            <w:pPr>
              <w:ind w:left="562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jc w:val="right"/>
              <w:ind w:right="451"/>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1,114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1,444</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7,270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7,293</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1,303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1,323</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Note receivable from Comcast</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2,925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2,054</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1,185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1,133</w:t>
            </w:r>
          </w:p>
        </w:tc>
      </w:tr>
      <w:tr>
        <w:trPr>
          <w:trHeight w:val="27"/>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4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13,797</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13,247</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7,302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2,067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1,680</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$5,203 and $4,994</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13,767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13,189</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24,078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24,118</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Intangible assets, net of accumulated amortization of $8,861 and $8,590</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13,532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13,666</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3,454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1,822</w:t>
            </w:r>
          </w:p>
        </w:tc>
      </w:tr>
      <w:tr>
        <w:trPr>
          <w:trHeight w:val="27"/>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b w:val="1"/>
                <w:bCs w:val="1"/>
                <w:color w:val="auto"/>
              </w:rPr>
              <w:t>77,997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75,014</w:t>
            </w:r>
          </w:p>
        </w:tc>
      </w:tr>
      <w:tr>
        <w:trPr>
          <w:trHeight w:val="34"/>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1,954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1,933</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1,739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1,808</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 obligations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856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965</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1,331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1,118</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1,925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2,195</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4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8,011</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8,224</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13,003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12,731</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Accrued participations, residuals and program obligations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1,672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1,712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6,635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5,177</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382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389</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Equity:</w:t>
            </w: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Member’s capital</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47,164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45,618</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NBCUniversal member’s equity</w:t>
            </w:r>
          </w:p>
        </w:tc>
        <w:tc>
          <w:tcPr>
            <w:tcW w:w="14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47,386</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45,872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460" w:type="dxa"/>
            <w:vAlign w:val="bottom"/>
          </w:tcPr>
          <w:p>
            <w:pPr>
              <w:spacing w:after="0"/>
              <w:rPr>
                <w:sz w:val="23"/>
                <w:szCs w:val="23"/>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908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909</w:t>
            </w:r>
          </w:p>
        </w:tc>
      </w:tr>
      <w:tr>
        <w:trPr>
          <w:trHeight w:val="27"/>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4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48,294</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46,781</w:t>
            </w:r>
          </w:p>
        </w:tc>
      </w:tr>
      <w:tr>
        <w:trPr>
          <w:trHeight w:val="27"/>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b w:val="1"/>
                <w:bCs w:val="1"/>
                <w:color w:val="auto"/>
              </w:rPr>
              <w:t>77,997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75,014</w:t>
            </w:r>
          </w:p>
        </w:tc>
      </w:tr>
      <w:tr>
        <w:trPr>
          <w:trHeight w:val="34"/>
        </w:trPr>
        <w:tc>
          <w:tcPr>
            <w:tcW w:w="7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70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1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539"/>
        </w:trPr>
        <w:tc>
          <w:tcPr>
            <w:tcW w:w="7040" w:type="dxa"/>
            <w:vAlign w:val="bottom"/>
          </w:tcPr>
          <w:p>
            <w:pPr>
              <w:ind w:left="5620"/>
              <w:spacing w:after="0"/>
              <w:rPr>
                <w:sz w:val="20"/>
                <w:szCs w:val="20"/>
                <w:color w:val="auto"/>
              </w:rPr>
            </w:pPr>
            <w:r>
              <w:rPr>
                <w:rFonts w:ascii="Arial" w:cs="Arial" w:eastAsia="Arial" w:hAnsi="Arial"/>
                <w:sz w:val="18"/>
                <w:szCs w:val="18"/>
                <w:color w:val="auto"/>
              </w:rPr>
              <w:t>48</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center"/>
              <w:ind w:right="217"/>
              <w:spacing w:after="0"/>
              <w:rPr>
                <w:sz w:val="20"/>
                <w:szCs w:val="20"/>
                <w:color w:val="auto"/>
              </w:rPr>
            </w:pPr>
            <w:r>
              <w:rPr>
                <w:rFonts w:ascii="Arial" w:cs="Arial" w:eastAsia="Arial" w:hAnsi="Arial"/>
                <w:sz w:val="14"/>
                <w:szCs w:val="14"/>
                <w:color w:val="auto"/>
                <w:w w:val="96"/>
              </w:rPr>
              <w:t>Accumulated</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5"/>
              <w:spacing w:after="0" w:line="149" w:lineRule="exact"/>
              <w:rPr>
                <w:sz w:val="20"/>
                <w:szCs w:val="20"/>
                <w:color w:val="auto"/>
              </w:rPr>
            </w:pPr>
            <w:r>
              <w:rPr>
                <w:rFonts w:ascii="Arial" w:cs="Arial" w:eastAsia="Arial" w:hAnsi="Arial"/>
                <w:sz w:val="14"/>
                <w:szCs w:val="14"/>
                <w:color w:val="auto"/>
                <w:w w:val="90"/>
              </w:rPr>
              <w:t>Redeemable</w:t>
            </w: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6"/>
              </w:rPr>
              <w:t>Other</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5"/>
              <w:spacing w:after="0" w:line="149" w:lineRule="exact"/>
              <w:rPr>
                <w:sz w:val="20"/>
                <w:szCs w:val="20"/>
                <w:color w:val="auto"/>
              </w:rPr>
            </w:pPr>
            <w:r>
              <w:rPr>
                <w:rFonts w:ascii="Arial" w:cs="Arial" w:eastAsia="Arial" w:hAnsi="Arial"/>
                <w:sz w:val="14"/>
                <w:szCs w:val="14"/>
                <w:color w:val="auto"/>
                <w:w w:val="98"/>
              </w:rPr>
              <w:t>Noncontrolling</w:t>
            </w:r>
          </w:p>
        </w:tc>
        <w:tc>
          <w:tcPr>
            <w:tcW w:w="500" w:type="dxa"/>
            <w:vAlign w:val="bottom"/>
          </w:tcPr>
          <w:p>
            <w:pPr>
              <w:spacing w:after="0"/>
              <w:rPr>
                <w:sz w:val="12"/>
                <w:szCs w:val="12"/>
                <w:color w:val="auto"/>
              </w:rPr>
            </w:pPr>
          </w:p>
        </w:tc>
        <w:tc>
          <w:tcPr>
            <w:tcW w:w="1300" w:type="dxa"/>
            <w:vAlign w:val="bottom"/>
          </w:tcPr>
          <w:p>
            <w:pPr>
              <w:jc w:val="right"/>
              <w:ind w:right="453"/>
              <w:spacing w:after="0" w:line="149" w:lineRule="exact"/>
              <w:rPr>
                <w:sz w:val="20"/>
                <w:szCs w:val="20"/>
                <w:color w:val="auto"/>
              </w:rPr>
            </w:pPr>
            <w:r>
              <w:rPr>
                <w:rFonts w:ascii="Arial" w:cs="Arial" w:eastAsia="Arial" w:hAnsi="Arial"/>
                <w:sz w:val="14"/>
                <w:szCs w:val="14"/>
                <w:color w:val="auto"/>
              </w:rPr>
              <w:t>Member’s</w:t>
            </w:r>
          </w:p>
        </w:tc>
        <w:tc>
          <w:tcPr>
            <w:tcW w:w="340" w:type="dxa"/>
            <w:vAlign w:val="bottom"/>
          </w:tcPr>
          <w:p>
            <w:pPr>
              <w:spacing w:after="0"/>
              <w:rPr>
                <w:sz w:val="12"/>
                <w:szCs w:val="12"/>
                <w:color w:val="auto"/>
              </w:rPr>
            </w:pPr>
          </w:p>
        </w:tc>
        <w:tc>
          <w:tcPr>
            <w:tcW w:w="136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1"/>
              </w:rPr>
              <w:t>Comprehensive</w:t>
            </w:r>
          </w:p>
        </w:tc>
        <w:tc>
          <w:tcPr>
            <w:tcW w:w="320" w:type="dxa"/>
            <w:vAlign w:val="bottom"/>
          </w:tcPr>
          <w:p>
            <w:pPr>
              <w:spacing w:after="0"/>
              <w:rPr>
                <w:sz w:val="12"/>
                <w:szCs w:val="12"/>
                <w:color w:val="auto"/>
              </w:rPr>
            </w:pPr>
          </w:p>
        </w:tc>
        <w:tc>
          <w:tcPr>
            <w:tcW w:w="136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Noncontrolling</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8"/>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155"/>
              <w:spacing w:after="0"/>
              <w:rPr>
                <w:sz w:val="20"/>
                <w:szCs w:val="20"/>
                <w:color w:val="auto"/>
              </w:rPr>
            </w:pPr>
            <w:r>
              <w:rPr>
                <w:rFonts w:ascii="Arial" w:cs="Arial" w:eastAsia="Arial" w:hAnsi="Arial"/>
                <w:sz w:val="14"/>
                <w:szCs w:val="14"/>
                <w:color w:val="auto"/>
                <w:w w:val="89"/>
              </w:rPr>
              <w:t>Interests</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Capital</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color w:val="auto"/>
                <w:w w:val="92"/>
              </w:rPr>
              <w:t>Income (Loss)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Interests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Total Equity</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color w:val="auto"/>
              </w:rPr>
              <w:t>409</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42,148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913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43,041</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Cumulative effects of adoption of</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40"/>
              <w:spacing w:after="0"/>
              <w:rPr>
                <w:sz w:val="20"/>
                <w:szCs w:val="20"/>
                <w:color w:val="auto"/>
              </w:rPr>
            </w:pPr>
            <w:r>
              <w:rPr>
                <w:rFonts w:ascii="Arial" w:cs="Arial" w:eastAsia="Arial" w:hAnsi="Arial"/>
                <w:sz w:val="18"/>
                <w:szCs w:val="18"/>
                <w:color w:val="auto"/>
              </w:rPr>
              <w:t>accounting standards</w:t>
            </w:r>
          </w:p>
        </w:tc>
        <w:tc>
          <w:tcPr>
            <w:tcW w:w="42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0"/>
                <w:szCs w:val="20"/>
                <w:color w:val="auto"/>
              </w:rPr>
            </w:pP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346</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346</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184</w:t>
            </w:r>
          </w:p>
        </w:tc>
        <w:tc>
          <w:tcPr>
            <w:tcW w:w="320" w:type="dxa"/>
            <w:vAlign w:val="bottom"/>
          </w:tcPr>
          <w:p>
            <w:pPr>
              <w:spacing w:after="0"/>
              <w:rPr>
                <w:sz w:val="23"/>
                <w:szCs w:val="23"/>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3"/>
                <w:szCs w:val="23"/>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1,513</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1,540</w:t>
            </w: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2018</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405</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b w:val="1"/>
                <w:bCs w:val="1"/>
                <w:color w:val="auto"/>
              </w:rPr>
              <w:t>43,228</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7"/>
              <w:spacing w:after="0"/>
              <w:rPr>
                <w:sz w:val="20"/>
                <w:szCs w:val="20"/>
                <w:color w:val="auto"/>
              </w:rPr>
            </w:pPr>
            <w:r>
              <w:rPr>
                <w:rFonts w:ascii="Arial" w:cs="Arial" w:eastAsia="Arial" w:hAnsi="Arial"/>
                <w:sz w:val="18"/>
                <w:szCs w:val="18"/>
                <w:b w:val="1"/>
                <w:bCs w:val="1"/>
                <w:color w:val="auto"/>
              </w:rPr>
              <w:t>396</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b w:val="1"/>
                <w:bCs w:val="1"/>
                <w:color w:val="auto"/>
              </w:rPr>
              <w:t>1,286</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44,910</w:t>
            </w:r>
          </w:p>
        </w:tc>
      </w:tr>
      <w:tr>
        <w:trPr>
          <w:trHeight w:val="34"/>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color w:val="auto"/>
              </w:rPr>
              <w:t>389</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45,618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254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909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46,781</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3"/>
                <w:szCs w:val="23"/>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23"/>
                <w:szCs w:val="23"/>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1,784</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1,822</w:t>
            </w: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2019</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382</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b w:val="1"/>
                <w:bCs w:val="1"/>
                <w:color w:val="auto"/>
              </w:rPr>
              <w:t>47,164</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7"/>
              <w:spacing w:after="0"/>
              <w:rPr>
                <w:sz w:val="20"/>
                <w:szCs w:val="20"/>
                <w:color w:val="auto"/>
              </w:rPr>
            </w:pPr>
            <w:r>
              <w:rPr>
                <w:rFonts w:ascii="Arial" w:cs="Arial" w:eastAsia="Arial" w:hAnsi="Arial"/>
                <w:sz w:val="18"/>
                <w:szCs w:val="18"/>
                <w:b w:val="1"/>
                <w:bCs w:val="1"/>
                <w:color w:val="auto"/>
              </w:rPr>
              <w:t>222</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b w:val="1"/>
                <w:bCs w:val="1"/>
                <w:color w:val="auto"/>
              </w:rPr>
              <w:t>908</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48,294</w:t>
            </w:r>
          </w:p>
        </w:tc>
      </w:tr>
      <w:tr>
        <w:trPr>
          <w:trHeight w:val="34"/>
        </w:trPr>
        <w:tc>
          <w:tcPr>
            <w:tcW w:w="4640" w:type="dxa"/>
            <w:vAlign w:val="bottom"/>
            <w:tcBorders>
              <w:bottom w:val="single" w:sz="8" w:color="auto"/>
              <w:right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1"/>
        </w:trPr>
        <w:tc>
          <w:tcPr>
            <w:tcW w:w="4640" w:type="dxa"/>
            <w:vAlign w:val="bottom"/>
            <w:gridSpan w:val="3"/>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39"/>
        </w:trPr>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ind w:right="553"/>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2018 Annual Report on Form 10-K and the notes within this Form 10-Q.</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See Note 6 for a discussion of the effects of the adoption of new accounting pronouncements on our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various digital properties.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Filmed Entertainment segment consists primarily of the operations of Universal Pictures, which produces, acquires, markets and distributes filmed entertainment worldwide; our films are also produced under the Illumination, DreamWorks Animation and Focus Features names.</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Universal theme park and resort in Beijing, China.</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Adjusted EBITDA to evaluate the profitability of our operating segments and the components of net income attributable to NBCUniversal excluded from Adjusted EBITDA are not separately evaluated. To be consistent with our current management reporting presentation, 2018 operating results were reclassified related to certain NBCUniversal businesses now presented in Headquarters and Other. Our financial data by business segment is presented in the tables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right"/>
              <w:ind w:right="774"/>
              <w:spacing w:after="0"/>
              <w:rPr>
                <w:sz w:val="20"/>
                <w:szCs w:val="20"/>
                <w:color w:val="auto"/>
              </w:rPr>
            </w:pPr>
            <w:r>
              <w:rPr>
                <w:rFonts w:ascii="Arial" w:cs="Arial" w:eastAsia="Arial" w:hAnsi="Arial"/>
                <w:sz w:val="14"/>
                <w:szCs w:val="14"/>
                <w:color w:val="auto"/>
              </w:rPr>
              <w:t>Three Months Ended March 31, 2019</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54"/>
              <w:spacing w:after="0" w:line="157" w:lineRule="exact"/>
              <w:rPr>
                <w:sz w:val="20"/>
                <w:szCs w:val="20"/>
                <w:color w:val="auto"/>
              </w:rPr>
            </w:pPr>
            <w:r>
              <w:rPr>
                <w:rFonts w:ascii="Arial" w:cs="Arial" w:eastAsia="Arial" w:hAnsi="Arial"/>
                <w:sz w:val="14"/>
                <w:szCs w:val="14"/>
                <w:color w:val="auto"/>
                <w:w w:val="94"/>
              </w:rPr>
              <w:t>Depreciation and</w:t>
            </w:r>
          </w:p>
        </w:tc>
        <w:tc>
          <w:tcPr>
            <w:tcW w:w="240" w:type="dxa"/>
            <w:vAlign w:val="bottom"/>
          </w:tcPr>
          <w:p>
            <w:pPr>
              <w:spacing w:after="0"/>
              <w:rPr>
                <w:sz w:val="13"/>
                <w:szCs w:val="13"/>
                <w:color w:val="auto"/>
              </w:rPr>
            </w:pPr>
          </w:p>
        </w:tc>
        <w:tc>
          <w:tcPr>
            <w:tcW w:w="1020" w:type="dxa"/>
            <w:vAlign w:val="bottom"/>
          </w:tcPr>
          <w:p>
            <w:pPr>
              <w:jc w:val="right"/>
              <w:ind w:right="294"/>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7"/>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2,868</w:t>
            </w:r>
          </w:p>
        </w:tc>
        <w:tc>
          <w:tcPr>
            <w:tcW w:w="5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1,262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2,467</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1,768</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8,345</w:t>
            </w:r>
          </w:p>
        </w:tc>
        <w:tc>
          <w:tcPr>
            <w:tcW w:w="5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2,347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515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71</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729"/>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right"/>
              <w:ind w:right="774"/>
              <w:spacing w:after="0"/>
              <w:rPr>
                <w:sz w:val="20"/>
                <w:szCs w:val="20"/>
                <w:color w:val="auto"/>
              </w:rPr>
            </w:pPr>
            <w:r>
              <w:rPr>
                <w:rFonts w:ascii="Arial" w:cs="Arial" w:eastAsia="Arial" w:hAnsi="Arial"/>
                <w:sz w:val="14"/>
                <w:szCs w:val="14"/>
                <w:color w:val="auto"/>
              </w:rPr>
              <w:t>Three Months Ended March 31, 2018</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54"/>
              <w:spacing w:after="0" w:line="157" w:lineRule="exact"/>
              <w:rPr>
                <w:sz w:val="20"/>
                <w:szCs w:val="20"/>
                <w:color w:val="auto"/>
              </w:rPr>
            </w:pPr>
            <w:r>
              <w:rPr>
                <w:rFonts w:ascii="Arial" w:cs="Arial" w:eastAsia="Arial" w:hAnsi="Arial"/>
                <w:sz w:val="14"/>
                <w:szCs w:val="14"/>
                <w:color w:val="auto"/>
                <w:w w:val="94"/>
              </w:rPr>
              <w:t>Depreciation and</w:t>
            </w:r>
          </w:p>
        </w:tc>
        <w:tc>
          <w:tcPr>
            <w:tcW w:w="240" w:type="dxa"/>
            <w:vAlign w:val="bottom"/>
          </w:tcPr>
          <w:p>
            <w:pPr>
              <w:spacing w:after="0"/>
              <w:rPr>
                <w:sz w:val="13"/>
                <w:szCs w:val="13"/>
                <w:color w:val="auto"/>
              </w:rPr>
            </w:pPr>
          </w:p>
        </w:tc>
        <w:tc>
          <w:tcPr>
            <w:tcW w:w="1020" w:type="dxa"/>
            <w:vAlign w:val="bottom"/>
          </w:tcPr>
          <w:p>
            <w:pPr>
              <w:jc w:val="right"/>
              <w:ind w:right="294"/>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7"/>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1"/>
              </w:rPr>
              <w:t>Intangible Assets</w:t>
            </w:r>
          </w:p>
        </w:tc>
      </w:tr>
      <w:tr>
        <w:trPr>
          <w:trHeight w:val="282"/>
        </w:trPr>
        <w:tc>
          <w:tcPr>
            <w:tcW w:w="4920" w:type="dxa"/>
            <w:vAlign w:val="bottom"/>
          </w:tcPr>
          <w:p>
            <w:pPr>
              <w:ind w:left="40"/>
              <w:spacing w:after="0" w:line="282" w:lineRule="exact"/>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3,157</w:t>
            </w:r>
          </w:p>
        </w:tc>
        <w:tc>
          <w:tcPr>
            <w:tcW w:w="5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1,254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4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(d)</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3,497</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72</w:t>
            </w: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1,647</w:t>
            </w:r>
          </w:p>
        </w:tc>
        <w:tc>
          <w:tcPr>
            <w:tcW w:w="5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1,281</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(b)(d)</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9,530</w:t>
            </w:r>
          </w:p>
        </w:tc>
        <w:tc>
          <w:tcPr>
            <w:tcW w:w="5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2,285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130</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consisted primarily of the licensing of film and television content from our Filmed Entertainment and Broadcast Television segments to our Cable Networks segment; for segment reporting, this revenue is recognized as the programming rights asset for the licensed content is amortized based on third party revenue.</w:t>
      </w:r>
    </w:p>
    <w:p>
      <w:pPr>
        <w:spacing w:after="0" w:line="36" w:lineRule="exact"/>
        <w:rPr>
          <w:rFonts w:ascii="Arial" w:cs="Arial" w:eastAsia="Arial" w:hAnsi="Arial"/>
          <w:sz w:val="14"/>
          <w:szCs w:val="14"/>
          <w:color w:val="auto"/>
        </w:rPr>
      </w:pPr>
    </w:p>
    <w:p>
      <w:pPr>
        <w:jc w:val="both"/>
        <w:ind w:left="340" w:hanging="332"/>
        <w:spacing w:after="0" w:line="273"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use Adjusted EBITDA as the measure of profit or loss for our operating segments. Adjusted EBITDA is defined as net income attributable to NBCUniversal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40" w:type="dxa"/>
            <w:vAlign w:val="bottom"/>
          </w:tcPr>
          <w:p>
            <w:pPr>
              <w:spacing w:after="0"/>
              <w:rPr>
                <w:sz w:val="14"/>
                <w:szCs w:val="14"/>
                <w:color w:val="auto"/>
              </w:rPr>
            </w:pPr>
          </w:p>
        </w:tc>
      </w:tr>
      <w:tr>
        <w:trPr>
          <w:trHeight w:val="188"/>
        </w:trPr>
        <w:tc>
          <w:tcPr>
            <w:tcW w:w="7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6"/>
                <w:szCs w:val="16"/>
                <w:color w:val="auto"/>
              </w:rPr>
            </w:pPr>
          </w:p>
        </w:tc>
      </w:tr>
      <w:tr>
        <w:trPr>
          <w:trHeight w:val="264"/>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89"/>
              </w:rPr>
              <w:t>2018</w:t>
            </w:r>
          </w:p>
        </w:tc>
      </w:tr>
      <w:tr>
        <w:trPr>
          <w:trHeight w:val="258"/>
        </w:trPr>
        <w:tc>
          <w:tcPr>
            <w:tcW w:w="77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2,347</w:t>
            </w:r>
          </w:p>
        </w:tc>
        <w:tc>
          <w:tcPr>
            <w:tcW w:w="6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2,285</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(243)</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(272)</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270"/>
        </w:trPr>
        <w:tc>
          <w:tcPr>
            <w:tcW w:w="77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(131)</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76"/>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240</w:t>
            </w: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77"/>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1,941</w:t>
            </w: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1,644</w:t>
            </w:r>
          </w:p>
        </w:tc>
      </w:tr>
    </w:tbl>
    <w:p>
      <w:pPr>
        <w:spacing w:after="0" w:line="49" w:lineRule="exact"/>
        <w:rPr>
          <w:sz w:val="20"/>
          <w:szCs w:val="20"/>
          <w:color w:val="auto"/>
        </w:rPr>
      </w:pPr>
    </w:p>
    <w:p>
      <w:pPr>
        <w:jc w:val="both"/>
        <w:ind w:left="340" w:hanging="332"/>
        <w:spacing w:after="0" w:line="257"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 into with our other segments.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r>
      <w:tr>
        <w:trPr>
          <w:trHeight w:val="188"/>
        </w:trPr>
        <w:tc>
          <w:tcPr>
            <w:tcW w:w="8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1,735</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1,861</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852</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977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281</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319</w:t>
            </w:r>
          </w:p>
        </w:tc>
      </w:tr>
      <w:tr>
        <w:trPr>
          <w:trHeight w:val="27"/>
        </w:trPr>
        <w:tc>
          <w:tcPr>
            <w:tcW w:w="8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60" w:type="dxa"/>
            <w:vAlign w:val="bottom"/>
          </w:tcPr>
          <w:p>
            <w:pPr>
              <w:spacing w:after="0"/>
              <w:rPr>
                <w:sz w:val="20"/>
                <w:szCs w:val="20"/>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2,868</w:t>
            </w:r>
          </w:p>
        </w:tc>
        <w:tc>
          <w:tcPr>
            <w:tcW w:w="66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3,157</w:t>
            </w:r>
          </w:p>
        </w:tc>
      </w:tr>
      <w:tr>
        <w:trPr>
          <w:trHeight w:val="432"/>
        </w:trPr>
        <w:tc>
          <w:tcPr>
            <w:tcW w:w="820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4"/>
                <w:szCs w:val="24"/>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1,317</w:t>
            </w:r>
          </w:p>
        </w:tc>
        <w:tc>
          <w:tcPr>
            <w:tcW w:w="66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2,365</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560</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522</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590</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610</w:t>
            </w:r>
          </w:p>
        </w:tc>
      </w:tr>
      <w:tr>
        <w:trPr>
          <w:trHeight w:val="27"/>
        </w:trPr>
        <w:tc>
          <w:tcPr>
            <w:tcW w:w="8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60" w:type="dxa"/>
            <w:vAlign w:val="bottom"/>
          </w:tcPr>
          <w:p>
            <w:pPr>
              <w:spacing w:after="0"/>
              <w:rPr>
                <w:sz w:val="20"/>
                <w:szCs w:val="20"/>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2,467</w:t>
            </w:r>
          </w:p>
        </w:tc>
        <w:tc>
          <w:tcPr>
            <w:tcW w:w="66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3,497</w:t>
            </w:r>
          </w:p>
        </w:tc>
      </w:tr>
      <w:tr>
        <w:trPr>
          <w:trHeight w:val="432"/>
        </w:trPr>
        <w:tc>
          <w:tcPr>
            <w:tcW w:w="820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60" w:type="dxa"/>
            <w:vAlign w:val="bottom"/>
          </w:tcPr>
          <w:p>
            <w:pPr>
              <w:spacing w:after="0"/>
              <w:rPr>
                <w:sz w:val="24"/>
                <w:szCs w:val="24"/>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445</w:t>
            </w:r>
          </w:p>
        </w:tc>
        <w:tc>
          <w:tcPr>
            <w:tcW w:w="66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423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817</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733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267</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248</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239</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243</w:t>
            </w:r>
          </w:p>
        </w:tc>
      </w:tr>
      <w:tr>
        <w:trPr>
          <w:trHeight w:val="27"/>
        </w:trPr>
        <w:tc>
          <w:tcPr>
            <w:tcW w:w="8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60" w:type="dxa"/>
            <w:vAlign w:val="bottom"/>
          </w:tcPr>
          <w:p>
            <w:pPr>
              <w:spacing w:after="0"/>
              <w:rPr>
                <w:sz w:val="20"/>
                <w:szCs w:val="20"/>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1,768</w:t>
            </w:r>
          </w:p>
        </w:tc>
        <w:tc>
          <w:tcPr>
            <w:tcW w:w="66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1,647</w:t>
            </w:r>
          </w:p>
        </w:tc>
      </w:tr>
      <w:tr>
        <w:trPr>
          <w:trHeight w:val="432"/>
        </w:trPr>
        <w:tc>
          <w:tcPr>
            <w:tcW w:w="820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60" w:type="dxa"/>
            <w:vAlign w:val="bottom"/>
          </w:tcPr>
          <w:p>
            <w:pPr>
              <w:spacing w:after="0"/>
              <w:rPr>
                <w:sz w:val="24"/>
                <w:szCs w:val="24"/>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1,276</w:t>
            </w:r>
          </w:p>
        </w:tc>
        <w:tc>
          <w:tcPr>
            <w:tcW w:w="66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1,281</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60" w:type="dxa"/>
            <w:vAlign w:val="bottom"/>
          </w:tcPr>
          <w:p>
            <w:pPr>
              <w:spacing w:after="0"/>
              <w:rPr>
                <w:sz w:val="23"/>
                <w:szCs w:val="23"/>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51</w:t>
            </w:r>
          </w:p>
        </w:tc>
      </w:tr>
      <w:tr>
        <w:trPr>
          <w:trHeight w:val="297"/>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(85)</w:t>
            </w: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b w:val="1"/>
                <w:bCs w:val="1"/>
                <w:color w:val="auto"/>
              </w:rPr>
              <w:t>8,345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9,530</w:t>
            </w:r>
          </w:p>
        </w:tc>
      </w:tr>
      <w:tr>
        <w:trPr>
          <w:trHeight w:val="34"/>
        </w:trPr>
        <w:tc>
          <w:tcPr>
            <w:tcW w:w="8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(a) Included in Eliminations are transactions that our segments enter into with one another. See Note 2 for a description of these transactions.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primarily in Europe and Asia. The table below summarizes revenue by geographic location.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ind w:left="640"/>
              <w:spacing w:after="0"/>
              <w:rPr>
                <w:sz w:val="20"/>
                <w:szCs w:val="20"/>
                <w:color w:val="auto"/>
              </w:rPr>
            </w:pPr>
            <w:r>
              <w:rPr>
                <w:rFonts w:ascii="Arial" w:cs="Arial" w:eastAsia="Arial" w:hAnsi="Arial"/>
                <w:sz w:val="14"/>
                <w:szCs w:val="14"/>
                <w:color w:val="auto"/>
                <w:w w:val="94"/>
              </w:rPr>
              <w:t>Three Months Ended</w:t>
            </w:r>
          </w:p>
        </w:tc>
        <w:tc>
          <w:tcPr>
            <w:tcW w:w="940" w:type="dxa"/>
            <w:vAlign w:val="bottom"/>
          </w:tcPr>
          <w:p>
            <w:pPr>
              <w:spacing w:after="0"/>
              <w:rPr>
                <w:sz w:val="14"/>
                <w:szCs w:val="14"/>
                <w:color w:val="auto"/>
              </w:rPr>
            </w:pPr>
          </w:p>
        </w:tc>
      </w:tr>
      <w:tr>
        <w:trPr>
          <w:trHeight w:val="188"/>
        </w:trPr>
        <w:tc>
          <w:tcPr>
            <w:tcW w:w="8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6"/>
                <w:szCs w:val="16"/>
                <w:color w:val="auto"/>
              </w:rPr>
            </w:pPr>
          </w:p>
        </w:tc>
      </w:tr>
      <w:tr>
        <w:trPr>
          <w:trHeight w:val="196"/>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640"/>
              <w:spacing w:after="0"/>
              <w:rPr>
                <w:sz w:val="20"/>
                <w:szCs w:val="20"/>
                <w:color w:val="auto"/>
              </w:rPr>
            </w:pPr>
            <w:r>
              <w:rPr>
                <w:rFonts w:ascii="Arial" w:cs="Arial" w:eastAsia="Arial" w:hAnsi="Arial"/>
                <w:sz w:val="18"/>
                <w:szCs w:val="18"/>
                <w:color w:val="auto"/>
              </w:rPr>
              <w:t>6,623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7,654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3"/>
                <w:szCs w:val="23"/>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1,722</w:t>
            </w:r>
          </w:p>
        </w:tc>
        <w:tc>
          <w:tcPr>
            <w:tcW w:w="68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1,876</w:t>
            </w:r>
          </w:p>
        </w:tc>
      </w:tr>
      <w:tr>
        <w:trPr>
          <w:trHeight w:val="27"/>
        </w:trPr>
        <w:tc>
          <w:tcPr>
            <w:tcW w:w="8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ind w:left="640"/>
              <w:spacing w:after="0"/>
              <w:rPr>
                <w:sz w:val="20"/>
                <w:szCs w:val="20"/>
                <w:color w:val="auto"/>
              </w:rPr>
            </w:pPr>
            <w:r>
              <w:rPr>
                <w:rFonts w:ascii="Arial" w:cs="Arial" w:eastAsia="Arial" w:hAnsi="Arial"/>
                <w:sz w:val="18"/>
                <w:szCs w:val="18"/>
                <w:b w:val="1"/>
                <w:bCs w:val="1"/>
                <w:color w:val="auto"/>
              </w:rPr>
              <w:t>8,345</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b w:val="1"/>
                <w:bCs w:val="1"/>
                <w:color w:val="auto"/>
              </w:rPr>
              <w:t>9,530</w:t>
            </w:r>
          </w:p>
        </w:tc>
      </w:tr>
      <w:tr>
        <w:trPr>
          <w:trHeight w:val="34"/>
        </w:trPr>
        <w:tc>
          <w:tcPr>
            <w:tcW w:w="8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our accounts receivable and other balances that are not separately presented in our condensed consolidated balance sheet that relate to the recognition of revenue and collection of the related cash.</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00" w:type="dxa"/>
            <w:vAlign w:val="bottom"/>
          </w:tcPr>
          <w:p>
            <w:pPr>
              <w:jc w:val="center"/>
              <w:ind w:right="298"/>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13"/>
                <w:szCs w:val="13"/>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color w:val="auto"/>
                <w:w w:val="90"/>
              </w:rPr>
              <w:t>December 31,</w:t>
            </w:r>
          </w:p>
        </w:tc>
      </w:tr>
      <w:tr>
        <w:trPr>
          <w:trHeight w:val="188"/>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color w:val="auto"/>
                <w:w w:val="89"/>
              </w:rPr>
              <w:t>2018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8"/>
              <w:spacing w:after="0"/>
              <w:rPr>
                <w:sz w:val="20"/>
                <w:szCs w:val="20"/>
                <w:color w:val="auto"/>
              </w:rPr>
            </w:pPr>
            <w:r>
              <w:rPr>
                <w:rFonts w:ascii="Arial" w:cs="Arial" w:eastAsia="Arial" w:hAnsi="Arial"/>
                <w:sz w:val="18"/>
                <w:szCs w:val="18"/>
                <w:color w:val="auto"/>
              </w:rPr>
              <w:t>7,376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7,392</w:t>
            </w: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1840" w:type="dxa"/>
            <w:vAlign w:val="bottom"/>
          </w:tcPr>
          <w:p>
            <w:pPr>
              <w:spacing w:after="0"/>
              <w:rPr>
                <w:sz w:val="23"/>
                <w:szCs w:val="23"/>
                <w:color w:val="auto"/>
              </w:rPr>
            </w:pPr>
          </w:p>
        </w:tc>
        <w:tc>
          <w:tcPr>
            <w:tcW w:w="1300" w:type="dxa"/>
            <w:vAlign w:val="bottom"/>
          </w:tcPr>
          <w:p>
            <w:pPr>
              <w:jc w:val="right"/>
              <w:ind w:right="98"/>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3"/>
                <w:szCs w:val="23"/>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99</w:t>
            </w:r>
          </w:p>
        </w:tc>
      </w:tr>
      <w:tr>
        <w:trPr>
          <w:trHeight w:val="27"/>
        </w:trPr>
        <w:tc>
          <w:tcPr>
            <w:tcW w:w="66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18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8"/>
              <w:spacing w:after="0"/>
              <w:rPr>
                <w:sz w:val="20"/>
                <w:szCs w:val="20"/>
                <w:color w:val="auto"/>
              </w:rPr>
            </w:pPr>
            <w:r>
              <w:rPr>
                <w:rFonts w:ascii="Arial" w:cs="Arial" w:eastAsia="Arial" w:hAnsi="Arial"/>
                <w:sz w:val="18"/>
                <w:szCs w:val="18"/>
                <w:b w:val="1"/>
                <w:bCs w:val="1"/>
                <w:color w:val="auto"/>
              </w:rPr>
              <w:t>7,270</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b w:val="1"/>
                <w:bCs w:val="1"/>
                <w:color w:val="auto"/>
              </w:rPr>
              <w:t>7,293</w:t>
            </w:r>
          </w:p>
        </w:tc>
      </w:tr>
      <w:tr>
        <w:trPr>
          <w:trHeight w:val="34"/>
        </w:trPr>
        <w:tc>
          <w:tcPr>
            <w:tcW w:w="66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67"/>
        </w:trPr>
        <w:tc>
          <w:tcPr>
            <w:tcW w:w="6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jc w:val="center"/>
              <w:ind w:right="298"/>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24"/>
                <w:szCs w:val="24"/>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color w:val="auto"/>
                <w:w w:val="90"/>
              </w:rPr>
              <w:t>December 31,</w:t>
            </w:r>
          </w:p>
        </w:tc>
      </w:tr>
      <w:tr>
        <w:trPr>
          <w:trHeight w:val="188"/>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color w:val="auto"/>
                <w:w w:val="89"/>
              </w:rPr>
              <w:t>2018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8"/>
              <w:spacing w:after="0"/>
              <w:rPr>
                <w:sz w:val="20"/>
                <w:szCs w:val="20"/>
                <w:color w:val="auto"/>
              </w:rPr>
            </w:pPr>
            <w:r>
              <w:rPr>
                <w:rFonts w:ascii="Arial" w:cs="Arial" w:eastAsia="Arial" w:hAnsi="Arial"/>
                <w:sz w:val="18"/>
                <w:szCs w:val="18"/>
                <w:color w:val="auto"/>
              </w:rPr>
              <w:t>1,185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1,180</w:t>
            </w: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8"/>
              <w:spacing w:after="0"/>
              <w:rPr>
                <w:sz w:val="20"/>
                <w:szCs w:val="20"/>
                <w:color w:val="auto"/>
              </w:rPr>
            </w:pPr>
            <w:r>
              <w:rPr>
                <w:rFonts w:ascii="Arial" w:cs="Arial" w:eastAsia="Arial" w:hAnsi="Arial"/>
                <w:sz w:val="18"/>
                <w:szCs w:val="18"/>
                <w:color w:val="auto"/>
              </w:rPr>
              <w:t>568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481</w:t>
            </w:r>
          </w:p>
        </w:tc>
      </w:tr>
      <w:tr>
        <w:trPr>
          <w:trHeight w:val="27"/>
        </w:trPr>
        <w:tc>
          <w:tcPr>
            <w:tcW w:w="66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Long-Term Debt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2019, our debt, excluding our revolving credit agreement with Comcast, had a carrying value of $13.1 billion and an estimated fair value of $13.7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2019, Universal Beijing Resort borrowed $222 million under its debt financing agreement to fund the construction of a Universal theme park and resort in Beijing, China (see Note 5).</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we repaid $45 million of Universal Studios Japan term loans maturing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Comcast and a 100% owned cable holding company subsidiary of Comcast (“CCCL Parent”) have fully and unconditionally guaranteed each other’s debt securities, including the $7.6 billion Comcast revolving credit facility due 2021. As of March 31, 2019, $84.6 billion principal amount of outstanding debt securities of Comcast and CCCL Parent were subject to the cross-guarantee structure.</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do not, however, guarantee the obligations of NBCUniversal Enterprise with respect to its $3.0 billion aggregate principal amount of senior notes, its revolving credit facility, its commercial paper program, nor its $725 million liquidation preference of Series A cumulative preferred stock.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Universal Studios Japan term loans are not subject to the cross-guarantee structure, however they have a separate guarantee from Comcast.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Universal Beijing Resort term loans are not guaranteed.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The debt financing is secured by the assets of Universal Beijing Resort and the equity interests of the investors. As of March 31, 2019, Universal Beijing Resort had $815 million principal amount of term loans outstanding under the debt financing agreements.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condensed consolidated statement of cash flows includes the costs of construction and related borrowings in the "construction of Universal Beijing Resort" and "proceeds from borrowings" captions, respectively, and equity contributions from our investing partner are included in other financing activities.</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March 31, 2019, our condensed consolidated balance sheet included assets, primarily property and equipment, and liabilities, including the term loans, of Universal Beijing Resort totaling $1.8 billion and $1.3 billion,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updated the accounting guidance related to leases. The most significant change in the updated accounting guidance requires lessees to recognize lease assets and liabilities on the balance sheet for all operating leases with the exception of short-term leases. The standard also expands the disclosures regarding the amount, timing and uncertainty of cash flows arising from leases. For a lessee, the recognition, measurement and presentation of expenses and cash flows arising from a lease did not significantly change from previous guidance. We adopted the updated guidance on January 1, 2019 on a prospective basis and as a result, prior period amounts were not adjusted to reflect the impacts of the updated guidance. In addition, as permitted under the transition guidance within the new standard, prior scoping and classification conclusions were carried forward for leases existing as of the adoption date.</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adoption, we recorded approximately $1.7 billion and $1.8 billion of operating lease assets and liabilities, respectively, which includes the impact of fair value adjustments, prepaid rent and lease incentives. The adoption of the updated accounting guidance did not impact our recognition of finance leases, which were previously described as capital leases. As of the date of adoption, our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liabilities for finance leases were $332 million, which were recorded in long-term debt, and the related assets were recorded in property and equipment, net. Our finance leases were not considered material for further disclosure. The adoption of the new accounting guidance did not have a material impact on our consolidated results of operations or cash flows. See Note 9 for further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2019, the FASB updated the accounting guidance related to film and television costs. The updated guidance aligns the accounting for production costs of episodic television series with those of films, allowing for costs to be capitalized in excess of amounts of revenue contracted for each episode. The updated guidance also updates certain presentation and disclosure requirements for capitalized film and television costs, and requires impairment testing to be performed at a group level for capitalized film and television costs when the content is predominately monetized with other owned or licensed content. The updated guidance is effective for us as of January 1, 2020 and early adoption is permitted. We are currently in the process of determining the impact that the updated accounting guidance will have on our consolidated financial statements, however we do not expect there to be a material impact on our consolidated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Film and Television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453"/>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1,544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1,600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144</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1,267</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1,063</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2,851</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2,807</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7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2,296</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2,161</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820</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953</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3,116</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3,114</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2,638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2,694</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8,605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8,615</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7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1,303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1,323</w:t>
            </w:r>
          </w:p>
        </w:tc>
      </w:tr>
      <w:tr>
        <w:trPr>
          <w:trHeight w:val="27"/>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2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b w:val="1"/>
                <w:bCs w:val="1"/>
                <w:color w:val="auto"/>
              </w:rPr>
              <w:t>7,302</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7,292</w:t>
            </w:r>
          </w:p>
        </w:tc>
      </w:tr>
      <w:tr>
        <w:trPr>
          <w:trHeight w:val="34"/>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Investments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3"/>
          </w:tcPr>
          <w:p>
            <w:pPr>
              <w:jc w:val="right"/>
              <w:ind w:right="895"/>
              <w:spacing w:after="0"/>
              <w:rPr>
                <w:sz w:val="20"/>
                <w:szCs w:val="20"/>
                <w:color w:val="auto"/>
              </w:rPr>
            </w:pPr>
            <w:r>
              <w:rPr>
                <w:rFonts w:ascii="Arial" w:cs="Arial" w:eastAsia="Arial" w:hAnsi="Arial"/>
                <w:sz w:val="14"/>
                <w:szCs w:val="14"/>
                <w:color w:val="auto"/>
              </w:rPr>
              <w:t>Three Months Ended</w:t>
            </w:r>
          </w:p>
        </w:tc>
      </w:tr>
      <w:tr>
        <w:trPr>
          <w:trHeight w:val="188"/>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w:t>
            </w:r>
          </w:p>
        </w:tc>
        <w:tc>
          <w:tcPr>
            <w:tcW w:w="12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2019</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(120)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260" w:type="dxa"/>
            <w:vAlign w:val="bottom"/>
          </w:tcPr>
          <w:p>
            <w:pPr>
              <w:spacing w:after="0"/>
              <w:rPr>
                <w:sz w:val="23"/>
                <w:szCs w:val="23"/>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161</w:t>
            </w:r>
          </w:p>
        </w:tc>
        <w:tc>
          <w:tcPr>
            <w:tcW w:w="38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3"/>
                <w:szCs w:val="23"/>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59</w:t>
            </w:r>
          </w:p>
        </w:tc>
      </w:tr>
      <w:tr>
        <w:trPr>
          <w:trHeight w:val="27"/>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117"/>
              <w:spacing w:after="0"/>
              <w:rPr>
                <w:sz w:val="20"/>
                <w:szCs w:val="20"/>
                <w:color w:val="auto"/>
              </w:rPr>
            </w:pPr>
            <w:r>
              <w:rPr>
                <w:rFonts w:ascii="Arial" w:cs="Arial" w:eastAsia="Arial" w:hAnsi="Arial"/>
                <w:sz w:val="18"/>
                <w:szCs w:val="18"/>
                <w:b w:val="1"/>
                <w:bCs w:val="1"/>
                <w:color w:val="auto"/>
              </w:rPr>
              <w:t>240</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4"/>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46"/>
        </w:trPr>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477"/>
              <w:spacing w:after="0"/>
              <w:rPr>
                <w:sz w:val="20"/>
                <w:szCs w:val="20"/>
                <w:color w:val="auto"/>
              </w:rPr>
            </w:pPr>
            <w:r>
              <w:rPr>
                <w:rFonts w:ascii="Arial" w:cs="Arial" w:eastAsia="Arial" w:hAnsi="Arial"/>
                <w:sz w:val="14"/>
                <w:szCs w:val="14"/>
                <w:color w:val="auto"/>
              </w:rPr>
              <w:t>March 31,</w:t>
            </w:r>
          </w:p>
        </w:tc>
        <w:tc>
          <w:tcPr>
            <w:tcW w:w="380" w:type="dxa"/>
            <w:vAlign w:val="bottom"/>
          </w:tcPr>
          <w:p>
            <w:pPr>
              <w:spacing w:after="0"/>
              <w:rPr>
                <w:sz w:val="24"/>
                <w:szCs w:val="24"/>
                <w:color w:val="auto"/>
              </w:rPr>
            </w:pPr>
          </w:p>
        </w:tc>
        <w:tc>
          <w:tcPr>
            <w:tcW w:w="1220" w:type="dxa"/>
            <w:vAlign w:val="bottom"/>
          </w:tcPr>
          <w:p>
            <w:pPr>
              <w:jc w:val="right"/>
              <w:ind w:right="275"/>
              <w:spacing w:after="0"/>
              <w:rPr>
                <w:sz w:val="20"/>
                <w:szCs w:val="20"/>
                <w:color w:val="auto"/>
              </w:rPr>
            </w:pPr>
            <w:r>
              <w:rPr>
                <w:rFonts w:ascii="Arial" w:cs="Arial" w:eastAsia="Arial" w:hAnsi="Arial"/>
                <w:sz w:val="14"/>
                <w:szCs w:val="14"/>
                <w:color w:val="auto"/>
                <w:w w:val="95"/>
              </w:rPr>
              <w:t>December 31,</w:t>
            </w:r>
          </w:p>
        </w:tc>
      </w:tr>
      <w:tr>
        <w:trPr>
          <w:trHeight w:val="18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2019</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831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707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260" w:type="dxa"/>
            <w:vAlign w:val="bottom"/>
          </w:tcPr>
          <w:p>
            <w:pPr>
              <w:spacing w:after="0"/>
              <w:rPr>
                <w:sz w:val="23"/>
                <w:szCs w:val="23"/>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324</w:t>
            </w:r>
          </w:p>
        </w:tc>
        <w:tc>
          <w:tcPr>
            <w:tcW w:w="38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162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260" w:type="dxa"/>
            <w:vAlign w:val="bottom"/>
          </w:tcPr>
          <w:p>
            <w:pPr>
              <w:spacing w:after="0"/>
              <w:rPr>
                <w:sz w:val="23"/>
                <w:szCs w:val="23"/>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912</w:t>
            </w:r>
          </w:p>
        </w:tc>
        <w:tc>
          <w:tcPr>
            <w:tcW w:w="38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811</w:t>
            </w:r>
          </w:p>
        </w:tc>
      </w:tr>
      <w:tr>
        <w:trPr>
          <w:trHeight w:val="27"/>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117"/>
              <w:spacing w:after="0"/>
              <w:rPr>
                <w:sz w:val="20"/>
                <w:szCs w:val="20"/>
                <w:color w:val="auto"/>
              </w:rPr>
            </w:pPr>
            <w:r>
              <w:rPr>
                <w:rFonts w:ascii="Arial" w:cs="Arial" w:eastAsia="Arial" w:hAnsi="Arial"/>
                <w:sz w:val="18"/>
                <w:szCs w:val="18"/>
                <w:b w:val="1"/>
                <w:bCs w:val="1"/>
                <w:color w:val="auto"/>
              </w:rPr>
              <w:t>2,067</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b w:val="1"/>
                <w:bCs w:val="1"/>
                <w:color w:val="auto"/>
              </w:rPr>
              <w:t>1,680</w:t>
            </w:r>
          </w:p>
        </w:tc>
      </w:tr>
      <w:tr>
        <w:trPr>
          <w:trHeight w:val="34"/>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2019 and 2018, we recognized our proportionate share of Hulu’s losses of $141 million and $131 million, respectively, in equity in net income (losses) of investees, net. For the three months ended March 31, 2019 and 2018, we made cash capital contributions to Hulu totaling $233 million and $114 million, respectively. As of March 31, 2019 and December 31, 2018, our investment in Hulu was $341 million and $248 million, respectively.</w:t>
      </w:r>
    </w:p>
    <w:p>
      <w:pPr>
        <w:sectPr>
          <w:pgSz w:w="11900" w:h="16838" w:orient="portrait"/>
          <w:cols w:equalWidth="0" w:num="1">
            <w:col w:w="11420"/>
          </w:cols>
          <w:pgMar w:left="240" w:top="121"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Time Warner Inc. acquired a 10% interest in Hulu, which diluted our interest in Hulu from 33% to 30%. Given the contingent nature of put and call options related to its shares, we recorded a deferred gain as a result of the dilution. In the first quarter of 2019, the put and call options expired unexercised and we recognized the previously deferred gain of $159 million in other income (loss), net.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2019 and 2018, we recognized unrealized gains of $162 million and $37 million, respectively, in realized and unrealized gains (losses) on equity securities, net related to our investment in Snap. As of March 31, 2019 and December 31, 2018, our investment in Snap was $324 million and $162 million,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leases consist primarily of real estate and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utilize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 Lease expense for operating leases recorded in the balance sheet is included in operating costs and expenses and is based on the future minimum lease payments recognized on a straight-line basis over the term of the lease plus any variable lease costs. Operating lease expenses, inclusive of short-term and variable lease expenses, recognized in our condensed consolidated statement of income for the three months ended March 31, 2019 were $111 million. These amounts do not include lease costs associated with production activities or other amounts capitalized in our condensed consolidated balance sheet, which are not material.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lease assets and liabilities recorded in our condensed consolidated balance sheet.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6300" w:type="dxa"/>
            <w:vAlign w:val="bottom"/>
          </w:tcPr>
          <w:p>
            <w:pPr>
              <w:jc w:val="right"/>
              <w:ind w:right="2430"/>
              <w:spacing w:after="0"/>
              <w:rPr>
                <w:sz w:val="20"/>
                <w:szCs w:val="20"/>
                <w:color w:val="auto"/>
              </w:rPr>
            </w:pPr>
            <w:r>
              <w:rPr>
                <w:rFonts w:ascii="Arial" w:cs="Arial" w:eastAsia="Arial" w:hAnsi="Arial"/>
                <w:sz w:val="18"/>
                <w:szCs w:val="18"/>
                <w:b w:val="1"/>
                <w:bCs w:val="1"/>
                <w:color w:val="auto"/>
              </w:rPr>
              <w:t>Condensed Consolidated Balance Sheet</w:t>
            </w:r>
          </w:p>
        </w:tc>
        <w:tc>
          <w:tcPr>
            <w:tcW w:w="1460" w:type="dxa"/>
            <w:vAlign w:val="bottom"/>
          </w:tcPr>
          <w:p>
            <w:pPr>
              <w:spacing w:after="0"/>
              <w:rPr>
                <w:sz w:val="20"/>
                <w:szCs w:val="20"/>
                <w:color w:val="auto"/>
              </w:rPr>
            </w:pPr>
          </w:p>
        </w:tc>
      </w:tr>
      <w:tr>
        <w:trPr>
          <w:trHeight w:val="265"/>
        </w:trPr>
        <w:tc>
          <w:tcPr>
            <w:tcW w:w="366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1460" w:type="dxa"/>
            <w:vAlign w:val="bottom"/>
          </w:tcPr>
          <w:p>
            <w:pPr>
              <w:jc w:val="right"/>
              <w:ind w:right="557"/>
              <w:spacing w:after="0"/>
              <w:rPr>
                <w:sz w:val="20"/>
                <w:szCs w:val="20"/>
                <w:color w:val="auto"/>
              </w:rPr>
            </w:pPr>
            <w:r>
              <w:rPr>
                <w:rFonts w:ascii="Arial" w:cs="Arial" w:eastAsia="Arial" w:hAnsi="Arial"/>
                <w:sz w:val="14"/>
                <w:szCs w:val="14"/>
                <w:color w:val="auto"/>
              </w:rPr>
              <w:t>March 31,</w:t>
            </w:r>
          </w:p>
        </w:tc>
      </w:t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color w:val="auto"/>
              </w:rPr>
              <w:t>2019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6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1,599</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w w:val="99"/>
              </w:rPr>
              <w:t>Accrued expenses and other current liabilities</w:t>
            </w:r>
          </w:p>
        </w:tc>
        <w:tc>
          <w:tcPr>
            <w:tcW w:w="6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177</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6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1,525</w:t>
            </w:r>
          </w:p>
        </w:tc>
      </w:tr>
      <w:tr>
        <w:trPr>
          <w:trHeight w:val="27"/>
        </w:trPr>
        <w:tc>
          <w:tcPr>
            <w:tcW w:w="36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future minimum rental commitments for operating leases as of March 31, 2019 applying the new accounting guidance.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60" w:type="dxa"/>
            <w:vAlign w:val="bottom"/>
          </w:tcPr>
          <w:p>
            <w:pPr>
              <w:jc w:val="right"/>
              <w:ind w:right="553"/>
              <w:spacing w:after="0"/>
              <w:rPr>
                <w:sz w:val="20"/>
                <w:szCs w:val="20"/>
                <w:color w:val="auto"/>
              </w:rPr>
            </w:pPr>
            <w:r>
              <w:rPr>
                <w:rFonts w:ascii="Arial" w:cs="Arial" w:eastAsia="Arial" w:hAnsi="Arial"/>
                <w:sz w:val="14"/>
                <w:szCs w:val="14"/>
                <w:color w:val="auto"/>
              </w:rPr>
              <w:t>March 31,</w:t>
            </w:r>
          </w:p>
        </w:tc>
      </w:tr>
      <w:tr>
        <w:trPr>
          <w:trHeight w:val="188"/>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2019</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Remaining nine months of 2019</w:t>
            </w:r>
          </w:p>
        </w:tc>
        <w:tc>
          <w:tcPr>
            <w:tcW w:w="3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175</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2020</w:t>
            </w:r>
          </w:p>
        </w:tc>
        <w:tc>
          <w:tcPr>
            <w:tcW w:w="376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243</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2021</w:t>
            </w:r>
          </w:p>
        </w:tc>
        <w:tc>
          <w:tcPr>
            <w:tcW w:w="376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210</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2022</w:t>
            </w:r>
          </w:p>
        </w:tc>
        <w:tc>
          <w:tcPr>
            <w:tcW w:w="376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176</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2023</w:t>
            </w:r>
          </w:p>
        </w:tc>
        <w:tc>
          <w:tcPr>
            <w:tcW w:w="376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152</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76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1,397</w:t>
            </w:r>
          </w:p>
        </w:tc>
      </w:tr>
      <w:tr>
        <w:trPr>
          <w:trHeight w:val="27"/>
        </w:trPr>
        <w:tc>
          <w:tcPr>
            <w:tcW w:w="62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3760" w:type="dxa"/>
            <w:vAlign w:val="bottom"/>
          </w:tcPr>
          <w:p>
            <w:pPr>
              <w:spacing w:after="0"/>
              <w:rPr>
                <w:sz w:val="20"/>
                <w:szCs w:val="20"/>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2,353</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76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651</w:t>
            </w:r>
          </w:p>
        </w:tc>
      </w:tr>
      <w:tr>
        <w:trPr>
          <w:trHeight w:val="27"/>
        </w:trPr>
        <w:tc>
          <w:tcPr>
            <w:tcW w:w="62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Total liability</w:t>
            </w:r>
          </w:p>
        </w:tc>
        <w:tc>
          <w:tcPr>
            <w:tcW w:w="37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13"/>
              <w:spacing w:after="0"/>
              <w:rPr>
                <w:sz w:val="20"/>
                <w:szCs w:val="20"/>
                <w:color w:val="auto"/>
              </w:rPr>
            </w:pPr>
            <w:r>
              <w:rPr>
                <w:rFonts w:ascii="Arial" w:cs="Arial" w:eastAsia="Arial" w:hAnsi="Arial"/>
                <w:sz w:val="18"/>
                <w:szCs w:val="18"/>
                <w:b w:val="1"/>
                <w:bCs w:val="1"/>
                <w:color w:val="auto"/>
              </w:rPr>
              <w:t>1,702</w:t>
            </w:r>
          </w:p>
        </w:tc>
      </w:tr>
      <w:tr>
        <w:trPr>
          <w:trHeight w:val="34"/>
        </w:trPr>
        <w:tc>
          <w:tcPr>
            <w:tcW w:w="62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remaining lease term for operating leases and the weighted average discount rate used to calculate our operating lease liabilities as of March 31, 2019 were 15 years and 4.03%, respectively.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2019, cash payments for operating leases recorded in the condensed consolidated balance sheet were $64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 that have not yet commenced and lease assets and liabilities associated with leases entered into during the period were not material.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summarize our future minimum rental commitments for operating leases as of December 31, 2018 and rent expense for operating leases for the three months ended March 31, 2018 using the accounting guidance in effect at that time.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jc w:val="center"/>
              <w:ind w:left="203"/>
              <w:spacing w:after="0"/>
              <w:rPr>
                <w:sz w:val="20"/>
                <w:szCs w:val="20"/>
                <w:color w:val="auto"/>
              </w:rPr>
            </w:pPr>
            <w:r>
              <w:rPr>
                <w:rFonts w:ascii="Arial" w:cs="Arial" w:eastAsia="Arial" w:hAnsi="Arial"/>
                <w:sz w:val="14"/>
                <w:szCs w:val="14"/>
                <w:color w:val="auto"/>
                <w:w w:val="93"/>
              </w:rPr>
              <w:t>December 31,</w:t>
            </w:r>
          </w:p>
        </w:tc>
        <w:tc>
          <w:tcPr>
            <w:tcW w:w="520" w:type="dxa"/>
            <w:vAlign w:val="bottom"/>
          </w:tcPr>
          <w:p>
            <w:pPr>
              <w:spacing w:after="0"/>
              <w:rPr>
                <w:sz w:val="14"/>
                <w:szCs w:val="14"/>
                <w:color w:val="auto"/>
              </w:rPr>
            </w:pPr>
          </w:p>
        </w:tc>
      </w:tr>
      <w:tr>
        <w:trPr>
          <w:trHeight w:val="188"/>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243"/>
              <w:spacing w:after="0"/>
              <w:rPr>
                <w:sz w:val="20"/>
                <w:szCs w:val="20"/>
                <w:color w:val="auto"/>
              </w:rPr>
            </w:pPr>
            <w:r>
              <w:rPr>
                <w:rFonts w:ascii="Arial" w:cs="Arial" w:eastAsia="Arial" w:hAnsi="Arial"/>
                <w:sz w:val="14"/>
                <w:szCs w:val="14"/>
                <w:color w:val="auto"/>
                <w:w w:val="96"/>
              </w:rPr>
              <w:t>2018</w:t>
            </w:r>
          </w:p>
        </w:tc>
        <w:tc>
          <w:tcPr>
            <w:tcW w:w="520" w:type="dxa"/>
            <w:vAlign w:val="bottom"/>
            <w:tcBorders>
              <w:bottom w:val="single" w:sz="8" w:color="auto"/>
            </w:tcBorders>
          </w:tcPr>
          <w:p>
            <w:pPr>
              <w:spacing w:after="0"/>
              <w:rPr>
                <w:sz w:val="16"/>
                <w:szCs w:val="16"/>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2019</w:t>
            </w:r>
          </w:p>
        </w:tc>
        <w:tc>
          <w:tcPr>
            <w:tcW w:w="5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2020</w:t>
            </w:r>
          </w:p>
        </w:tc>
        <w:tc>
          <w:tcPr>
            <w:tcW w:w="5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2021</w:t>
            </w:r>
          </w:p>
        </w:tc>
        <w:tc>
          <w:tcPr>
            <w:tcW w:w="5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2022</w:t>
            </w:r>
          </w:p>
        </w:tc>
        <w:tc>
          <w:tcPr>
            <w:tcW w:w="5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2023</w:t>
            </w:r>
          </w:p>
        </w:tc>
        <w:tc>
          <w:tcPr>
            <w:tcW w:w="5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1,380</w:t>
            </w:r>
          </w:p>
        </w:tc>
      </w:tr>
      <w:tr>
        <w:trPr>
          <w:trHeight w:val="27"/>
        </w:trPr>
        <w:tc>
          <w:tcPr>
            <w:tcW w:w="244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420"/>
        </w:trPr>
        <w:tc>
          <w:tcPr>
            <w:tcW w:w="24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gridSpan w:val="2"/>
          </w:tcPr>
          <w:p>
            <w:pPr>
              <w:jc w:val="center"/>
              <w:ind w:right="110"/>
              <w:spacing w:after="0"/>
              <w:rPr>
                <w:sz w:val="20"/>
                <w:szCs w:val="20"/>
                <w:color w:val="auto"/>
              </w:rPr>
            </w:pPr>
            <w:r>
              <w:rPr>
                <w:rFonts w:ascii="Arial" w:cs="Arial" w:eastAsia="Arial" w:hAnsi="Arial"/>
                <w:sz w:val="14"/>
                <w:szCs w:val="14"/>
                <w:color w:val="auto"/>
                <w:w w:val="93"/>
              </w:rPr>
              <w:t>Three Months Ended</w:t>
            </w:r>
          </w:p>
        </w:tc>
      </w:tr>
      <w:tr>
        <w:trPr>
          <w:trHeight w:val="188"/>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4"/>
                <w:szCs w:val="14"/>
                <w:color w:val="auto"/>
                <w:w w:val="92"/>
              </w:rPr>
              <w:t>March 31, 2018</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5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244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439"/>
        </w:trPr>
        <w:tc>
          <w:tcPr>
            <w:tcW w:w="2440" w:type="dxa"/>
            <w:vAlign w:val="bottom"/>
          </w:tcPr>
          <w:p>
            <w:pPr>
              <w:spacing w:after="0"/>
              <w:rPr>
                <w:sz w:val="24"/>
                <w:szCs w:val="24"/>
                <w:color w:val="auto"/>
              </w:rPr>
            </w:pPr>
          </w:p>
        </w:tc>
        <w:tc>
          <w:tcPr>
            <w:tcW w:w="616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Cash Payments for Interest and Income Taxes</w:t>
            </w: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6"/>
        </w:trPr>
        <w:tc>
          <w:tcPr>
            <w:tcW w:w="24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gridSpan w:val="2"/>
          </w:tcPr>
          <w:p>
            <w:pPr>
              <w:jc w:val="right"/>
              <w:ind w:right="383"/>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24"/>
                <w:szCs w:val="24"/>
                <w:color w:val="auto"/>
              </w:rPr>
            </w:pPr>
          </w:p>
        </w:tc>
      </w:tr>
      <w:tr>
        <w:trPr>
          <w:trHeight w:val="188"/>
        </w:trPr>
        <w:tc>
          <w:tcPr>
            <w:tcW w:w="244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2"/>
          </w:tcPr>
          <w:p>
            <w:pPr>
              <w:jc w:val="right"/>
              <w:ind w:right="703"/>
              <w:spacing w:after="0"/>
              <w:rPr>
                <w:sz w:val="20"/>
                <w:szCs w:val="20"/>
                <w:color w:val="auto"/>
              </w:rPr>
            </w:pPr>
            <w:r>
              <w:rPr>
                <w:rFonts w:ascii="Arial" w:cs="Arial" w:eastAsia="Arial" w:hAnsi="Arial"/>
                <w:sz w:val="14"/>
                <w:szCs w:val="14"/>
                <w:color w:val="auto"/>
              </w:rPr>
              <w:t>March 31</w:t>
            </w:r>
          </w:p>
        </w:tc>
        <w:tc>
          <w:tcPr>
            <w:tcW w:w="520" w:type="dxa"/>
            <w:vAlign w:val="bottom"/>
            <w:tcBorders>
              <w:bottom w:val="single" w:sz="8" w:color="auto"/>
            </w:tcBorders>
          </w:tcPr>
          <w:p>
            <w:pPr>
              <w:spacing w:after="0"/>
              <w:rPr>
                <w:sz w:val="16"/>
                <w:szCs w:val="16"/>
                <w:color w:val="auto"/>
              </w:rPr>
            </w:pPr>
          </w:p>
        </w:tc>
      </w:tr>
      <w:tr>
        <w:trPr>
          <w:trHeight w:val="264"/>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8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2019</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2"/>
                <w:szCs w:val="22"/>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Interest</w:t>
            </w:r>
          </w:p>
        </w:tc>
        <w:tc>
          <w:tcPr>
            <w:tcW w:w="6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1100" w:type="dxa"/>
            <w:vAlign w:val="bottom"/>
          </w:tcPr>
          <w:p>
            <w:pPr>
              <w:jc w:val="right"/>
              <w:ind w:right="763"/>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6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118</w:t>
            </w:r>
          </w:p>
        </w:tc>
        <w:tc>
          <w:tcPr>
            <w:tcW w:w="1100" w:type="dxa"/>
            <w:vAlign w:val="bottom"/>
          </w:tcPr>
          <w:p>
            <w:pPr>
              <w:jc w:val="right"/>
              <w:ind w:right="763"/>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244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2019, we acquired $633 million of property and equipment and intangible assets that were accrued but unpaid.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center"/>
              <w:ind w:right="297"/>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1,114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1,444</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440" w:type="dxa"/>
            <w:vAlign w:val="bottom"/>
          </w:tcPr>
          <w:p>
            <w:pPr>
              <w:spacing w:after="0"/>
              <w:rPr>
                <w:sz w:val="23"/>
                <w:szCs w:val="23"/>
                <w:color w:val="auto"/>
              </w:rPr>
            </w:pP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20</w:t>
            </w:r>
          </w:p>
        </w:tc>
      </w:tr>
      <w:tr>
        <w:trPr>
          <w:trHeight w:val="27"/>
        </w:trPr>
        <w:tc>
          <w:tcPr>
            <w:tcW w:w="8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4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b w:val="1"/>
                <w:bCs w:val="1"/>
                <w:color w:val="auto"/>
              </w:rPr>
              <w:t>1,136</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1,464</w:t>
            </w:r>
          </w:p>
        </w:tc>
      </w:tr>
      <w:tr>
        <w:trPr>
          <w:trHeight w:val="34"/>
        </w:trPr>
        <w:tc>
          <w:tcPr>
            <w:tcW w:w="8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05"/>
        </w:trPr>
        <w:tc>
          <w:tcPr>
            <w:tcW w:w="80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2"/>
        </w:trPr>
        <w:tc>
          <w:tcPr>
            <w:tcW w:w="8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jc w:val="center"/>
              <w:ind w:right="297"/>
              <w:spacing w:after="0"/>
              <w:rPr>
                <w:sz w:val="20"/>
                <w:szCs w:val="20"/>
                <w:color w:val="auto"/>
              </w:rPr>
            </w:pPr>
            <w:r>
              <w:rPr>
                <w:rFonts w:ascii="Arial" w:cs="Arial" w:eastAsia="Arial" w:hAnsi="Arial"/>
                <w:sz w:val="14"/>
                <w:szCs w:val="14"/>
                <w:color w:val="auto"/>
                <w:w w:val="96"/>
              </w:rPr>
              <w:t>March 31,</w:t>
            </w:r>
          </w:p>
        </w:tc>
        <w:tc>
          <w:tcPr>
            <w:tcW w:w="360" w:type="dxa"/>
            <w:vAlign w:val="bottom"/>
          </w:tcPr>
          <w:p>
            <w:pPr>
              <w:spacing w:after="0"/>
              <w:rPr>
                <w:sz w:val="24"/>
                <w:szCs w:val="24"/>
                <w:color w:val="auto"/>
              </w:rPr>
            </w:pPr>
          </w:p>
        </w:tc>
        <w:tc>
          <w:tcPr>
            <w:tcW w:w="1260" w:type="dxa"/>
            <w:vAlign w:val="bottom"/>
          </w:tcPr>
          <w:p>
            <w:pPr>
              <w:jc w:val="center"/>
              <w:ind w:right="157"/>
              <w:spacing w:after="0"/>
              <w:rPr>
                <w:sz w:val="20"/>
                <w:szCs w:val="20"/>
                <w:color w:val="auto"/>
              </w:rPr>
            </w:pPr>
            <w:r>
              <w:rPr>
                <w:rFonts w:ascii="Arial" w:cs="Arial" w:eastAsia="Arial" w:hAnsi="Arial"/>
                <w:sz w:val="14"/>
                <w:szCs w:val="14"/>
                <w:color w:val="auto"/>
                <w:w w:val="93"/>
              </w:rPr>
              <w:t>March 31,</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11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440" w:type="dxa"/>
            <w:vAlign w:val="bottom"/>
          </w:tcPr>
          <w:p>
            <w:pPr>
              <w:spacing w:after="0"/>
              <w:rPr>
                <w:sz w:val="23"/>
                <w:szCs w:val="23"/>
                <w:color w:val="auto"/>
              </w:rPr>
            </w:pP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122</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440" w:type="dxa"/>
            <w:vAlign w:val="bottom"/>
          </w:tcPr>
          <w:p>
            <w:pPr>
              <w:spacing w:after="0"/>
              <w:rPr>
                <w:sz w:val="23"/>
                <w:szCs w:val="23"/>
                <w:color w:val="auto"/>
              </w:rPr>
            </w:pP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277</w:t>
            </w:r>
          </w:p>
        </w:tc>
      </w:tr>
      <w:tr>
        <w:trPr>
          <w:trHeight w:val="27"/>
        </w:trPr>
        <w:tc>
          <w:tcPr>
            <w:tcW w:w="8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4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7"/>
              <w:spacing w:after="0"/>
              <w:rPr>
                <w:sz w:val="20"/>
                <w:szCs w:val="20"/>
                <w:color w:val="auto"/>
              </w:rPr>
            </w:pPr>
            <w:r>
              <w:rPr>
                <w:rFonts w:ascii="Arial" w:cs="Arial" w:eastAsia="Arial" w:hAnsi="Arial"/>
                <w:sz w:val="18"/>
                <w:szCs w:val="18"/>
                <w:b w:val="1"/>
                <w:bCs w:val="1"/>
                <w:color w:val="auto"/>
              </w:rPr>
              <w:t>222</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396</w:t>
            </w:r>
          </w:p>
        </w:tc>
      </w:tr>
      <w:tr>
        <w:trPr>
          <w:trHeight w:val="34"/>
        </w:trPr>
        <w:tc>
          <w:tcPr>
            <w:tcW w:w="8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Related Party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ectPr>
          <w:pgSz w:w="11900" w:h="16838" w:orient="portrait"/>
          <w:cols w:equalWidth="0" w:num="1">
            <w:col w:w="11420"/>
          </w:cols>
          <w:pgMar w:left="240" w:top="121"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1"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also the counterparty to one of our contractual obligations. As of March 31, 2019, the carrying value of the liability associated with this contractual obligation was $383 million.</w:t>
      </w:r>
    </w:p>
    <w:p>
      <w:pPr>
        <w:spacing w:after="0" w:line="22" w:lineRule="exact"/>
        <w:rPr>
          <w:sz w:val="20"/>
          <w:szCs w:val="20"/>
          <w:color w:val="auto"/>
        </w:rPr>
      </w:pPr>
    </w:p>
    <w:p>
      <w:pPr>
        <w:jc w:val="center"/>
        <w:ind w:right="40"/>
        <w:spacing w:after="0" w:line="388" w:lineRule="auto"/>
        <w:rPr>
          <w:sz w:val="20"/>
          <w:szCs w:val="20"/>
          <w:color w:val="auto"/>
        </w:rPr>
      </w:pPr>
      <w:r>
        <w:rPr>
          <w:rFonts w:ascii="Arial" w:cs="Arial" w:eastAsia="Arial" w:hAnsi="Arial"/>
          <w:sz w:val="18"/>
          <w:szCs w:val="18"/>
          <w:color w:val="auto"/>
        </w:rPr>
        <w:t xml:space="preserve">The following tables present transactions with Comcast and its consolidated subsidiaries that are included in our condensed consolidated financial statements. </w:t>
      </w:r>
      <w:r>
        <w:rPr>
          <w:rFonts w:ascii="Arial" w:cs="Arial" w:eastAsia="Arial" w:hAnsi="Arial"/>
          <w:sz w:val="18"/>
          <w:szCs w:val="18"/>
          <w:b w:val="1"/>
          <w:bCs w:val="1"/>
          <w:color w:val="auto"/>
        </w:rPr>
        <w:t>Condensed Consolidated Statement of Income</w:t>
      </w:r>
    </w:p>
    <w:tbl>
      <w:tblPr>
        <w:tblLayout w:type="fixed"/>
        <w:tblInd w:w="0" w:type="dxa"/>
        <w:tblCellMar>
          <w:top w:w="0" w:type="dxa"/>
          <w:left w:w="0" w:type="dxa"/>
          <w:bottom w:w="0" w:type="dxa"/>
          <w:right w:w="0" w:type="dxa"/>
        </w:tblCellMar>
      </w:tblPr>
      <w:tr>
        <w:trPr>
          <w:trHeight w:val="150"/>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3"/>
          </w:tcPr>
          <w:p>
            <w:pPr>
              <w:jc w:val="right"/>
              <w:ind w:right="654"/>
              <w:spacing w:after="0" w:line="150" w:lineRule="exact"/>
              <w:rPr>
                <w:sz w:val="20"/>
                <w:szCs w:val="20"/>
                <w:color w:val="auto"/>
              </w:rPr>
            </w:pPr>
            <w:r>
              <w:rPr>
                <w:rFonts w:ascii="Arial" w:cs="Arial" w:eastAsia="Arial" w:hAnsi="Arial"/>
                <w:sz w:val="14"/>
                <w:szCs w:val="14"/>
                <w:color w:val="auto"/>
              </w:rPr>
              <w:t>Three Months Ended</w:t>
            </w:r>
          </w:p>
        </w:tc>
      </w:tr>
      <w:tr>
        <w:trPr>
          <w:trHeight w:val="188"/>
        </w:trPr>
        <w:tc>
          <w:tcPr>
            <w:tcW w:w="8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w:t>
            </w:r>
          </w:p>
        </w:tc>
        <w:tc>
          <w:tcPr>
            <w:tcW w:w="1060" w:type="dxa"/>
            <w:vAlign w:val="bottom"/>
            <w:tcBorders>
              <w:bottom w:val="single" w:sz="8" w:color="auto"/>
            </w:tcBorders>
          </w:tcPr>
          <w:p>
            <w:pPr>
              <w:spacing w:after="0"/>
              <w:rPr>
                <w:sz w:val="16"/>
                <w:szCs w:val="16"/>
                <w:color w:val="auto"/>
              </w:rPr>
            </w:pP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2018</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604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594</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(65)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Interest expense and investment and other income (loss),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8700" w:type="dxa"/>
            <w:vAlign w:val="bottom"/>
          </w:tcPr>
          <w:p>
            <w:pPr>
              <w:ind w:left="3980"/>
              <w:spacing w:after="0"/>
              <w:rPr>
                <w:sz w:val="20"/>
                <w:szCs w:val="20"/>
                <w:color w:val="auto"/>
              </w:rPr>
            </w:pPr>
            <w:r>
              <w:rPr>
                <w:rFonts w:ascii="Arial" w:cs="Arial" w:eastAsia="Arial" w:hAnsi="Arial"/>
                <w:sz w:val="18"/>
                <w:szCs w:val="18"/>
                <w:b w:val="1"/>
                <w:bCs w:val="1"/>
                <w:color w:val="auto"/>
              </w:rPr>
              <w:t>Condensed Consolidated Balance Sheet</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8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color w:val="auto"/>
              </w:rPr>
              <w:t>March 31,</w:t>
            </w:r>
          </w:p>
        </w:tc>
        <w:tc>
          <w:tcPr>
            <w:tcW w:w="320" w:type="dxa"/>
            <w:vAlign w:val="bottom"/>
          </w:tcPr>
          <w:p>
            <w:pPr>
              <w:spacing w:after="0"/>
              <w:rPr>
                <w:sz w:val="23"/>
                <w:szCs w:val="23"/>
                <w:color w:val="auto"/>
              </w:rPr>
            </w:pPr>
          </w:p>
        </w:tc>
        <w:tc>
          <w:tcPr>
            <w:tcW w:w="1060" w:type="dxa"/>
            <w:vAlign w:val="bottom"/>
          </w:tcPr>
          <w:p>
            <w:pPr>
              <w:jc w:val="right"/>
              <w:ind w:right="154"/>
              <w:spacing w:after="0"/>
              <w:rPr>
                <w:sz w:val="20"/>
                <w:szCs w:val="20"/>
                <w:color w:val="auto"/>
              </w:rPr>
            </w:pPr>
            <w:r>
              <w:rPr>
                <w:rFonts w:ascii="Arial" w:cs="Arial" w:eastAsia="Arial" w:hAnsi="Arial"/>
                <w:sz w:val="14"/>
                <w:szCs w:val="14"/>
                <w:color w:val="auto"/>
                <w:w w:val="90"/>
              </w:rPr>
              <w:t>December 31,</w:t>
            </w:r>
          </w:p>
        </w:tc>
      </w:tr>
      <w:tr>
        <w:trPr>
          <w:trHeight w:val="18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2018</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477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464</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Note receivable from Comcast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2,925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2,054</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Film and television costs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68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78</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32</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68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763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701</w:t>
            </w:r>
          </w:p>
        </w:tc>
      </w:tr>
      <w:tr>
        <w:trPr>
          <w:trHeight w:val="270"/>
        </w:trPr>
        <w:tc>
          <w:tcPr>
            <w:tcW w:w="870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417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410</w:t>
            </w:r>
          </w:p>
        </w:tc>
      </w:tr>
      <w:tr>
        <w:trPr>
          <w:trHeight w:val="27"/>
        </w:trPr>
        <w:tc>
          <w:tcPr>
            <w:tcW w:w="8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Comcast maintains share-based compensation plans that consist primarily of awards of restricted share units and stock options to certain employees and directors as part of its approach to long-term incentive compensation. Additionally, through its employee stock purchase plans, employees are able to purchase shares of Comcast common stock at a discount through payroll deductions. Certain of our employees participate in these plans and the expense associated with their participation is settled in cash with Comcast. For the three months ended March 31, 2019 and 2018, we recognized share-based compensation expense of $39 million and $32 million, respectively.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COMCAST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w:t>
      </w:r>
    </w:p>
    <w:p>
      <w:pPr>
        <w:spacing w:after="0" w:line="200" w:lineRule="exact"/>
        <w:rPr>
          <w:sz w:val="20"/>
          <w:szCs w:val="20"/>
          <w:color w:val="auto"/>
        </w:rPr>
      </w:pP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is a Restricted Stock Unit Award (the “Award”) dated ________from Comcast Corporation (the “Company”) to</w:t>
      </w:r>
    </w:p>
    <w:p>
      <w:pPr>
        <w:spacing w:after="0" w:line="56" w:lineRule="exact"/>
        <w:rPr>
          <w:sz w:val="20"/>
          <w:szCs w:val="20"/>
          <w:color w:val="auto"/>
        </w:rPr>
      </w:pPr>
    </w:p>
    <w:p>
      <w:pPr>
        <w:jc w:val="both"/>
        <w:ind w:right="240"/>
        <w:spacing w:after="0" w:line="245" w:lineRule="auto"/>
        <w:rPr>
          <w:sz w:val="20"/>
          <w:szCs w:val="20"/>
          <w:color w:val="auto"/>
        </w:rPr>
      </w:pPr>
      <w:r>
        <w:rPr>
          <w:rFonts w:ascii="Arial" w:cs="Arial" w:eastAsia="Arial" w:hAnsi="Arial"/>
          <w:sz w:val="22"/>
          <w:szCs w:val="22"/>
          <w:color w:val="auto"/>
        </w:rPr>
        <w:t>the Grantee. The vesting of Restricted Stock Units is conditioned on the Grantee’s continuation in service from the Date of Grant through each applicable Vesting Date, and on the Company’s attainment of certain performance objectives, as further provided in this Award.</w:t>
      </w:r>
    </w:p>
    <w:p>
      <w:pPr>
        <w:spacing w:after="0" w:line="193" w:lineRule="exact"/>
        <w:rPr>
          <w:sz w:val="20"/>
          <w:szCs w:val="20"/>
          <w:color w:val="auto"/>
        </w:rPr>
      </w:pPr>
    </w:p>
    <w:p>
      <w:pPr>
        <w:ind w:left="660" w:right="540" w:firstLine="1293"/>
        <w:spacing w:after="0" w:line="258" w:lineRule="auto"/>
        <w:tabs>
          <w:tab w:leader="none" w:pos="2740" w:val="left"/>
        </w:tabs>
        <w:numPr>
          <w:ilvl w:val="0"/>
          <w:numId w:val="15"/>
        </w:numPr>
        <w:rPr>
          <w:rFonts w:ascii="Arial" w:cs="Arial" w:eastAsia="Arial" w:hAnsi="Arial"/>
          <w:sz w:val="18"/>
          <w:szCs w:val="18"/>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herein are defined below or, if not defined below, have the meanings given to them in the Plan.</w:t>
      </w:r>
    </w:p>
    <w:p>
      <w:pPr>
        <w:spacing w:after="0" w:line="1" w:lineRule="exact"/>
        <w:rPr>
          <w:sz w:val="20"/>
          <w:szCs w:val="20"/>
          <w:color w:val="auto"/>
        </w:rPr>
      </w:pPr>
    </w:p>
    <w:p>
      <w:pPr>
        <w:jc w:val="both"/>
        <w:ind w:right="80" w:firstLine="1953"/>
        <w:spacing w:after="0" w:line="258" w:lineRule="auto"/>
        <w:tabs>
          <w:tab w:leader="none" w:pos="2793" w:val="left"/>
        </w:tabs>
        <w:numPr>
          <w:ilvl w:val="1"/>
          <w:numId w:val="16"/>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w:t>
      </w:r>
      <w:r>
        <w:rPr>
          <w:rFonts w:ascii="Arial" w:cs="Arial" w:eastAsia="Arial" w:hAnsi="Arial"/>
          <w:sz w:val="21"/>
          <w:szCs w:val="21"/>
          <w:color w:val="auto"/>
        </w:rPr>
        <w:t>” means an unfunded bookkeeping account established pursuant to Paragraph 6(e)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 w:lineRule="exact"/>
        <w:rPr>
          <w:rFonts w:ascii="Arial" w:cs="Arial" w:eastAsia="Arial" w:hAnsi="Arial"/>
          <w:sz w:val="17"/>
          <w:szCs w:val="17"/>
          <w:color w:val="auto"/>
        </w:rPr>
      </w:pPr>
    </w:p>
    <w:p>
      <w:pPr>
        <w:ind w:right="20" w:firstLine="1953"/>
        <w:spacing w:after="0" w:line="256" w:lineRule="auto"/>
        <w:tabs>
          <w:tab w:leader="none" w:pos="2803" w:val="left"/>
        </w:tabs>
        <w:numPr>
          <w:ilvl w:val="1"/>
          <w:numId w:val="16"/>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EBITDA</w:t>
      </w:r>
      <w:r>
        <w:rPr>
          <w:rFonts w:ascii="Arial" w:cs="Arial" w:eastAsia="Arial" w:hAnsi="Arial"/>
          <w:sz w:val="21"/>
          <w:szCs w:val="21"/>
          <w:color w:val="auto"/>
        </w:rPr>
        <w:t>” means Adjusted EBITDA as reported by the Company in reports as filed with or furnished to the Securities and Exchange Commission, adjusted to exclude the results of operations attributable to any new business initiatives as may be designated by the Committee, provided that with respect to any Performance Goal applicable to this Award, the Committee may adjust Adjusted EBITDA for the prior calendar year and the year to which the performance condition applies to take into account the impact of (i) any transaction or other nonrecurring income or expense item such that the measurement of Adjusted EBITDA for the year to which the performance condition applies is comparable to that for the prior calendar year and (ii) changes in foreign currency exchange rates on subsidiaries operating in currencies other than United States dollars such that the measurement of Adjusted EBITDA is based on exchange rates that are comparable to those used in the determination of the Performance Goal.</w:t>
      </w:r>
    </w:p>
    <w:p>
      <w:pPr>
        <w:spacing w:after="0" w:line="4" w:lineRule="exact"/>
        <w:rPr>
          <w:rFonts w:ascii="Arial" w:cs="Arial" w:eastAsia="Arial" w:hAnsi="Arial"/>
          <w:sz w:val="17"/>
          <w:szCs w:val="17"/>
          <w:color w:val="auto"/>
        </w:rPr>
      </w:pPr>
    </w:p>
    <w:p>
      <w:pPr>
        <w:ind w:left="2800" w:hanging="847"/>
        <w:spacing w:after="0"/>
        <w:tabs>
          <w:tab w:leader="none" w:pos="2800" w:val="left"/>
        </w:tabs>
        <w:numPr>
          <w:ilvl w:val="1"/>
          <w:numId w:val="1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the award of Restricted Stock Units hereby granted.</w:t>
      </w:r>
    </w:p>
    <w:p>
      <w:pPr>
        <w:spacing w:after="0" w:line="3" w:lineRule="exact"/>
        <w:rPr>
          <w:rFonts w:ascii="Arial" w:cs="Arial" w:eastAsia="Arial" w:hAnsi="Arial"/>
          <w:sz w:val="18"/>
          <w:szCs w:val="18"/>
          <w:color w:val="auto"/>
        </w:rPr>
      </w:pPr>
    </w:p>
    <w:p>
      <w:pPr>
        <w:ind w:left="2820" w:hanging="867"/>
        <w:spacing w:after="0"/>
        <w:tabs>
          <w:tab w:leader="none" w:pos="2820" w:val="left"/>
        </w:tabs>
        <w:numPr>
          <w:ilvl w:val="1"/>
          <w:numId w:val="1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17" w:lineRule="exact"/>
        <w:rPr>
          <w:rFonts w:ascii="Arial" w:cs="Arial" w:eastAsia="Arial" w:hAnsi="Arial"/>
          <w:sz w:val="18"/>
          <w:szCs w:val="18"/>
          <w:color w:val="auto"/>
        </w:rPr>
      </w:pPr>
    </w:p>
    <w:p>
      <w:pPr>
        <w:ind w:right="400" w:firstLine="1953"/>
        <w:spacing w:after="0" w:line="296" w:lineRule="auto"/>
        <w:tabs>
          <w:tab w:leader="none" w:pos="2793" w:val="left"/>
        </w:tabs>
        <w:numPr>
          <w:ilvl w:val="1"/>
          <w:numId w:val="16"/>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fraud; (ii) misappropriation; (iii) embezzlement; (iv) gross negligence in the performance of duties; (v) self-dealing; (vi) dishonesty; (vii) misrepresentation; (viii) conviction of a crime of a felony;</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material violation of any Company policy; (x) material violation of the Company’s Code of Ethics and Business Conduct or,</w:t>
      </w:r>
    </w:p>
    <w:p>
      <w:pPr>
        <w:spacing w:after="0" w:line="38" w:lineRule="exact"/>
        <w:rPr>
          <w:rFonts w:ascii="Arial" w:cs="Arial" w:eastAsia="Arial" w:hAnsi="Arial"/>
          <w:sz w:val="19"/>
          <w:szCs w:val="19"/>
          <w:color w:val="auto"/>
        </w:rPr>
      </w:pPr>
    </w:p>
    <w:p>
      <w:pPr>
        <w:jc w:val="both"/>
        <w:ind w:right="40" w:firstLine="8"/>
        <w:spacing w:after="0" w:line="243" w:lineRule="auto"/>
        <w:tabs>
          <w:tab w:leader="none" w:pos="366"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 w:lineRule="exact"/>
        <w:rPr>
          <w:rFonts w:ascii="Arial" w:cs="Arial" w:eastAsia="Arial" w:hAnsi="Arial"/>
          <w:sz w:val="22"/>
          <w:szCs w:val="22"/>
          <w:color w:val="auto"/>
        </w:rPr>
      </w:pPr>
    </w:p>
    <w:p>
      <w:pPr>
        <w:ind w:left="2780" w:hanging="827"/>
        <w:spacing w:after="0"/>
        <w:tabs>
          <w:tab w:leader="none" w:pos="2780" w:val="left"/>
        </w:tabs>
        <w:numPr>
          <w:ilvl w:val="1"/>
          <w:numId w:val="1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3" w:lineRule="exact"/>
        <w:rPr>
          <w:rFonts w:ascii="Arial" w:cs="Arial" w:eastAsia="Arial" w:hAnsi="Arial"/>
          <w:sz w:val="18"/>
          <w:szCs w:val="18"/>
          <w:color w:val="auto"/>
        </w:rPr>
      </w:pPr>
    </w:p>
    <w:p>
      <w:pPr>
        <w:ind w:left="2820" w:hanging="867"/>
        <w:spacing w:after="0"/>
        <w:tabs>
          <w:tab w:leader="none" w:pos="2820" w:val="left"/>
        </w:tabs>
        <w:numPr>
          <w:ilvl w:val="1"/>
          <w:numId w:val="1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or its delegate.</w:t>
      </w:r>
    </w:p>
    <w:p>
      <w:pPr>
        <w:spacing w:after="0" w:line="17" w:lineRule="exact"/>
        <w:rPr>
          <w:rFonts w:ascii="Arial" w:cs="Arial" w:eastAsia="Arial" w:hAnsi="Arial"/>
          <w:sz w:val="18"/>
          <w:szCs w:val="18"/>
          <w:color w:val="auto"/>
        </w:rPr>
      </w:pPr>
    </w:p>
    <w:p>
      <w:pPr>
        <w:ind w:left="2820" w:hanging="867"/>
        <w:spacing w:after="0"/>
        <w:tabs>
          <w:tab w:leader="none" w:pos="2820" w:val="left"/>
        </w:tabs>
        <w:numPr>
          <w:ilvl w:val="1"/>
          <w:numId w:val="18"/>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Date of Grant</w:t>
      </w:r>
      <w:r>
        <w:rPr>
          <w:rFonts w:ascii="Arial" w:cs="Arial" w:eastAsia="Arial" w:hAnsi="Arial"/>
          <w:sz w:val="21"/>
          <w:szCs w:val="21"/>
          <w:color w:val="auto"/>
        </w:rPr>
        <w:t>” means the date first set forth above, on which the Company awarded the</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Restricted Stock Units.</w:t>
      </w:r>
    </w:p>
    <w:p>
      <w:pPr>
        <w:spacing w:after="0" w:line="17" w:lineRule="exact"/>
        <w:rPr>
          <w:rFonts w:ascii="Arial" w:cs="Arial" w:eastAsia="Arial" w:hAnsi="Arial"/>
          <w:sz w:val="17"/>
          <w:szCs w:val="17"/>
          <w:color w:val="auto"/>
        </w:rPr>
      </w:pPr>
    </w:p>
    <w:p>
      <w:pPr>
        <w:ind w:left="2780" w:hanging="827"/>
        <w:spacing w:after="0"/>
        <w:tabs>
          <w:tab w:leader="none" w:pos="2780" w:val="left"/>
        </w:tabs>
        <w:numPr>
          <w:ilvl w:val="1"/>
          <w:numId w:val="1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Stock Units</w:t>
      </w:r>
      <w:r>
        <w:rPr>
          <w:rFonts w:ascii="Arial" w:cs="Arial" w:eastAsia="Arial" w:hAnsi="Arial"/>
          <w:sz w:val="22"/>
          <w:szCs w:val="22"/>
          <w:color w:val="auto"/>
        </w:rPr>
        <w:t>” means the number of hypothetical Shares subject to an Election.</w:t>
      </w:r>
    </w:p>
    <w:p>
      <w:pPr>
        <w:spacing w:after="0" w:line="3" w:lineRule="exact"/>
        <w:rPr>
          <w:rFonts w:ascii="Arial" w:cs="Arial" w:eastAsia="Arial" w:hAnsi="Arial"/>
          <w:sz w:val="18"/>
          <w:szCs w:val="18"/>
          <w:color w:val="auto"/>
        </w:rPr>
      </w:pPr>
    </w:p>
    <w:p>
      <w:pPr>
        <w:ind w:left="2780" w:hanging="827"/>
        <w:spacing w:after="0"/>
        <w:tabs>
          <w:tab w:leader="none" w:pos="2780" w:val="left"/>
        </w:tabs>
        <w:numPr>
          <w:ilvl w:val="1"/>
          <w:numId w:val="1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Disabled Grantee</w:t>
      </w:r>
      <w:r>
        <w:rPr>
          <w:rFonts w:ascii="Arial" w:cs="Arial" w:eastAsia="Arial" w:hAnsi="Arial"/>
          <w:sz w:val="22"/>
          <w:szCs w:val="22"/>
          <w:color w:val="auto"/>
        </w:rPr>
        <w:t>” means:</w:t>
      </w:r>
    </w:p>
    <w:p>
      <w:pPr>
        <w:spacing w:after="0" w:line="17" w:lineRule="exact"/>
        <w:rPr>
          <w:rFonts w:ascii="Arial" w:cs="Arial" w:eastAsia="Arial" w:hAnsi="Arial"/>
          <w:sz w:val="18"/>
          <w:szCs w:val="18"/>
          <w:color w:val="auto"/>
        </w:rPr>
      </w:pPr>
    </w:p>
    <w:p>
      <w:pPr>
        <w:ind w:left="3460" w:hanging="859"/>
        <w:spacing w:after="0"/>
        <w:tabs>
          <w:tab w:leader="none" w:pos="3460" w:val="left"/>
        </w:tabs>
        <w:numPr>
          <w:ilvl w:val="2"/>
          <w:numId w:val="18"/>
        </w:numPr>
        <w:rPr>
          <w:rFonts w:ascii="Arial" w:cs="Arial" w:eastAsia="Arial" w:hAnsi="Arial"/>
          <w:sz w:val="16"/>
          <w:szCs w:val="16"/>
          <w:color w:val="auto"/>
        </w:rPr>
      </w:pPr>
      <w:r>
        <w:rPr>
          <w:rFonts w:ascii="Arial" w:cs="Arial" w:eastAsia="Arial" w:hAnsi="Arial"/>
          <w:sz w:val="19"/>
          <w:szCs w:val="19"/>
          <w:color w:val="auto"/>
        </w:rPr>
        <w:t>Grantee, if Grantee’s employment by a Participating Company terminates by reason of</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Disability; or</w:t>
      </w:r>
    </w:p>
    <w:p>
      <w:pPr>
        <w:spacing w:after="0" w:line="17" w:lineRule="exact"/>
        <w:rPr>
          <w:rFonts w:ascii="Arial" w:cs="Arial" w:eastAsia="Arial" w:hAnsi="Arial"/>
          <w:sz w:val="16"/>
          <w:szCs w:val="16"/>
          <w:color w:val="auto"/>
        </w:rPr>
      </w:pPr>
    </w:p>
    <w:p>
      <w:pPr>
        <w:ind w:right="20" w:firstLine="2601"/>
        <w:spacing w:after="0" w:line="259" w:lineRule="auto"/>
        <w:tabs>
          <w:tab w:leader="none" w:pos="3451" w:val="left"/>
        </w:tabs>
        <w:numPr>
          <w:ilvl w:val="2"/>
          <w:numId w:val="18"/>
        </w:numPr>
        <w:rPr>
          <w:rFonts w:ascii="Arial" w:cs="Arial" w:eastAsia="Arial" w:hAnsi="Arial"/>
          <w:sz w:val="18"/>
          <w:szCs w:val="18"/>
          <w:color w:val="auto"/>
        </w:rPr>
      </w:pPr>
      <w:r>
        <w:rPr>
          <w:rFonts w:ascii="Arial" w:cs="Arial" w:eastAsia="Arial" w:hAnsi="Arial"/>
          <w:sz w:val="22"/>
          <w:szCs w:val="22"/>
          <w:color w:val="auto"/>
        </w:rPr>
        <w:t>Grantee’s duly-appointed legal guardian following Grantee’s termination of employment by reason of Disability, acting on Grantee’s behalf.</w:t>
      </w:r>
    </w:p>
    <w:p>
      <w:pPr>
        <w:sectPr>
          <w:pgSz w:w="11900" w:h="16838" w:orient="portrait"/>
          <w:cols w:equalWidth="0" w:num="1">
            <w:col w:w="11420"/>
          </w:cols>
          <w:pgMar w:left="240" w:top="121" w:right="239" w:bottom="1440" w:gutter="0" w:footer="0" w:header="0"/>
        </w:sectPr>
      </w:pPr>
    </w:p>
    <w:bookmarkStart w:id="61" w:name="page62"/>
    <w:bookmarkEnd w:id="61"/>
    <w:p>
      <w:pPr>
        <w:ind w:firstLine="1953"/>
        <w:spacing w:after="0" w:line="258" w:lineRule="auto"/>
        <w:tabs>
          <w:tab w:leader="none" w:pos="2803" w:val="left"/>
        </w:tabs>
        <w:numPr>
          <w:ilvl w:val="1"/>
          <w:numId w:val="1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w:t>
      </w:r>
      <w:r>
        <w:rPr>
          <w:rFonts w:ascii="Arial" w:cs="Arial" w:eastAsia="Arial" w:hAnsi="Arial"/>
          <w:sz w:val="22"/>
          <w:szCs w:val="22"/>
          <w:color w:val="auto"/>
        </w:rPr>
        <w:t>” means the Company or the subsidiary or affiliate of the Company for which Grantee is performing services on the Vesting Date.</w:t>
      </w:r>
    </w:p>
    <w:p>
      <w:pPr>
        <w:ind w:right="100" w:firstLine="1953"/>
        <w:spacing w:after="0" w:line="249" w:lineRule="auto"/>
        <w:tabs>
          <w:tab w:leader="none" w:pos="2763" w:val="left"/>
        </w:tabs>
        <w:numPr>
          <w:ilvl w:val="1"/>
          <w:numId w:val="1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Grantee</w:t>
      </w:r>
      <w:r>
        <w:rPr>
          <w:rFonts w:ascii="Arial" w:cs="Arial" w:eastAsia="Arial" w:hAnsi="Arial"/>
          <w:sz w:val="22"/>
          <w:szCs w:val="22"/>
          <w:color w:val="auto"/>
        </w:rPr>
        <w:t>” means the individual to whom this Award has been granted as identified on the attached Long-Term Incentive Awards Summary Schedule.</w:t>
      </w:r>
    </w:p>
    <w:p>
      <w:pPr>
        <w:spacing w:after="0" w:line="1" w:lineRule="exact"/>
        <w:rPr>
          <w:rFonts w:ascii="Arial" w:cs="Arial" w:eastAsia="Arial" w:hAnsi="Arial"/>
          <w:sz w:val="18"/>
          <w:szCs w:val="18"/>
          <w:color w:val="auto"/>
        </w:rPr>
      </w:pPr>
    </w:p>
    <w:p>
      <w:pPr>
        <w:ind w:left="2860" w:hanging="907"/>
        <w:spacing w:after="0"/>
        <w:tabs>
          <w:tab w:leader="none" w:pos="2860" w:val="left"/>
        </w:tabs>
        <w:numPr>
          <w:ilvl w:val="1"/>
          <w:numId w:val="19"/>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HSR Act</w:t>
      </w:r>
      <w:r>
        <w:rPr>
          <w:rFonts w:ascii="Arial" w:cs="Arial" w:eastAsia="Arial" w:hAnsi="Arial"/>
          <w:sz w:val="21"/>
          <w:szCs w:val="21"/>
          <w:color w:val="auto"/>
        </w:rPr>
        <w:t>” means the Hart-Scott-Rodino Antitrust Improvements Act of 1976, as amended.</w:t>
      </w:r>
    </w:p>
    <w:p>
      <w:pPr>
        <w:spacing w:after="0" w:line="15" w:lineRule="exact"/>
        <w:rPr>
          <w:rFonts w:ascii="Arial" w:cs="Arial" w:eastAsia="Arial" w:hAnsi="Arial"/>
          <w:sz w:val="17"/>
          <w:szCs w:val="17"/>
          <w:color w:val="auto"/>
        </w:rPr>
      </w:pPr>
    </w:p>
    <w:p>
      <w:pPr>
        <w:ind w:firstLine="1953"/>
        <w:spacing w:after="0" w:line="256" w:lineRule="auto"/>
        <w:tabs>
          <w:tab w:leader="none" w:pos="2803" w:val="left"/>
        </w:tabs>
        <w:numPr>
          <w:ilvl w:val="1"/>
          <w:numId w:val="1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Incentive Awards Summary Schedule</w:t>
      </w:r>
      <w:r>
        <w:rPr>
          <w:rFonts w:ascii="Arial" w:cs="Arial" w:eastAsia="Arial" w:hAnsi="Arial"/>
          <w:sz w:val="22"/>
          <w:szCs w:val="22"/>
          <w:color w:val="auto"/>
        </w:rPr>
        <w:t>” means the schedule attached hereto, which sets forth specific information relating to the grant and vesting of this Award.</w:t>
      </w:r>
    </w:p>
    <w:p>
      <w:pPr>
        <w:ind w:right="1020" w:firstLine="1953"/>
        <w:spacing w:after="0" w:line="289" w:lineRule="auto"/>
        <w:tabs>
          <w:tab w:leader="none" w:pos="2803" w:val="left"/>
        </w:tabs>
        <w:numPr>
          <w:ilvl w:val="1"/>
          <w:numId w:val="19"/>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Normal Retirement</w:t>
      </w:r>
      <w:r>
        <w:rPr>
          <w:rFonts w:ascii="Arial" w:cs="Arial" w:eastAsia="Arial" w:hAnsi="Arial"/>
          <w:sz w:val="19"/>
          <w:szCs w:val="19"/>
          <w:color w:val="auto"/>
        </w:rPr>
        <w:t>” means Grantee’s termination of employment that is treated by the Participating Company as a retirement under its employment policies and practices as in effect from time to time.</w:t>
      </w:r>
    </w:p>
    <w:p>
      <w:pPr>
        <w:ind w:left="2820" w:hanging="867"/>
        <w:spacing w:after="0"/>
        <w:tabs>
          <w:tab w:leader="none" w:pos="2820" w:val="left"/>
        </w:tabs>
        <w:numPr>
          <w:ilvl w:val="1"/>
          <w:numId w:val="1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Goal</w:t>
      </w:r>
      <w:r>
        <w:rPr>
          <w:rFonts w:ascii="Arial" w:cs="Arial" w:eastAsia="Arial" w:hAnsi="Arial"/>
          <w:sz w:val="22"/>
          <w:szCs w:val="22"/>
          <w:color w:val="auto"/>
        </w:rPr>
        <w:t>” means each of the following Tiered Performance Goals:</w:t>
      </w:r>
    </w:p>
    <w:p>
      <w:pPr>
        <w:spacing w:after="0" w:line="3" w:lineRule="exact"/>
        <w:rPr>
          <w:rFonts w:ascii="Arial" w:cs="Arial" w:eastAsia="Arial" w:hAnsi="Arial"/>
          <w:sz w:val="18"/>
          <w:szCs w:val="18"/>
          <w:color w:val="auto"/>
        </w:rPr>
      </w:pPr>
    </w:p>
    <w:p>
      <w:pPr>
        <w:ind w:right="160" w:firstLine="2601"/>
        <w:spacing w:after="0" w:line="256" w:lineRule="auto"/>
        <w:tabs>
          <w:tab w:leader="none" w:pos="3685" w:val="left"/>
        </w:tabs>
        <w:numPr>
          <w:ilvl w:val="2"/>
          <w:numId w:val="19"/>
        </w:numPr>
        <w:rPr>
          <w:rFonts w:ascii="Arial" w:cs="Arial" w:eastAsia="Arial" w:hAnsi="Arial"/>
          <w:sz w:val="18"/>
          <w:szCs w:val="18"/>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auto"/>
        </w:rPr>
        <w:t>Tier One Performance Goal</w:t>
      </w:r>
      <w:r>
        <w:rPr>
          <w:rFonts w:ascii="Arial" w:cs="Arial" w:eastAsia="Arial" w:hAnsi="Arial"/>
          <w:sz w:val="22"/>
          <w:szCs w:val="22"/>
          <w:color w:val="auto"/>
        </w:rPr>
        <w:t xml:space="preserve"> is achieved if Adjusted EBITDA for a calendar year is at least ___ percent of Adjusted EBITDA for the immediately preceding calendar year;</w:t>
      </w:r>
    </w:p>
    <w:p>
      <w:pPr>
        <w:ind w:right="140" w:firstLine="2601"/>
        <w:spacing w:after="0" w:line="249" w:lineRule="auto"/>
        <w:tabs>
          <w:tab w:leader="none" w:pos="3685" w:val="left"/>
        </w:tabs>
        <w:numPr>
          <w:ilvl w:val="2"/>
          <w:numId w:val="19"/>
        </w:numPr>
        <w:rPr>
          <w:rFonts w:ascii="Arial" w:cs="Arial" w:eastAsia="Arial" w:hAnsi="Arial"/>
          <w:sz w:val="18"/>
          <w:szCs w:val="18"/>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auto"/>
        </w:rPr>
        <w:t>Tier Two Performance Goal</w:t>
      </w:r>
      <w:r>
        <w:rPr>
          <w:rFonts w:ascii="Arial" w:cs="Arial" w:eastAsia="Arial" w:hAnsi="Arial"/>
          <w:sz w:val="22"/>
          <w:szCs w:val="22"/>
          <w:color w:val="auto"/>
        </w:rPr>
        <w:t xml:space="preserve"> is achieved if Adjusted EBITDA for a calendar year is at least ___percent of Adjusted EBITDA for the immediately preceding calendar year;</w:t>
      </w:r>
    </w:p>
    <w:p>
      <w:pPr>
        <w:spacing w:after="0" w:line="1" w:lineRule="exact"/>
        <w:rPr>
          <w:rFonts w:ascii="Arial" w:cs="Arial" w:eastAsia="Arial" w:hAnsi="Arial"/>
          <w:sz w:val="18"/>
          <w:szCs w:val="18"/>
          <w:color w:val="auto"/>
        </w:rPr>
      </w:pPr>
    </w:p>
    <w:p>
      <w:pPr>
        <w:ind w:right="20" w:firstLine="2601"/>
        <w:spacing w:after="0" w:line="249" w:lineRule="auto"/>
        <w:tabs>
          <w:tab w:leader="none" w:pos="3685" w:val="left"/>
        </w:tabs>
        <w:numPr>
          <w:ilvl w:val="2"/>
          <w:numId w:val="19"/>
        </w:numPr>
        <w:rPr>
          <w:rFonts w:ascii="Arial" w:cs="Arial" w:eastAsia="Arial" w:hAnsi="Arial"/>
          <w:sz w:val="18"/>
          <w:szCs w:val="18"/>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auto"/>
        </w:rPr>
        <w:t>Tier Three Performance Goal</w:t>
      </w:r>
      <w:r>
        <w:rPr>
          <w:rFonts w:ascii="Arial" w:cs="Arial" w:eastAsia="Arial" w:hAnsi="Arial"/>
          <w:sz w:val="22"/>
          <w:szCs w:val="22"/>
          <w:color w:val="auto"/>
        </w:rPr>
        <w:t xml:space="preserve"> is achieved if Adjusted EBITDA for a calendar year is at least ___ percent of Adjusted EBITDA for the immediately preceding calendar year;</w:t>
      </w:r>
    </w:p>
    <w:p>
      <w:pPr>
        <w:spacing w:after="0" w:line="1" w:lineRule="exact"/>
        <w:rPr>
          <w:rFonts w:ascii="Arial" w:cs="Arial" w:eastAsia="Arial" w:hAnsi="Arial"/>
          <w:sz w:val="18"/>
          <w:szCs w:val="18"/>
          <w:color w:val="auto"/>
        </w:rPr>
      </w:pPr>
    </w:p>
    <w:p>
      <w:pPr>
        <w:ind w:right="540" w:firstLine="2601"/>
        <w:spacing w:after="0" w:line="247" w:lineRule="auto"/>
        <w:tabs>
          <w:tab w:leader="none" w:pos="3505" w:val="left"/>
        </w:tabs>
        <w:numPr>
          <w:ilvl w:val="2"/>
          <w:numId w:val="19"/>
        </w:numPr>
        <w:rPr>
          <w:rFonts w:ascii="Arial" w:cs="Arial" w:eastAsia="Arial" w:hAnsi="Arial"/>
          <w:sz w:val="18"/>
          <w:szCs w:val="18"/>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auto"/>
        </w:rPr>
        <w:t>Tier Four Performance Goal</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Target Performance Goal</w:t>
      </w:r>
      <w:r>
        <w:rPr>
          <w:rFonts w:ascii="Arial" w:cs="Arial" w:eastAsia="Arial" w:hAnsi="Arial"/>
          <w:sz w:val="22"/>
          <w:szCs w:val="22"/>
          <w:color w:val="auto"/>
        </w:rPr>
        <w:t xml:space="preserve"> is achieved if Adjusted EBITDA for a calendar year is at least ___percent but not more than ___percent of Adjusted EBITDA for the immediately preceding calendar year</w:t>
      </w:r>
    </w:p>
    <w:p>
      <w:pPr>
        <w:spacing w:after="0" w:line="2" w:lineRule="exact"/>
        <w:rPr>
          <w:rFonts w:ascii="Arial" w:cs="Arial" w:eastAsia="Arial" w:hAnsi="Arial"/>
          <w:sz w:val="18"/>
          <w:szCs w:val="18"/>
          <w:color w:val="auto"/>
        </w:rPr>
      </w:pPr>
    </w:p>
    <w:p>
      <w:pPr>
        <w:ind w:left="3460" w:hanging="859"/>
        <w:spacing w:after="0"/>
        <w:tabs>
          <w:tab w:leader="none" w:pos="3460" w:val="left"/>
        </w:tabs>
        <w:numPr>
          <w:ilvl w:val="2"/>
          <w:numId w:val="19"/>
        </w:numPr>
        <w:rPr>
          <w:rFonts w:ascii="Arial" w:cs="Arial" w:eastAsia="Arial" w:hAnsi="Arial"/>
          <w:sz w:val="16"/>
          <w:szCs w:val="16"/>
          <w:color w:val="auto"/>
        </w:rPr>
      </w:pPr>
      <w:r>
        <w:rPr>
          <w:rFonts w:ascii="Arial" w:cs="Arial" w:eastAsia="Arial" w:hAnsi="Arial"/>
          <w:sz w:val="19"/>
          <w:szCs w:val="19"/>
          <w:color w:val="auto"/>
        </w:rPr>
        <w:t xml:space="preserve">The </w:t>
      </w:r>
      <w:r>
        <w:rPr>
          <w:rFonts w:ascii="Arial" w:cs="Arial" w:eastAsia="Arial" w:hAnsi="Arial"/>
          <w:sz w:val="19"/>
          <w:szCs w:val="19"/>
          <w:u w:val="single" w:color="auto"/>
          <w:color w:val="auto"/>
        </w:rPr>
        <w:t>Tier Five Performance Goal</w:t>
      </w:r>
      <w:r>
        <w:rPr>
          <w:rFonts w:ascii="Arial" w:cs="Arial" w:eastAsia="Arial" w:hAnsi="Arial"/>
          <w:sz w:val="19"/>
          <w:szCs w:val="19"/>
          <w:color w:val="auto"/>
        </w:rPr>
        <w:t xml:space="preserve"> is achieved if Adjusted EBITDA for a calendar year 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___percent or more of Adjusted EBITDA for the immediately preceding calendar year.</w:t>
      </w:r>
    </w:p>
    <w:p>
      <w:pPr>
        <w:spacing w:after="0" w:line="17" w:lineRule="exact"/>
        <w:rPr>
          <w:rFonts w:ascii="Arial" w:cs="Arial" w:eastAsia="Arial" w:hAnsi="Arial"/>
          <w:sz w:val="16"/>
          <w:szCs w:val="16"/>
          <w:color w:val="auto"/>
        </w:rPr>
      </w:pPr>
    </w:p>
    <w:p>
      <w:pPr>
        <w:ind w:left="2820" w:hanging="867"/>
        <w:spacing w:after="0"/>
        <w:tabs>
          <w:tab w:leader="none" w:pos="2820" w:val="left"/>
        </w:tabs>
        <w:numPr>
          <w:ilvl w:val="1"/>
          <w:numId w:val="19"/>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the Comcast Corporation 2002 Restricted Stock Plan, incorporated herein by</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reference.</w:t>
      </w:r>
    </w:p>
    <w:p>
      <w:pPr>
        <w:spacing w:after="0" w:line="17" w:lineRule="exact"/>
        <w:rPr>
          <w:rFonts w:ascii="Arial" w:cs="Arial" w:eastAsia="Arial" w:hAnsi="Arial"/>
          <w:sz w:val="17"/>
          <w:szCs w:val="17"/>
          <w:color w:val="auto"/>
        </w:rPr>
      </w:pPr>
    </w:p>
    <w:p>
      <w:pPr>
        <w:ind w:right="100" w:firstLine="1953"/>
        <w:spacing w:after="0" w:line="249" w:lineRule="auto"/>
        <w:tabs>
          <w:tab w:leader="none" w:pos="2773" w:val="left"/>
        </w:tabs>
        <w:numPr>
          <w:ilvl w:val="1"/>
          <w:numId w:val="1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means, with respect to each Restricted Stock Unit, the period beginning on the Date of Grant and ending on the Vesting Date.</w:t>
      </w:r>
    </w:p>
    <w:p>
      <w:pPr>
        <w:spacing w:after="0" w:line="1" w:lineRule="exact"/>
        <w:rPr>
          <w:rFonts w:ascii="Arial" w:cs="Arial" w:eastAsia="Arial" w:hAnsi="Arial"/>
          <w:sz w:val="18"/>
          <w:szCs w:val="18"/>
          <w:color w:val="auto"/>
        </w:rPr>
      </w:pPr>
    </w:p>
    <w:p>
      <w:pPr>
        <w:ind w:right="280" w:firstLine="1953"/>
        <w:spacing w:after="0" w:line="259" w:lineRule="auto"/>
        <w:tabs>
          <w:tab w:leader="none" w:pos="2783" w:val="left"/>
        </w:tabs>
        <w:numPr>
          <w:ilvl w:val="1"/>
          <w:numId w:val="19"/>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1" w:lineRule="exact"/>
        <w:rPr>
          <w:rFonts w:ascii="Arial" w:cs="Arial" w:eastAsia="Arial" w:hAnsi="Arial"/>
          <w:sz w:val="17"/>
          <w:szCs w:val="17"/>
          <w:color w:val="auto"/>
        </w:rPr>
      </w:pPr>
    </w:p>
    <w:p>
      <w:pPr>
        <w:ind w:left="2820" w:hanging="867"/>
        <w:spacing w:after="0"/>
        <w:tabs>
          <w:tab w:leader="none" w:pos="2820" w:val="left"/>
        </w:tabs>
        <w:numPr>
          <w:ilvl w:val="1"/>
          <w:numId w:val="19"/>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Retired Grantee</w:t>
      </w:r>
      <w:r>
        <w:rPr>
          <w:rFonts w:ascii="Arial" w:cs="Arial" w:eastAsia="Arial" w:hAnsi="Arial"/>
          <w:sz w:val="19"/>
          <w:szCs w:val="19"/>
          <w:color w:val="auto"/>
        </w:rPr>
        <w:t>” means Grantee, following Grantee’s termination of employment pursuant to 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Normal Retirement.</w:t>
      </w:r>
    </w:p>
    <w:p>
      <w:pPr>
        <w:spacing w:after="0" w:line="17" w:lineRule="exact"/>
        <w:rPr>
          <w:rFonts w:ascii="Arial" w:cs="Arial" w:eastAsia="Arial" w:hAnsi="Arial"/>
          <w:sz w:val="16"/>
          <w:szCs w:val="16"/>
          <w:color w:val="auto"/>
        </w:rPr>
      </w:pPr>
    </w:p>
    <w:p>
      <w:pPr>
        <w:ind w:left="2820" w:hanging="867"/>
        <w:spacing w:after="0"/>
        <w:tabs>
          <w:tab w:leader="none" w:pos="2820" w:val="left"/>
        </w:tabs>
        <w:numPr>
          <w:ilvl w:val="1"/>
          <w:numId w:val="19"/>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 16b-3</w:t>
      </w:r>
      <w:r>
        <w:rPr>
          <w:rFonts w:ascii="Arial" w:cs="Arial" w:eastAsia="Arial" w:hAnsi="Arial"/>
          <w:sz w:val="19"/>
          <w:szCs w:val="19"/>
          <w:color w:val="auto"/>
        </w:rPr>
        <w:t>” means Rule 16b-3 promulgated under the 1934 Act, as in effect from time to time.</w:t>
      </w:r>
    </w:p>
    <w:p>
      <w:pPr>
        <w:spacing w:after="0" w:line="38" w:lineRule="exact"/>
        <w:rPr>
          <w:rFonts w:ascii="Arial" w:cs="Arial" w:eastAsia="Arial" w:hAnsi="Arial"/>
          <w:sz w:val="16"/>
          <w:szCs w:val="16"/>
          <w:color w:val="auto"/>
        </w:rPr>
      </w:pPr>
    </w:p>
    <w:p>
      <w:pPr>
        <w:ind w:left="2820" w:hanging="867"/>
        <w:spacing w:after="0"/>
        <w:tabs>
          <w:tab w:leader="none" w:pos="2820" w:val="left"/>
        </w:tabs>
        <w:numPr>
          <w:ilvl w:val="1"/>
          <w:numId w:val="19"/>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Shares</w:t>
      </w:r>
      <w:r>
        <w:rPr>
          <w:rFonts w:ascii="Arial" w:cs="Arial" w:eastAsia="Arial" w:hAnsi="Arial"/>
          <w:sz w:val="21"/>
          <w:szCs w:val="21"/>
          <w:color w:val="auto"/>
        </w:rPr>
        <w:t>” mean shares of the Company’s Class A Common Stock, par value $.01 per share.</w:t>
      </w:r>
    </w:p>
    <w:p>
      <w:pPr>
        <w:spacing w:after="0" w:line="28" w:lineRule="exact"/>
        <w:rPr>
          <w:rFonts w:ascii="Arial" w:cs="Arial" w:eastAsia="Arial" w:hAnsi="Arial"/>
          <w:sz w:val="17"/>
          <w:szCs w:val="17"/>
          <w:color w:val="auto"/>
        </w:rPr>
      </w:pPr>
    </w:p>
    <w:p>
      <w:pPr>
        <w:ind w:right="20" w:firstLine="1953"/>
        <w:spacing w:after="0" w:line="249" w:lineRule="auto"/>
        <w:tabs>
          <w:tab w:leader="none" w:pos="2843" w:val="left"/>
        </w:tabs>
        <w:numPr>
          <w:ilvl w:val="1"/>
          <w:numId w:val="1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means the date(s) on which Grantee vests in all or a portion of the Restricted Stock Units, as set forth on the attached Long-Term Incentive Awards Summary Schedule. A “</w:t>
      </w:r>
      <w:r>
        <w:rPr>
          <w:rFonts w:ascii="Arial" w:cs="Arial" w:eastAsia="Arial" w:hAnsi="Arial"/>
          <w:sz w:val="22"/>
          <w:szCs w:val="22"/>
          <w:u w:val="single" w:color="auto"/>
          <w:color w:val="auto"/>
        </w:rPr>
        <w:t>Scheduled Vesting Date</w:t>
      </w:r>
      <w:r>
        <w:rPr>
          <w:rFonts w:ascii="Arial" w:cs="Arial" w:eastAsia="Arial" w:hAnsi="Arial"/>
          <w:sz w:val="22"/>
          <w:szCs w:val="22"/>
          <w:color w:val="auto"/>
        </w:rPr>
        <w:t>” is a date referenced on the Long-Term Incentive Awards Summary Schedule on which Grantee may vest in all or a portion of the Restricted Stock Units if all the conditions to such vesting are satisfied.</w:t>
      </w:r>
    </w:p>
    <w:p>
      <w:pPr>
        <w:spacing w:after="0" w:line="3" w:lineRule="exact"/>
        <w:rPr>
          <w:rFonts w:ascii="Arial" w:cs="Arial" w:eastAsia="Arial" w:hAnsi="Arial"/>
          <w:sz w:val="18"/>
          <w:szCs w:val="18"/>
          <w:color w:val="auto"/>
        </w:rPr>
      </w:pPr>
    </w:p>
    <w:p>
      <w:pPr>
        <w:ind w:left="2820" w:hanging="867"/>
        <w:spacing w:after="0"/>
        <w:tabs>
          <w:tab w:leader="none" w:pos="2820" w:val="left"/>
        </w:tabs>
        <w:numPr>
          <w:ilvl w:val="1"/>
          <w:numId w:val="1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3" w:lineRule="exact"/>
        <w:rPr>
          <w:rFonts w:ascii="Arial" w:cs="Arial" w:eastAsia="Arial" w:hAnsi="Arial"/>
          <w:sz w:val="18"/>
          <w:szCs w:val="18"/>
          <w:color w:val="auto"/>
        </w:rPr>
      </w:pPr>
    </w:p>
    <w:p>
      <w:pPr>
        <w:ind w:right="360" w:firstLine="1305"/>
        <w:spacing w:after="0" w:line="272"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Subject to the terms and conditions set forth herein and in the Plan, the Company hereby grants to Grantee the Restricted Stock Units.</w:t>
      </w:r>
    </w:p>
    <w:p>
      <w:pPr>
        <w:sectPr>
          <w:pgSz w:w="11900" w:h="16838" w:orient="portrait"/>
          <w:cols w:equalWidth="0" w:num="1">
            <w:col w:w="11400"/>
          </w:cols>
          <w:pgMar w:left="240" w:top="375" w:right="259" w:bottom="1440" w:gutter="0" w:footer="0" w:header="0"/>
        </w:sectPr>
      </w:pPr>
    </w:p>
    <w:bookmarkStart w:id="62" w:name="page63"/>
    <w:bookmarkEnd w:id="62"/>
    <w:p>
      <w:pPr>
        <w:ind w:left="2072" w:hanging="775"/>
        <w:spacing w:after="0"/>
        <w:tabs>
          <w:tab w:leader="none" w:pos="2072" w:val="left"/>
        </w:tabs>
        <w:numPr>
          <w:ilvl w:val="1"/>
          <w:numId w:val="21"/>
        </w:numPr>
        <w:rPr>
          <w:rFonts w:ascii="Arial" w:cs="Arial" w:eastAsia="Arial" w:hAnsi="Arial"/>
          <w:sz w:val="18"/>
          <w:szCs w:val="18"/>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8" w:right="100" w:firstLine="1953"/>
        <w:spacing w:after="0" w:line="249" w:lineRule="auto"/>
        <w:tabs>
          <w:tab w:leader="none" w:pos="2785" w:val="left"/>
        </w:tabs>
        <w:numPr>
          <w:ilvl w:val="2"/>
          <w:numId w:val="21"/>
        </w:numPr>
        <w:rPr>
          <w:rFonts w:ascii="Arial" w:cs="Arial" w:eastAsia="Arial" w:hAnsi="Arial"/>
          <w:sz w:val="18"/>
          <w:szCs w:val="18"/>
          <w:color w:val="auto"/>
        </w:rPr>
      </w:pPr>
      <w:r>
        <w:rPr>
          <w:rFonts w:ascii="Arial" w:cs="Arial" w:eastAsia="Arial" w:hAnsi="Arial"/>
          <w:sz w:val="22"/>
          <w:szCs w:val="22"/>
          <w:color w:val="auto"/>
        </w:rPr>
        <w:t>The Restricted Stock Units are granted with dividend equivalent rights. If the Company declares a cash dividend on the Shares, an amount equivalent to such dividend will be credited to an unfunded bookkeeping account with respect to each outstanding and unvested Restricted Stock Unit (the “</w:t>
      </w:r>
      <w:r>
        <w:rPr>
          <w:rFonts w:ascii="Arial" w:cs="Arial" w:eastAsia="Arial" w:hAnsi="Arial"/>
          <w:sz w:val="22"/>
          <w:szCs w:val="22"/>
          <w:u w:val="single" w:color="auto"/>
          <w:color w:val="auto"/>
        </w:rPr>
        <w:t>Dividend Equivalent Amount</w:t>
      </w:r>
      <w:r>
        <w:rPr>
          <w:rFonts w:ascii="Arial" w:cs="Arial" w:eastAsia="Arial" w:hAnsi="Arial"/>
          <w:sz w:val="22"/>
          <w:szCs w:val="22"/>
          <w:color w:val="auto"/>
        </w:rPr>
        <w:t>”) on the record date of such dividend.</w:t>
      </w:r>
    </w:p>
    <w:p>
      <w:pPr>
        <w:spacing w:after="0" w:line="3" w:lineRule="exact"/>
        <w:rPr>
          <w:rFonts w:ascii="Arial" w:cs="Arial" w:eastAsia="Arial" w:hAnsi="Arial"/>
          <w:sz w:val="18"/>
          <w:szCs w:val="18"/>
          <w:color w:val="auto"/>
        </w:rPr>
      </w:pPr>
    </w:p>
    <w:p>
      <w:pPr>
        <w:ind w:left="-8" w:right="60" w:firstLine="1953"/>
        <w:spacing w:after="0" w:line="285" w:lineRule="auto"/>
        <w:tabs>
          <w:tab w:leader="none" w:pos="2795" w:val="left"/>
        </w:tabs>
        <w:numPr>
          <w:ilvl w:val="2"/>
          <w:numId w:val="21"/>
        </w:numPr>
        <w:rPr>
          <w:rFonts w:ascii="Arial" w:cs="Arial" w:eastAsia="Arial" w:hAnsi="Arial"/>
          <w:sz w:val="16"/>
          <w:szCs w:val="16"/>
          <w:color w:val="auto"/>
        </w:rPr>
      </w:pPr>
      <w:r>
        <w:rPr>
          <w:rFonts w:ascii="Arial" w:cs="Arial" w:eastAsia="Arial" w:hAnsi="Arial"/>
          <w:sz w:val="19"/>
          <w:szCs w:val="19"/>
          <w:color w:val="auto"/>
        </w:rPr>
        <w:t>The Dividend Equivalent Amount will be credited as cash, without interest, and will not be converted to Shares. The Dividend Equivalent Amount will be payable in cash, but only upon the applicable Vesting Date(s) of the underlying Restricted Stock Units as determined in accordance with Paragraph 4 below, and will be cancelled and forfeited if the underlying Restricted Stock Units are cancelled or forfeited as determined in accordance with Paragraph 5 below.</w:t>
      </w:r>
    </w:p>
    <w:p>
      <w:pPr>
        <w:spacing w:after="0" w:line="2" w:lineRule="exact"/>
        <w:rPr>
          <w:rFonts w:ascii="Arial" w:cs="Arial" w:eastAsia="Arial" w:hAnsi="Arial"/>
          <w:sz w:val="16"/>
          <w:szCs w:val="16"/>
          <w:color w:val="auto"/>
        </w:rPr>
      </w:pPr>
    </w:p>
    <w:p>
      <w:pPr>
        <w:ind w:left="2072" w:hanging="775"/>
        <w:spacing w:after="0"/>
        <w:tabs>
          <w:tab w:leader="none" w:pos="2072" w:val="left"/>
        </w:tabs>
        <w:numPr>
          <w:ilvl w:val="1"/>
          <w:numId w:val="21"/>
        </w:numPr>
        <w:rPr>
          <w:rFonts w:ascii="Arial" w:cs="Arial" w:eastAsia="Arial" w:hAnsi="Arial"/>
          <w:sz w:val="18"/>
          <w:szCs w:val="18"/>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8" w:right="20" w:firstLine="1953"/>
        <w:spacing w:after="0" w:line="247" w:lineRule="auto"/>
        <w:tabs>
          <w:tab w:leader="none" w:pos="2785" w:val="left"/>
        </w:tabs>
        <w:numPr>
          <w:ilvl w:val="2"/>
          <w:numId w:val="21"/>
        </w:numPr>
        <w:rPr>
          <w:rFonts w:ascii="Arial" w:cs="Arial" w:eastAsia="Arial" w:hAnsi="Arial"/>
          <w:sz w:val="18"/>
          <w:szCs w:val="18"/>
          <w:color w:val="auto"/>
        </w:rPr>
      </w:pPr>
      <w:r>
        <w:rPr>
          <w:rFonts w:ascii="Arial" w:cs="Arial" w:eastAsia="Arial" w:hAnsi="Arial"/>
          <w:sz w:val="22"/>
          <w:szCs w:val="22"/>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has been satisfied, and provided further that Grantee has complied with all applicable provisions of the HSR Act.</w:t>
      </w:r>
    </w:p>
    <w:p>
      <w:pPr>
        <w:ind w:left="-8" w:right="200" w:firstLine="1953"/>
        <w:spacing w:after="0" w:line="284" w:lineRule="auto"/>
        <w:tabs>
          <w:tab w:leader="none" w:pos="2795" w:val="left"/>
        </w:tabs>
        <w:numPr>
          <w:ilvl w:val="2"/>
          <w:numId w:val="21"/>
        </w:numPr>
        <w:rPr>
          <w:rFonts w:ascii="Arial" w:cs="Arial" w:eastAsia="Arial" w:hAnsi="Arial"/>
          <w:sz w:val="16"/>
          <w:szCs w:val="16"/>
          <w:color w:val="auto"/>
        </w:rPr>
      </w:pPr>
      <w:r>
        <w:rPr>
          <w:rFonts w:ascii="Arial" w:cs="Arial" w:eastAsia="Arial" w:hAnsi="Arial"/>
          <w:sz w:val="19"/>
          <w:szCs w:val="19"/>
          <w:color w:val="auto"/>
        </w:rPr>
        <w:t>Notwithstanding Paragraph 4(a) to the contrary, if Grantee’s employment with the Company or a Subsidiary Company terminates during the Restricted Period due to (i) Grantee’s death or (ii) Grantee becoming a Disabled Grantee within the meaning of Paragraph 1(j)(1),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p>
    <w:p>
      <w:pPr>
        <w:spacing w:after="0" w:line="3" w:lineRule="exact"/>
        <w:rPr>
          <w:rFonts w:ascii="Arial" w:cs="Arial" w:eastAsia="Arial" w:hAnsi="Arial"/>
          <w:sz w:val="16"/>
          <w:szCs w:val="16"/>
          <w:color w:val="auto"/>
        </w:rPr>
      </w:pPr>
    </w:p>
    <w:p>
      <w:pPr>
        <w:ind w:left="-8" w:firstLine="1953"/>
        <w:spacing w:after="0" w:line="283" w:lineRule="auto"/>
        <w:tabs>
          <w:tab w:leader="none" w:pos="2785" w:val="left"/>
        </w:tabs>
        <w:numPr>
          <w:ilvl w:val="2"/>
          <w:numId w:val="21"/>
        </w:numPr>
        <w:rPr>
          <w:rFonts w:ascii="Arial" w:cs="Arial" w:eastAsia="Arial" w:hAnsi="Arial"/>
          <w:sz w:val="16"/>
          <w:szCs w:val="16"/>
          <w:color w:val="auto"/>
        </w:rPr>
      </w:pPr>
      <w:r>
        <w:rPr>
          <w:rFonts w:ascii="Arial" w:cs="Arial" w:eastAsia="Arial" w:hAnsi="Arial"/>
          <w:sz w:val="19"/>
          <w:szCs w:val="19"/>
          <w:color w:val="auto"/>
        </w:rPr>
        <w:t>Notwithstanding Paragraphs 4(a) to the contrary, and subject to the non-solicitation or non-competition obligations described in Paragraph 4(d), if Grantee’s employment with the Company or a Subsidiary Company terminates during the Restricted Period for any reason other than (i) Grantee’s death, (ii) Grantee becoming a Disabled Grantee within the meaning of Paragraph 1(j)(1) or (iii) a Company-initiated termination for Cause, after having attained age 62 and completing ten (10) or more years of service with the Company or a Subsidiary Company, the following shall apply, provided further that the applicable Performance Goal as set forth on the attached Long-Term Incentive Awards Summary Schedule has been satisfied, and provided further that Grantee has complied with all applicable provisions of the HSR Act:</w:t>
      </w:r>
    </w:p>
    <w:p>
      <w:pPr>
        <w:spacing w:after="0" w:line="6" w:lineRule="exact"/>
        <w:rPr>
          <w:rFonts w:ascii="Arial" w:cs="Arial" w:eastAsia="Arial" w:hAnsi="Arial"/>
          <w:sz w:val="16"/>
          <w:szCs w:val="16"/>
          <w:color w:val="auto"/>
        </w:rPr>
      </w:pPr>
    </w:p>
    <w:p>
      <w:pPr>
        <w:ind w:left="-8" w:right="180" w:firstLine="2601"/>
        <w:spacing w:after="0" w:line="255" w:lineRule="auto"/>
        <w:tabs>
          <w:tab w:leader="none" w:pos="3443" w:val="left"/>
        </w:tabs>
        <w:numPr>
          <w:ilvl w:val="3"/>
          <w:numId w:val="21"/>
        </w:numPr>
        <w:rPr>
          <w:rFonts w:ascii="Arial" w:cs="Arial" w:eastAsia="Arial" w:hAnsi="Arial"/>
          <w:sz w:val="17"/>
          <w:szCs w:val="17"/>
          <w:color w:val="auto"/>
        </w:rPr>
      </w:pPr>
      <w:r>
        <w:rPr>
          <w:rFonts w:ascii="Arial" w:cs="Arial" w:eastAsia="Arial" w:hAnsi="Arial"/>
          <w:sz w:val="20"/>
          <w:szCs w:val="20"/>
          <w:color w:val="auto"/>
        </w:rPr>
        <w:t>If, at the time of such termination of employment, Grantee has completed at least ten (10) but less than fifteen (15) years of service with the Company or a Subsidiary Company, any Vesting Date for the Restricted Stock Units that would have occurred on or prior to the date that is the third (3</w:t>
      </w:r>
      <w:r>
        <w:rPr>
          <w:rFonts w:ascii="Arial" w:cs="Arial" w:eastAsia="Arial" w:hAnsi="Arial"/>
          <w:sz w:val="26"/>
          <w:szCs w:val="26"/>
          <w:color w:val="auto"/>
          <w:vertAlign w:val="superscript"/>
        </w:rPr>
        <w:t>rd</w:t>
      </w:r>
      <w:r>
        <w:rPr>
          <w:rFonts w:ascii="Arial" w:cs="Arial" w:eastAsia="Arial" w:hAnsi="Arial"/>
          <w:sz w:val="20"/>
          <w:szCs w:val="20"/>
          <w:color w:val="auto"/>
        </w:rPr>
        <w:t>) anniversary of such termination of employment shall continue to occur in accordance with the Long-Term Incentive Awards Summary Schedule, and as of each Vesting Date Grantee shall be entitled to the delivery of Shares with respect to such Restricted Stock Units.</w:t>
      </w:r>
    </w:p>
    <w:p>
      <w:pPr>
        <w:spacing w:after="0" w:line="1" w:lineRule="exact"/>
        <w:rPr>
          <w:rFonts w:ascii="Arial" w:cs="Arial" w:eastAsia="Arial" w:hAnsi="Arial"/>
          <w:sz w:val="17"/>
          <w:szCs w:val="17"/>
          <w:color w:val="auto"/>
        </w:rPr>
      </w:pPr>
    </w:p>
    <w:p>
      <w:pPr>
        <w:ind w:left="3452" w:hanging="859"/>
        <w:spacing w:after="0"/>
        <w:tabs>
          <w:tab w:leader="none" w:pos="3452" w:val="left"/>
        </w:tabs>
        <w:numPr>
          <w:ilvl w:val="3"/>
          <w:numId w:val="21"/>
        </w:numPr>
        <w:rPr>
          <w:rFonts w:ascii="Arial" w:cs="Arial" w:eastAsia="Arial" w:hAnsi="Arial"/>
          <w:sz w:val="16"/>
          <w:szCs w:val="16"/>
          <w:color w:val="auto"/>
        </w:rPr>
      </w:pPr>
      <w:r>
        <w:rPr>
          <w:rFonts w:ascii="Arial" w:cs="Arial" w:eastAsia="Arial" w:hAnsi="Arial"/>
          <w:sz w:val="19"/>
          <w:szCs w:val="19"/>
          <w:color w:val="auto"/>
        </w:rPr>
        <w:t>If, at the time of such termination of employment, Grantee has completed at least fifteen</w:t>
      </w:r>
    </w:p>
    <w:p>
      <w:pPr>
        <w:spacing w:after="0" w:line="38" w:lineRule="exact"/>
        <w:rPr>
          <w:rFonts w:ascii="Arial" w:cs="Arial" w:eastAsia="Arial" w:hAnsi="Arial"/>
          <w:sz w:val="16"/>
          <w:szCs w:val="16"/>
          <w:color w:val="auto"/>
        </w:rPr>
      </w:pPr>
    </w:p>
    <w:p>
      <w:pPr>
        <w:ind w:left="-8" w:right="100" w:firstLine="8"/>
        <w:spacing w:after="0" w:line="252" w:lineRule="auto"/>
        <w:tabs>
          <w:tab w:leader="none" w:pos="406" w:val="left"/>
        </w:tabs>
        <w:numPr>
          <w:ilvl w:val="0"/>
          <w:numId w:val="22"/>
        </w:numPr>
        <w:rPr>
          <w:rFonts w:ascii="Arial" w:cs="Arial" w:eastAsia="Arial" w:hAnsi="Arial"/>
          <w:sz w:val="20"/>
          <w:szCs w:val="20"/>
          <w:color w:val="auto"/>
        </w:rPr>
      </w:pPr>
      <w:r>
        <w:rPr>
          <w:rFonts w:ascii="Arial" w:cs="Arial" w:eastAsia="Arial" w:hAnsi="Arial"/>
          <w:sz w:val="20"/>
          <w:szCs w:val="20"/>
          <w:color w:val="auto"/>
        </w:rPr>
        <w:t>but less than twenty (20) years of service with the Company or a Subsidiary Company, any Vesting Date for the Restricted Stock Units that would have occurred on or prior to the date that is the fourth (4</w:t>
      </w:r>
      <w:r>
        <w:rPr>
          <w:rFonts w:ascii="Arial" w:cs="Arial" w:eastAsia="Arial" w:hAnsi="Arial"/>
          <w:sz w:val="26"/>
          <w:szCs w:val="26"/>
          <w:color w:val="auto"/>
          <w:vertAlign w:val="superscript"/>
        </w:rPr>
        <w:t>th</w:t>
      </w:r>
      <w:r>
        <w:rPr>
          <w:rFonts w:ascii="Arial" w:cs="Arial" w:eastAsia="Arial" w:hAnsi="Arial"/>
          <w:sz w:val="20"/>
          <w:szCs w:val="20"/>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 w:lineRule="exact"/>
        <w:rPr>
          <w:rFonts w:ascii="Arial" w:cs="Arial" w:eastAsia="Arial" w:hAnsi="Arial"/>
          <w:sz w:val="20"/>
          <w:szCs w:val="20"/>
          <w:color w:val="auto"/>
        </w:rPr>
      </w:pPr>
    </w:p>
    <w:p>
      <w:pPr>
        <w:jc w:val="both"/>
        <w:ind w:left="-8" w:right="60" w:firstLine="2601"/>
        <w:spacing w:after="0" w:line="258" w:lineRule="auto"/>
        <w:tabs>
          <w:tab w:leader="none" w:pos="3443" w:val="left"/>
        </w:tabs>
        <w:numPr>
          <w:ilvl w:val="3"/>
          <w:numId w:val="22"/>
        </w:numPr>
        <w:rPr>
          <w:rFonts w:ascii="Arial" w:cs="Arial" w:eastAsia="Arial" w:hAnsi="Arial"/>
          <w:sz w:val="18"/>
          <w:szCs w:val="18"/>
          <w:color w:val="auto"/>
        </w:rPr>
      </w:pPr>
      <w:r>
        <w:rPr>
          <w:rFonts w:ascii="Arial" w:cs="Arial" w:eastAsia="Arial" w:hAnsi="Arial"/>
          <w:sz w:val="22"/>
          <w:szCs w:val="22"/>
          <w:color w:val="auto"/>
        </w:rPr>
        <w:t>If, at the time of such termination of employment, such Grantee has completed twenty (20) or more years of services with the Company or a Subsidiary Company, any Vesting Date for the Restricted Stock Units that would have occurred on or prior to the date that is the fifth (5</w:t>
      </w:r>
      <w:r>
        <w:rPr>
          <w:rFonts w:ascii="Arial" w:cs="Arial" w:eastAsia="Arial" w:hAnsi="Arial"/>
          <w:sz w:val="28"/>
          <w:szCs w:val="28"/>
          <w:color w:val="auto"/>
          <w:vertAlign w:val="superscript"/>
        </w:rPr>
        <w:t>th</w:t>
      </w:r>
      <w:r>
        <w:rPr>
          <w:rFonts w:ascii="Arial" w:cs="Arial" w:eastAsia="Arial" w:hAnsi="Arial"/>
          <w:sz w:val="22"/>
          <w:szCs w:val="22"/>
          <w:color w:val="auto"/>
        </w:rPr>
        <w:t>)</w:t>
      </w:r>
    </w:p>
    <w:p>
      <w:pPr>
        <w:sectPr>
          <w:pgSz w:w="11900" w:h="16838" w:orient="portrait"/>
          <w:cols w:equalWidth="0" w:num="1">
            <w:col w:w="11372"/>
          </w:cols>
          <w:pgMar w:left="248" w:top="375" w:right="279" w:bottom="1440" w:gutter="0" w:footer="0" w:header="0"/>
        </w:sectPr>
      </w:pPr>
    </w:p>
    <w:bookmarkStart w:id="63" w:name="page64"/>
    <w:bookmarkEnd w:id="63"/>
    <w:p>
      <w:pPr>
        <w:ind w:right="340"/>
        <w:spacing w:after="0" w:line="249" w:lineRule="auto"/>
        <w:rPr>
          <w:sz w:val="20"/>
          <w:szCs w:val="20"/>
          <w:color w:val="auto"/>
        </w:rPr>
      </w:pPr>
      <w:r>
        <w:rPr>
          <w:rFonts w:ascii="Arial" w:cs="Arial" w:eastAsia="Arial" w:hAnsi="Arial"/>
          <w:sz w:val="22"/>
          <w:szCs w:val="22"/>
          <w:color w:val="auto"/>
        </w:rPr>
        <w:t>anniversary of such termination of employment shall continue to occur in accordance with the Long-Term Incentive Awards Summary Schedule, and as of each Vesting Date shall be entitled to the delivery of Shares with respect to such Restricted Stock Units.</w:t>
      </w:r>
    </w:p>
    <w:p>
      <w:pPr>
        <w:ind w:right="20" w:firstLine="1953"/>
        <w:spacing w:after="0" w:line="259" w:lineRule="auto"/>
        <w:tabs>
          <w:tab w:leader="none" w:pos="2803" w:val="left"/>
        </w:tabs>
        <w:numPr>
          <w:ilvl w:val="1"/>
          <w:numId w:val="23"/>
        </w:numPr>
        <w:rPr>
          <w:rFonts w:ascii="Arial" w:cs="Arial" w:eastAsia="Arial" w:hAnsi="Arial"/>
          <w:sz w:val="17"/>
          <w:szCs w:val="17"/>
          <w:color w:val="auto"/>
        </w:rPr>
      </w:pPr>
      <w:r>
        <w:rPr>
          <w:rFonts w:ascii="Arial" w:cs="Arial" w:eastAsia="Arial" w:hAnsi="Arial"/>
          <w:sz w:val="21"/>
          <w:szCs w:val="21"/>
          <w:color w:val="auto"/>
        </w:rPr>
        <w:t>Notwithstanding Paragraph 4(c),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1" w:lineRule="exact"/>
        <w:rPr>
          <w:rFonts w:ascii="Arial" w:cs="Arial" w:eastAsia="Arial" w:hAnsi="Arial"/>
          <w:sz w:val="17"/>
          <w:szCs w:val="17"/>
          <w:color w:val="auto"/>
        </w:rPr>
      </w:pPr>
    </w:p>
    <w:p>
      <w:pPr>
        <w:ind w:firstLine="2601"/>
        <w:spacing w:after="0" w:line="247" w:lineRule="auto"/>
        <w:tabs>
          <w:tab w:leader="none" w:pos="3451" w:val="left"/>
        </w:tabs>
        <w:numPr>
          <w:ilvl w:val="2"/>
          <w:numId w:val="23"/>
        </w:numPr>
        <w:rPr>
          <w:rFonts w:ascii="Arial" w:cs="Arial" w:eastAsia="Arial" w:hAnsi="Arial"/>
          <w:sz w:val="18"/>
          <w:szCs w:val="18"/>
          <w:color w:val="auto"/>
        </w:rPr>
      </w:pPr>
      <w:r>
        <w:rPr>
          <w:rFonts w:ascii="Arial" w:cs="Arial" w:eastAsia="Arial" w:hAnsi="Arial"/>
          <w:sz w:val="22"/>
          <w:szCs w:val="22"/>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2" w:lineRule="exact"/>
        <w:rPr>
          <w:rFonts w:ascii="Arial" w:cs="Arial" w:eastAsia="Arial" w:hAnsi="Arial"/>
          <w:sz w:val="18"/>
          <w:szCs w:val="18"/>
          <w:color w:val="auto"/>
        </w:rPr>
      </w:pPr>
    </w:p>
    <w:p>
      <w:pPr>
        <w:ind w:right="120" w:firstLine="2601"/>
        <w:spacing w:after="0" w:line="283" w:lineRule="auto"/>
        <w:tabs>
          <w:tab w:leader="none" w:pos="3451" w:val="left"/>
        </w:tabs>
        <w:numPr>
          <w:ilvl w:val="2"/>
          <w:numId w:val="23"/>
        </w:numPr>
        <w:rPr>
          <w:rFonts w:ascii="Arial" w:cs="Arial" w:eastAsia="Arial" w:hAnsi="Arial"/>
          <w:sz w:val="16"/>
          <w:szCs w:val="16"/>
          <w:color w:val="auto"/>
        </w:rPr>
      </w:pPr>
      <w:r>
        <w:rPr>
          <w:rFonts w:ascii="Arial" w:cs="Arial" w:eastAsia="Arial" w:hAnsi="Arial"/>
          <w:sz w:val="19"/>
          <w:szCs w:val="19"/>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4" w:lineRule="exact"/>
        <w:rPr>
          <w:rFonts w:ascii="Arial" w:cs="Arial" w:eastAsia="Arial" w:hAnsi="Arial"/>
          <w:sz w:val="16"/>
          <w:szCs w:val="16"/>
          <w:color w:val="auto"/>
        </w:rPr>
      </w:pPr>
    </w:p>
    <w:p>
      <w:pPr>
        <w:ind w:right="260" w:firstLine="1953"/>
        <w:spacing w:after="0" w:line="257" w:lineRule="auto"/>
        <w:tabs>
          <w:tab w:leader="none" w:pos="2793" w:val="left"/>
        </w:tabs>
        <w:numPr>
          <w:ilvl w:val="1"/>
          <w:numId w:val="23"/>
        </w:numPr>
        <w:rPr>
          <w:rFonts w:ascii="Arial" w:cs="Arial" w:eastAsia="Arial" w:hAnsi="Arial"/>
          <w:sz w:val="17"/>
          <w:szCs w:val="17"/>
          <w:color w:val="auto"/>
        </w:rPr>
      </w:pPr>
      <w:r>
        <w:rPr>
          <w:rFonts w:ascii="Arial" w:cs="Arial" w:eastAsia="Arial" w:hAnsi="Arial"/>
          <w:sz w:val="21"/>
          <w:szCs w:val="21"/>
          <w:color w:val="auto"/>
        </w:rPr>
        <w:t>If Restricted Stock Units would have vested pursuant to the Long-Term Incentive Awards Summary Schedule or Paragraphs 4(b) or 4(c),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Paragraphs 4(b) or 4(c) on which Grantee has complied with all applicable provisions of the HSR Act.</w:t>
      </w:r>
    </w:p>
    <w:p>
      <w:pPr>
        <w:spacing w:after="0" w:line="3" w:lineRule="exact"/>
        <w:rPr>
          <w:rFonts w:ascii="Arial" w:cs="Arial" w:eastAsia="Arial" w:hAnsi="Arial"/>
          <w:sz w:val="17"/>
          <w:szCs w:val="17"/>
          <w:color w:val="auto"/>
        </w:rPr>
      </w:pPr>
    </w:p>
    <w:p>
      <w:pPr>
        <w:ind w:left="2080" w:hanging="775"/>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22"/>
          <w:szCs w:val="22"/>
          <w:u w:val="single" w:color="auto"/>
          <w:color w:val="auto"/>
        </w:rPr>
        <w:t>Forfeiture of Restricted Stock Units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60" w:firstLine="1953"/>
        <w:spacing w:after="0" w:line="289" w:lineRule="auto"/>
        <w:tabs>
          <w:tab w:leader="none" w:pos="2793" w:val="left"/>
        </w:tabs>
        <w:numPr>
          <w:ilvl w:val="1"/>
          <w:numId w:val="24"/>
        </w:numPr>
        <w:rPr>
          <w:rFonts w:ascii="Arial" w:cs="Arial" w:eastAsia="Arial" w:hAnsi="Arial"/>
          <w:sz w:val="16"/>
          <w:szCs w:val="16"/>
          <w:color w:val="auto"/>
        </w:rPr>
      </w:pPr>
      <w:r>
        <w:rPr>
          <w:rFonts w:ascii="Arial" w:cs="Arial" w:eastAsia="Arial" w:hAnsi="Arial"/>
          <w:sz w:val="19"/>
          <w:szCs w:val="19"/>
          <w:color w:val="auto"/>
        </w:rPr>
        <w:t>Subject to the terms and conditions set forth herein and in the Plan, if Grantee’s employment with the Company and all Subsidiaries terminates during the Restricted Period, other than due to death or Disability and except as otherwise provided in Paragraph 4(c), Grantee shall forfeit the Restricted Stock Units as of such termination of employment. Upon a forfeiture of the Restricted Stock Units as provided in this Paragraph 5, the Restricted Stock Units shall be deemed canceled.</w:t>
      </w:r>
    </w:p>
    <w:p>
      <w:pPr>
        <w:spacing w:after="0" w:line="1" w:lineRule="exact"/>
        <w:rPr>
          <w:rFonts w:ascii="Arial" w:cs="Arial" w:eastAsia="Arial" w:hAnsi="Arial"/>
          <w:sz w:val="16"/>
          <w:szCs w:val="16"/>
          <w:color w:val="auto"/>
        </w:rPr>
      </w:pPr>
    </w:p>
    <w:p>
      <w:pPr>
        <w:ind w:right="220" w:firstLine="1953"/>
        <w:spacing w:after="0" w:line="249" w:lineRule="auto"/>
        <w:tabs>
          <w:tab w:leader="none" w:pos="2803" w:val="left"/>
        </w:tabs>
        <w:numPr>
          <w:ilvl w:val="1"/>
          <w:numId w:val="24"/>
        </w:numPr>
        <w:rPr>
          <w:rFonts w:ascii="Arial" w:cs="Arial" w:eastAsia="Arial" w:hAnsi="Arial"/>
          <w:sz w:val="18"/>
          <w:szCs w:val="18"/>
          <w:color w:val="auto"/>
        </w:rPr>
      </w:pPr>
      <w:r>
        <w:rPr>
          <w:rFonts w:ascii="Arial" w:cs="Arial" w:eastAsia="Arial" w:hAnsi="Arial"/>
          <w:sz w:val="22"/>
          <w:szCs w:val="22"/>
          <w:color w:val="auto"/>
        </w:rPr>
        <w:t>The provisions of this Paragraph 5 shall not apply to Shares issued in respect of Restricted Stock Units as to which a Vesting Date has occurred.</w:t>
      </w:r>
    </w:p>
    <w:p>
      <w:pPr>
        <w:spacing w:after="0" w:line="1" w:lineRule="exact"/>
        <w:rPr>
          <w:rFonts w:ascii="Arial" w:cs="Arial" w:eastAsia="Arial" w:hAnsi="Arial"/>
          <w:sz w:val="18"/>
          <w:szCs w:val="18"/>
          <w:color w:val="auto"/>
        </w:rPr>
      </w:pPr>
    </w:p>
    <w:p>
      <w:pPr>
        <w:ind w:left="2080" w:hanging="775"/>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22"/>
          <w:szCs w:val="22"/>
          <w:u w:val="single" w:color="auto"/>
          <w:color w:val="auto"/>
        </w:rPr>
        <w:t>Deferral Elections</w:t>
      </w:r>
      <w:r>
        <w:rPr>
          <w:rFonts w:ascii="Arial" w:cs="Arial" w:eastAsia="Arial" w:hAnsi="Arial"/>
          <w:sz w:val="22"/>
          <w:szCs w:val="22"/>
          <w:color w:val="auto"/>
        </w:rPr>
        <w:t>.</w:t>
      </w:r>
    </w:p>
    <w:p>
      <w:pPr>
        <w:spacing w:after="0" w:line="4" w:lineRule="exact"/>
        <w:rPr>
          <w:sz w:val="20"/>
          <w:szCs w:val="20"/>
          <w:color w:val="auto"/>
        </w:rPr>
      </w:pPr>
    </w:p>
    <w:p>
      <w:pPr>
        <w:ind w:right="20" w:firstLine="1297"/>
        <w:spacing w:after="0" w:line="259" w:lineRule="auto"/>
        <w:rPr>
          <w:sz w:val="20"/>
          <w:szCs w:val="20"/>
          <w:color w:val="auto"/>
        </w:rPr>
      </w:pPr>
      <w:r>
        <w:rPr>
          <w:rFonts w:ascii="Arial" w:cs="Arial" w:eastAsia="Arial" w:hAnsi="Arial"/>
          <w:sz w:val="22"/>
          <w:szCs w:val="22"/>
          <w:color w:val="auto"/>
        </w:rPr>
        <w:t>Grantee may elect to defer the receipt of Shares issuable with respect to Restricted Stock Units, consistent, however, with the following:</w:t>
      </w:r>
    </w:p>
    <w:p>
      <w:pPr>
        <w:sectPr>
          <w:pgSz w:w="11900" w:h="16838" w:orient="portrait"/>
          <w:cols w:equalWidth="0" w:num="1">
            <w:col w:w="11380"/>
          </w:cols>
          <w:pgMar w:left="240" w:top="375" w:right="279" w:bottom="1440" w:gutter="0" w:footer="0" w:header="0"/>
        </w:sectPr>
      </w:pPr>
    </w:p>
    <w:bookmarkStart w:id="64" w:name="page65"/>
    <w:bookmarkEnd w:id="64"/>
    <w:p>
      <w:pPr>
        <w:jc w:val="both"/>
        <w:ind w:left="660" w:right="40" w:firstLine="1941"/>
        <w:spacing w:after="0" w:line="265" w:lineRule="auto"/>
        <w:tabs>
          <w:tab w:leader="none" w:pos="3453" w:val="left"/>
        </w:tabs>
        <w:numPr>
          <w:ilvl w:val="0"/>
          <w:numId w:val="25"/>
        </w:numPr>
        <w:rPr>
          <w:rFonts w:ascii="Arial" w:cs="Arial" w:eastAsia="Arial" w:hAnsi="Arial"/>
          <w:sz w:val="17"/>
          <w:szCs w:val="17"/>
          <w:color w:val="auto"/>
        </w:rPr>
      </w:pPr>
      <w:r>
        <w:rPr>
          <w:rFonts w:ascii="Arial" w:cs="Arial" w:eastAsia="Arial" w:hAnsi="Arial"/>
          <w:sz w:val="21"/>
          <w:szCs w:val="21"/>
          <w:u w:val="single" w:color="auto"/>
          <w:color w:val="auto"/>
        </w:rPr>
        <w:t>Initial Elections</w:t>
      </w:r>
      <w:r>
        <w:rPr>
          <w:rFonts w:ascii="Arial" w:cs="Arial" w:eastAsia="Arial" w:hAnsi="Arial"/>
          <w:sz w:val="21"/>
          <w:szCs w:val="21"/>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 w:lineRule="exact"/>
        <w:rPr>
          <w:sz w:val="20"/>
          <w:szCs w:val="20"/>
          <w:color w:val="auto"/>
        </w:rPr>
      </w:pPr>
    </w:p>
    <w:p>
      <w:pPr>
        <w:ind w:right="80" w:firstLine="2601"/>
        <w:spacing w:after="0" w:line="289" w:lineRule="auto"/>
        <w:tabs>
          <w:tab w:leader="none" w:pos="3685" w:val="left"/>
        </w:tabs>
        <w:numPr>
          <w:ilvl w:val="1"/>
          <w:numId w:val="26"/>
        </w:numPr>
        <w:rPr>
          <w:rFonts w:ascii="Arial" w:cs="Arial" w:eastAsia="Arial" w:hAnsi="Arial"/>
          <w:sz w:val="16"/>
          <w:szCs w:val="16"/>
          <w:color w:val="auto"/>
        </w:rPr>
      </w:pPr>
      <w:r>
        <w:rPr>
          <w:rFonts w:ascii="Arial" w:cs="Arial" w:eastAsia="Arial" w:hAnsi="Arial"/>
          <w:sz w:val="19"/>
          <w:szCs w:val="19"/>
          <w:u w:val="single" w:color="auto"/>
          <w:color w:val="auto"/>
        </w:rPr>
        <w:t>Deadline for Deferral Election</w:t>
      </w:r>
      <w:r>
        <w:rPr>
          <w:rFonts w:ascii="Arial" w:cs="Arial" w:eastAsia="Arial" w:hAnsi="Arial"/>
          <w:sz w:val="19"/>
          <w:szCs w:val="19"/>
          <w:color w:val="auto"/>
        </w:rPr>
        <w:t>. An Initial Election to defer the receipt of Shares issuable with respect to Restricted Stock Units hereby granted shall not be effective unless it is filed with the Committee on or before</w:t>
      </w:r>
    </w:p>
    <w:p>
      <w:pPr>
        <w:spacing w:after="0"/>
        <w:rPr>
          <w:rFonts w:ascii="Arial" w:cs="Arial" w:eastAsia="Arial" w:hAnsi="Arial"/>
          <w:sz w:val="16"/>
          <w:szCs w:val="16"/>
          <w:color w:val="auto"/>
        </w:rPr>
      </w:pPr>
      <w:r>
        <w:rPr>
          <w:rFonts w:ascii="Arial" w:cs="Arial" w:eastAsia="Arial" w:hAnsi="Arial"/>
          <w:sz w:val="22"/>
          <w:szCs w:val="22"/>
          <w:color w:val="auto"/>
        </w:rPr>
        <w:t>________.</w:t>
      </w:r>
    </w:p>
    <w:p>
      <w:pPr>
        <w:spacing w:after="0" w:line="3" w:lineRule="exact"/>
        <w:rPr>
          <w:rFonts w:ascii="Arial" w:cs="Arial" w:eastAsia="Arial" w:hAnsi="Arial"/>
          <w:sz w:val="16"/>
          <w:szCs w:val="16"/>
          <w:color w:val="auto"/>
        </w:rPr>
      </w:pPr>
    </w:p>
    <w:p>
      <w:pPr>
        <w:ind w:right="200" w:firstLine="2601"/>
        <w:spacing w:after="0" w:line="257" w:lineRule="auto"/>
        <w:tabs>
          <w:tab w:leader="none" w:pos="3451" w:val="left"/>
        </w:tabs>
        <w:numPr>
          <w:ilvl w:val="1"/>
          <w:numId w:val="26"/>
        </w:numPr>
        <w:rPr>
          <w:rFonts w:ascii="Arial" w:cs="Arial" w:eastAsia="Arial" w:hAnsi="Arial"/>
          <w:sz w:val="17"/>
          <w:szCs w:val="17"/>
          <w:color w:val="auto"/>
        </w:rPr>
      </w:pPr>
      <w:r>
        <w:rPr>
          <w:rFonts w:ascii="Arial" w:cs="Arial" w:eastAsia="Arial" w:hAnsi="Arial"/>
          <w:sz w:val="21"/>
          <w:szCs w:val="21"/>
          <w:u w:val="single" w:color="auto"/>
          <w:color w:val="auto"/>
        </w:rPr>
        <w:t>Deferral Period</w:t>
      </w:r>
      <w:r>
        <w:rPr>
          <w:rFonts w:ascii="Arial" w:cs="Arial" w:eastAsia="Arial" w:hAnsi="Arial"/>
          <w:sz w:val="21"/>
          <w:szCs w:val="21"/>
          <w:color w:val="auto"/>
        </w:rPr>
        <w:t>. Subject to Paragraph 6(c), all Shares issuable with respect to Restricted Stock Units that are subject to an Initial Election under this Paragraph 6(a) shall be delivered to Grantee without any legend or restrictions (except those that may be imposed by the Committee, in its sole judgment, under Paragraph 8), on the date designated by Grantee, which shall not be earlier than January 2 of the third calendar year beginning after the Vesting Date, nor later than January 2 of the eleventh calendar year beginning after the Vesting Date.</w:t>
      </w:r>
    </w:p>
    <w:p>
      <w:pPr>
        <w:spacing w:after="0" w:line="3" w:lineRule="exact"/>
        <w:rPr>
          <w:rFonts w:ascii="Arial" w:cs="Arial" w:eastAsia="Arial" w:hAnsi="Arial"/>
          <w:sz w:val="17"/>
          <w:szCs w:val="17"/>
          <w:color w:val="auto"/>
        </w:rPr>
      </w:pPr>
    </w:p>
    <w:p>
      <w:pPr>
        <w:ind w:left="3460" w:hanging="859"/>
        <w:spacing w:after="0"/>
        <w:tabs>
          <w:tab w:leader="none" w:pos="3460" w:val="left"/>
        </w:tabs>
        <w:numPr>
          <w:ilvl w:val="1"/>
          <w:numId w:val="26"/>
        </w:numPr>
        <w:rPr>
          <w:rFonts w:ascii="Arial" w:cs="Arial" w:eastAsia="Arial" w:hAnsi="Arial"/>
          <w:sz w:val="17"/>
          <w:szCs w:val="17"/>
          <w:color w:val="auto"/>
        </w:rPr>
      </w:pPr>
      <w:r>
        <w:rPr>
          <w:rFonts w:ascii="Arial" w:cs="Arial" w:eastAsia="Arial" w:hAnsi="Arial"/>
          <w:sz w:val="21"/>
          <w:szCs w:val="21"/>
          <w:u w:val="single" w:color="auto"/>
          <w:color w:val="auto"/>
        </w:rPr>
        <w:t>Effect of Failure of Vesting Date to Occur</w:t>
      </w:r>
      <w:r>
        <w:rPr>
          <w:rFonts w:ascii="Arial" w:cs="Arial" w:eastAsia="Arial" w:hAnsi="Arial"/>
          <w:sz w:val="21"/>
          <w:szCs w:val="21"/>
          <w:color w:val="auto"/>
        </w:rPr>
        <w:t>. An Initial Election shall be null and void if a</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Vesting Date does not occur with respect to Restricted Stock Units identified in such Initial Election.</w:t>
      </w:r>
    </w:p>
    <w:p>
      <w:pPr>
        <w:spacing w:after="0" w:line="17" w:lineRule="exact"/>
        <w:rPr>
          <w:rFonts w:ascii="Arial" w:cs="Arial" w:eastAsia="Arial" w:hAnsi="Arial"/>
          <w:sz w:val="17"/>
          <w:szCs w:val="17"/>
          <w:color w:val="auto"/>
        </w:rPr>
      </w:pPr>
    </w:p>
    <w:p>
      <w:pPr>
        <w:ind w:right="120" w:firstLine="1953"/>
        <w:spacing w:after="0" w:line="246" w:lineRule="auto"/>
        <w:tabs>
          <w:tab w:leader="none" w:pos="2803" w:val="left"/>
        </w:tabs>
        <w:numPr>
          <w:ilvl w:val="0"/>
          <w:numId w:val="27"/>
        </w:numPr>
        <w:rPr>
          <w:rFonts w:ascii="Arial" w:cs="Arial" w:eastAsia="Arial" w:hAnsi="Arial"/>
          <w:sz w:val="18"/>
          <w:szCs w:val="18"/>
          <w:color w:val="auto"/>
        </w:rPr>
      </w:pPr>
      <w:r>
        <w:rPr>
          <w:rFonts w:ascii="Arial" w:cs="Arial" w:eastAsia="Arial" w:hAnsi="Arial"/>
          <w:sz w:val="22"/>
          <w:szCs w:val="22"/>
          <w:u w:val="single" w:color="auto"/>
          <w:color w:val="auto"/>
        </w:rPr>
        <w:t>Regular Deferral Elections</w:t>
      </w:r>
      <w:r>
        <w:rPr>
          <w:rFonts w:ascii="Arial" w:cs="Arial" w:eastAsia="Arial" w:hAnsi="Arial"/>
          <w:sz w:val="22"/>
          <w:szCs w:val="22"/>
          <w:color w:val="auto"/>
        </w:rPr>
        <w:t>. No Regular Deferral Election shall be effective until 12 months after the date on which a Regular Deferral Election is filed with the Committee. Grantee shall have the right to make a Regular Deferral Election to defer the receipt of all or a portion of the Shares issuable with respect to Restricted Stock Units hereby granted that are not subject to an Initial Election by filing a Regular Deferral Election to defer the receipt of such Shares on the form provided by the Committee for this purpose.</w:t>
      </w:r>
    </w:p>
    <w:p>
      <w:pPr>
        <w:ind w:right="240" w:firstLine="2601"/>
        <w:spacing w:after="0" w:line="289" w:lineRule="auto"/>
        <w:tabs>
          <w:tab w:leader="none" w:pos="3451" w:val="left"/>
        </w:tabs>
        <w:numPr>
          <w:ilvl w:val="1"/>
          <w:numId w:val="27"/>
        </w:numPr>
        <w:rPr>
          <w:rFonts w:ascii="Arial" w:cs="Arial" w:eastAsia="Arial" w:hAnsi="Arial"/>
          <w:sz w:val="16"/>
          <w:szCs w:val="16"/>
          <w:color w:val="auto"/>
        </w:rPr>
      </w:pPr>
      <w:r>
        <w:rPr>
          <w:rFonts w:ascii="Arial" w:cs="Arial" w:eastAsia="Arial" w:hAnsi="Arial"/>
          <w:sz w:val="19"/>
          <w:szCs w:val="19"/>
          <w:u w:val="single" w:color="auto"/>
          <w:color w:val="auto"/>
        </w:rPr>
        <w:t>Deadline for Deferral Election</w:t>
      </w:r>
      <w:r>
        <w:rPr>
          <w:rFonts w:ascii="Arial" w:cs="Arial" w:eastAsia="Arial" w:hAnsi="Arial"/>
          <w:sz w:val="19"/>
          <w:szCs w:val="19"/>
          <w:color w:val="auto"/>
        </w:rPr>
        <w:t>. A Regular Deferral Election to defer the receipt of Shares issuable with respect to Restricted Stock Units hereby granted shall not be effective unless it is filed with the Committee:</w:t>
      </w:r>
    </w:p>
    <w:p>
      <w:pPr>
        <w:ind w:left="4340" w:hanging="1091"/>
        <w:spacing w:after="0"/>
        <w:tabs>
          <w:tab w:leader="none" w:pos="4340" w:val="left"/>
        </w:tabs>
        <w:numPr>
          <w:ilvl w:val="2"/>
          <w:numId w:val="27"/>
        </w:numPr>
        <w:rPr>
          <w:rFonts w:ascii="Arial" w:cs="Arial" w:eastAsia="Arial" w:hAnsi="Arial"/>
          <w:sz w:val="16"/>
          <w:szCs w:val="16"/>
          <w:color w:val="auto"/>
        </w:rPr>
      </w:pPr>
      <w:r>
        <w:rPr>
          <w:rFonts w:ascii="Arial" w:cs="Arial" w:eastAsia="Arial" w:hAnsi="Arial"/>
          <w:sz w:val="19"/>
          <w:szCs w:val="19"/>
          <w:color w:val="auto"/>
        </w:rPr>
        <w:t>For Restricted Stock Units with a Scheduled Vesting Date of ________, on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before ________;</w:t>
      </w:r>
    </w:p>
    <w:p>
      <w:pPr>
        <w:spacing w:after="0" w:line="17" w:lineRule="exact"/>
        <w:rPr>
          <w:rFonts w:ascii="Arial" w:cs="Arial" w:eastAsia="Arial" w:hAnsi="Arial"/>
          <w:sz w:val="16"/>
          <w:szCs w:val="16"/>
          <w:color w:val="auto"/>
        </w:rPr>
      </w:pPr>
    </w:p>
    <w:p>
      <w:pPr>
        <w:ind w:left="4340" w:hanging="1091"/>
        <w:spacing w:after="0"/>
        <w:tabs>
          <w:tab w:leader="none" w:pos="4340" w:val="left"/>
        </w:tabs>
        <w:numPr>
          <w:ilvl w:val="2"/>
          <w:numId w:val="27"/>
        </w:numPr>
        <w:rPr>
          <w:rFonts w:ascii="Arial" w:cs="Arial" w:eastAsia="Arial" w:hAnsi="Arial"/>
          <w:sz w:val="16"/>
          <w:szCs w:val="16"/>
          <w:color w:val="auto"/>
        </w:rPr>
      </w:pPr>
      <w:r>
        <w:rPr>
          <w:rFonts w:ascii="Arial" w:cs="Arial" w:eastAsia="Arial" w:hAnsi="Arial"/>
          <w:sz w:val="19"/>
          <w:szCs w:val="19"/>
          <w:color w:val="auto"/>
        </w:rPr>
        <w:t>For Restricted Stock Units with a Scheduled Vesting Date of ________, on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before ________;</w:t>
      </w:r>
    </w:p>
    <w:p>
      <w:pPr>
        <w:spacing w:after="0" w:line="17" w:lineRule="exact"/>
        <w:rPr>
          <w:rFonts w:ascii="Arial" w:cs="Arial" w:eastAsia="Arial" w:hAnsi="Arial"/>
          <w:sz w:val="16"/>
          <w:szCs w:val="16"/>
          <w:color w:val="auto"/>
        </w:rPr>
      </w:pPr>
    </w:p>
    <w:p>
      <w:pPr>
        <w:ind w:left="4340" w:hanging="1091"/>
        <w:spacing w:after="0"/>
        <w:tabs>
          <w:tab w:leader="none" w:pos="4340" w:val="left"/>
        </w:tabs>
        <w:numPr>
          <w:ilvl w:val="2"/>
          <w:numId w:val="27"/>
        </w:numPr>
        <w:rPr>
          <w:rFonts w:ascii="Arial" w:cs="Arial" w:eastAsia="Arial" w:hAnsi="Arial"/>
          <w:sz w:val="16"/>
          <w:szCs w:val="16"/>
          <w:color w:val="auto"/>
        </w:rPr>
      </w:pPr>
      <w:r>
        <w:rPr>
          <w:rFonts w:ascii="Arial" w:cs="Arial" w:eastAsia="Arial" w:hAnsi="Arial"/>
          <w:sz w:val="19"/>
          <w:szCs w:val="19"/>
          <w:color w:val="auto"/>
        </w:rPr>
        <w:t>For Restricted Stock Units with a Scheduled Vesting Date of ________, on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before ________;</w:t>
      </w:r>
    </w:p>
    <w:p>
      <w:pPr>
        <w:spacing w:after="0" w:line="17" w:lineRule="exact"/>
        <w:rPr>
          <w:rFonts w:ascii="Arial" w:cs="Arial" w:eastAsia="Arial" w:hAnsi="Arial"/>
          <w:sz w:val="16"/>
          <w:szCs w:val="16"/>
          <w:color w:val="auto"/>
        </w:rPr>
      </w:pPr>
    </w:p>
    <w:p>
      <w:pPr>
        <w:ind w:left="4340" w:hanging="1091"/>
        <w:spacing w:after="0"/>
        <w:tabs>
          <w:tab w:leader="none" w:pos="4340" w:val="left"/>
        </w:tabs>
        <w:numPr>
          <w:ilvl w:val="2"/>
          <w:numId w:val="27"/>
        </w:numPr>
        <w:rPr>
          <w:rFonts w:ascii="Arial" w:cs="Arial" w:eastAsia="Arial" w:hAnsi="Arial"/>
          <w:sz w:val="16"/>
          <w:szCs w:val="16"/>
          <w:color w:val="auto"/>
        </w:rPr>
      </w:pPr>
      <w:r>
        <w:rPr>
          <w:rFonts w:ascii="Arial" w:cs="Arial" w:eastAsia="Arial" w:hAnsi="Arial"/>
          <w:sz w:val="19"/>
          <w:szCs w:val="19"/>
          <w:color w:val="auto"/>
        </w:rPr>
        <w:t>For Restricted Stock Units with a Scheduled Vesting Date of ________, on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before ________;</w:t>
      </w:r>
    </w:p>
    <w:p>
      <w:pPr>
        <w:spacing w:after="0" w:line="17" w:lineRule="exact"/>
        <w:rPr>
          <w:rFonts w:ascii="Arial" w:cs="Arial" w:eastAsia="Arial" w:hAnsi="Arial"/>
          <w:sz w:val="16"/>
          <w:szCs w:val="16"/>
          <w:color w:val="auto"/>
        </w:rPr>
      </w:pPr>
    </w:p>
    <w:p>
      <w:pPr>
        <w:ind w:left="4340" w:hanging="1091"/>
        <w:spacing w:after="0"/>
        <w:tabs>
          <w:tab w:leader="none" w:pos="4340" w:val="left"/>
        </w:tabs>
        <w:numPr>
          <w:ilvl w:val="2"/>
          <w:numId w:val="27"/>
        </w:numPr>
        <w:rPr>
          <w:rFonts w:ascii="Arial" w:cs="Arial" w:eastAsia="Arial" w:hAnsi="Arial"/>
          <w:sz w:val="16"/>
          <w:szCs w:val="16"/>
          <w:color w:val="auto"/>
        </w:rPr>
      </w:pPr>
      <w:r>
        <w:rPr>
          <w:rFonts w:ascii="Arial" w:cs="Arial" w:eastAsia="Arial" w:hAnsi="Arial"/>
          <w:sz w:val="19"/>
          <w:szCs w:val="19"/>
          <w:color w:val="auto"/>
        </w:rPr>
        <w:t>For Restricted Stock Units with a Scheduled Vesting Date of ________, on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before ________.</w:t>
      </w:r>
    </w:p>
    <w:p>
      <w:pPr>
        <w:spacing w:after="0" w:line="17" w:lineRule="exact"/>
        <w:rPr>
          <w:rFonts w:ascii="Arial" w:cs="Arial" w:eastAsia="Arial" w:hAnsi="Arial"/>
          <w:sz w:val="16"/>
          <w:szCs w:val="16"/>
          <w:color w:val="auto"/>
        </w:rPr>
      </w:pPr>
    </w:p>
    <w:p>
      <w:pPr>
        <w:ind w:right="80" w:firstLine="2601"/>
        <w:spacing w:after="0" w:line="286" w:lineRule="auto"/>
        <w:tabs>
          <w:tab w:leader="none" w:pos="3451" w:val="left"/>
        </w:tabs>
        <w:numPr>
          <w:ilvl w:val="1"/>
          <w:numId w:val="27"/>
        </w:numPr>
        <w:rPr>
          <w:rFonts w:ascii="Arial" w:cs="Arial" w:eastAsia="Arial" w:hAnsi="Arial"/>
          <w:sz w:val="16"/>
          <w:szCs w:val="16"/>
          <w:color w:val="auto"/>
        </w:rPr>
      </w:pPr>
      <w:r>
        <w:rPr>
          <w:rFonts w:ascii="Arial" w:cs="Arial" w:eastAsia="Arial" w:hAnsi="Arial"/>
          <w:sz w:val="19"/>
          <w:szCs w:val="19"/>
          <w:u w:val="single" w:color="auto"/>
          <w:color w:val="auto"/>
        </w:rPr>
        <w:t>Deferral Period</w:t>
      </w:r>
      <w:r>
        <w:rPr>
          <w:rFonts w:ascii="Arial" w:cs="Arial" w:eastAsia="Arial" w:hAnsi="Arial"/>
          <w:sz w:val="19"/>
          <w:szCs w:val="19"/>
          <w:color w:val="auto"/>
        </w:rPr>
        <w:t>. If Grantee makes a Regular Deferral Election to defer the distribution date for Shares issuable with respect to some or all of the Restricted Stock Units hereby granted, Grantee may elect to defer the distribution date for a minimum of five years and a maximum of ten additional years from the Scheduled Vesting Date.</w:t>
      </w:r>
    </w:p>
    <w:p>
      <w:pPr>
        <w:spacing w:after="0" w:line="2" w:lineRule="exact"/>
        <w:rPr>
          <w:rFonts w:ascii="Arial" w:cs="Arial" w:eastAsia="Arial" w:hAnsi="Arial"/>
          <w:sz w:val="16"/>
          <w:szCs w:val="16"/>
          <w:color w:val="auto"/>
        </w:rPr>
      </w:pPr>
    </w:p>
    <w:p>
      <w:pPr>
        <w:ind w:left="3460" w:hanging="859"/>
        <w:spacing w:after="0"/>
        <w:tabs>
          <w:tab w:leader="none" w:pos="3460" w:val="left"/>
        </w:tabs>
        <w:numPr>
          <w:ilvl w:val="1"/>
          <w:numId w:val="27"/>
        </w:numPr>
        <w:rPr>
          <w:rFonts w:ascii="Arial" w:cs="Arial" w:eastAsia="Arial" w:hAnsi="Arial"/>
          <w:sz w:val="16"/>
          <w:szCs w:val="16"/>
          <w:color w:val="auto"/>
        </w:rPr>
      </w:pPr>
      <w:r>
        <w:rPr>
          <w:rFonts w:ascii="Arial" w:cs="Arial" w:eastAsia="Arial" w:hAnsi="Arial"/>
          <w:sz w:val="19"/>
          <w:szCs w:val="19"/>
          <w:u w:val="single" w:color="auto"/>
          <w:color w:val="auto"/>
        </w:rPr>
        <w:t>Effect of Failure of Vesting Date to Occur</w:t>
      </w:r>
      <w:r>
        <w:rPr>
          <w:rFonts w:ascii="Arial" w:cs="Arial" w:eastAsia="Arial" w:hAnsi="Arial"/>
          <w:sz w:val="19"/>
          <w:szCs w:val="19"/>
          <w:color w:val="auto"/>
        </w:rPr>
        <w:t>. A Regular Deferral Election shall be null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void if a Vesting Date does not occur with respect to Restricted Stock Units identified in such Initial Election.</w:t>
      </w:r>
    </w:p>
    <w:p>
      <w:pPr>
        <w:spacing w:after="0" w:line="17" w:lineRule="exact"/>
        <w:rPr>
          <w:rFonts w:ascii="Arial" w:cs="Arial" w:eastAsia="Arial" w:hAnsi="Arial"/>
          <w:sz w:val="16"/>
          <w:szCs w:val="16"/>
          <w:color w:val="auto"/>
        </w:rPr>
      </w:pPr>
    </w:p>
    <w:p>
      <w:pPr>
        <w:ind w:right="180" w:firstLine="1953"/>
        <w:spacing w:after="0" w:line="249" w:lineRule="auto"/>
        <w:tabs>
          <w:tab w:leader="none" w:pos="2793" w:val="left"/>
        </w:tabs>
        <w:numPr>
          <w:ilvl w:val="0"/>
          <w:numId w:val="27"/>
        </w:numPr>
        <w:rPr>
          <w:rFonts w:ascii="Arial" w:cs="Arial" w:eastAsia="Arial" w:hAnsi="Arial"/>
          <w:sz w:val="18"/>
          <w:szCs w:val="18"/>
          <w:color w:val="auto"/>
        </w:rPr>
      </w:pPr>
      <w:r>
        <w:rPr>
          <w:rFonts w:ascii="Arial" w:cs="Arial" w:eastAsia="Arial" w:hAnsi="Arial"/>
          <w:sz w:val="22"/>
          <w:szCs w:val="22"/>
          <w:u w:val="single" w:color="auto"/>
          <w:color w:val="auto"/>
        </w:rPr>
        <w:t>Subsequent Elections</w:t>
      </w:r>
      <w:r>
        <w:rPr>
          <w:rFonts w:ascii="Arial" w:cs="Arial" w:eastAsia="Arial" w:hAnsi="Arial"/>
          <w:sz w:val="22"/>
          <w:szCs w:val="22"/>
          <w:color w:val="auto"/>
        </w:rPr>
        <w:t>. No Subsequent Election shall be effective until 12 months after the date on which a Subsequent Election is filed with the Committee.</w:t>
      </w:r>
    </w:p>
    <w:p>
      <w:pPr>
        <w:spacing w:after="0" w:line="1" w:lineRule="exact"/>
        <w:rPr>
          <w:rFonts w:ascii="Arial" w:cs="Arial" w:eastAsia="Arial" w:hAnsi="Arial"/>
          <w:sz w:val="18"/>
          <w:szCs w:val="18"/>
          <w:color w:val="auto"/>
        </w:rPr>
      </w:pPr>
    </w:p>
    <w:p>
      <w:pPr>
        <w:ind w:firstLine="2601"/>
        <w:spacing w:after="0" w:line="248" w:lineRule="auto"/>
        <w:tabs>
          <w:tab w:leader="none" w:pos="3451" w:val="left"/>
        </w:tabs>
        <w:numPr>
          <w:ilvl w:val="1"/>
          <w:numId w:val="27"/>
        </w:numPr>
        <w:rPr>
          <w:rFonts w:ascii="Arial" w:cs="Arial" w:eastAsia="Arial" w:hAnsi="Arial"/>
          <w:sz w:val="18"/>
          <w:szCs w:val="18"/>
          <w:color w:val="auto"/>
        </w:rPr>
      </w:pPr>
      <w:r>
        <w:rPr>
          <w:rFonts w:ascii="Arial" w:cs="Arial" w:eastAsia="Arial" w:hAnsi="Arial"/>
          <w:sz w:val="22"/>
          <w:szCs w:val="22"/>
          <w:color w:val="auto"/>
        </w:rPr>
        <w:t>If Grantee makes an Initial Election, a Regular Deferral Election or pursuant to this Paragraph 6(c)(1) makes a Subsequent Election to defer the distribution date for Shares issuable with respect to some or all of the Restricted Stock Units hereby granted, Grantee may elect to defer the distribution date for a minimum of five years and a maximum of ten additional years from the</w:t>
      </w:r>
    </w:p>
    <w:p>
      <w:pPr>
        <w:sectPr>
          <w:pgSz w:w="11900" w:h="16838" w:orient="portrait"/>
          <w:cols w:equalWidth="0" w:num="1">
            <w:col w:w="11420"/>
          </w:cols>
          <w:pgMar w:left="240" w:top="375" w:right="239" w:bottom="1440" w:gutter="0" w:footer="0" w:header="0"/>
        </w:sectPr>
      </w:pPr>
    </w:p>
    <w:bookmarkStart w:id="65" w:name="page66"/>
    <w:bookmarkEnd w:id="65"/>
    <w:p>
      <w:pPr>
        <w:ind w:right="160"/>
        <w:spacing w:after="0" w:line="251" w:lineRule="auto"/>
        <w:rPr>
          <w:sz w:val="20"/>
          <w:szCs w:val="20"/>
          <w:color w:val="auto"/>
        </w:rPr>
      </w:pPr>
      <w:r>
        <w:rPr>
          <w:rFonts w:ascii="Arial" w:cs="Arial" w:eastAsia="Arial" w:hAnsi="Arial"/>
          <w:sz w:val="22"/>
          <w:szCs w:val="22"/>
          <w:color w:val="auto"/>
        </w:rPr>
        <w:t>previously-elected distribution date by filing a Subsequent Election with the Committee on or before the close of business at least one year before the date on which the distribution would otherwise be made.</w:t>
      </w:r>
    </w:p>
    <w:p>
      <w:pPr>
        <w:spacing w:after="0" w:line="2" w:lineRule="exact"/>
        <w:rPr>
          <w:sz w:val="20"/>
          <w:szCs w:val="20"/>
          <w:color w:val="auto"/>
        </w:rPr>
      </w:pPr>
    </w:p>
    <w:p>
      <w:pPr>
        <w:ind w:right="20" w:firstLine="2601"/>
        <w:spacing w:after="0" w:line="257" w:lineRule="auto"/>
        <w:tabs>
          <w:tab w:leader="none" w:pos="3451" w:val="left"/>
        </w:tabs>
        <w:numPr>
          <w:ilvl w:val="3"/>
          <w:numId w:val="28"/>
        </w:numPr>
        <w:rPr>
          <w:rFonts w:ascii="Arial" w:cs="Arial" w:eastAsia="Arial" w:hAnsi="Arial"/>
          <w:sz w:val="17"/>
          <w:szCs w:val="17"/>
          <w:color w:val="auto"/>
        </w:rPr>
      </w:pPr>
      <w:r>
        <w:rPr>
          <w:rFonts w:ascii="Arial" w:cs="Arial" w:eastAsia="Arial" w:hAnsi="Arial"/>
          <w:sz w:val="21"/>
          <w:szCs w:val="21"/>
          <w:color w:val="auto"/>
        </w:rPr>
        <w:t>If Grantee dies before Shares subject to an Initial Election under Paragraph 6(a)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3" w:lineRule="exact"/>
        <w:rPr>
          <w:rFonts w:ascii="Arial" w:cs="Arial" w:eastAsia="Arial" w:hAnsi="Arial"/>
          <w:sz w:val="17"/>
          <w:szCs w:val="17"/>
          <w:color w:val="auto"/>
        </w:rPr>
      </w:pPr>
    </w:p>
    <w:p>
      <w:pPr>
        <w:jc w:val="both"/>
        <w:ind w:right="380" w:firstLine="2601"/>
        <w:spacing w:after="0" w:line="285" w:lineRule="auto"/>
        <w:tabs>
          <w:tab w:leader="none" w:pos="3451" w:val="left"/>
        </w:tabs>
        <w:numPr>
          <w:ilvl w:val="3"/>
          <w:numId w:val="28"/>
        </w:numPr>
        <w:rPr>
          <w:rFonts w:ascii="Arial" w:cs="Arial" w:eastAsia="Arial" w:hAnsi="Arial"/>
          <w:sz w:val="16"/>
          <w:szCs w:val="16"/>
          <w:color w:val="auto"/>
        </w:rPr>
      </w:pPr>
      <w:r>
        <w:rPr>
          <w:rFonts w:ascii="Arial" w:cs="Arial" w:eastAsia="Arial" w:hAnsi="Arial"/>
          <w:sz w:val="19"/>
          <w:szCs w:val="19"/>
          <w:color w:val="auto"/>
        </w:rPr>
        <w:t>If Grantee becomes a Retired Grantee before Shares subject to an Initial Election under Paragraph 6(a)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2" w:lineRule="exact"/>
        <w:rPr>
          <w:rFonts w:ascii="Arial" w:cs="Arial" w:eastAsia="Arial" w:hAnsi="Arial"/>
          <w:sz w:val="16"/>
          <w:szCs w:val="16"/>
          <w:color w:val="auto"/>
        </w:rPr>
      </w:pPr>
    </w:p>
    <w:p>
      <w:pPr>
        <w:ind w:firstLine="1953"/>
        <w:spacing w:after="0" w:line="247" w:lineRule="auto"/>
        <w:tabs>
          <w:tab w:leader="none" w:pos="2803" w:val="left"/>
        </w:tabs>
        <w:numPr>
          <w:ilvl w:val="2"/>
          <w:numId w:val="29"/>
        </w:numPr>
        <w:rPr>
          <w:rFonts w:ascii="Arial" w:cs="Arial" w:eastAsia="Arial" w:hAnsi="Arial"/>
          <w:sz w:val="18"/>
          <w:szCs w:val="18"/>
          <w:color w:val="auto"/>
        </w:rPr>
      </w:pPr>
      <w:r>
        <w:rPr>
          <w:rFonts w:ascii="Arial" w:cs="Arial" w:eastAsia="Arial" w:hAnsi="Arial"/>
          <w:sz w:val="22"/>
          <w:szCs w:val="22"/>
          <w:u w:val="single" w:color="auto"/>
          <w:color w:val="auto"/>
        </w:rPr>
        <w:t>Diversification Election</w:t>
      </w:r>
      <w:r>
        <w:rPr>
          <w:rFonts w:ascii="Arial" w:cs="Arial" w:eastAsia="Arial" w:hAnsi="Arial"/>
          <w:sz w:val="22"/>
          <w:szCs w:val="22"/>
          <w:color w:val="auto"/>
        </w:rPr>
        <w:t>. As provided in the Plan and as described in the prospectus for the Plan, a Grantee with an Account may be eligible to make a Diversification Election on an election form supplied by the Committee for this purpose.</w:t>
      </w:r>
    </w:p>
    <w:p>
      <w:pPr>
        <w:spacing w:after="0" w:line="2" w:lineRule="exact"/>
        <w:rPr>
          <w:rFonts w:ascii="Arial" w:cs="Arial" w:eastAsia="Arial" w:hAnsi="Arial"/>
          <w:sz w:val="18"/>
          <w:szCs w:val="18"/>
          <w:color w:val="auto"/>
        </w:rPr>
      </w:pPr>
    </w:p>
    <w:p>
      <w:pPr>
        <w:ind w:right="80" w:firstLine="1953"/>
        <w:spacing w:after="0" w:line="245" w:lineRule="auto"/>
        <w:tabs>
          <w:tab w:leader="none" w:pos="2793" w:val="left"/>
        </w:tabs>
        <w:numPr>
          <w:ilvl w:val="2"/>
          <w:numId w:val="29"/>
        </w:numPr>
        <w:rPr>
          <w:rFonts w:ascii="Arial" w:cs="Arial" w:eastAsia="Arial" w:hAnsi="Arial"/>
          <w:sz w:val="18"/>
          <w:szCs w:val="18"/>
          <w:color w:val="auto"/>
        </w:rPr>
      </w:pPr>
      <w:r>
        <w:rPr>
          <w:rFonts w:ascii="Arial" w:cs="Arial" w:eastAsia="Arial" w:hAnsi="Arial"/>
          <w:sz w:val="22"/>
          <w:szCs w:val="22"/>
          <w:u w:val="single" w:color="auto"/>
          <w:color w:val="auto"/>
        </w:rPr>
        <w:t>Book Accounts</w:t>
      </w:r>
      <w:r>
        <w:rPr>
          <w:rFonts w:ascii="Arial" w:cs="Arial" w:eastAsia="Arial" w:hAnsi="Arial"/>
          <w:sz w:val="22"/>
          <w:szCs w:val="22"/>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3" w:lineRule="exact"/>
        <w:rPr>
          <w:rFonts w:ascii="Arial" w:cs="Arial" w:eastAsia="Arial" w:hAnsi="Arial"/>
          <w:sz w:val="18"/>
          <w:szCs w:val="18"/>
          <w:color w:val="auto"/>
        </w:rPr>
      </w:pPr>
    </w:p>
    <w:p>
      <w:pPr>
        <w:ind w:right="20" w:firstLine="1953"/>
        <w:spacing w:after="0" w:line="256" w:lineRule="auto"/>
        <w:tabs>
          <w:tab w:leader="none" w:pos="2773" w:val="left"/>
        </w:tabs>
        <w:numPr>
          <w:ilvl w:val="2"/>
          <w:numId w:val="29"/>
        </w:numPr>
        <w:rPr>
          <w:rFonts w:ascii="Arial" w:cs="Arial" w:eastAsia="Arial" w:hAnsi="Arial"/>
          <w:sz w:val="17"/>
          <w:szCs w:val="17"/>
          <w:color w:val="auto"/>
        </w:rPr>
      </w:pPr>
      <w:r>
        <w:rPr>
          <w:rFonts w:ascii="Arial" w:cs="Arial" w:eastAsia="Arial" w:hAnsi="Arial"/>
          <w:sz w:val="21"/>
          <w:szCs w:val="21"/>
          <w:u w:val="single" w:color="auto"/>
          <w:color w:val="auto"/>
        </w:rPr>
        <w:t>Status of Deferred Amounts</w:t>
      </w:r>
      <w:r>
        <w:rPr>
          <w:rFonts w:ascii="Arial" w:cs="Arial" w:eastAsia="Arial" w:hAnsi="Arial"/>
          <w:sz w:val="21"/>
          <w:szCs w:val="21"/>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6" w:lineRule="exact"/>
        <w:rPr>
          <w:rFonts w:ascii="Arial" w:cs="Arial" w:eastAsia="Arial" w:hAnsi="Arial"/>
          <w:sz w:val="17"/>
          <w:szCs w:val="17"/>
          <w:color w:val="auto"/>
        </w:rPr>
      </w:pPr>
    </w:p>
    <w:p>
      <w:pPr>
        <w:ind w:right="140" w:firstLine="1953"/>
        <w:spacing w:after="0" w:line="258" w:lineRule="auto"/>
        <w:tabs>
          <w:tab w:leader="none" w:pos="2803" w:val="left"/>
        </w:tabs>
        <w:numPr>
          <w:ilvl w:val="2"/>
          <w:numId w:val="29"/>
        </w:numPr>
        <w:rPr>
          <w:rFonts w:ascii="Arial" w:cs="Arial" w:eastAsia="Arial" w:hAnsi="Arial"/>
          <w:sz w:val="17"/>
          <w:szCs w:val="17"/>
          <w:color w:val="auto"/>
        </w:rPr>
      </w:pPr>
      <w:r>
        <w:rPr>
          <w:rFonts w:ascii="Arial" w:cs="Arial" w:eastAsia="Arial" w:hAnsi="Arial"/>
          <w:sz w:val="21"/>
          <w:szCs w:val="21"/>
          <w:u w:val="single" w:color="auto"/>
          <w:color w:val="auto"/>
        </w:rPr>
        <w:t>Non-Assignability, Etc.</w:t>
      </w:r>
      <w:r>
        <w:rPr>
          <w:rFonts w:ascii="Arial" w:cs="Arial" w:eastAsia="Arial" w:hAnsi="Arial"/>
          <w:sz w:val="21"/>
          <w:szCs w:val="21"/>
          <w:color w:val="auto"/>
        </w:rPr>
        <w:t xml:space="preserve"> The right of Grantee to receive Shares subject to an Election under this Paragraph 6,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 w:lineRule="exact"/>
        <w:rPr>
          <w:rFonts w:ascii="Arial" w:cs="Arial" w:eastAsia="Arial" w:hAnsi="Arial"/>
          <w:sz w:val="17"/>
          <w:szCs w:val="17"/>
          <w:color w:val="auto"/>
        </w:rPr>
      </w:pPr>
    </w:p>
    <w:p>
      <w:pPr>
        <w:ind w:right="100" w:firstLine="1305"/>
        <w:spacing w:after="0" w:line="259" w:lineRule="auto"/>
        <w:tabs>
          <w:tab w:leader="none" w:pos="2080" w:val="left"/>
        </w:tabs>
        <w:numPr>
          <w:ilvl w:val="1"/>
          <w:numId w:val="30"/>
        </w:numPr>
        <w:rPr>
          <w:rFonts w:ascii="Arial" w:cs="Arial" w:eastAsia="Arial" w:hAnsi="Arial"/>
          <w:sz w:val="17"/>
          <w:szCs w:val="17"/>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 w:lineRule="exact"/>
        <w:rPr>
          <w:rFonts w:ascii="Arial" w:cs="Arial" w:eastAsia="Arial" w:hAnsi="Arial"/>
          <w:sz w:val="17"/>
          <w:szCs w:val="17"/>
          <w:color w:val="auto"/>
        </w:rPr>
      </w:pPr>
    </w:p>
    <w:p>
      <w:pPr>
        <w:ind w:right="60" w:firstLine="1305"/>
        <w:spacing w:after="0" w:line="286" w:lineRule="auto"/>
        <w:tabs>
          <w:tab w:leader="none" w:pos="2080" w:val="left"/>
        </w:tabs>
        <w:numPr>
          <w:ilvl w:val="1"/>
          <w:numId w:val="30"/>
        </w:numPr>
        <w:rPr>
          <w:rFonts w:ascii="Arial" w:cs="Arial" w:eastAsia="Arial" w:hAnsi="Arial"/>
          <w:sz w:val="16"/>
          <w:szCs w:val="16"/>
          <w:color w:val="auto"/>
        </w:rPr>
      </w:pPr>
      <w:r>
        <w:rPr>
          <w:rFonts w:ascii="Arial" w:cs="Arial" w:eastAsia="Arial" w:hAnsi="Arial"/>
          <w:sz w:val="19"/>
          <w:szCs w:val="19"/>
          <w:u w:val="single" w:color="auto"/>
          <w:color w:val="auto"/>
        </w:rPr>
        <w:t>Securities Laws</w:t>
      </w:r>
      <w:r>
        <w:rPr>
          <w:rFonts w:ascii="Arial" w:cs="Arial" w:eastAsia="Arial" w:hAnsi="Arial"/>
          <w:sz w:val="19"/>
          <w:szCs w:val="19"/>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2" w:lineRule="exact"/>
        <w:rPr>
          <w:rFonts w:ascii="Arial" w:cs="Arial" w:eastAsia="Arial" w:hAnsi="Arial"/>
          <w:sz w:val="16"/>
          <w:szCs w:val="16"/>
          <w:color w:val="auto"/>
        </w:rPr>
      </w:pPr>
    </w:p>
    <w:p>
      <w:pPr>
        <w:ind w:left="2080" w:hanging="775"/>
        <w:spacing w:after="0"/>
        <w:tabs>
          <w:tab w:leader="none" w:pos="2080" w:val="left"/>
        </w:tabs>
        <w:numPr>
          <w:ilvl w:val="1"/>
          <w:numId w:val="30"/>
        </w:numPr>
        <w:rPr>
          <w:rFonts w:ascii="Arial" w:cs="Arial" w:eastAsia="Arial" w:hAnsi="Arial"/>
          <w:sz w:val="18"/>
          <w:szCs w:val="18"/>
          <w:color w:val="auto"/>
        </w:rPr>
      </w:pPr>
      <w:r>
        <w:rPr>
          <w:rFonts w:ascii="Arial" w:cs="Arial" w:eastAsia="Arial" w:hAnsi="Arial"/>
          <w:sz w:val="22"/>
          <w:szCs w:val="22"/>
          <w:u w:val="single" w:color="auto"/>
          <w:color w:val="auto"/>
        </w:rPr>
        <w:t>Delivery of Shares; Repayment</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140" w:firstLine="1953"/>
        <w:spacing w:after="0" w:line="291" w:lineRule="auto"/>
        <w:tabs>
          <w:tab w:leader="none" w:pos="2793" w:val="left"/>
        </w:tabs>
        <w:numPr>
          <w:ilvl w:val="2"/>
          <w:numId w:val="30"/>
        </w:numPr>
        <w:rPr>
          <w:rFonts w:ascii="Arial" w:cs="Arial" w:eastAsia="Arial" w:hAnsi="Arial"/>
          <w:sz w:val="16"/>
          <w:szCs w:val="16"/>
          <w:color w:val="auto"/>
        </w:rPr>
      </w:pPr>
      <w:r>
        <w:rPr>
          <w:rFonts w:ascii="Arial" w:cs="Arial" w:eastAsia="Arial" w:hAnsi="Arial"/>
          <w:sz w:val="19"/>
          <w:szCs w:val="19"/>
          <w:u w:val="single" w:color="auto"/>
          <w:color w:val="auto"/>
        </w:rPr>
        <w:t>Delivery of Shares</w:t>
      </w:r>
      <w:r>
        <w:rPr>
          <w:rFonts w:ascii="Arial" w:cs="Arial" w:eastAsia="Arial" w:hAnsi="Arial"/>
          <w:sz w:val="19"/>
          <w:szCs w:val="19"/>
          <w:color w:val="auto"/>
        </w:rPr>
        <w:t>. Except as otherwise provided in Paragraph 6, the Company shall notify Grantee that a Vesting Date with respect to Restricted Stock Units has occurred. Within ten (10) business days of a Vesting Date, the Company shall, without payment from Grantee, satisfy its obligations to (1) pay the Dividend Equivalent Amount (if any)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deliver Shares issuable</w:t>
      </w:r>
    </w:p>
    <w:p>
      <w:pPr>
        <w:sectPr>
          <w:pgSz w:w="11900" w:h="16838" w:orient="portrait"/>
          <w:cols w:equalWidth="0" w:num="1">
            <w:col w:w="11380"/>
          </w:cols>
          <w:pgMar w:left="240" w:top="375" w:right="279" w:bottom="1440" w:gutter="0" w:footer="0" w:header="0"/>
        </w:sectPr>
      </w:pPr>
    </w:p>
    <w:bookmarkStart w:id="66" w:name="page67"/>
    <w:bookmarkEnd w:id="66"/>
    <w:p>
      <w:pPr>
        <w:spacing w:after="0" w:line="284" w:lineRule="auto"/>
        <w:rPr>
          <w:sz w:val="20"/>
          <w:szCs w:val="20"/>
          <w:color w:val="auto"/>
        </w:rPr>
      </w:pPr>
      <w:r>
        <w:rPr>
          <w:rFonts w:ascii="Arial" w:cs="Arial" w:eastAsia="Arial" w:hAnsi="Arial"/>
          <w:sz w:val="19"/>
          <w:szCs w:val="19"/>
          <w:color w:val="auto"/>
        </w:rPr>
        <w:t>under the Plan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8, provided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ind w:right="20" w:firstLine="1953"/>
        <w:spacing w:after="0" w:line="256" w:lineRule="auto"/>
        <w:tabs>
          <w:tab w:leader="none" w:pos="2803" w:val="left"/>
        </w:tabs>
        <w:numPr>
          <w:ilvl w:val="1"/>
          <w:numId w:val="32"/>
        </w:numPr>
        <w:rPr>
          <w:rFonts w:ascii="Arial" w:cs="Arial" w:eastAsia="Arial" w:hAnsi="Arial"/>
          <w:sz w:val="17"/>
          <w:szCs w:val="17"/>
          <w:color w:val="auto"/>
        </w:rPr>
      </w:pPr>
      <w:r>
        <w:rPr>
          <w:rFonts w:ascii="Arial" w:cs="Arial" w:eastAsia="Arial" w:hAnsi="Arial"/>
          <w:sz w:val="21"/>
          <w:szCs w:val="21"/>
          <w:u w:val="single" w:color="auto"/>
          <w:color w:val="auto"/>
        </w:rPr>
        <w:t>Repayment</w:t>
      </w:r>
      <w:r>
        <w:rPr>
          <w:rFonts w:ascii="Arial" w:cs="Arial" w:eastAsia="Arial" w:hAnsi="Arial"/>
          <w:sz w:val="21"/>
          <w:szCs w:val="21"/>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9(b) has been deferred pursuant to Paragraph 6 (or any other plan, program or arrangement that permits the deferral of receipt of an Award), such Award (and any earnings credited with respect thereto) shall be forfeited in lieu of repayment.</w:t>
      </w:r>
    </w:p>
    <w:p>
      <w:pPr>
        <w:spacing w:after="0" w:line="3" w:lineRule="exact"/>
        <w:rPr>
          <w:rFonts w:ascii="Arial" w:cs="Arial" w:eastAsia="Arial" w:hAnsi="Arial"/>
          <w:sz w:val="17"/>
          <w:szCs w:val="17"/>
          <w:color w:val="auto"/>
        </w:rPr>
      </w:pPr>
    </w:p>
    <w:p>
      <w:pPr>
        <w:ind w:right="20" w:firstLine="1305"/>
        <w:spacing w:after="0" w:line="256" w:lineRule="auto"/>
        <w:tabs>
          <w:tab w:leader="none" w:pos="2170" w:val="left"/>
        </w:tabs>
        <w:numPr>
          <w:ilvl w:val="0"/>
          <w:numId w:val="33"/>
        </w:numPr>
        <w:rPr>
          <w:rFonts w:ascii="Arial" w:cs="Arial" w:eastAsia="Arial" w:hAnsi="Arial"/>
          <w:sz w:val="17"/>
          <w:szCs w:val="17"/>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Notwithstanding the above, to the extent that any Restricted Stock Units are determined by the Company to be “nonqualified deferred compensation” under section 409A of the Code and its implementing regulations and guidance and Shares become deliverable with respect to such Restricted Stock Units as a result of the Grantee’s termination of employment, such Shares will only be delivered if such termination of employment constitutes a “separation from service” within the meaning of Treas. Reg. 1.409A-1(h) and, to the extent compliance with the requirements of Treas. Reg. § 1.409A-3(i)(2) is necessary to avoid the application of an additional tax under Section 409A of the Code, Shares that would otherwise become deliverable upon the Grantee’s “separation from service” will be deferred (without interest) and issued to the Grantee immediately following that six month period.</w:t>
      </w:r>
    </w:p>
    <w:p>
      <w:pPr>
        <w:spacing w:after="0" w:line="5" w:lineRule="exact"/>
        <w:rPr>
          <w:rFonts w:ascii="Arial" w:cs="Arial" w:eastAsia="Arial" w:hAnsi="Arial"/>
          <w:sz w:val="17"/>
          <w:szCs w:val="17"/>
          <w:color w:val="auto"/>
        </w:rPr>
      </w:pPr>
    </w:p>
    <w:p>
      <w:pPr>
        <w:ind w:right="120" w:firstLine="1305"/>
        <w:spacing w:after="0" w:line="249" w:lineRule="auto"/>
        <w:tabs>
          <w:tab w:leader="none" w:pos="2163" w:val="left"/>
        </w:tabs>
        <w:numPr>
          <w:ilvl w:val="0"/>
          <w:numId w:val="33"/>
        </w:numPr>
        <w:rPr>
          <w:rFonts w:ascii="Arial" w:cs="Arial" w:eastAsia="Arial" w:hAnsi="Arial"/>
          <w:sz w:val="18"/>
          <w:szCs w:val="18"/>
          <w:color w:val="auto"/>
        </w:rPr>
      </w:pPr>
      <w:r>
        <w:rPr>
          <w:rFonts w:ascii="Arial" w:cs="Arial" w:eastAsia="Arial" w:hAnsi="Arial"/>
          <w:sz w:val="22"/>
          <w:szCs w:val="22"/>
          <w:u w:val="single" w:color="auto"/>
          <w:color w:val="auto"/>
        </w:rPr>
        <w:t>Award Not to Affect Employment</w:t>
      </w:r>
      <w:r>
        <w:rPr>
          <w:rFonts w:ascii="Arial" w:cs="Arial" w:eastAsia="Arial" w:hAnsi="Arial"/>
          <w:sz w:val="22"/>
          <w:szCs w:val="22"/>
          <w:color w:val="auto"/>
        </w:rPr>
        <w:t>. The Award granted hereunder shall not confer upon Grantee any right to continue in the employment of the Company or any subsidiary or affiliate of the Company.</w:t>
      </w:r>
    </w:p>
    <w:p>
      <w:pPr>
        <w:spacing w:after="0" w:line="1" w:lineRule="exact"/>
        <w:rPr>
          <w:rFonts w:ascii="Arial" w:cs="Arial" w:eastAsia="Arial" w:hAnsi="Arial"/>
          <w:sz w:val="18"/>
          <w:szCs w:val="18"/>
          <w:color w:val="auto"/>
        </w:rPr>
      </w:pPr>
    </w:p>
    <w:p>
      <w:pPr>
        <w:ind w:left="2180" w:hanging="875"/>
        <w:spacing w:after="0"/>
        <w:tabs>
          <w:tab w:leader="none" w:pos="2180" w:val="left"/>
        </w:tabs>
        <w:numPr>
          <w:ilvl w:val="0"/>
          <w:numId w:val="33"/>
        </w:numPr>
        <w:rPr>
          <w:rFonts w:ascii="Arial" w:cs="Arial" w:eastAsia="Arial" w:hAnsi="Arial"/>
          <w:sz w:val="18"/>
          <w:szCs w:val="18"/>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firstLine="1953"/>
        <w:spacing w:after="0" w:line="249" w:lineRule="auto"/>
        <w:tabs>
          <w:tab w:leader="none" w:pos="2793" w:val="left"/>
        </w:tabs>
        <w:numPr>
          <w:ilvl w:val="1"/>
          <w:numId w:val="33"/>
        </w:numPr>
        <w:rPr>
          <w:rFonts w:ascii="Arial" w:cs="Arial" w:eastAsia="Arial" w:hAnsi="Arial"/>
          <w:sz w:val="18"/>
          <w:szCs w:val="18"/>
          <w:color w:val="auto"/>
        </w:rPr>
      </w:pPr>
      <w:r>
        <w:rPr>
          <w:rFonts w:ascii="Arial" w:cs="Arial" w:eastAsia="Arial" w:hAnsi="Arial"/>
          <w:sz w:val="22"/>
          <w:szCs w:val="22"/>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3" w:lineRule="exact"/>
        <w:rPr>
          <w:rFonts w:ascii="Arial" w:cs="Arial" w:eastAsia="Arial" w:hAnsi="Arial"/>
          <w:sz w:val="18"/>
          <w:szCs w:val="18"/>
          <w:color w:val="auto"/>
        </w:rPr>
      </w:pPr>
    </w:p>
    <w:p>
      <w:pPr>
        <w:ind w:right="200" w:firstLine="1953"/>
        <w:spacing w:after="0" w:line="289" w:lineRule="auto"/>
        <w:tabs>
          <w:tab w:leader="none" w:pos="2803" w:val="left"/>
        </w:tabs>
        <w:numPr>
          <w:ilvl w:val="1"/>
          <w:numId w:val="33"/>
        </w:numPr>
        <w:rPr>
          <w:rFonts w:ascii="Arial" w:cs="Arial" w:eastAsia="Arial" w:hAnsi="Arial"/>
          <w:sz w:val="16"/>
          <w:szCs w:val="16"/>
          <w:color w:val="auto"/>
        </w:rPr>
      </w:pPr>
      <w:r>
        <w:rPr>
          <w:rFonts w:ascii="Arial" w:cs="Arial" w:eastAsia="Arial" w:hAnsi="Arial"/>
          <w:sz w:val="19"/>
          <w:szCs w:val="19"/>
          <w:color w:val="auto"/>
        </w:rPr>
        <w:t>The address for Grantee to which notice, demands and other communications to be given or delivered under or by reason of the provisions hereof shall be Grantee’s address as reflected in the Company’s personnel records.</w:t>
      </w:r>
    </w:p>
    <w:p>
      <w:pPr>
        <w:ind w:right="160" w:firstLine="1953"/>
        <w:spacing w:after="0" w:line="259" w:lineRule="auto"/>
        <w:tabs>
          <w:tab w:leader="none" w:pos="2793" w:val="left"/>
        </w:tabs>
        <w:numPr>
          <w:ilvl w:val="1"/>
          <w:numId w:val="33"/>
        </w:numPr>
        <w:rPr>
          <w:rFonts w:ascii="Arial" w:cs="Arial" w:eastAsia="Arial" w:hAnsi="Arial"/>
          <w:sz w:val="18"/>
          <w:szCs w:val="18"/>
          <w:color w:val="auto"/>
        </w:rPr>
      </w:pPr>
      <w:r>
        <w:rPr>
          <w:rFonts w:ascii="Arial" w:cs="Arial" w:eastAsia="Arial" w:hAnsi="Arial"/>
          <w:sz w:val="22"/>
          <w:szCs w:val="22"/>
          <w:color w:val="auto"/>
        </w:rPr>
        <w:t>The validity, performance, construction and effect of this Award shall be governed by the laws of the Commonwealth of Pennsylvania, without giving effect to principles of conflicts of law.</w:t>
      </w:r>
    </w:p>
    <w:p>
      <w:pPr>
        <w:sectPr>
          <w:pgSz w:w="11900" w:h="16838" w:orient="portrait"/>
          <w:cols w:equalWidth="0" w:num="1">
            <w:col w:w="11360"/>
          </w:cols>
          <w:pgMar w:left="240" w:top="375" w:right="299" w:bottom="1440" w:gutter="0" w:footer="0" w:header="0"/>
        </w:sectPr>
      </w:pPr>
    </w:p>
    <w:bookmarkStart w:id="67" w:name="page68"/>
    <w:bookmarkEnd w:id="67"/>
    <w:p>
      <w:pPr>
        <w:ind w:left="4020"/>
        <w:spacing w:after="0"/>
        <w:rPr>
          <w:sz w:val="20"/>
          <w:szCs w:val="20"/>
          <w:color w:val="auto"/>
        </w:rPr>
      </w:pPr>
      <w:r>
        <w:rPr>
          <w:rFonts w:ascii="Arial" w:cs="Arial" w:eastAsia="Arial" w:hAnsi="Arial"/>
          <w:sz w:val="16"/>
          <w:szCs w:val="16"/>
          <w:color w:val="auto"/>
        </w:rPr>
        <w:t>COMCAST CORPORATION</w:t>
      </w:r>
    </w:p>
    <w:p>
      <w:pPr>
        <w:spacing w:after="0" w:line="200" w:lineRule="exact"/>
        <w:rPr>
          <w:sz w:val="20"/>
          <w:szCs w:val="20"/>
          <w:color w:val="auto"/>
        </w:rPr>
      </w:pPr>
    </w:p>
    <w:p>
      <w:pPr>
        <w:spacing w:after="0" w:line="311"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ATTEST:</w:t>
      </w:r>
    </w:p>
    <w:p>
      <w:pPr>
        <w:sectPr>
          <w:pgSz w:w="11900" w:h="16838" w:orient="portrait"/>
          <w:cols w:equalWidth="0" w:num="1">
            <w:col w:w="9019"/>
          </w:cols>
          <w:pgMar w:left="1440" w:top="530" w:right="1440"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22"/>
          <w:szCs w:val="22"/>
          <w:b w:val="1"/>
          <w:bCs w:val="1"/>
          <w:color w:val="auto"/>
        </w:rPr>
        <w:t>FORM OF LONG-TERM INCENTIVE AWARDS SUMMARY SCHEDULE</w:t>
      </w:r>
    </w:p>
    <w:p>
      <w:pPr>
        <w:spacing w:after="0" w:line="21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 xml:space="preserve">This Long-Term Incentive Awards Summary Schedule (this “Schedule”) provides certain information related to the [Restricted Stock Units] you were granted by Comcast Corporation on ________ (the “Date of Grant”). </w:t>
      </w:r>
      <w:r>
        <w:rPr>
          <w:rFonts w:ascii="Arial" w:cs="Arial" w:eastAsia="Arial" w:hAnsi="Arial"/>
          <w:sz w:val="18"/>
          <w:szCs w:val="18"/>
          <w:b w:val="1"/>
          <w:bCs w:val="1"/>
          <w:color w:val="auto"/>
        </w:rPr>
        <w:t>This Schedule is intended to be, and shall at all times be</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20"/>
          <w:szCs w:val="20"/>
          <w:b w:val="1"/>
          <w:bCs w:val="1"/>
          <w:color w:val="auto"/>
        </w:rPr>
        <w:t>interpreted as, a part of your Comcast Corporation Non-Qualified Option Award document and your Comcast Corporation Restricted Stock Unit Award document.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Restricted Stock Unit Award</w:t>
      </w:r>
    </w:p>
    <w:p>
      <w:pPr>
        <w:spacing w:after="0" w:line="354" w:lineRule="exact"/>
        <w:rPr>
          <w:sz w:val="20"/>
          <w:szCs w:val="20"/>
          <w:color w:val="auto"/>
        </w:rPr>
      </w:pPr>
    </w:p>
    <w:tbl>
      <w:tblPr>
        <w:tblLayout w:type="fixed"/>
        <w:tblInd w:w="770" w:type="dxa"/>
        <w:tblCellMar>
          <w:top w:w="0" w:type="dxa"/>
          <w:left w:w="0" w:type="dxa"/>
          <w:bottom w:w="0" w:type="dxa"/>
          <w:right w:w="0" w:type="dxa"/>
        </w:tblCellMar>
      </w:tblPr>
      <w:tr>
        <w:trPr>
          <w:trHeight w:val="274"/>
        </w:trPr>
        <w:tc>
          <w:tcPr>
            <w:tcW w:w="31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Grantee:</w:t>
            </w:r>
          </w:p>
        </w:tc>
        <w:tc>
          <w:tcPr>
            <w:tcW w:w="2680" w:type="dxa"/>
            <w:vAlign w:val="bottom"/>
            <w:tcBorders>
              <w:top w:val="single" w:sz="8" w:color="auto"/>
            </w:tcBorders>
            <w:gridSpan w:val="8"/>
          </w:tcPr>
          <w:p>
            <w:pPr>
              <w:ind w:left="20"/>
              <w:spacing w:after="0"/>
              <w:rPr>
                <w:sz w:val="20"/>
                <w:szCs w:val="20"/>
                <w:color w:val="auto"/>
              </w:rPr>
            </w:pPr>
            <w:r>
              <w:rPr>
                <w:rFonts w:ascii="Arial" w:cs="Arial" w:eastAsia="Arial" w:hAnsi="Arial"/>
                <w:sz w:val="20"/>
                <w:szCs w:val="20"/>
                <w:color w:val="auto"/>
              </w:rPr>
              <w:t>____________________</w:t>
            </w:r>
          </w:p>
        </w:tc>
        <w:tc>
          <w:tcPr>
            <w:tcW w:w="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Date of Grant:</w:t>
            </w:r>
          </w:p>
        </w:tc>
        <w:tc>
          <w:tcPr>
            <w:tcW w:w="1140" w:type="dxa"/>
            <w:vAlign w:val="bottom"/>
            <w:gridSpan w:val="6"/>
          </w:tcPr>
          <w:p>
            <w:pPr>
              <w:ind w:left="20"/>
              <w:spacing w:after="0"/>
              <w:rPr>
                <w:sz w:val="20"/>
                <w:szCs w:val="20"/>
                <w:color w:val="auto"/>
              </w:rPr>
            </w:pPr>
            <w:r>
              <w:rPr>
                <w:rFonts w:ascii="Arial" w:cs="Arial" w:eastAsia="Arial" w:hAnsi="Arial"/>
                <w:sz w:val="20"/>
                <w:szCs w:val="20"/>
                <w:color w:val="auto"/>
              </w:rPr>
              <w:t>________</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Common Stock:</w:t>
            </w:r>
          </w:p>
        </w:tc>
        <w:tc>
          <w:tcPr>
            <w:tcW w:w="20" w:type="dxa"/>
            <w:vAlign w:val="bottom"/>
          </w:tcPr>
          <w:p>
            <w:pPr>
              <w:spacing w:after="0"/>
              <w:rPr>
                <w:sz w:val="22"/>
                <w:szCs w:val="22"/>
                <w:color w:val="auto"/>
              </w:rPr>
            </w:pPr>
          </w:p>
        </w:tc>
        <w:tc>
          <w:tcPr>
            <w:tcW w:w="6840" w:type="dxa"/>
            <w:vAlign w:val="bottom"/>
            <w:tcBorders>
              <w:right w:val="single" w:sz="8" w:color="auto"/>
            </w:tcBorders>
            <w:gridSpan w:val="22"/>
          </w:tcPr>
          <w:p>
            <w:pPr>
              <w:spacing w:after="0"/>
              <w:rPr>
                <w:sz w:val="20"/>
                <w:szCs w:val="20"/>
                <w:color w:val="auto"/>
              </w:rPr>
            </w:pPr>
            <w:r>
              <w:rPr>
                <w:rFonts w:ascii="Arial" w:cs="Arial" w:eastAsia="Arial" w:hAnsi="Arial"/>
                <w:sz w:val="20"/>
                <w:szCs w:val="20"/>
                <w:color w:val="auto"/>
              </w:rPr>
              <w:t>Comcast Corporation Class A Common Stock</w:t>
            </w: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Number of Restricted Stock Units</w:t>
            </w:r>
          </w:p>
        </w:tc>
        <w:tc>
          <w:tcPr>
            <w:tcW w:w="20" w:type="dxa"/>
            <w:vAlign w:val="bottom"/>
          </w:tcPr>
          <w:p>
            <w:pPr>
              <w:spacing w:after="0"/>
              <w:rPr>
                <w:sz w:val="24"/>
                <w:szCs w:val="24"/>
                <w:color w:val="auto"/>
              </w:rPr>
            </w:pPr>
          </w:p>
        </w:tc>
        <w:tc>
          <w:tcPr>
            <w:tcW w:w="6840" w:type="dxa"/>
            <w:vAlign w:val="bottom"/>
            <w:tcBorders>
              <w:right w:val="single" w:sz="8" w:color="auto"/>
            </w:tcBorders>
            <w:gridSpan w:val="22"/>
          </w:tcPr>
          <w:p>
            <w:pPr>
              <w:spacing w:after="0"/>
              <w:rPr>
                <w:sz w:val="20"/>
                <w:szCs w:val="20"/>
                <w:color w:val="auto"/>
              </w:rPr>
            </w:pPr>
            <w:r>
              <w:rPr>
                <w:rFonts w:ascii="Arial" w:cs="Arial" w:eastAsia="Arial" w:hAnsi="Arial"/>
                <w:sz w:val="20"/>
                <w:szCs w:val="20"/>
                <w:color w:val="auto"/>
              </w:rPr>
              <w:t>[__]% at Tier Four Performance Goal (the “Target Performance Goal”)</w:t>
            </w:r>
          </w:p>
        </w:tc>
        <w:tc>
          <w:tcPr>
            <w:tcW w:w="0" w:type="dxa"/>
            <w:vAlign w:val="bottom"/>
          </w:tcPr>
          <w:p>
            <w:pPr>
              <w:spacing w:after="0"/>
              <w:rPr>
                <w:sz w:val="1"/>
                <w:szCs w:val="1"/>
                <w:color w:val="auto"/>
              </w:rPr>
            </w:pPr>
          </w:p>
        </w:tc>
      </w:tr>
      <w:tr>
        <w:trPr>
          <w:trHeight w:val="20"/>
        </w:trPr>
        <w:tc>
          <w:tcPr>
            <w:tcW w:w="31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Granted:</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00" w:type="dxa"/>
            <w:vAlign w:val="bottom"/>
            <w:tcBorders>
              <w:left w:val="single" w:sz="8" w:color="auto"/>
              <w:right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6840" w:type="dxa"/>
            <w:vAlign w:val="bottom"/>
            <w:tcBorders>
              <w:right w:val="single" w:sz="8" w:color="auto"/>
            </w:tcBorders>
            <w:gridSpan w:val="22"/>
            <w:vMerge w:val="restart"/>
          </w:tcPr>
          <w:p>
            <w:pPr>
              <w:spacing w:after="0"/>
              <w:rPr>
                <w:sz w:val="20"/>
                <w:szCs w:val="20"/>
                <w:color w:val="auto"/>
              </w:rPr>
            </w:pPr>
            <w:r>
              <w:rPr>
                <w:rFonts w:ascii="Arial" w:cs="Arial" w:eastAsia="Arial" w:hAnsi="Arial"/>
                <w:sz w:val="20"/>
                <w:szCs w:val="20"/>
                <w:color w:val="auto"/>
              </w:rPr>
              <w:t>[__]% at Tier Five Performance Goal</w:t>
            </w:r>
          </w:p>
        </w:tc>
        <w:tc>
          <w:tcPr>
            <w:tcW w:w="0" w:type="dxa"/>
            <w:vAlign w:val="bottom"/>
          </w:tcPr>
          <w:p>
            <w:pPr>
              <w:spacing w:after="0"/>
              <w:rPr>
                <w:sz w:val="1"/>
                <w:szCs w:val="1"/>
                <w:color w:val="auto"/>
              </w:rPr>
            </w:pPr>
          </w:p>
        </w:tc>
      </w:tr>
      <w:tr>
        <w:trPr>
          <w:trHeight w:val="172"/>
        </w:trPr>
        <w:tc>
          <w:tcPr>
            <w:tcW w:w="310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840" w:type="dxa"/>
            <w:vAlign w:val="bottom"/>
            <w:tcBorders>
              <w:right w:val="single" w:sz="8" w:color="auto"/>
            </w:tcBorders>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1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tcBorders>
              <w:right w:val="single" w:sz="8" w:color="auto"/>
            </w:tcBorders>
            <w:gridSpan w:val="19"/>
          </w:tcPr>
          <w:p>
            <w:pPr>
              <w:spacing w:after="0"/>
              <w:rPr>
                <w:sz w:val="20"/>
                <w:szCs w:val="20"/>
                <w:color w:val="auto"/>
              </w:rPr>
            </w:pPr>
            <w:r>
              <w:rPr>
                <w:rFonts w:ascii="Arial" w:cs="Arial" w:eastAsia="Arial" w:hAnsi="Arial"/>
                <w:sz w:val="20"/>
                <w:szCs w:val="20"/>
                <w:color w:val="auto"/>
                <w:w w:val="92"/>
              </w:rPr>
              <w:t>[__]% of the Restricted Stock Units, determined at the Target Performance</w:t>
            </w:r>
          </w:p>
        </w:tc>
        <w:tc>
          <w:tcPr>
            <w:tcW w:w="0" w:type="dxa"/>
            <w:vAlign w:val="bottom"/>
          </w:tcPr>
          <w:p>
            <w:pPr>
              <w:spacing w:after="0"/>
              <w:rPr>
                <w:sz w:val="1"/>
                <w:szCs w:val="1"/>
                <w:color w:val="auto"/>
              </w:rPr>
            </w:pPr>
          </w:p>
        </w:tc>
      </w:tr>
      <w:tr>
        <w:trPr>
          <w:trHeight w:val="210"/>
        </w:trPr>
        <w:tc>
          <w:tcPr>
            <w:tcW w:w="31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_____ RSUs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gridSpan w:val="13"/>
          </w:tcPr>
          <w:p>
            <w:pPr>
              <w:spacing w:after="0" w:line="209" w:lineRule="exact"/>
              <w:rPr>
                <w:sz w:val="20"/>
                <w:szCs w:val="20"/>
                <w:color w:val="auto"/>
              </w:rPr>
            </w:pPr>
            <w:r>
              <w:rPr>
                <w:rFonts w:ascii="Arial" w:cs="Arial" w:eastAsia="Arial" w:hAnsi="Arial"/>
                <w:sz w:val="20"/>
                <w:szCs w:val="20"/>
                <w:color w:val="auto"/>
              </w:rPr>
              <w:t>Goal.</w:t>
            </w:r>
          </w:p>
        </w:tc>
        <w:tc>
          <w:tcPr>
            <w:tcW w:w="1560" w:type="dxa"/>
            <w:vAlign w:val="bottom"/>
            <w:tcBorders>
              <w:top w:val="single" w:sz="8" w:color="auto"/>
            </w:tcBorders>
            <w:gridSpan w:val="5"/>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100" w:type="dxa"/>
            <w:vAlign w:val="bottom"/>
            <w:tcBorders>
              <w:left w:val="single" w:sz="8" w:color="auto"/>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1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tcBorders>
              <w:right w:val="single" w:sz="8" w:color="auto"/>
            </w:tcBorders>
            <w:gridSpan w:val="19"/>
          </w:tcPr>
          <w:p>
            <w:pPr>
              <w:spacing w:after="0"/>
              <w:rPr>
                <w:sz w:val="20"/>
                <w:szCs w:val="20"/>
                <w:color w:val="auto"/>
              </w:rPr>
            </w:pPr>
            <w:r>
              <w:rPr>
                <w:rFonts w:ascii="Arial" w:cs="Arial" w:eastAsia="Arial" w:hAnsi="Arial"/>
                <w:sz w:val="20"/>
                <w:szCs w:val="20"/>
                <w:color w:val="auto"/>
                <w:w w:val="92"/>
              </w:rPr>
              <w:t>[__]% of the Restricted Stock Units, determined at the Target Performance</w:t>
            </w:r>
          </w:p>
        </w:tc>
        <w:tc>
          <w:tcPr>
            <w:tcW w:w="0" w:type="dxa"/>
            <w:vAlign w:val="bottom"/>
          </w:tcPr>
          <w:p>
            <w:pPr>
              <w:spacing w:after="0"/>
              <w:rPr>
                <w:sz w:val="1"/>
                <w:szCs w:val="1"/>
                <w:color w:val="auto"/>
              </w:rPr>
            </w:pPr>
          </w:p>
        </w:tc>
      </w:tr>
      <w:tr>
        <w:trPr>
          <w:trHeight w:val="210"/>
        </w:trPr>
        <w:tc>
          <w:tcPr>
            <w:tcW w:w="31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_____ RSUs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gridSpan w:val="13"/>
          </w:tcPr>
          <w:p>
            <w:pPr>
              <w:spacing w:after="0" w:line="209" w:lineRule="exact"/>
              <w:rPr>
                <w:sz w:val="20"/>
                <w:szCs w:val="20"/>
                <w:color w:val="auto"/>
              </w:rPr>
            </w:pPr>
            <w:r>
              <w:rPr>
                <w:rFonts w:ascii="Arial" w:cs="Arial" w:eastAsia="Arial" w:hAnsi="Arial"/>
                <w:sz w:val="20"/>
                <w:szCs w:val="20"/>
                <w:color w:val="auto"/>
              </w:rPr>
              <w:t>Goal.</w:t>
            </w:r>
          </w:p>
        </w:tc>
        <w:tc>
          <w:tcPr>
            <w:tcW w:w="1560" w:type="dxa"/>
            <w:vAlign w:val="bottom"/>
            <w:tcBorders>
              <w:top w:val="single" w:sz="8" w:color="auto"/>
            </w:tcBorders>
            <w:gridSpan w:val="5"/>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100" w:type="dxa"/>
            <w:vAlign w:val="bottom"/>
            <w:tcBorders>
              <w:left w:val="single" w:sz="8" w:color="auto"/>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1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tcBorders>
              <w:right w:val="single" w:sz="8" w:color="auto"/>
            </w:tcBorders>
            <w:gridSpan w:val="19"/>
          </w:tcPr>
          <w:p>
            <w:pPr>
              <w:spacing w:after="0"/>
              <w:rPr>
                <w:sz w:val="20"/>
                <w:szCs w:val="20"/>
                <w:color w:val="auto"/>
              </w:rPr>
            </w:pPr>
            <w:r>
              <w:rPr>
                <w:rFonts w:ascii="Arial" w:cs="Arial" w:eastAsia="Arial" w:hAnsi="Arial"/>
                <w:sz w:val="20"/>
                <w:szCs w:val="20"/>
                <w:color w:val="auto"/>
                <w:w w:val="92"/>
              </w:rPr>
              <w:t>[__]% of the Restricted Stock Units, determined at the Target Performance</w:t>
            </w:r>
          </w:p>
        </w:tc>
        <w:tc>
          <w:tcPr>
            <w:tcW w:w="0" w:type="dxa"/>
            <w:vAlign w:val="bottom"/>
          </w:tcPr>
          <w:p>
            <w:pPr>
              <w:spacing w:after="0"/>
              <w:rPr>
                <w:sz w:val="1"/>
                <w:szCs w:val="1"/>
                <w:color w:val="auto"/>
              </w:rPr>
            </w:pPr>
          </w:p>
        </w:tc>
      </w:tr>
      <w:tr>
        <w:trPr>
          <w:trHeight w:val="210"/>
        </w:trPr>
        <w:tc>
          <w:tcPr>
            <w:tcW w:w="31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_____ RSUs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gridSpan w:val="13"/>
          </w:tcPr>
          <w:p>
            <w:pPr>
              <w:spacing w:after="0" w:line="209" w:lineRule="exact"/>
              <w:rPr>
                <w:sz w:val="20"/>
                <w:szCs w:val="20"/>
                <w:color w:val="auto"/>
              </w:rPr>
            </w:pPr>
            <w:r>
              <w:rPr>
                <w:rFonts w:ascii="Arial" w:cs="Arial" w:eastAsia="Arial" w:hAnsi="Arial"/>
                <w:sz w:val="20"/>
                <w:szCs w:val="20"/>
                <w:color w:val="auto"/>
              </w:rPr>
              <w:t>Goal.</w:t>
            </w:r>
          </w:p>
        </w:tc>
        <w:tc>
          <w:tcPr>
            <w:tcW w:w="1560" w:type="dxa"/>
            <w:vAlign w:val="bottom"/>
            <w:tcBorders>
              <w:top w:val="single" w:sz="8" w:color="auto"/>
            </w:tcBorders>
            <w:gridSpan w:val="5"/>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100" w:type="dxa"/>
            <w:vAlign w:val="bottom"/>
            <w:tcBorders>
              <w:left w:val="single" w:sz="8" w:color="auto"/>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1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tcBorders>
              <w:right w:val="single" w:sz="8" w:color="auto"/>
            </w:tcBorders>
            <w:gridSpan w:val="19"/>
          </w:tcPr>
          <w:p>
            <w:pPr>
              <w:spacing w:after="0"/>
              <w:rPr>
                <w:sz w:val="20"/>
                <w:szCs w:val="20"/>
                <w:color w:val="auto"/>
              </w:rPr>
            </w:pPr>
            <w:r>
              <w:rPr>
                <w:rFonts w:ascii="Arial" w:cs="Arial" w:eastAsia="Arial" w:hAnsi="Arial"/>
                <w:sz w:val="20"/>
                <w:szCs w:val="20"/>
                <w:color w:val="auto"/>
                <w:w w:val="92"/>
              </w:rPr>
              <w:t>[__]% of the Restricted Stock Units, determined at the Target Performance</w:t>
            </w:r>
          </w:p>
        </w:tc>
        <w:tc>
          <w:tcPr>
            <w:tcW w:w="0" w:type="dxa"/>
            <w:vAlign w:val="bottom"/>
          </w:tcPr>
          <w:p>
            <w:pPr>
              <w:spacing w:after="0"/>
              <w:rPr>
                <w:sz w:val="1"/>
                <w:szCs w:val="1"/>
                <w:color w:val="auto"/>
              </w:rPr>
            </w:pPr>
          </w:p>
        </w:tc>
      </w:tr>
      <w:tr>
        <w:trPr>
          <w:trHeight w:val="210"/>
        </w:trPr>
        <w:tc>
          <w:tcPr>
            <w:tcW w:w="31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_____ RSUs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gridSpan w:val="13"/>
          </w:tcPr>
          <w:p>
            <w:pPr>
              <w:spacing w:after="0" w:line="209" w:lineRule="exact"/>
              <w:rPr>
                <w:sz w:val="20"/>
                <w:szCs w:val="20"/>
                <w:color w:val="auto"/>
              </w:rPr>
            </w:pPr>
            <w:r>
              <w:rPr>
                <w:rFonts w:ascii="Arial" w:cs="Arial" w:eastAsia="Arial" w:hAnsi="Arial"/>
                <w:sz w:val="20"/>
                <w:szCs w:val="20"/>
                <w:color w:val="auto"/>
              </w:rPr>
              <w:t>Goal.</w:t>
            </w:r>
          </w:p>
        </w:tc>
        <w:tc>
          <w:tcPr>
            <w:tcW w:w="1560" w:type="dxa"/>
            <w:vAlign w:val="bottom"/>
            <w:tcBorders>
              <w:top w:val="single" w:sz="8" w:color="auto"/>
            </w:tcBorders>
            <w:gridSpan w:val="5"/>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100" w:type="dxa"/>
            <w:vAlign w:val="bottom"/>
            <w:tcBorders>
              <w:left w:val="single" w:sz="8" w:color="auto"/>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1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tcBorders>
              <w:right w:val="single" w:sz="8" w:color="auto"/>
            </w:tcBorders>
            <w:gridSpan w:val="19"/>
          </w:tcPr>
          <w:p>
            <w:pPr>
              <w:spacing w:after="0"/>
              <w:rPr>
                <w:sz w:val="20"/>
                <w:szCs w:val="20"/>
                <w:color w:val="auto"/>
              </w:rPr>
            </w:pPr>
            <w:r>
              <w:rPr>
                <w:rFonts w:ascii="Arial" w:cs="Arial" w:eastAsia="Arial" w:hAnsi="Arial"/>
                <w:sz w:val="20"/>
                <w:szCs w:val="20"/>
                <w:color w:val="auto"/>
                <w:w w:val="92"/>
              </w:rPr>
              <w:t>[__]% of the Restricted Stock Units, determined at the Target Performance</w:t>
            </w:r>
          </w:p>
        </w:tc>
        <w:tc>
          <w:tcPr>
            <w:tcW w:w="0" w:type="dxa"/>
            <w:vAlign w:val="bottom"/>
          </w:tcPr>
          <w:p>
            <w:pPr>
              <w:spacing w:after="0"/>
              <w:rPr>
                <w:sz w:val="1"/>
                <w:szCs w:val="1"/>
                <w:color w:val="auto"/>
              </w:rPr>
            </w:pPr>
          </w:p>
        </w:tc>
      </w:tr>
      <w:tr>
        <w:trPr>
          <w:trHeight w:val="210"/>
        </w:trPr>
        <w:tc>
          <w:tcPr>
            <w:tcW w:w="31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_____ RSUs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gridSpan w:val="13"/>
          </w:tcPr>
          <w:p>
            <w:pPr>
              <w:spacing w:after="0" w:line="209" w:lineRule="exact"/>
              <w:rPr>
                <w:sz w:val="20"/>
                <w:szCs w:val="20"/>
                <w:color w:val="auto"/>
              </w:rPr>
            </w:pPr>
            <w:r>
              <w:rPr>
                <w:rFonts w:ascii="Arial" w:cs="Arial" w:eastAsia="Arial" w:hAnsi="Arial"/>
                <w:sz w:val="20"/>
                <w:szCs w:val="20"/>
                <w:color w:val="auto"/>
              </w:rPr>
              <w:t>Goal.</w:t>
            </w:r>
          </w:p>
        </w:tc>
        <w:tc>
          <w:tcPr>
            <w:tcW w:w="1560" w:type="dxa"/>
            <w:vAlign w:val="bottom"/>
            <w:tcBorders>
              <w:top w:val="single" w:sz="8" w:color="auto"/>
            </w:tcBorders>
            <w:gridSpan w:val="5"/>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100" w:type="dxa"/>
            <w:vAlign w:val="bottom"/>
            <w:tcBorders>
              <w:left w:val="single" w:sz="8" w:color="auto"/>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1"/>
        </w:trPr>
        <w:tc>
          <w:tcPr>
            <w:tcW w:w="31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Borders>
              <w:right w:val="single" w:sz="8" w:color="auto"/>
            </w:tcBorders>
            <w:gridSpan w:val="22"/>
          </w:tcPr>
          <w:p>
            <w:pPr>
              <w:spacing w:after="0"/>
              <w:rPr>
                <w:sz w:val="20"/>
                <w:szCs w:val="20"/>
                <w:color w:val="auto"/>
              </w:rPr>
            </w:pPr>
            <w:r>
              <w:rPr>
                <w:rFonts w:ascii="Arial" w:cs="Arial" w:eastAsia="Arial" w:hAnsi="Arial"/>
                <w:sz w:val="20"/>
                <w:szCs w:val="20"/>
                <w:color w:val="auto"/>
              </w:rPr>
              <w:t>The vesting percentage for any year shall be mathematically interpolated for</w:t>
            </w:r>
          </w:p>
        </w:tc>
        <w:tc>
          <w:tcPr>
            <w:tcW w:w="0" w:type="dxa"/>
            <w:vAlign w:val="bottom"/>
          </w:tcPr>
          <w:p>
            <w:pPr>
              <w:spacing w:after="0"/>
              <w:rPr>
                <w:sz w:val="1"/>
                <w:szCs w:val="1"/>
                <w:color w:val="auto"/>
              </w:rPr>
            </w:pPr>
          </w:p>
        </w:tc>
      </w:tr>
      <w:tr>
        <w:trPr>
          <w:trHeight w:val="250"/>
        </w:trPr>
        <w:tc>
          <w:tcPr>
            <w:tcW w:w="31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840" w:type="dxa"/>
            <w:vAlign w:val="bottom"/>
            <w:tcBorders>
              <w:right w:val="single" w:sz="8" w:color="auto"/>
            </w:tcBorders>
            <w:gridSpan w:val="22"/>
          </w:tcPr>
          <w:p>
            <w:pPr>
              <w:spacing w:after="0"/>
              <w:rPr>
                <w:sz w:val="20"/>
                <w:szCs w:val="20"/>
                <w:color w:val="auto"/>
              </w:rPr>
            </w:pPr>
            <w:r>
              <w:rPr>
                <w:rFonts w:ascii="Arial" w:cs="Arial" w:eastAsia="Arial" w:hAnsi="Arial"/>
                <w:sz w:val="20"/>
                <w:szCs w:val="20"/>
                <w:color w:val="auto"/>
              </w:rPr>
              <w:t>achievement between:</w:t>
            </w:r>
          </w:p>
        </w:tc>
        <w:tc>
          <w:tcPr>
            <w:tcW w:w="0" w:type="dxa"/>
            <w:vAlign w:val="bottom"/>
          </w:tcPr>
          <w:p>
            <w:pPr>
              <w:spacing w:after="0"/>
              <w:rPr>
                <w:sz w:val="1"/>
                <w:szCs w:val="1"/>
                <w:color w:val="auto"/>
              </w:rPr>
            </w:pPr>
          </w:p>
        </w:tc>
      </w:tr>
      <w:tr>
        <w:trPr>
          <w:trHeight w:val="401"/>
        </w:trPr>
        <w:tc>
          <w:tcPr>
            <w:tcW w:w="31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Borders>
              <w:right w:val="single" w:sz="8" w:color="auto"/>
            </w:tcBorders>
            <w:gridSpan w:val="22"/>
          </w:tcPr>
          <w:p>
            <w:pPr>
              <w:spacing w:after="0"/>
              <w:rPr>
                <w:sz w:val="20"/>
                <w:szCs w:val="20"/>
                <w:color w:val="auto"/>
              </w:rPr>
            </w:pPr>
            <w:r>
              <w:rPr>
                <w:rFonts w:ascii="Arial" w:cs="Arial" w:eastAsia="Arial" w:hAnsi="Arial"/>
                <w:sz w:val="20"/>
                <w:szCs w:val="20"/>
                <w:color w:val="auto"/>
                <w:w w:val="99"/>
              </w:rPr>
              <w:t>-- the Tier One Performance Goal ([__]% year over year increase in Adjusted</w:t>
            </w:r>
          </w:p>
        </w:tc>
        <w:tc>
          <w:tcPr>
            <w:tcW w:w="0" w:type="dxa"/>
            <w:vAlign w:val="bottom"/>
          </w:tcPr>
          <w:p>
            <w:pPr>
              <w:spacing w:after="0"/>
              <w:rPr>
                <w:sz w:val="1"/>
                <w:szCs w:val="1"/>
                <w:color w:val="auto"/>
              </w:rPr>
            </w:pPr>
          </w:p>
        </w:tc>
      </w:tr>
      <w:tr>
        <w:trPr>
          <w:trHeight w:val="20"/>
        </w:trPr>
        <w:tc>
          <w:tcPr>
            <w:tcW w:w="31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840" w:type="dxa"/>
            <w:vAlign w:val="bottom"/>
            <w:tcBorders>
              <w:right w:val="single" w:sz="8" w:color="auto"/>
            </w:tcBorders>
            <w:gridSpan w:val="22"/>
          </w:tcPr>
          <w:p>
            <w:pPr>
              <w:spacing w:after="0" w:line="209" w:lineRule="exact"/>
              <w:rPr>
                <w:sz w:val="20"/>
                <w:szCs w:val="20"/>
                <w:color w:val="auto"/>
              </w:rPr>
            </w:pPr>
            <w:r>
              <w:rPr>
                <w:rFonts w:ascii="Arial" w:cs="Arial" w:eastAsia="Arial" w:hAnsi="Arial"/>
                <w:sz w:val="20"/>
                <w:szCs w:val="20"/>
                <w:color w:val="auto"/>
                <w:w w:val="96"/>
              </w:rPr>
              <w:t>EBITDA) and the Tier Two Performance Goal ([__]% year over year increase in</w:t>
            </w:r>
          </w:p>
        </w:tc>
        <w:tc>
          <w:tcPr>
            <w:tcW w:w="0" w:type="dxa"/>
            <w:vAlign w:val="bottom"/>
          </w:tcPr>
          <w:p>
            <w:pPr>
              <w:spacing w:after="0"/>
              <w:rPr>
                <w:sz w:val="1"/>
                <w:szCs w:val="1"/>
                <w:color w:val="auto"/>
              </w:rPr>
            </w:pPr>
          </w:p>
        </w:tc>
      </w:tr>
      <w:tr>
        <w:trPr>
          <w:trHeight w:val="20"/>
        </w:trPr>
        <w:tc>
          <w:tcPr>
            <w:tcW w:w="31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00" w:type="dxa"/>
            <w:vAlign w:val="bottom"/>
            <w:tcBorders>
              <w:left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840" w:type="dxa"/>
            <w:vAlign w:val="bottom"/>
            <w:tcBorders>
              <w:right w:val="single" w:sz="8" w:color="auto"/>
            </w:tcBorders>
            <w:gridSpan w:val="22"/>
          </w:tcPr>
          <w:p>
            <w:pPr>
              <w:spacing w:after="0"/>
              <w:rPr>
                <w:sz w:val="20"/>
                <w:szCs w:val="20"/>
                <w:color w:val="auto"/>
              </w:rPr>
            </w:pPr>
            <w:r>
              <w:rPr>
                <w:rFonts w:ascii="Arial" w:cs="Arial" w:eastAsia="Arial" w:hAnsi="Arial"/>
                <w:sz w:val="20"/>
                <w:szCs w:val="20"/>
                <w:color w:val="auto"/>
                <w:w w:val="96"/>
              </w:rPr>
              <w:t>Adjusted EBITDA). The interpolation of vesting shall range from [__]% to [__]%.</w:t>
            </w:r>
          </w:p>
        </w:tc>
        <w:tc>
          <w:tcPr>
            <w:tcW w:w="0" w:type="dxa"/>
            <w:vAlign w:val="bottom"/>
          </w:tcPr>
          <w:p>
            <w:pPr>
              <w:spacing w:after="0"/>
              <w:rPr>
                <w:sz w:val="1"/>
                <w:szCs w:val="1"/>
                <w:color w:val="auto"/>
              </w:rPr>
            </w:pPr>
          </w:p>
        </w:tc>
      </w:tr>
      <w:tr>
        <w:trPr>
          <w:trHeight w:val="401"/>
        </w:trPr>
        <w:tc>
          <w:tcPr>
            <w:tcW w:w="31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Borders>
              <w:right w:val="single" w:sz="8" w:color="auto"/>
            </w:tcBorders>
            <w:gridSpan w:val="22"/>
          </w:tcPr>
          <w:p>
            <w:pPr>
              <w:spacing w:after="0"/>
              <w:rPr>
                <w:sz w:val="20"/>
                <w:szCs w:val="20"/>
                <w:color w:val="auto"/>
              </w:rPr>
            </w:pPr>
            <w:r>
              <w:rPr>
                <w:rFonts w:ascii="Arial" w:cs="Arial" w:eastAsia="Arial" w:hAnsi="Arial"/>
                <w:sz w:val="20"/>
                <w:szCs w:val="20"/>
                <w:color w:val="auto"/>
                <w:w w:val="99"/>
              </w:rPr>
              <w:t>-- the Tier Two Performance Goal ([__]% year over year increase in Adjusted</w:t>
            </w:r>
          </w:p>
        </w:tc>
        <w:tc>
          <w:tcPr>
            <w:tcW w:w="0" w:type="dxa"/>
            <w:vAlign w:val="bottom"/>
          </w:tcPr>
          <w:p>
            <w:pPr>
              <w:spacing w:after="0"/>
              <w:rPr>
                <w:sz w:val="1"/>
                <w:szCs w:val="1"/>
                <w:color w:val="auto"/>
              </w:rPr>
            </w:pPr>
          </w:p>
        </w:tc>
      </w:tr>
      <w:tr>
        <w:trPr>
          <w:trHeight w:val="20"/>
        </w:trPr>
        <w:tc>
          <w:tcPr>
            <w:tcW w:w="31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6"/>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840" w:type="dxa"/>
            <w:vAlign w:val="bottom"/>
            <w:tcBorders>
              <w:right w:val="single" w:sz="8" w:color="auto"/>
            </w:tcBorders>
            <w:gridSpan w:val="22"/>
          </w:tcPr>
          <w:p>
            <w:pPr>
              <w:spacing w:after="0" w:line="209" w:lineRule="exact"/>
              <w:rPr>
                <w:sz w:val="20"/>
                <w:szCs w:val="20"/>
                <w:color w:val="auto"/>
              </w:rPr>
            </w:pPr>
            <w:r>
              <w:rPr>
                <w:rFonts w:ascii="Arial" w:cs="Arial" w:eastAsia="Arial" w:hAnsi="Arial"/>
                <w:sz w:val="20"/>
                <w:szCs w:val="20"/>
                <w:color w:val="auto"/>
                <w:w w:val="94"/>
              </w:rPr>
              <w:t>EBITDA) and the Tier Three Performance Goal ([__]% year over year increase in</w:t>
            </w:r>
          </w:p>
        </w:tc>
        <w:tc>
          <w:tcPr>
            <w:tcW w:w="0" w:type="dxa"/>
            <w:vAlign w:val="bottom"/>
          </w:tcPr>
          <w:p>
            <w:pPr>
              <w:spacing w:after="0"/>
              <w:rPr>
                <w:sz w:val="1"/>
                <w:szCs w:val="1"/>
                <w:color w:val="auto"/>
              </w:rPr>
            </w:pPr>
          </w:p>
        </w:tc>
      </w:tr>
      <w:tr>
        <w:trPr>
          <w:trHeight w:val="20"/>
        </w:trPr>
        <w:tc>
          <w:tcPr>
            <w:tcW w:w="31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00" w:type="dxa"/>
            <w:vAlign w:val="bottom"/>
            <w:tcBorders>
              <w:left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840" w:type="dxa"/>
            <w:vAlign w:val="bottom"/>
            <w:tcBorders>
              <w:right w:val="single" w:sz="8" w:color="auto"/>
            </w:tcBorders>
            <w:gridSpan w:val="22"/>
          </w:tcPr>
          <w:p>
            <w:pPr>
              <w:spacing w:after="0"/>
              <w:rPr>
                <w:sz w:val="20"/>
                <w:szCs w:val="20"/>
                <w:color w:val="auto"/>
              </w:rPr>
            </w:pPr>
            <w:r>
              <w:rPr>
                <w:rFonts w:ascii="Arial" w:cs="Arial" w:eastAsia="Arial" w:hAnsi="Arial"/>
                <w:sz w:val="20"/>
                <w:szCs w:val="20"/>
                <w:color w:val="auto"/>
                <w:w w:val="96"/>
              </w:rPr>
              <w:t>Adjusted EBITDA). The interpolation of vesting shall range from [__]% to [__]%.</w:t>
            </w:r>
          </w:p>
        </w:tc>
        <w:tc>
          <w:tcPr>
            <w:tcW w:w="0" w:type="dxa"/>
            <w:vAlign w:val="bottom"/>
          </w:tcPr>
          <w:p>
            <w:pPr>
              <w:spacing w:after="0"/>
              <w:rPr>
                <w:sz w:val="1"/>
                <w:szCs w:val="1"/>
                <w:color w:val="auto"/>
              </w:rPr>
            </w:pPr>
          </w:p>
        </w:tc>
      </w:tr>
      <w:tr>
        <w:trPr>
          <w:trHeight w:val="401"/>
        </w:trPr>
        <w:tc>
          <w:tcPr>
            <w:tcW w:w="31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Borders>
              <w:right w:val="single" w:sz="8" w:color="auto"/>
            </w:tcBorders>
            <w:gridSpan w:val="22"/>
          </w:tcPr>
          <w:p>
            <w:pPr>
              <w:spacing w:after="0"/>
              <w:rPr>
                <w:sz w:val="20"/>
                <w:szCs w:val="20"/>
                <w:color w:val="auto"/>
              </w:rPr>
            </w:pPr>
            <w:r>
              <w:rPr>
                <w:rFonts w:ascii="Arial" w:cs="Arial" w:eastAsia="Arial" w:hAnsi="Arial"/>
                <w:sz w:val="20"/>
                <w:szCs w:val="20"/>
                <w:color w:val="auto"/>
                <w:w w:val="97"/>
              </w:rPr>
              <w:t>-- the Tier Three Performance Goal ([__]% year over year increase in Adjusted</w:t>
            </w:r>
          </w:p>
        </w:tc>
        <w:tc>
          <w:tcPr>
            <w:tcW w:w="0" w:type="dxa"/>
            <w:vAlign w:val="bottom"/>
          </w:tcPr>
          <w:p>
            <w:pPr>
              <w:spacing w:after="0"/>
              <w:rPr>
                <w:sz w:val="1"/>
                <w:szCs w:val="1"/>
                <w:color w:val="auto"/>
              </w:rPr>
            </w:pPr>
          </w:p>
        </w:tc>
      </w:tr>
      <w:tr>
        <w:trPr>
          <w:trHeight w:val="20"/>
        </w:trPr>
        <w:tc>
          <w:tcPr>
            <w:tcW w:w="31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7"/>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840" w:type="dxa"/>
            <w:vAlign w:val="bottom"/>
            <w:tcBorders>
              <w:right w:val="single" w:sz="8" w:color="auto"/>
            </w:tcBorders>
            <w:gridSpan w:val="22"/>
          </w:tcPr>
          <w:p>
            <w:pPr>
              <w:spacing w:after="0" w:line="209" w:lineRule="exact"/>
              <w:rPr>
                <w:sz w:val="20"/>
                <w:szCs w:val="20"/>
                <w:color w:val="auto"/>
              </w:rPr>
            </w:pPr>
            <w:r>
              <w:rPr>
                <w:rFonts w:ascii="Arial" w:cs="Arial" w:eastAsia="Arial" w:hAnsi="Arial"/>
                <w:sz w:val="20"/>
                <w:szCs w:val="20"/>
                <w:color w:val="auto"/>
              </w:rPr>
              <w:t>EBITDA) and the lowest performance level of the Tier Four Performance</w:t>
            </w:r>
          </w:p>
        </w:tc>
        <w:tc>
          <w:tcPr>
            <w:tcW w:w="0" w:type="dxa"/>
            <w:vAlign w:val="bottom"/>
          </w:tcPr>
          <w:p>
            <w:pPr>
              <w:spacing w:after="0"/>
              <w:rPr>
                <w:sz w:val="1"/>
                <w:szCs w:val="1"/>
                <w:color w:val="auto"/>
              </w:rPr>
            </w:pPr>
          </w:p>
        </w:tc>
      </w:tr>
      <w:tr>
        <w:trPr>
          <w:trHeight w:val="20"/>
        </w:trPr>
        <w:tc>
          <w:tcPr>
            <w:tcW w:w="31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840" w:type="dxa"/>
            <w:vAlign w:val="bottom"/>
            <w:tcBorders>
              <w:right w:val="single" w:sz="8" w:color="auto"/>
            </w:tcBorders>
            <w:gridSpan w:val="22"/>
          </w:tcPr>
          <w:p>
            <w:pPr>
              <w:spacing w:after="0" w:line="209" w:lineRule="exact"/>
              <w:rPr>
                <w:sz w:val="20"/>
                <w:szCs w:val="20"/>
                <w:color w:val="auto"/>
              </w:rPr>
            </w:pPr>
            <w:r>
              <w:rPr>
                <w:rFonts w:ascii="Arial" w:cs="Arial" w:eastAsia="Arial" w:hAnsi="Arial"/>
                <w:sz w:val="20"/>
                <w:szCs w:val="20"/>
                <w:color w:val="auto"/>
                <w:w w:val="98"/>
              </w:rPr>
              <w:t>Goal ([__]% year over year increase in Adjusted EBITDA). The interpolation of</w:t>
            </w:r>
          </w:p>
        </w:tc>
        <w:tc>
          <w:tcPr>
            <w:tcW w:w="0" w:type="dxa"/>
            <w:vAlign w:val="bottom"/>
          </w:tcPr>
          <w:p>
            <w:pPr>
              <w:spacing w:after="0"/>
              <w:rPr>
                <w:sz w:val="1"/>
                <w:szCs w:val="1"/>
                <w:color w:val="auto"/>
              </w:rPr>
            </w:pPr>
          </w:p>
        </w:tc>
      </w:tr>
      <w:tr>
        <w:trPr>
          <w:trHeight w:val="20"/>
        </w:trPr>
        <w:tc>
          <w:tcPr>
            <w:tcW w:w="31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0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00" w:type="dxa"/>
            <w:vAlign w:val="bottom"/>
            <w:tcBorders>
              <w:left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840" w:type="dxa"/>
            <w:vAlign w:val="bottom"/>
            <w:tcBorders>
              <w:right w:val="single" w:sz="8" w:color="auto"/>
            </w:tcBorders>
            <w:gridSpan w:val="22"/>
          </w:tcPr>
          <w:p>
            <w:pPr>
              <w:spacing w:after="0"/>
              <w:rPr>
                <w:sz w:val="20"/>
                <w:szCs w:val="20"/>
                <w:color w:val="auto"/>
              </w:rPr>
            </w:pPr>
            <w:r>
              <w:rPr>
                <w:rFonts w:ascii="Arial" w:cs="Arial" w:eastAsia="Arial" w:hAnsi="Arial"/>
                <w:sz w:val="20"/>
                <w:szCs w:val="20"/>
                <w:color w:val="auto"/>
              </w:rPr>
              <w:t>vesting shall range from [__]% to [__]%.</w:t>
            </w:r>
          </w:p>
        </w:tc>
        <w:tc>
          <w:tcPr>
            <w:tcW w:w="0" w:type="dxa"/>
            <w:vAlign w:val="bottom"/>
          </w:tcPr>
          <w:p>
            <w:pPr>
              <w:spacing w:after="0"/>
              <w:rPr>
                <w:sz w:val="1"/>
                <w:szCs w:val="1"/>
                <w:color w:val="auto"/>
              </w:rPr>
            </w:pPr>
          </w:p>
        </w:tc>
      </w:tr>
      <w:tr>
        <w:trPr>
          <w:trHeight w:val="401"/>
        </w:trPr>
        <w:tc>
          <w:tcPr>
            <w:tcW w:w="31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Borders>
              <w:right w:val="single" w:sz="8" w:color="auto"/>
            </w:tcBorders>
            <w:gridSpan w:val="22"/>
          </w:tcPr>
          <w:p>
            <w:pPr>
              <w:spacing w:after="0"/>
              <w:rPr>
                <w:sz w:val="20"/>
                <w:szCs w:val="20"/>
                <w:color w:val="auto"/>
              </w:rPr>
            </w:pPr>
            <w:r>
              <w:rPr>
                <w:rFonts w:ascii="Arial" w:cs="Arial" w:eastAsia="Arial" w:hAnsi="Arial"/>
                <w:sz w:val="20"/>
                <w:szCs w:val="20"/>
                <w:color w:val="auto"/>
                <w:w w:val="91"/>
              </w:rPr>
              <w:t>-- the highest performance level of the Tier Four Performance Goal ([__]% year over</w:t>
            </w:r>
          </w:p>
        </w:tc>
        <w:tc>
          <w:tcPr>
            <w:tcW w:w="0" w:type="dxa"/>
            <w:vAlign w:val="bottom"/>
          </w:tcPr>
          <w:p>
            <w:pPr>
              <w:spacing w:after="0"/>
              <w:rPr>
                <w:sz w:val="1"/>
                <w:szCs w:val="1"/>
                <w:color w:val="auto"/>
              </w:rPr>
            </w:pPr>
          </w:p>
        </w:tc>
      </w:tr>
      <w:tr>
        <w:trPr>
          <w:trHeight w:val="20"/>
        </w:trPr>
        <w:tc>
          <w:tcPr>
            <w:tcW w:w="31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11"/>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gridSpan w:val="5"/>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840" w:type="dxa"/>
            <w:vAlign w:val="bottom"/>
            <w:tcBorders>
              <w:right w:val="single" w:sz="8" w:color="auto"/>
            </w:tcBorders>
            <w:gridSpan w:val="22"/>
          </w:tcPr>
          <w:p>
            <w:pPr>
              <w:spacing w:after="0" w:line="209" w:lineRule="exact"/>
              <w:rPr>
                <w:sz w:val="20"/>
                <w:szCs w:val="20"/>
                <w:color w:val="auto"/>
              </w:rPr>
            </w:pPr>
            <w:r>
              <w:rPr>
                <w:rFonts w:ascii="Arial" w:cs="Arial" w:eastAsia="Arial" w:hAnsi="Arial"/>
                <w:sz w:val="20"/>
                <w:szCs w:val="20"/>
                <w:color w:val="auto"/>
                <w:w w:val="91"/>
              </w:rPr>
              <w:t>year increase in Adjusted EBITDA) and the Tier Five Performance Goal ([__]% year</w:t>
            </w:r>
          </w:p>
        </w:tc>
        <w:tc>
          <w:tcPr>
            <w:tcW w:w="0" w:type="dxa"/>
            <w:vAlign w:val="bottom"/>
          </w:tcPr>
          <w:p>
            <w:pPr>
              <w:spacing w:after="0"/>
              <w:rPr>
                <w:sz w:val="1"/>
                <w:szCs w:val="1"/>
                <w:color w:val="auto"/>
              </w:rPr>
            </w:pPr>
          </w:p>
        </w:tc>
      </w:tr>
      <w:tr>
        <w:trPr>
          <w:trHeight w:val="254"/>
        </w:trPr>
        <w:tc>
          <w:tcPr>
            <w:tcW w:w="3100" w:type="dxa"/>
            <w:vAlign w:val="bottom"/>
            <w:tcBorders>
              <w:left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gridSpan w:val="12"/>
          </w:tcPr>
          <w:p>
            <w:pPr>
              <w:spacing w:after="0"/>
              <w:rPr>
                <w:sz w:val="20"/>
                <w:szCs w:val="20"/>
                <w:color w:val="auto"/>
              </w:rPr>
            </w:pPr>
            <w:r>
              <w:rPr>
                <w:rFonts w:ascii="Arial" w:cs="Arial" w:eastAsia="Arial" w:hAnsi="Arial"/>
                <w:sz w:val="20"/>
                <w:szCs w:val="20"/>
                <w:color w:val="auto"/>
              </w:rPr>
              <w:t>over year increase in</w:t>
            </w:r>
          </w:p>
        </w:tc>
        <w:tc>
          <w:tcPr>
            <w:tcW w:w="2220" w:type="dxa"/>
            <w:vAlign w:val="bottom"/>
            <w:tcBorders>
              <w:top w:val="single" w:sz="8" w:color="auto"/>
            </w:tcBorders>
            <w:gridSpan w:val="7"/>
          </w:tcPr>
          <w:p>
            <w:pPr>
              <w:spacing w:after="0"/>
              <w:rPr>
                <w:sz w:val="22"/>
                <w:szCs w:val="22"/>
                <w:color w:val="auto"/>
              </w:rPr>
            </w:pPr>
          </w:p>
        </w:tc>
        <w:tc>
          <w:tcPr>
            <w:tcW w:w="1100" w:type="dxa"/>
            <w:vAlign w:val="bottom"/>
            <w:tcBorders>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31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Borders>
              <w:right w:val="single" w:sz="8" w:color="auto"/>
            </w:tcBorders>
            <w:gridSpan w:val="22"/>
          </w:tcPr>
          <w:p>
            <w:pPr>
              <w:spacing w:after="0"/>
              <w:rPr>
                <w:sz w:val="20"/>
                <w:szCs w:val="20"/>
                <w:color w:val="auto"/>
              </w:rPr>
            </w:pPr>
            <w:r>
              <w:rPr>
                <w:rFonts w:ascii="Arial" w:cs="Arial" w:eastAsia="Arial" w:hAnsi="Arial"/>
                <w:sz w:val="20"/>
                <w:szCs w:val="20"/>
                <w:color w:val="auto"/>
                <w:w w:val="95"/>
              </w:rPr>
              <w:t>Adjusted EBITDA). The interpolation of vesting shall range from [__]% to [__]%).</w:t>
            </w:r>
          </w:p>
        </w:tc>
        <w:tc>
          <w:tcPr>
            <w:tcW w:w="0" w:type="dxa"/>
            <w:vAlign w:val="bottom"/>
          </w:tcPr>
          <w:p>
            <w:pPr>
              <w:spacing w:after="0"/>
              <w:rPr>
                <w:sz w:val="1"/>
                <w:szCs w:val="1"/>
                <w:color w:val="auto"/>
              </w:rPr>
            </w:pPr>
          </w:p>
        </w:tc>
      </w:tr>
      <w:tr>
        <w:trPr>
          <w:trHeight w:val="506"/>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4"/>
              </w:rPr>
              <w:t>Interpolation of Vesting Percentages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for Achievement Between Tiered</w:t>
            </w:r>
          </w:p>
        </w:tc>
        <w:tc>
          <w:tcPr>
            <w:tcW w:w="20" w:type="dxa"/>
            <w:vAlign w:val="bottom"/>
          </w:tcPr>
          <w:p>
            <w:pPr>
              <w:spacing w:after="0"/>
              <w:rPr>
                <w:sz w:val="19"/>
                <w:szCs w:val="19"/>
                <w:color w:val="auto"/>
              </w:rPr>
            </w:pPr>
          </w:p>
        </w:tc>
        <w:tc>
          <w:tcPr>
            <w:tcW w:w="6840" w:type="dxa"/>
            <w:vAlign w:val="bottom"/>
            <w:tcBorders>
              <w:right w:val="single" w:sz="8" w:color="auto"/>
            </w:tcBorders>
            <w:gridSpan w:val="22"/>
            <w:vMerge w:val="restart"/>
          </w:tcPr>
          <w:p>
            <w:pPr>
              <w:spacing w:after="0"/>
              <w:rPr>
                <w:sz w:val="20"/>
                <w:szCs w:val="20"/>
                <w:color w:val="auto"/>
              </w:rPr>
            </w:pPr>
            <w:r>
              <w:rPr>
                <w:rFonts w:ascii="Arial" w:cs="Arial" w:eastAsia="Arial" w:hAnsi="Arial"/>
                <w:sz w:val="20"/>
                <w:szCs w:val="20"/>
                <w:color w:val="auto"/>
              </w:rPr>
              <w:t>Fractional results shall be rounded to next lower full Share.</w:t>
            </w: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Performance Goals</w:t>
            </w:r>
          </w:p>
        </w:tc>
        <w:tc>
          <w:tcPr>
            <w:tcW w:w="20" w:type="dxa"/>
            <w:vAlign w:val="bottom"/>
          </w:tcPr>
          <w:p>
            <w:pPr>
              <w:spacing w:after="0"/>
              <w:rPr>
                <w:sz w:val="12"/>
                <w:szCs w:val="12"/>
                <w:color w:val="auto"/>
              </w:rPr>
            </w:pPr>
          </w:p>
        </w:tc>
        <w:tc>
          <w:tcPr>
            <w:tcW w:w="6840" w:type="dxa"/>
            <w:vAlign w:val="bottom"/>
            <w:tcBorders>
              <w:right w:val="single" w:sz="8" w:color="auto"/>
            </w:tcBorders>
            <w:gridSpan w:val="2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10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Vesting Dates and Vesting</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Percentages of Restricted Stock</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Units:</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69" w:right="279" w:bottom="1440" w:gutter="0" w:footer="0" w:header="0"/>
        </w:sectPr>
      </w:pPr>
    </w:p>
    <w:bookmarkStart w:id="69" w:name="page70"/>
    <w:bookmarkEnd w:id="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82"/>
        </w:trPr>
        <w:tc>
          <w:tcPr>
            <w:tcW w:w="840" w:type="dxa"/>
            <w:vAlign w:val="bottom"/>
            <w:tcBorders>
              <w:top w:val="single" w:sz="8" w:color="auto"/>
              <w:left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780" w:type="dxa"/>
            <w:vAlign w:val="bottom"/>
            <w:tcBorders>
              <w:top w:val="single" w:sz="8" w:color="auto"/>
              <w:right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On _____:</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One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Two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Three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Four Performance Goal is satisfied;</w:t>
            </w:r>
          </w:p>
        </w:tc>
        <w:tc>
          <w:tcPr>
            <w:tcW w:w="0" w:type="dxa"/>
            <w:vAlign w:val="bottom"/>
          </w:tcPr>
          <w:p>
            <w:pPr>
              <w:spacing w:after="0"/>
              <w:rPr>
                <w:sz w:val="1"/>
                <w:szCs w:val="1"/>
                <w:color w:val="auto"/>
              </w:rPr>
            </w:pPr>
          </w:p>
        </w:tc>
      </w:tr>
      <w:tr>
        <w:trPr>
          <w:trHeight w:val="338"/>
        </w:trPr>
        <w:tc>
          <w:tcPr>
            <w:tcW w:w="310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20"/>
                <w:szCs w:val="20"/>
                <w:color w:val="auto"/>
              </w:rPr>
              <w:t>(1) _____ RSUs:</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Five Performance Goal is satisfied.</w:t>
            </w:r>
          </w:p>
        </w:tc>
        <w:tc>
          <w:tcPr>
            <w:tcW w:w="0" w:type="dxa"/>
            <w:vAlign w:val="bottom"/>
          </w:tcPr>
          <w:p>
            <w:pPr>
              <w:spacing w:after="0"/>
              <w:rPr>
                <w:sz w:val="1"/>
                <w:szCs w:val="1"/>
                <w:color w:val="auto"/>
              </w:rPr>
            </w:pPr>
          </w:p>
        </w:tc>
      </w:tr>
      <w:tr>
        <w:trPr>
          <w:trHeight w:val="64"/>
        </w:trPr>
        <w:tc>
          <w:tcPr>
            <w:tcW w:w="3100" w:type="dxa"/>
            <w:vAlign w:val="bottom"/>
            <w:tcBorders>
              <w:left w:val="single" w:sz="8" w:color="auto"/>
              <w:right w:val="single" w:sz="8" w:color="auto"/>
            </w:tcBorders>
            <w:gridSpan w:val="3"/>
            <w:vMerge w:val="continue"/>
          </w:tcPr>
          <w:p>
            <w:pPr>
              <w:spacing w:after="0"/>
              <w:rPr>
                <w:sz w:val="5"/>
                <w:szCs w:val="5"/>
                <w:color w:val="auto"/>
              </w:rPr>
            </w:pPr>
          </w:p>
        </w:tc>
        <w:tc>
          <w:tcPr>
            <w:tcW w:w="68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840" w:type="dxa"/>
            <w:vAlign w:val="bottom"/>
            <w:tcBorders>
              <w:left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6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840" w:type="dxa"/>
            <w:vAlign w:val="bottom"/>
            <w:tcBorders>
              <w:lef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On _____, the greater of the vesting percentage as determined for _____ RSUs, or</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One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Two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Three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Four Performance Goal is satisfied;</w:t>
            </w:r>
          </w:p>
        </w:tc>
        <w:tc>
          <w:tcPr>
            <w:tcW w:w="0" w:type="dxa"/>
            <w:vAlign w:val="bottom"/>
          </w:tcPr>
          <w:p>
            <w:pPr>
              <w:spacing w:after="0"/>
              <w:rPr>
                <w:sz w:val="1"/>
                <w:szCs w:val="1"/>
                <w:color w:val="auto"/>
              </w:rPr>
            </w:pPr>
          </w:p>
        </w:tc>
      </w:tr>
      <w:tr>
        <w:trPr>
          <w:trHeight w:val="446"/>
        </w:trPr>
        <w:tc>
          <w:tcPr>
            <w:tcW w:w="310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20"/>
                <w:szCs w:val="20"/>
                <w:color w:val="auto"/>
              </w:rPr>
              <w:t>(2) _____ RSUs:</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Five Performance Goal is satisfied.</w:t>
            </w:r>
          </w:p>
        </w:tc>
        <w:tc>
          <w:tcPr>
            <w:tcW w:w="0" w:type="dxa"/>
            <w:vAlign w:val="bottom"/>
          </w:tcPr>
          <w:p>
            <w:pPr>
              <w:spacing w:after="0"/>
              <w:rPr>
                <w:sz w:val="1"/>
                <w:szCs w:val="1"/>
                <w:color w:val="auto"/>
              </w:rPr>
            </w:pPr>
          </w:p>
        </w:tc>
      </w:tr>
      <w:tr>
        <w:trPr>
          <w:trHeight w:val="64"/>
        </w:trPr>
        <w:tc>
          <w:tcPr>
            <w:tcW w:w="3100" w:type="dxa"/>
            <w:vAlign w:val="bottom"/>
            <w:tcBorders>
              <w:left w:val="single" w:sz="8" w:color="auto"/>
              <w:right w:val="single" w:sz="8" w:color="auto"/>
            </w:tcBorders>
            <w:gridSpan w:val="3"/>
            <w:vMerge w:val="continue"/>
          </w:tcPr>
          <w:p>
            <w:pPr>
              <w:spacing w:after="0"/>
              <w:rPr>
                <w:sz w:val="5"/>
                <w:szCs w:val="5"/>
                <w:color w:val="auto"/>
              </w:rPr>
            </w:pPr>
          </w:p>
        </w:tc>
        <w:tc>
          <w:tcPr>
            <w:tcW w:w="68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840" w:type="dxa"/>
            <w:vAlign w:val="bottom"/>
            <w:tcBorders>
              <w:left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6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840" w:type="dxa"/>
            <w:vAlign w:val="bottom"/>
            <w:tcBorders>
              <w:lef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On _____, the greater of the vesting percentages as determined for _____ RSUs or:</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One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Two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Three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Four Performance Goal is satisfied;</w:t>
            </w:r>
          </w:p>
        </w:tc>
        <w:tc>
          <w:tcPr>
            <w:tcW w:w="0" w:type="dxa"/>
            <w:vAlign w:val="bottom"/>
          </w:tcPr>
          <w:p>
            <w:pPr>
              <w:spacing w:after="0"/>
              <w:rPr>
                <w:sz w:val="1"/>
                <w:szCs w:val="1"/>
                <w:color w:val="auto"/>
              </w:rPr>
            </w:pPr>
          </w:p>
        </w:tc>
      </w:tr>
      <w:tr>
        <w:trPr>
          <w:trHeight w:val="293"/>
        </w:trPr>
        <w:tc>
          <w:tcPr>
            <w:tcW w:w="310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(3) _____ RSUs:</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Five Performance Goal is satisfied.</w:t>
            </w:r>
          </w:p>
        </w:tc>
        <w:tc>
          <w:tcPr>
            <w:tcW w:w="0" w:type="dxa"/>
            <w:vAlign w:val="bottom"/>
          </w:tcPr>
          <w:p>
            <w:pPr>
              <w:spacing w:after="0"/>
              <w:rPr>
                <w:sz w:val="1"/>
                <w:szCs w:val="1"/>
                <w:color w:val="auto"/>
              </w:rPr>
            </w:pPr>
          </w:p>
        </w:tc>
      </w:tr>
      <w:tr>
        <w:trPr>
          <w:trHeight w:val="156"/>
        </w:trPr>
        <w:tc>
          <w:tcPr>
            <w:tcW w:w="840" w:type="dxa"/>
            <w:vAlign w:val="bottom"/>
            <w:tcBorders>
              <w:left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68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840" w:type="dxa"/>
            <w:vAlign w:val="bottom"/>
            <w:tcBorders>
              <w:lef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On _____, the greater of the vesting percentages as determined for _____ RSUs or</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One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Two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Three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Four Performance Goal is satisfied;</w:t>
            </w:r>
          </w:p>
        </w:tc>
        <w:tc>
          <w:tcPr>
            <w:tcW w:w="0" w:type="dxa"/>
            <w:vAlign w:val="bottom"/>
          </w:tcPr>
          <w:p>
            <w:pPr>
              <w:spacing w:after="0"/>
              <w:rPr>
                <w:sz w:val="1"/>
                <w:szCs w:val="1"/>
                <w:color w:val="auto"/>
              </w:rPr>
            </w:pPr>
          </w:p>
        </w:tc>
      </w:tr>
      <w:tr>
        <w:trPr>
          <w:trHeight w:val="293"/>
        </w:trPr>
        <w:tc>
          <w:tcPr>
            <w:tcW w:w="31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(4) _____RSUs:</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Five Performance Goal is satisfied.</w:t>
            </w:r>
          </w:p>
        </w:tc>
        <w:tc>
          <w:tcPr>
            <w:tcW w:w="0" w:type="dxa"/>
            <w:vAlign w:val="bottom"/>
          </w:tcPr>
          <w:p>
            <w:pPr>
              <w:spacing w:after="0"/>
              <w:rPr>
                <w:sz w:val="1"/>
                <w:szCs w:val="1"/>
                <w:color w:val="auto"/>
              </w:rPr>
            </w:pPr>
          </w:p>
        </w:tc>
      </w:tr>
      <w:tr>
        <w:trPr>
          <w:trHeight w:val="156"/>
        </w:trPr>
        <w:tc>
          <w:tcPr>
            <w:tcW w:w="840" w:type="dxa"/>
            <w:vAlign w:val="bottom"/>
            <w:tcBorders>
              <w:left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68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840" w:type="dxa"/>
            <w:vAlign w:val="bottom"/>
            <w:tcBorders>
              <w:lef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On _____, the greater of the vesting percentages as determined for _____ RSUs or</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One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Two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Three Performance Goal is satisfied;</w:t>
            </w:r>
          </w:p>
        </w:tc>
        <w:tc>
          <w:tcPr>
            <w:tcW w:w="0" w:type="dxa"/>
            <w:vAlign w:val="bottom"/>
          </w:tcPr>
          <w:p>
            <w:pPr>
              <w:spacing w:after="0"/>
              <w:rPr>
                <w:sz w:val="1"/>
                <w:szCs w:val="1"/>
                <w:color w:val="auto"/>
              </w:rPr>
            </w:pPr>
          </w:p>
        </w:tc>
      </w:tr>
      <w:tr>
        <w:trPr>
          <w:trHeight w:val="338"/>
        </w:trPr>
        <w:tc>
          <w:tcPr>
            <w:tcW w:w="8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Four Performance Goal is satisfied;</w:t>
            </w:r>
          </w:p>
        </w:tc>
        <w:tc>
          <w:tcPr>
            <w:tcW w:w="0" w:type="dxa"/>
            <w:vAlign w:val="bottom"/>
          </w:tcPr>
          <w:p>
            <w:pPr>
              <w:spacing w:after="0"/>
              <w:rPr>
                <w:sz w:val="1"/>
                <w:szCs w:val="1"/>
                <w:color w:val="auto"/>
              </w:rPr>
            </w:pPr>
          </w:p>
        </w:tc>
      </w:tr>
      <w:tr>
        <w:trPr>
          <w:trHeight w:val="293"/>
        </w:trPr>
        <w:tc>
          <w:tcPr>
            <w:tcW w:w="310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(5) _____ RSUs:</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[__]%, provided that the Tier Five Performance Goal is satisfied.</w:t>
            </w:r>
          </w:p>
        </w:tc>
        <w:tc>
          <w:tcPr>
            <w:tcW w:w="0" w:type="dxa"/>
            <w:vAlign w:val="bottom"/>
          </w:tcPr>
          <w:p>
            <w:pPr>
              <w:spacing w:after="0"/>
              <w:rPr>
                <w:sz w:val="1"/>
                <w:szCs w:val="1"/>
                <w:color w:val="auto"/>
              </w:rPr>
            </w:pPr>
          </w:p>
        </w:tc>
      </w:tr>
      <w:tr>
        <w:trPr>
          <w:trHeight w:val="156"/>
        </w:trPr>
        <w:tc>
          <w:tcPr>
            <w:tcW w:w="840" w:type="dxa"/>
            <w:vAlign w:val="bottom"/>
            <w:tcBorders>
              <w:left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68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8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Notwithstanding anything herein to the contrary, to the extent a Vesting Date for any</w:t>
            </w: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RSUs has not occurred because of the failure to satisfy an applicable Performance</w:t>
            </w: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Goal for any year by the applicable Scheduled Vesting Date, such RSUs which have</w:t>
            </w: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not vested and become nonforfeitable shall immediately and automatically, without</w:t>
            </w: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9"/>
              </w:rPr>
              <w:t>any action on the part of the Grantee or the Company, be forfeited by the Grantee and</w:t>
            </w:r>
          </w:p>
        </w:tc>
        <w:tc>
          <w:tcPr>
            <w:tcW w:w="0" w:type="dxa"/>
            <w:vAlign w:val="bottom"/>
          </w:tcPr>
          <w:p>
            <w:pPr>
              <w:spacing w:after="0"/>
              <w:rPr>
                <w:sz w:val="1"/>
                <w:szCs w:val="1"/>
                <w:color w:val="auto"/>
              </w:rPr>
            </w:pPr>
          </w:p>
        </w:tc>
      </w:tr>
      <w:tr>
        <w:trPr>
          <w:trHeight w:val="250"/>
        </w:trPr>
        <w:tc>
          <w:tcPr>
            <w:tcW w:w="310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Forfeiture of Unvested RSUs:</w:t>
            </w:r>
          </w:p>
        </w:tc>
        <w:tc>
          <w:tcPr>
            <w:tcW w:w="68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deemed canceled.</w:t>
            </w:r>
          </w:p>
        </w:tc>
        <w:tc>
          <w:tcPr>
            <w:tcW w:w="0" w:type="dxa"/>
            <w:vAlign w:val="bottom"/>
          </w:tcPr>
          <w:p>
            <w:pPr>
              <w:spacing w:after="0"/>
              <w:rPr>
                <w:sz w:val="1"/>
                <w:szCs w:val="1"/>
                <w:color w:val="auto"/>
              </w:rPr>
            </w:pPr>
          </w:p>
        </w:tc>
      </w:tr>
      <w:tr>
        <w:trPr>
          <w:trHeight w:val="23"/>
        </w:trPr>
        <w:tc>
          <w:tcPr>
            <w:tcW w:w="8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6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1000" w:top="498" w:right="9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337"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33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300"/>
          </w:cols>
          <w:pgMar w:left="240" w:top="557" w:right="3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33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33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I, Michael J. Cavanagh, certify that:</w:t>
      </w:r>
    </w:p>
    <w:p>
      <w:pPr>
        <w:spacing w:after="0" w:line="17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33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300"/>
          </w:cols>
          <w:pgMar w:left="240" w:top="773" w:right="3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25,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25,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2"/>
    </w:lvl>
  </w:abstractNum>
  <w:abstractNum w:abstractNumId="2">
    <w:nsid w:val="628C895D"/>
    <w:multiLevelType w:val="hybridMultilevel"/>
    <w:lvl w:ilvl="0">
      <w:lvlJc w:val="left"/>
      <w:lvlText w:val="(%1)"/>
      <w:numFmt w:val="lowerLetter"/>
      <w:start w:val="1"/>
    </w:lvl>
    <w:lvl w:ilvl="1">
      <w:lvlJc w:val="left"/>
      <w:lvlText w:val="•"/>
      <w:numFmt w:val="bullet"/>
      <w:start w:val="1"/>
    </w:lvl>
  </w:abstractNum>
  <w:abstractNum w:abstractNumId="3">
    <w:nsid w:val="333AB105"/>
    <w:multiLevelType w:val="hybridMultilevel"/>
    <w:lvl w:ilvl="0">
      <w:lvlJc w:val="left"/>
      <w:lvlText w:val="(%1)"/>
      <w:numFmt w:val="lowerLetter"/>
      <w:start w:val="5"/>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0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01"/>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4"/>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16">
    <w:nsid w:val="2CA88611"/>
    <w:multiLevelType w:val="hybridMultilevel"/>
    <w:lvl w:ilvl="0">
      <w:lvlJc w:val="left"/>
      <w:lvlText w:val="(%1)"/>
      <w:numFmt w:val="lowerRoman"/>
      <w:start w:val="9"/>
    </w:lvl>
    <w:lvl w:ilvl="1">
      <w:lvlJc w:val="left"/>
      <w:lvlText w:val="%2"/>
      <w:numFmt w:val="lowerLetter"/>
      <w:start w:val="1"/>
    </w:lvl>
    <w:lvl w:ilvl="2">
      <w:lvlJc w:val="left"/>
      <w:lvlText w:val="%3"/>
      <w:numFmt w:val="decimal"/>
      <w:start w:val="1"/>
    </w:lvl>
  </w:abstractNum>
  <w:abstractNum w:abstractNumId="17">
    <w:nsid w:val="836C40E"/>
    <w:multiLevelType w:val="hybridMultilevel"/>
    <w:lvl w:ilvl="0">
      <w:lvlJc w:val="left"/>
      <w:lvlText w:val="(%1)"/>
      <w:numFmt w:val="lowerRoman"/>
      <w:start w:val="11"/>
    </w:lvl>
    <w:lvl w:ilvl="1">
      <w:lvlJc w:val="left"/>
      <w:lvlText w:val="(%2)"/>
      <w:numFmt w:val="lowerLetter"/>
      <w:start w:val="6"/>
    </w:lvl>
    <w:lvl w:ilvl="2">
      <w:lvlJc w:val="left"/>
      <w:lvlText w:val="(%3)"/>
      <w:numFmt w:val="decimal"/>
      <w:start w:val="1"/>
    </w:lvl>
  </w:abstractNum>
  <w:abstractNum w:abstractNumId="18">
    <w:nsid w:val="2901D82"/>
    <w:multiLevelType w:val="hybridMultilevel"/>
    <w:lvl w:ilvl="0">
      <w:lvlJc w:val="left"/>
      <w:lvlText w:val="%1"/>
      <w:numFmt w:val="decimal"/>
      <w:start w:val="1"/>
    </w:lvl>
    <w:lvl w:ilvl="1">
      <w:lvlJc w:val="left"/>
      <w:lvlText w:val="(%2)"/>
      <w:numFmt w:val="lowerLetter"/>
      <w:start w:val="11"/>
    </w:lvl>
    <w:lvl w:ilvl="2">
      <w:lvlJc w:val="left"/>
      <w:lvlText w:val="(%3)"/>
      <w:numFmt w:val="decimal"/>
      <w:start w:val="1"/>
    </w:lvl>
  </w:abstractNum>
  <w:abstractNum w:abstractNumId="19">
    <w:nsid w:val="3A95F874"/>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0">
    <w:nsid w:val="8138641"/>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21">
    <w:nsid w:val="1E7FF521"/>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lvl w:ilvl="3">
      <w:lvlJc w:val="left"/>
      <w:lvlText w:val="(%4)"/>
      <w:numFmt w:val="decimal"/>
      <w:start w:val="3"/>
    </w:lvl>
  </w:abstractNum>
  <w:abstractNum w:abstractNumId="22">
    <w:nsid w:val="7C3DBD3D"/>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3">
    <w:nsid w:val="737B8DDC"/>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6">
    <w:nsid w:val="4516DDE9"/>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7">
    <w:nsid w:val="3006C8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decimal"/>
      <w:start w:val="2"/>
    </w:lvl>
  </w:abstractNum>
  <w:abstractNum w:abstractNumId="28">
    <w:nsid w:val="614FD4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decimal"/>
      <w:start w:val="1"/>
    </w:lvl>
  </w:abstractNum>
  <w:abstractNum w:abstractNumId="29">
    <w:nsid w:val="419AC241"/>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decimal"/>
      <w:start w:val="1"/>
    </w:lvl>
  </w:abstractNum>
  <w:abstractNum w:abstractNumId="30">
    <w:nsid w:val="5577F8E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31">
    <w:nsid w:val="440BADFC"/>
    <w:multiLevelType w:val="hybridMultilevel"/>
    <w:lvl w:ilvl="0">
      <w:lvlJc w:val="left"/>
      <w:lvlText w:val="%1"/>
      <w:numFmt w:val="decimal"/>
      <w:start w:val="1"/>
    </w:lvl>
    <w:lvl w:ilvl="1">
      <w:lvlJc w:val="left"/>
      <w:lvlText w:val="(%2)"/>
      <w:numFmt w:val="lowerLetter"/>
      <w:start w:val="2"/>
    </w:lvl>
  </w:abstractNum>
  <w:abstractNum w:abstractNumId="32">
    <w:nsid w:val="5072367"/>
    <w:multiLevelType w:val="hybridMultilevel"/>
    <w:lvl w:ilvl="0">
      <w:lvlJc w:val="left"/>
      <w:lvlText w:val="%1."/>
      <w:numFmt w:val="decimal"/>
      <w:start w:val="10"/>
    </w:lvl>
    <w:lvl w:ilvl="1">
      <w:lvlJc w:val="left"/>
      <w:lvlText w:val="(%2)"/>
      <w:numFmt w:val="lowerLetter"/>
      <w:start w:val="1"/>
    </w:lvl>
  </w:abstractNum>
  <w:abstractNum w:abstractNumId="33">
    <w:nsid w:val="3804823E"/>
    <w:multiLevelType w:val="hybridMultilevel"/>
    <w:lvl w:ilvl="0">
      <w:lvlJc w:val="left"/>
      <w:lvlText w:val="%1."/>
      <w:numFmt w:val="decimal"/>
      <w:start w:val="1"/>
    </w:lvl>
    <w:lvl w:ilvl="1">
      <w:lvlJc w:val="left"/>
      <w:lvlText w:val="%2)"/>
      <w:numFmt w:val="lowerLetter"/>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2019-12-28T13:37:34Z</dcterms:created>
  <dcterms:modified xsi:type="dcterms:W3CDTF">2019-12-28T13:37:34Z</dcterms:modified>
</cp:coreProperties>
</file>