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102235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91" w:lineRule="exact"/>
        <w:rPr>
          <w:sz w:val="24"/>
          <w:szCs w:val="24"/>
          <w:color w:val="auto"/>
        </w:rPr>
      </w:pPr>
    </w:p>
    <w:tbl>
      <w:tblPr>
        <w:tblLayout w:type="fixed"/>
        <w:tblInd w:w="700" w:type="dxa"/>
        <w:tblCellMar>
          <w:top w:w="0" w:type="dxa"/>
          <w:left w:w="0" w:type="dxa"/>
          <w:bottom w:w="0" w:type="dxa"/>
          <w:right w:w="0" w:type="dxa"/>
        </w:tblCellMar>
      </w:tblPr>
      <w:tr>
        <w:trPr>
          <w:trHeight w:val="359"/>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27"/>
                <w:szCs w:val="27"/>
                <w:b w:val="1"/>
                <w:bCs w:val="1"/>
                <w:color w:val="auto"/>
                <w:w w:val="99"/>
              </w:rPr>
              <w:t>FORM 8-K</w:t>
            </w:r>
          </w:p>
        </w:tc>
      </w:tr>
      <w:tr>
        <w:trPr>
          <w:trHeight w:val="397"/>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27"/>
                <w:szCs w:val="27"/>
                <w:b w:val="1"/>
                <w:bCs w:val="1"/>
                <w:color w:val="auto"/>
                <w:w w:val="99"/>
              </w:rPr>
              <w:t>CURRENT REPORT</w:t>
            </w:r>
          </w:p>
        </w:tc>
      </w:tr>
      <w:tr>
        <w:trPr>
          <w:trHeight w:val="324"/>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27"/>
                <w:szCs w:val="27"/>
                <w:b w:val="1"/>
                <w:bCs w:val="1"/>
                <w:color w:val="auto"/>
              </w:rPr>
              <w:t>Pursuant to Section 13 or 15(d) of the</w:t>
            </w:r>
          </w:p>
        </w:tc>
      </w:tr>
      <w:tr>
        <w:trPr>
          <w:trHeight w:val="326"/>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27"/>
                <w:szCs w:val="27"/>
                <w:b w:val="1"/>
                <w:bCs w:val="1"/>
                <w:color w:val="auto"/>
                <w:w w:val="99"/>
              </w:rPr>
              <w:t>Securities Exchange Act of 1934</w:t>
            </w:r>
          </w:p>
        </w:tc>
      </w:tr>
      <w:tr>
        <w:trPr>
          <w:trHeight w:val="234"/>
        </w:trPr>
        <w:tc>
          <w:tcPr>
            <w:tcW w:w="2500" w:type="dxa"/>
            <w:vAlign w:val="bottom"/>
          </w:tcPr>
          <w:p>
            <w:pPr>
              <w:spacing w:after="0"/>
              <w:rPr>
                <w:sz w:val="20"/>
                <w:szCs w:val="20"/>
                <w:color w:val="auto"/>
              </w:rPr>
            </w:pPr>
          </w:p>
        </w:tc>
        <w:tc>
          <w:tcPr>
            <w:tcW w:w="7160" w:type="dxa"/>
            <w:vAlign w:val="bottom"/>
          </w:tcPr>
          <w:p>
            <w:pPr>
              <w:jc w:val="center"/>
              <w:ind w:right="2203"/>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April 23, 2026</w:t>
            </w:r>
          </w:p>
        </w:tc>
      </w:tr>
      <w:tr>
        <w:trPr>
          <w:trHeight w:val="450"/>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29"/>
                <w:szCs w:val="29"/>
                <w:b w:val="1"/>
                <w:bCs w:val="1"/>
                <w:color w:val="auto"/>
                <w:w w:val="99"/>
              </w:rPr>
              <w:t>Comcast Corporation</w:t>
            </w:r>
          </w:p>
        </w:tc>
      </w:tr>
      <w:tr>
        <w:trPr>
          <w:trHeight w:val="144"/>
        </w:trPr>
        <w:tc>
          <w:tcPr>
            <w:tcW w:w="2500" w:type="dxa"/>
            <w:vAlign w:val="bottom"/>
          </w:tcPr>
          <w:p>
            <w:pPr>
              <w:spacing w:after="0"/>
              <w:rPr>
                <w:sz w:val="12"/>
                <w:szCs w:val="12"/>
                <w:color w:val="auto"/>
              </w:rPr>
            </w:pPr>
          </w:p>
        </w:tc>
        <w:tc>
          <w:tcPr>
            <w:tcW w:w="7160" w:type="dxa"/>
            <w:vAlign w:val="bottom"/>
          </w:tcPr>
          <w:p>
            <w:pPr>
              <w:jc w:val="center"/>
              <w:ind w:right="2243"/>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00" w:type="dxa"/>
            <w:vAlign w:val="bottom"/>
          </w:tcPr>
          <w:p>
            <w:pPr>
              <w:spacing w:after="0"/>
              <w:rPr>
                <w:sz w:val="16"/>
                <w:szCs w:val="16"/>
                <w:color w:val="auto"/>
              </w:rPr>
            </w:pPr>
          </w:p>
        </w:tc>
        <w:tc>
          <w:tcPr>
            <w:tcW w:w="7160" w:type="dxa"/>
            <w:vAlign w:val="bottom"/>
          </w:tcPr>
          <w:p>
            <w:pPr>
              <w:jc w:val="center"/>
              <w:ind w:right="224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289"/>
        </w:trPr>
        <w:tc>
          <w:tcPr>
            <w:tcW w:w="2500" w:type="dxa"/>
            <w:vAlign w:val="bottom"/>
          </w:tcPr>
          <w:p>
            <w:pPr>
              <w:spacing w:after="0"/>
              <w:rPr>
                <w:sz w:val="24"/>
                <w:szCs w:val="24"/>
                <w:color w:val="auto"/>
              </w:rPr>
            </w:pPr>
          </w:p>
        </w:tc>
        <w:tc>
          <w:tcPr>
            <w:tcW w:w="7160" w:type="dxa"/>
            <w:vAlign w:val="bottom"/>
          </w:tcPr>
          <w:p>
            <w:pPr>
              <w:jc w:val="center"/>
              <w:ind w:right="2243"/>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88"/>
        </w:trPr>
        <w:tc>
          <w:tcPr>
            <w:tcW w:w="2500" w:type="dxa"/>
            <w:vAlign w:val="bottom"/>
          </w:tcPr>
          <w:p>
            <w:pPr>
              <w:spacing w:after="0"/>
              <w:rPr>
                <w:sz w:val="16"/>
                <w:szCs w:val="16"/>
                <w:color w:val="auto"/>
              </w:rPr>
            </w:pPr>
          </w:p>
        </w:tc>
        <w:tc>
          <w:tcPr>
            <w:tcW w:w="7160" w:type="dxa"/>
            <w:vAlign w:val="bottom"/>
          </w:tcPr>
          <w:p>
            <w:pPr>
              <w:jc w:val="center"/>
              <w:ind w:right="224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298"/>
        </w:trPr>
        <w:tc>
          <w:tcPr>
            <w:tcW w:w="2500" w:type="dxa"/>
            <w:vAlign w:val="bottom"/>
          </w:tcPr>
          <w:p>
            <w:pPr>
              <w:jc w:val="center"/>
              <w:ind w:right="7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7160" w:type="dxa"/>
            <w:vAlign w:val="bottom"/>
          </w:tcPr>
          <w:p>
            <w:pPr>
              <w:jc w:val="center"/>
              <w:ind w:left="5063"/>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88"/>
        </w:trPr>
        <w:tc>
          <w:tcPr>
            <w:tcW w:w="2500" w:type="dxa"/>
            <w:vAlign w:val="bottom"/>
          </w:tcPr>
          <w:p>
            <w:pPr>
              <w:jc w:val="center"/>
              <w:ind w:right="77"/>
              <w:spacing w:after="0"/>
              <w:rPr>
                <w:sz w:val="20"/>
                <w:szCs w:val="20"/>
                <w:color w:val="auto"/>
              </w:rPr>
            </w:pPr>
            <w:r>
              <w:rPr>
                <w:rFonts w:ascii="Times New Roman" w:cs="Times New Roman" w:eastAsia="Times New Roman" w:hAnsi="Times New Roman"/>
                <w:sz w:val="14"/>
                <w:szCs w:val="14"/>
                <w:color w:val="auto"/>
              </w:rPr>
              <w:t>(Commission File Number)</w:t>
            </w:r>
          </w:p>
        </w:tc>
        <w:tc>
          <w:tcPr>
            <w:tcW w:w="7160" w:type="dxa"/>
            <w:vAlign w:val="bottom"/>
          </w:tcPr>
          <w:p>
            <w:pPr>
              <w:jc w:val="center"/>
              <w:ind w:left="5083"/>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8"/>
        </w:trPr>
        <w:tc>
          <w:tcPr>
            <w:tcW w:w="2500" w:type="dxa"/>
            <w:vAlign w:val="bottom"/>
          </w:tcPr>
          <w:p>
            <w:pPr>
              <w:jc w:val="center"/>
              <w:ind w:right="7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7160" w:type="dxa"/>
            <w:vAlign w:val="bottom"/>
          </w:tcPr>
          <w:p>
            <w:pPr>
              <w:spacing w:after="0"/>
              <w:rPr>
                <w:sz w:val="24"/>
                <w:szCs w:val="24"/>
                <w:color w:val="auto"/>
              </w:rPr>
            </w:pPr>
          </w:p>
        </w:tc>
      </w:tr>
      <w:tr>
        <w:trPr>
          <w:trHeight w:val="229"/>
        </w:trPr>
        <w:tc>
          <w:tcPr>
            <w:tcW w:w="25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Philadelphia, PA</w:t>
            </w:r>
          </w:p>
        </w:tc>
        <w:tc>
          <w:tcPr>
            <w:tcW w:w="7160" w:type="dxa"/>
            <w:vAlign w:val="bottom"/>
          </w:tcPr>
          <w:p>
            <w:pPr>
              <w:jc w:val="center"/>
              <w:ind w:left="5063"/>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88"/>
        </w:trPr>
        <w:tc>
          <w:tcPr>
            <w:tcW w:w="2500" w:type="dxa"/>
            <w:vAlign w:val="bottom"/>
          </w:tcPr>
          <w:p>
            <w:pPr>
              <w:jc w:val="center"/>
              <w:ind w:right="7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160" w:type="dxa"/>
            <w:vAlign w:val="bottom"/>
          </w:tcPr>
          <w:p>
            <w:pPr>
              <w:jc w:val="center"/>
              <w:ind w:left="5063"/>
              <w:spacing w:after="0"/>
              <w:rPr>
                <w:sz w:val="20"/>
                <w:szCs w:val="20"/>
                <w:color w:val="auto"/>
              </w:rPr>
            </w:pPr>
            <w:r>
              <w:rPr>
                <w:rFonts w:ascii="Times New Roman" w:cs="Times New Roman" w:eastAsia="Times New Roman" w:hAnsi="Times New Roman"/>
                <w:sz w:val="14"/>
                <w:szCs w:val="14"/>
                <w:color w:val="auto"/>
              </w:rPr>
              <w:t>(Zip Code)</w:t>
            </w:r>
          </w:p>
        </w:tc>
      </w:tr>
      <w:tr>
        <w:trPr>
          <w:trHeight w:val="298"/>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(215) 286-1700</w:t>
            </w:r>
          </w:p>
        </w:tc>
      </w:tr>
      <w:tr>
        <w:trPr>
          <w:trHeight w:val="188"/>
        </w:trPr>
        <w:tc>
          <w:tcPr>
            <w:tcW w:w="2500" w:type="dxa"/>
            <w:vAlign w:val="bottom"/>
          </w:tcPr>
          <w:p>
            <w:pPr>
              <w:spacing w:after="0"/>
              <w:rPr>
                <w:sz w:val="16"/>
                <w:szCs w:val="16"/>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3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8" w:lineRule="exact"/>
        <w:rPr>
          <w:sz w:val="24"/>
          <w:szCs w:val="24"/>
          <w:color w:val="auto"/>
        </w:rPr>
      </w:pPr>
    </w:p>
    <w:tbl>
      <w:tblPr>
        <w:tblLayout w:type="fixed"/>
        <w:tblInd w:w="640" w:type="dxa"/>
        <w:tblCellMar>
          <w:top w:w="0" w:type="dxa"/>
          <w:left w:w="0" w:type="dxa"/>
          <w:bottom w:w="0" w:type="dxa"/>
          <w:right w:w="0" w:type="dxa"/>
        </w:tblCellMar>
      </w:tblPr>
      <w:tr>
        <w:trPr>
          <w:trHeight w:val="187"/>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19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82"/>
        </w:trPr>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CMCSA</w:t>
            </w:r>
          </w:p>
        </w:tc>
        <w:tc>
          <w:tcPr>
            <w:tcW w:w="10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0.000% Notes due 2026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2027</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CMCS27</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1.500%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CMCS29A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0.750% Notes due 2032</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CMCS32</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3.250% Notes due 2032</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CMCS32A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1.875% Notes due 2036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3.550% Notes due 2036</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CMCS36A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1.250% Notes due 2040</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CMCS40</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5.250% Notes due 2040</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CMCS40A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5.50%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CCGBP29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2"/>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2.0% Exchangeable Subordinated Debentures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CCZ</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75"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104140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52705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0900"/>
          </w:cols>
          <w:pgMar w:left="320" w:top="1334" w:right="6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23, 2026, Comcast Corporation (“Comcast”) issued a press release reporting the results of its operations for the three months ended March 31, 2026.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9.01. Exhibits</w:t>
            </w:r>
          </w:p>
        </w:tc>
        <w:tc>
          <w:tcPr>
            <w:tcW w:w="9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26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7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480" w:type="dxa"/>
            <w:vAlign w:val="bottom"/>
            <w:gridSpan w:val="5"/>
          </w:tcPr>
          <w:p>
            <w:pPr>
              <w:jc w:val="center"/>
              <w:ind w:right="4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7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20" w:type="dxa"/>
            <w:vAlign w:val="bottom"/>
            <w:tcBorders>
              <w:right w:val="single" w:sz="8" w:color="auto"/>
            </w:tcBorders>
            <w:gridSpan w:val="2"/>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Comcast Corporation press release dated April 23, 2026.</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2</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Explanation of Non-GAAP and Other Financial Measures.</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3"/>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6"/>
              </w:rPr>
              <w:t>104</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87"/>
        </w:trPr>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54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23, 2026</w:t>
            </w: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Daniel C. Murdock</w:t>
            </w:r>
          </w:p>
        </w:tc>
      </w:tr>
      <w:tr>
        <w:trPr>
          <w:trHeight w:val="218"/>
        </w:trPr>
        <w:tc>
          <w:tcPr>
            <w:tcW w:w="7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Daniel C. Murdock</w:t>
            </w:r>
          </w:p>
        </w:tc>
      </w:tr>
      <w:tr>
        <w:trPr>
          <w:trHeight w:val="180"/>
        </w:trPr>
        <w:tc>
          <w:tcPr>
            <w:tcW w:w="7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Accounting Officer and</w:t>
            </w:r>
          </w:p>
        </w:tc>
      </w:tr>
      <w:tr>
        <w:trPr>
          <w:trHeight w:val="234"/>
        </w:trPr>
        <w:tc>
          <w:tcPr>
            <w:tcW w:w="7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Controller</w:t>
            </w:r>
          </w:p>
        </w:tc>
      </w:tr>
      <w:tr>
        <w:trPr>
          <w:trHeight w:val="238"/>
        </w:trPr>
        <w:tc>
          <w:tcPr>
            <w:tcW w:w="7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941" w:right="339" w:bottom="1440" w:gutter="0" w:footer="0" w:header="0"/>
        </w:sectPr>
      </w:pPr>
    </w:p>
    <w:bookmarkStart w:id="3" w:name="page4"/>
    <w:bookmarkEnd w:id="3"/>
    <w:p>
      <w:pPr>
        <w:ind w:left="85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508000</wp:posOffset>
            </wp:positionH>
            <wp:positionV relativeFrom="page">
              <wp:posOffset>260350</wp:posOffset>
            </wp:positionV>
            <wp:extent cx="1371600" cy="540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40385"/>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1st QUARTER 2026 RESULTS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PHILADELPHIA - April 23, 2026… Comcast Corporation (NASDAQ: CMCSA) today reported results for the quarter ended March 31, 2026.</w:t>
      </w:r>
    </w:p>
    <w:p>
      <w:pPr>
        <w:spacing w:after="0" w:line="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2026 is an important year of execution, and we're seeing tangible early signs our pivot is taking hold,</w:t>
      </w:r>
      <w:r>
        <w:rPr>
          <w:rFonts w:ascii="Arial" w:cs="Arial" w:eastAsia="Arial" w:hAnsi="Arial"/>
          <w:sz w:val="18"/>
          <w:szCs w:val="18"/>
          <w:color w:val="auto"/>
        </w:rPr>
        <w:t>" said Brian L. Roberts and Mike Cavanagh, co-CEOs of Comcast Corporation. "</w:t>
      </w:r>
      <w:r>
        <w:rPr>
          <w:rFonts w:ascii="Arial" w:cs="Arial" w:eastAsia="Arial" w:hAnsi="Arial"/>
          <w:sz w:val="18"/>
          <w:szCs w:val="18"/>
          <w:i w:val="1"/>
          <w:iCs w:val="1"/>
          <w:color w:val="auto"/>
        </w:rPr>
        <w:t>Broadband subscriber losses improved by more than 100,000 year-over-year, and we</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delivered record wireless line additions as customers respond to simpler, more transparent offers and a better end-to-end experience. Legendary February showcased the strength of our Media portfolio, leveraging the unmatched reach of the Milan Cortina Winter Olympics and the Super Bowl to drive record advertising and strong Peacock growth, while also powering our ability to market our connectivity products at scale. Importantly, we generated $3.9 billion in free cash flow and returned $2.5 billion to shareholders this quarter even as we continued to lean into investments across our core growth businesses, underscoring our disciplined approach to capital allocation.</w:t>
      </w:r>
      <w:r>
        <w:rPr>
          <w:rFonts w:ascii="Arial" w:cs="Arial" w:eastAsia="Arial" w:hAnsi="Arial"/>
          <w:sz w:val="18"/>
          <w:szCs w:val="18"/>
          <w:color w:val="auto"/>
        </w:rPr>
        <w: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08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 except per share data)</w:t>
            </w:r>
          </w:p>
        </w:tc>
        <w:tc>
          <w:tcPr>
            <w:tcW w:w="62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42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600" w:type="dxa"/>
            <w:vAlign w:val="bottom"/>
            <w:shd w:val="clear" w:color="auto" w:fill="D9D9D6"/>
          </w:tcPr>
          <w:p>
            <w:pPr>
              <w:spacing w:after="0"/>
              <w:rPr>
                <w:sz w:val="17"/>
                <w:szCs w:val="17"/>
                <w:color w:val="auto"/>
              </w:rPr>
            </w:pPr>
          </w:p>
        </w:tc>
        <w:tc>
          <w:tcPr>
            <w:tcW w:w="520" w:type="dxa"/>
            <w:vAlign w:val="bottom"/>
            <w:tcBorders>
              <w:right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20" w:type="dxa"/>
            <w:vAlign w:val="bottom"/>
            <w:shd w:val="clear" w:color="auto" w:fill="D9D9D6"/>
          </w:tcPr>
          <w:p>
            <w:pPr>
              <w:spacing w:after="0"/>
              <w:rPr>
                <w:sz w:val="15"/>
                <w:szCs w:val="15"/>
                <w:color w:val="auto"/>
              </w:rPr>
            </w:pPr>
          </w:p>
        </w:tc>
        <w:tc>
          <w:tcPr>
            <w:tcW w:w="8080" w:type="dxa"/>
            <w:vAlign w:val="bottom"/>
            <w:shd w:val="clear" w:color="auto" w:fill="D9D9D6"/>
          </w:tcPr>
          <w:p>
            <w:pPr>
              <w:spacing w:after="0"/>
              <w:rPr>
                <w:sz w:val="15"/>
                <w:szCs w:val="15"/>
                <w:color w:val="auto"/>
              </w:rPr>
            </w:pPr>
          </w:p>
        </w:tc>
        <w:tc>
          <w:tcPr>
            <w:tcW w:w="620" w:type="dxa"/>
            <w:vAlign w:val="bottom"/>
            <w:shd w:val="clear" w:color="auto" w:fill="D9D9D6"/>
          </w:tcPr>
          <w:p>
            <w:pPr>
              <w:spacing w:after="0"/>
              <w:rPr>
                <w:sz w:val="15"/>
                <w:szCs w:val="15"/>
                <w:color w:val="auto"/>
              </w:rPr>
            </w:pPr>
          </w:p>
        </w:tc>
        <w:tc>
          <w:tcPr>
            <w:tcW w:w="340" w:type="dxa"/>
            <w:vAlign w:val="bottom"/>
            <w:tcBorders>
              <w:right w:val="single" w:sz="8" w:color="D9D9D6"/>
            </w:tcBorders>
            <w:shd w:val="clear" w:color="auto" w:fill="D9D9D6"/>
          </w:tcPr>
          <w:p>
            <w:pPr>
              <w:spacing w:after="0"/>
              <w:rPr>
                <w:sz w:val="15"/>
                <w:szCs w:val="15"/>
                <w:color w:val="auto"/>
              </w:rPr>
            </w:pPr>
          </w:p>
        </w:tc>
        <w:tc>
          <w:tcPr>
            <w:tcW w:w="200" w:type="dxa"/>
            <w:vAlign w:val="bottom"/>
            <w:shd w:val="clear" w:color="auto" w:fill="D9D9D6"/>
          </w:tcPr>
          <w:p>
            <w:pPr>
              <w:spacing w:after="0"/>
              <w:rPr>
                <w:sz w:val="15"/>
                <w:szCs w:val="15"/>
                <w:color w:val="auto"/>
              </w:rPr>
            </w:pPr>
          </w:p>
        </w:tc>
        <w:tc>
          <w:tcPr>
            <w:tcW w:w="760" w:type="dxa"/>
            <w:vAlign w:val="bottom"/>
            <w:tcBorders>
              <w:right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w w:val="99"/>
              </w:rPr>
              <w:t>1st Quarter</w:t>
            </w:r>
          </w:p>
        </w:tc>
        <w:tc>
          <w:tcPr>
            <w:tcW w:w="600" w:type="dxa"/>
            <w:vAlign w:val="bottom"/>
            <w:shd w:val="clear" w:color="auto" w:fill="D9D9D6"/>
          </w:tcPr>
          <w:p>
            <w:pPr>
              <w:spacing w:after="0"/>
              <w:rPr>
                <w:sz w:val="15"/>
                <w:szCs w:val="15"/>
                <w:color w:val="auto"/>
              </w:rPr>
            </w:pPr>
          </w:p>
        </w:tc>
        <w:tc>
          <w:tcPr>
            <w:tcW w:w="520" w:type="dxa"/>
            <w:vAlign w:val="bottom"/>
            <w:tcBorders>
              <w:right w:val="single" w:sz="8" w:color="D9D9D6"/>
            </w:tcBorders>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8080" w:type="dxa"/>
            <w:vAlign w:val="bottom"/>
            <w:shd w:val="clear" w:color="auto" w:fill="D9D9D6"/>
          </w:tcPr>
          <w:p>
            <w:pPr>
              <w:spacing w:after="0" w:line="20" w:lineRule="exact"/>
              <w:rPr>
                <w:sz w:val="1"/>
                <w:szCs w:val="1"/>
                <w:color w:val="auto"/>
              </w:rPr>
            </w:pPr>
          </w:p>
        </w:tc>
        <w:tc>
          <w:tcPr>
            <w:tcW w:w="62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520" w:type="dxa"/>
            <w:vAlign w:val="bottom"/>
            <w:tcBorders>
              <w:right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80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Consolidated Results</w:t>
            </w:r>
          </w:p>
        </w:tc>
        <w:tc>
          <w:tcPr>
            <w:tcW w:w="620" w:type="dxa"/>
            <w:vAlign w:val="bottom"/>
            <w:shd w:val="clear" w:color="auto" w:fill="D9D9D6"/>
          </w:tcPr>
          <w:p>
            <w:pPr>
              <w:spacing w:after="0"/>
              <w:rPr>
                <w:sz w:val="15"/>
                <w:szCs w:val="15"/>
                <w:color w:val="auto"/>
              </w:rPr>
            </w:pPr>
          </w:p>
        </w:tc>
        <w:tc>
          <w:tcPr>
            <w:tcW w:w="34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2026</w:t>
            </w:r>
          </w:p>
        </w:tc>
        <w:tc>
          <w:tcPr>
            <w:tcW w:w="200" w:type="dxa"/>
            <w:vAlign w:val="bottom"/>
            <w:shd w:val="clear" w:color="auto" w:fill="D9D9D6"/>
          </w:tcPr>
          <w:p>
            <w:pPr>
              <w:spacing w:after="0"/>
              <w:rPr>
                <w:sz w:val="15"/>
                <w:szCs w:val="15"/>
                <w:color w:val="auto"/>
              </w:rPr>
            </w:pPr>
          </w:p>
        </w:tc>
        <w:tc>
          <w:tcPr>
            <w:tcW w:w="76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2025</w:t>
            </w:r>
          </w:p>
        </w:tc>
        <w:tc>
          <w:tcPr>
            <w:tcW w:w="600" w:type="dxa"/>
            <w:vAlign w:val="bottom"/>
            <w:shd w:val="clear" w:color="auto" w:fill="D9D9D6"/>
          </w:tcPr>
          <w:p>
            <w:pPr>
              <w:spacing w:after="0"/>
              <w:rPr>
                <w:sz w:val="15"/>
                <w:szCs w:val="15"/>
                <w:color w:val="auto"/>
              </w:rPr>
            </w:pPr>
          </w:p>
        </w:tc>
        <w:tc>
          <w:tcPr>
            <w:tcW w:w="52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7"/>
              </w:rPr>
              <w:t>Change</w:t>
            </w: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8080" w:type="dxa"/>
            <w:vAlign w:val="bottom"/>
            <w:shd w:val="clear" w:color="auto" w:fill="D9D9D6"/>
          </w:tcPr>
          <w:p>
            <w:pPr>
              <w:spacing w:after="0" w:line="20" w:lineRule="exact"/>
              <w:rPr>
                <w:sz w:val="1"/>
                <w:szCs w:val="1"/>
                <w:color w:val="auto"/>
              </w:rPr>
            </w:pPr>
          </w:p>
        </w:tc>
        <w:tc>
          <w:tcPr>
            <w:tcW w:w="62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420" w:type="dxa"/>
            <w:vAlign w:val="bottom"/>
            <w:shd w:val="clear" w:color="auto" w:fill="D9D9D6"/>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520" w:type="dxa"/>
            <w:vAlign w:val="bottom"/>
            <w:tcBorders>
              <w:right w:val="single" w:sz="8" w:color="D9D9D6"/>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20" w:type="dxa"/>
            <w:vAlign w:val="bottom"/>
            <w:shd w:val="clear" w:color="auto" w:fill="D9D9D6"/>
          </w:tcPr>
          <w:p>
            <w:pPr>
              <w:spacing w:after="0"/>
              <w:rPr>
                <w:sz w:val="24"/>
                <w:szCs w:val="24"/>
                <w:color w:val="auto"/>
              </w:rPr>
            </w:pPr>
          </w:p>
        </w:tc>
        <w:tc>
          <w:tcPr>
            <w:tcW w:w="8080" w:type="dxa"/>
            <w:vAlign w:val="bottom"/>
            <w:shd w:val="clear" w:color="auto" w:fill="D9D9D6"/>
          </w:tcPr>
          <w:p>
            <w:pPr>
              <w:ind w:left="20"/>
              <w:spacing w:after="0"/>
              <w:rPr>
                <w:sz w:val="20"/>
                <w:szCs w:val="20"/>
                <w:color w:val="auto"/>
              </w:rPr>
            </w:pPr>
            <w:r>
              <w:rPr>
                <w:rFonts w:ascii="Arial" w:cs="Arial" w:eastAsia="Arial" w:hAnsi="Arial"/>
                <w:sz w:val="14"/>
                <w:szCs w:val="14"/>
                <w:color w:val="auto"/>
              </w:rPr>
              <w:t>Revenue</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$31,457</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$29,887</w:t>
            </w:r>
          </w:p>
        </w:tc>
        <w:tc>
          <w:tcPr>
            <w:tcW w:w="1120" w:type="dxa"/>
            <w:vAlign w:val="bottom"/>
            <w:tcBorders>
              <w:right w:val="single" w:sz="8" w:color="D9D9D6"/>
            </w:tcBorders>
            <w:gridSpan w:val="2"/>
            <w:shd w:val="clear" w:color="auto" w:fill="D9D9D6"/>
          </w:tcPr>
          <w:p>
            <w:pPr>
              <w:jc w:val="right"/>
              <w:ind w:right="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24"/>
        </w:trPr>
        <w:tc>
          <w:tcPr>
            <w:tcW w:w="120" w:type="dxa"/>
            <w:vAlign w:val="bottom"/>
            <w:shd w:val="clear" w:color="auto" w:fill="D9D9D6"/>
          </w:tcPr>
          <w:p>
            <w:pPr>
              <w:spacing w:after="0"/>
              <w:rPr>
                <w:sz w:val="19"/>
                <w:szCs w:val="19"/>
                <w:color w:val="auto"/>
              </w:rPr>
            </w:pPr>
          </w:p>
        </w:tc>
        <w:tc>
          <w:tcPr>
            <w:tcW w:w="8080" w:type="dxa"/>
            <w:vAlign w:val="bottom"/>
            <w:shd w:val="clear" w:color="auto" w:fill="D9D9D6"/>
          </w:tcPr>
          <w:p>
            <w:pPr>
              <w:ind w:left="120"/>
              <w:spacing w:after="0"/>
              <w:rPr>
                <w:sz w:val="20"/>
                <w:szCs w:val="20"/>
                <w:color w:val="auto"/>
              </w:rPr>
            </w:pPr>
            <w:r>
              <w:rPr>
                <w:rFonts w:ascii="Arial" w:cs="Arial" w:eastAsia="Arial" w:hAnsi="Arial"/>
                <w:sz w:val="14"/>
                <w:szCs w:val="14"/>
                <w:i w:val="1"/>
                <w:iCs w:val="1"/>
                <w:color w:val="auto"/>
              </w:rPr>
              <w:t>Pro Forma Revenue</w:t>
            </w:r>
            <w:r>
              <w:rPr>
                <w:rFonts w:ascii="Arial" w:cs="Arial" w:eastAsia="Arial" w:hAnsi="Arial"/>
                <w:sz w:val="18"/>
                <w:szCs w:val="18"/>
                <w:i w:val="1"/>
                <w:iCs w:val="1"/>
                <w:color w:val="auto"/>
                <w:vertAlign w:val="superscript"/>
              </w:rPr>
              <w:t>1</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$31,457</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i w:val="1"/>
                <w:iCs w:val="1"/>
                <w:color w:val="auto"/>
              </w:rPr>
              <w:t>$28,369</w:t>
            </w:r>
          </w:p>
        </w:tc>
        <w:tc>
          <w:tcPr>
            <w:tcW w:w="1120" w:type="dxa"/>
            <w:vAlign w:val="bottom"/>
            <w:tcBorders>
              <w:right w:val="single" w:sz="8" w:color="D9D9D6"/>
            </w:tcBorders>
            <w:gridSpan w:val="2"/>
            <w:shd w:val="clear" w:color="auto" w:fill="D9D9D6"/>
          </w:tcPr>
          <w:p>
            <w:pPr>
              <w:jc w:val="right"/>
              <w:ind w:right="8"/>
              <w:spacing w:after="0"/>
              <w:rPr>
                <w:sz w:val="20"/>
                <w:szCs w:val="20"/>
                <w:color w:val="auto"/>
              </w:rPr>
            </w:pPr>
            <w:r>
              <w:rPr>
                <w:rFonts w:ascii="Arial" w:cs="Arial" w:eastAsia="Arial" w:hAnsi="Arial"/>
                <w:sz w:val="14"/>
                <w:szCs w:val="14"/>
                <w:i w:val="1"/>
                <w:iCs w:val="1"/>
                <w:color w:val="auto"/>
              </w:rPr>
              <w:t>10.9%</w:t>
            </w:r>
          </w:p>
        </w:tc>
        <w:tc>
          <w:tcPr>
            <w:tcW w:w="0" w:type="dxa"/>
            <w:vAlign w:val="bottom"/>
          </w:tcPr>
          <w:p>
            <w:pPr>
              <w:spacing w:after="0"/>
              <w:rPr>
                <w:sz w:val="1"/>
                <w:szCs w:val="1"/>
                <w:color w:val="auto"/>
              </w:rPr>
            </w:pPr>
          </w:p>
        </w:tc>
      </w:tr>
      <w:tr>
        <w:trPr>
          <w:trHeight w:val="194"/>
        </w:trPr>
        <w:tc>
          <w:tcPr>
            <w:tcW w:w="120" w:type="dxa"/>
            <w:vAlign w:val="bottom"/>
            <w:shd w:val="clear" w:color="auto" w:fill="D9D9D6"/>
          </w:tcPr>
          <w:p>
            <w:pPr>
              <w:spacing w:after="0"/>
              <w:rPr>
                <w:sz w:val="16"/>
                <w:szCs w:val="16"/>
                <w:color w:val="auto"/>
              </w:rPr>
            </w:pPr>
          </w:p>
        </w:tc>
        <w:tc>
          <w:tcPr>
            <w:tcW w:w="8080" w:type="dxa"/>
            <w:vAlign w:val="bottom"/>
            <w:shd w:val="clear" w:color="auto" w:fill="D9D9D6"/>
          </w:tcPr>
          <w:p>
            <w:pPr>
              <w:ind w:left="20"/>
              <w:spacing w:after="0"/>
              <w:rPr>
                <w:sz w:val="20"/>
                <w:szCs w:val="20"/>
                <w:color w:val="auto"/>
              </w:rPr>
            </w:pPr>
            <w:r>
              <w:rPr>
                <w:rFonts w:ascii="Arial" w:cs="Arial" w:eastAsia="Arial" w:hAnsi="Arial"/>
                <w:sz w:val="14"/>
                <w:szCs w:val="14"/>
                <w:color w:val="auto"/>
              </w:rPr>
              <w:t>Net Income Attributable to Comcast</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$2,174</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$3,375</w:t>
            </w:r>
          </w:p>
        </w:tc>
        <w:tc>
          <w:tcPr>
            <w:tcW w:w="11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22"/>
        </w:trPr>
        <w:tc>
          <w:tcPr>
            <w:tcW w:w="120" w:type="dxa"/>
            <w:vAlign w:val="bottom"/>
            <w:shd w:val="clear" w:color="auto" w:fill="D9D9D6"/>
          </w:tcPr>
          <w:p>
            <w:pPr>
              <w:spacing w:after="0" w:line="20" w:lineRule="exact"/>
              <w:rPr>
                <w:sz w:val="1"/>
                <w:szCs w:val="1"/>
                <w:color w:val="auto"/>
              </w:rPr>
            </w:pPr>
          </w:p>
        </w:tc>
        <w:tc>
          <w:tcPr>
            <w:tcW w:w="8080" w:type="dxa"/>
            <w:vAlign w:val="bottom"/>
            <w:shd w:val="clear" w:color="auto" w:fill="D9D9D6"/>
          </w:tcPr>
          <w:p>
            <w:pPr>
              <w:spacing w:after="0" w:line="20" w:lineRule="exact"/>
              <w:rPr>
                <w:sz w:val="1"/>
                <w:szCs w:val="1"/>
                <w:color w:val="auto"/>
              </w:rPr>
            </w:pPr>
          </w:p>
        </w:tc>
        <w:tc>
          <w:tcPr>
            <w:tcW w:w="960" w:type="dxa"/>
            <w:vAlign w:val="bottom"/>
            <w:tcBorders>
              <w:right w:val="single" w:sz="8" w:color="D9D9D6"/>
            </w:tcBorders>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$2,863</w:t>
            </w:r>
          </w:p>
        </w:tc>
        <w:tc>
          <w:tcPr>
            <w:tcW w:w="960" w:type="dxa"/>
            <w:vAlign w:val="bottom"/>
            <w:tcBorders>
              <w:right w:val="single" w:sz="8" w:color="D9D9D6"/>
            </w:tcBorders>
            <w:gridSpan w:val="3"/>
            <w:vMerge w:val="restart"/>
            <w:shd w:val="clear" w:color="auto" w:fill="D9D9D6"/>
          </w:tcPr>
          <w:p>
            <w:pPr>
              <w:jc w:val="right"/>
              <w:ind w:right="60"/>
              <w:spacing w:after="0"/>
              <w:rPr>
                <w:sz w:val="20"/>
                <w:szCs w:val="20"/>
                <w:color w:val="auto"/>
              </w:rPr>
            </w:pPr>
            <w:r>
              <w:rPr>
                <w:rFonts w:ascii="Arial" w:cs="Arial" w:eastAsia="Arial" w:hAnsi="Arial"/>
                <w:sz w:val="14"/>
                <w:szCs w:val="14"/>
                <w:color w:val="auto"/>
              </w:rPr>
              <w:t>$4,132</w:t>
            </w:r>
          </w:p>
        </w:tc>
        <w:tc>
          <w:tcPr>
            <w:tcW w:w="1120" w:type="dxa"/>
            <w:vAlign w:val="bottom"/>
            <w:tcBorders>
              <w:right w:val="single" w:sz="8" w:color="D9D9D6"/>
            </w:tcBorders>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line="20" w:lineRule="exact"/>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8080" w:type="dxa"/>
            <w:vAlign w:val="bottom"/>
            <w:shd w:val="clear" w:color="auto" w:fill="D9D9D6"/>
          </w:tcPr>
          <w:p>
            <w:pPr>
              <w:ind w:left="20"/>
              <w:spacing w:after="0" w:line="202" w:lineRule="exact"/>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2</w:t>
            </w:r>
          </w:p>
        </w:tc>
        <w:tc>
          <w:tcPr>
            <w:tcW w:w="960" w:type="dxa"/>
            <w:vAlign w:val="bottom"/>
            <w:tcBorders>
              <w:right w:val="single" w:sz="8" w:color="D9D9D6"/>
            </w:tcBorders>
            <w:gridSpan w:val="2"/>
            <w:vMerge w:val="continue"/>
            <w:shd w:val="clear" w:color="auto" w:fill="D9D9D6"/>
          </w:tcPr>
          <w:p>
            <w:pPr>
              <w:spacing w:after="0"/>
              <w:rPr>
                <w:sz w:val="17"/>
                <w:szCs w:val="17"/>
                <w:color w:val="auto"/>
              </w:rPr>
            </w:pPr>
          </w:p>
        </w:tc>
        <w:tc>
          <w:tcPr>
            <w:tcW w:w="960" w:type="dxa"/>
            <w:vAlign w:val="bottom"/>
            <w:tcBorders>
              <w:right w:val="single" w:sz="8" w:color="D9D9D6"/>
            </w:tcBorders>
            <w:gridSpan w:val="3"/>
            <w:vMerge w:val="continue"/>
            <w:shd w:val="clear" w:color="auto" w:fill="D9D9D6"/>
          </w:tcPr>
          <w:p>
            <w:pPr>
              <w:spacing w:after="0"/>
              <w:rPr>
                <w:sz w:val="17"/>
                <w:szCs w:val="17"/>
                <w:color w:val="auto"/>
              </w:rPr>
            </w:pPr>
          </w:p>
        </w:tc>
        <w:tc>
          <w:tcPr>
            <w:tcW w:w="1120" w:type="dxa"/>
            <w:vAlign w:val="bottom"/>
            <w:tcBorders>
              <w:right w:val="single" w:sz="8" w:color="D9D9D6"/>
            </w:tcBorders>
            <w:gridSpan w:val="2"/>
            <w:vMerge w:val="continue"/>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8080" w:type="dxa"/>
            <w:vAlign w:val="bottom"/>
            <w:shd w:val="clear" w:color="auto" w:fill="D9D9D6"/>
          </w:tcPr>
          <w:p>
            <w:pPr>
              <w:ind w:left="20"/>
              <w:spacing w:after="0" w:line="202" w:lineRule="exact"/>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3</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$7,929</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$9,532</w:t>
            </w:r>
          </w:p>
        </w:tc>
        <w:tc>
          <w:tcPr>
            <w:tcW w:w="11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04"/>
        </w:trPr>
        <w:tc>
          <w:tcPr>
            <w:tcW w:w="120" w:type="dxa"/>
            <w:vAlign w:val="bottom"/>
            <w:shd w:val="clear" w:color="auto" w:fill="D9D9D6"/>
          </w:tcPr>
          <w:p>
            <w:pPr>
              <w:spacing w:after="0"/>
              <w:rPr>
                <w:sz w:val="17"/>
                <w:szCs w:val="17"/>
                <w:color w:val="auto"/>
              </w:rPr>
            </w:pPr>
          </w:p>
        </w:tc>
        <w:tc>
          <w:tcPr>
            <w:tcW w:w="8080" w:type="dxa"/>
            <w:vAlign w:val="bottom"/>
            <w:shd w:val="clear" w:color="auto" w:fill="D9D9D6"/>
          </w:tcPr>
          <w:p>
            <w:pPr>
              <w:ind w:left="120"/>
              <w:spacing w:after="0" w:line="204" w:lineRule="exact"/>
              <w:rPr>
                <w:sz w:val="20"/>
                <w:szCs w:val="20"/>
                <w:color w:val="auto"/>
              </w:rPr>
            </w:pPr>
            <w:r>
              <w:rPr>
                <w:rFonts w:ascii="Arial" w:cs="Arial" w:eastAsia="Arial" w:hAnsi="Arial"/>
                <w:sz w:val="14"/>
                <w:szCs w:val="14"/>
                <w:i w:val="1"/>
                <w:iCs w:val="1"/>
                <w:color w:val="auto"/>
              </w:rPr>
              <w:t>Pro Forma Adjusted EBITDA</w:t>
            </w:r>
            <w:r>
              <w:rPr>
                <w:rFonts w:ascii="Arial" w:cs="Arial" w:eastAsia="Arial" w:hAnsi="Arial"/>
                <w:sz w:val="18"/>
                <w:szCs w:val="18"/>
                <w:i w:val="1"/>
                <w:iCs w:val="1"/>
                <w:color w:val="auto"/>
                <w:vertAlign w:val="superscript"/>
              </w:rPr>
              <w:t>1</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$7,929</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i w:val="1"/>
                <w:iCs w:val="1"/>
                <w:color w:val="auto"/>
              </w:rPr>
              <w:t>$8,692</w:t>
            </w:r>
          </w:p>
        </w:tc>
        <w:tc>
          <w:tcPr>
            <w:tcW w:w="1120" w:type="dxa"/>
            <w:vAlign w:val="bottom"/>
            <w:gridSpan w:val="2"/>
          </w:tcPr>
          <w:p>
            <w:pPr>
              <w:jc w:val="right"/>
              <w:spacing w:after="0"/>
              <w:rPr>
                <w:sz w:val="20"/>
                <w:szCs w:val="20"/>
                <w:color w:val="auto"/>
              </w:rPr>
            </w:pPr>
            <w:r>
              <w:rPr>
                <w:rFonts w:ascii="Arial" w:cs="Arial" w:eastAsia="Arial" w:hAnsi="Arial"/>
                <w:sz w:val="14"/>
                <w:szCs w:val="14"/>
                <w:i w:val="1"/>
                <w:iCs w:val="1"/>
                <w:color w:val="auto"/>
              </w:rPr>
              <w:t>(8.8%)</w:t>
            </w: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8080" w:type="dxa"/>
            <w:vAlign w:val="bottom"/>
            <w:shd w:val="clear" w:color="auto" w:fill="D9D9D6"/>
          </w:tcPr>
          <w:p>
            <w:pPr>
              <w:ind w:left="20"/>
              <w:spacing w:after="0" w:line="202" w:lineRule="exact"/>
              <w:rPr>
                <w:sz w:val="20"/>
                <w:szCs w:val="20"/>
                <w:color w:val="auto"/>
              </w:rPr>
            </w:pPr>
            <w:r>
              <w:rPr>
                <w:rFonts w:ascii="Arial" w:cs="Arial" w:eastAsia="Arial" w:hAnsi="Arial"/>
                <w:sz w:val="14"/>
                <w:szCs w:val="14"/>
                <w:color w:val="auto"/>
              </w:rPr>
              <w:t>Earnings per Share</w:t>
            </w:r>
            <w:r>
              <w:rPr>
                <w:rFonts w:ascii="Arial" w:cs="Arial" w:eastAsia="Arial" w:hAnsi="Arial"/>
                <w:sz w:val="18"/>
                <w:szCs w:val="18"/>
                <w:color w:val="auto"/>
                <w:vertAlign w:val="superscript"/>
              </w:rPr>
              <w:t>4</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$0.60</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$0.89</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05"/>
        </w:trPr>
        <w:tc>
          <w:tcPr>
            <w:tcW w:w="120" w:type="dxa"/>
            <w:vAlign w:val="bottom"/>
            <w:shd w:val="clear" w:color="auto" w:fill="D9D9D6"/>
          </w:tcPr>
          <w:p>
            <w:pPr>
              <w:spacing w:after="0"/>
              <w:rPr>
                <w:sz w:val="17"/>
                <w:szCs w:val="17"/>
                <w:color w:val="auto"/>
              </w:rPr>
            </w:pPr>
          </w:p>
        </w:tc>
        <w:tc>
          <w:tcPr>
            <w:tcW w:w="8080" w:type="dxa"/>
            <w:vAlign w:val="bottom"/>
            <w:shd w:val="clear" w:color="auto" w:fill="D9D9D6"/>
          </w:tcPr>
          <w:p>
            <w:pPr>
              <w:ind w:left="20"/>
              <w:spacing w:after="0" w:line="205" w:lineRule="exact"/>
              <w:rPr>
                <w:sz w:val="20"/>
                <w:szCs w:val="20"/>
                <w:color w:val="auto"/>
              </w:rPr>
            </w:pPr>
            <w:r>
              <w:rPr>
                <w:rFonts w:ascii="Arial" w:cs="Arial" w:eastAsia="Arial" w:hAnsi="Arial"/>
                <w:sz w:val="14"/>
                <w:szCs w:val="14"/>
                <w:color w:val="auto"/>
              </w:rPr>
              <w:t>Adjusted Earnings per Share</w:t>
            </w:r>
            <w:r>
              <w:rPr>
                <w:rFonts w:ascii="Arial" w:cs="Arial" w:eastAsia="Arial" w:hAnsi="Arial"/>
                <w:sz w:val="18"/>
                <w:szCs w:val="18"/>
                <w:color w:val="auto"/>
                <w:vertAlign w:val="superscript"/>
              </w:rPr>
              <w:t>2</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$0.79</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$1.09</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90"/>
        </w:trPr>
        <w:tc>
          <w:tcPr>
            <w:tcW w:w="120" w:type="dxa"/>
            <w:vAlign w:val="bottom"/>
            <w:shd w:val="clear" w:color="auto" w:fill="D9D9D6"/>
          </w:tcPr>
          <w:p>
            <w:pPr>
              <w:spacing w:after="0"/>
              <w:rPr>
                <w:sz w:val="16"/>
                <w:szCs w:val="16"/>
                <w:color w:val="auto"/>
              </w:rPr>
            </w:pPr>
          </w:p>
        </w:tc>
        <w:tc>
          <w:tcPr>
            <w:tcW w:w="8080" w:type="dxa"/>
            <w:vAlign w:val="bottom"/>
            <w:shd w:val="clear" w:color="auto" w:fill="D9D9D6"/>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$6,891</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$8,294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45"/>
        </w:trPr>
        <w:tc>
          <w:tcPr>
            <w:tcW w:w="120" w:type="dxa"/>
            <w:vAlign w:val="bottom"/>
            <w:tcBorders>
              <w:bottom w:val="single" w:sz="8" w:color="D9D9D6"/>
            </w:tcBorders>
            <w:shd w:val="clear" w:color="auto" w:fill="D9D9D6"/>
          </w:tcPr>
          <w:p>
            <w:pPr>
              <w:spacing w:after="0"/>
              <w:rPr>
                <w:sz w:val="21"/>
                <w:szCs w:val="21"/>
                <w:color w:val="auto"/>
              </w:rPr>
            </w:pPr>
          </w:p>
        </w:tc>
        <w:tc>
          <w:tcPr>
            <w:tcW w:w="808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5</w:t>
            </w:r>
          </w:p>
        </w:tc>
        <w:tc>
          <w:tcPr>
            <w:tcW w:w="960" w:type="dxa"/>
            <w:vAlign w:val="bottom"/>
            <w:tcBorders>
              <w:bottom w:val="single" w:sz="8" w:color="D9D9D6"/>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$3,901</w:t>
            </w:r>
          </w:p>
        </w:tc>
        <w:tc>
          <w:tcPr>
            <w:tcW w:w="960" w:type="dxa"/>
            <w:vAlign w:val="bottom"/>
            <w:tcBorders>
              <w:bottom w:val="single" w:sz="8" w:color="D9D9D6"/>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$5,421</w:t>
            </w:r>
          </w:p>
        </w:tc>
        <w:tc>
          <w:tcPr>
            <w:tcW w:w="1120" w:type="dxa"/>
            <w:vAlign w:val="bottom"/>
            <w:tcBorders>
              <w:bottom w:val="single" w:sz="8" w:color="D9D9D6"/>
            </w:tcBorders>
            <w:gridSpan w:val="2"/>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-805180</wp:posOffset>
            </wp:positionV>
            <wp:extent cx="711835" cy="771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835" cy="771525"/>
                    </a:xfrm>
                    <a:prstGeom prst="rect">
                      <a:avLst/>
                    </a:prstGeom>
                    <a:noFill/>
                  </pic:spPr>
                </pic:pic>
              </a:graphicData>
            </a:graphic>
          </wp:anchor>
        </w:drawing>
      </w:r>
    </w:p>
    <w:p>
      <w:pPr>
        <w:spacing w:after="0" w:line="65"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 on Comcast’s Investor Relations website at www.cmcsa.com.</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1st Quarter 2026 Highlights:</w:t>
      </w:r>
    </w:p>
    <w:p>
      <w:pPr>
        <w:spacing w:after="0" w:line="40"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Consolidated Adjusted EBITDA of $7.9 Billion, Adjusted EPS of $0.79 and Free Cash Flow of $3.9 Billion</w:t>
      </w:r>
    </w:p>
    <w:p>
      <w:pPr>
        <w:spacing w:after="0" w:line="59"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Returned $2.5 Billion to Shareholders Through a Combination of $1.2 Billion in Dividend Payments and $1.3 Billion in Share Repurchases</w:t>
      </w:r>
    </w:p>
    <w:p>
      <w:pPr>
        <w:spacing w:after="0" w:line="1"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Connectivity &amp; Platforms, Connectivity Revenue Increased 1.6% to $11.6 Billion, Primarily Reflecting Growth in Domestic Wireless Equipment, Business Services Connectivity, Domestic Wireless Service and International Connectivity</w:t>
      </w:r>
    </w:p>
    <w:p>
      <w:pPr>
        <w:spacing w:after="0" w:line="1" w:lineRule="exact"/>
        <w:rPr>
          <w:rFonts w:ascii="Arial" w:cs="Arial" w:eastAsia="Arial" w:hAnsi="Arial"/>
          <w:sz w:val="18"/>
          <w:szCs w:val="18"/>
          <w:color w:val="auto"/>
        </w:rPr>
      </w:pPr>
    </w:p>
    <w:p>
      <w:pPr>
        <w:jc w:val="both"/>
        <w:ind w:left="340" w:hanging="332"/>
        <w:spacing w:after="0" w:line="268"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Gained Traction with Our New Go-to-Market Strategy Reflected by Domestic Residential Broadband Customer Net Losses Improving by 117,000 Year-over-Year to 65,000, and Domestic Wireless Customer Line Net Additions of 435,000 - Our Best Quarterly Result on Record; Total Wireless Lines Increased to 9.7 Million, Reaching 16% Penetration of Domestic Residential Broadband Customers</w:t>
      </w:r>
    </w:p>
    <w:p>
      <w:pPr>
        <w:spacing w:after="0" w:line="8"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Services Connectivity Revenue Increased 5.8% to $2.6 Billion, EBITDA Increased 3.8% to $1.5 Billion and EBITDA Margin Was 55.9%</w:t>
      </w:r>
    </w:p>
    <w:p>
      <w:pPr>
        <w:spacing w:after="0" w:line="1" w:lineRule="exact"/>
        <w:rPr>
          <w:rFonts w:ascii="Arial" w:cs="Arial" w:eastAsia="Arial" w:hAnsi="Arial"/>
          <w:sz w:val="18"/>
          <w:szCs w:val="18"/>
          <w:color w:val="auto"/>
        </w:rPr>
      </w:pPr>
    </w:p>
    <w:p>
      <w:pPr>
        <w:jc w:val="both"/>
        <w:ind w:left="340" w:hanging="332"/>
        <w:spacing w:after="0" w:line="262"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“Legendary February” Delivered Record-Setting Viewership, Reaching Over 225 Million Americans with the Milan Cortina Olympics - the Most-Watched Winter Games Since 2014 - Averaging 23.5 Million Viewers; Super Bowl LX - the Most-Watched Show in NBCU's Company History - Averaging 125 Million Viewers and the Second Most-Watched Event of All Time; and the NBA All-Star Game Delivering Its Largest Audience Since 2011</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737" w:right="339" w:bottom="1440" w:gutter="0" w:footer="0" w:header="0"/>
        </w:sectPr>
      </w:pPr>
    </w:p>
    <w:bookmarkStart w:id="4" w:name="page5"/>
    <w:bookmarkEnd w:id="4"/>
    <w:p>
      <w:pPr>
        <w:ind w:left="340" w:hanging="332"/>
        <w:spacing w:after="0" w:line="28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Peacock Delivered Strong Growth with Paid Subscribers Increasing 12% Year-over-Year to 46 Million and Revenue Growth of 71%, Surpassing $2 Billion for the First Time</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Theme Parks EBITDA Increased 33% to $551 Million, Fueled by the Opening of Epic Universe in May 2025</w:t>
      </w: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1st Quarter Consolidated Financial Results</w:t>
      </w:r>
    </w:p>
    <w:p>
      <w:pPr>
        <w:spacing w:after="0" w:line="4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increased 5.3% compared to the prior year period.</w:t>
      </w:r>
      <w:r>
        <w:rPr>
          <w:rFonts w:ascii="Arial" w:cs="Arial" w:eastAsia="Arial" w:hAnsi="Arial"/>
          <w:sz w:val="18"/>
          <w:szCs w:val="18"/>
          <w:b w:val="1"/>
          <w:bCs w:val="1"/>
          <w:color w:val="auto"/>
        </w:rPr>
        <w:t xml:space="preserve"> Net Income Attributable to Comcast </w:t>
      </w:r>
      <w:r>
        <w:rPr>
          <w:rFonts w:ascii="Arial" w:cs="Arial" w:eastAsia="Arial" w:hAnsi="Arial"/>
          <w:sz w:val="18"/>
          <w:szCs w:val="18"/>
          <w:color w:val="auto"/>
        </w:rPr>
        <w:t>decreased 35.6%.</w:t>
      </w:r>
      <w:r>
        <w:rPr>
          <w:rFonts w:ascii="Arial" w:cs="Arial" w:eastAsia="Arial" w:hAnsi="Arial"/>
          <w:sz w:val="18"/>
          <w:szCs w:val="18"/>
          <w:b w:val="1"/>
          <w:bCs w:val="1"/>
          <w:color w:val="auto"/>
        </w:rPr>
        <w:t xml:space="preserve"> Adjusted Net Income </w:t>
      </w:r>
      <w:r>
        <w:rPr>
          <w:rFonts w:ascii="Arial" w:cs="Arial" w:eastAsia="Arial" w:hAnsi="Arial"/>
          <w:sz w:val="18"/>
          <w:szCs w:val="18"/>
          <w:color w:val="auto"/>
        </w:rPr>
        <w:t>decreased 30.7%.</w:t>
      </w:r>
      <w:r>
        <w:rPr>
          <w:rFonts w:ascii="Arial" w:cs="Arial" w:eastAsia="Arial" w:hAnsi="Arial"/>
          <w:sz w:val="18"/>
          <w:szCs w:val="18"/>
          <w:b w:val="1"/>
          <w:bCs w:val="1"/>
          <w:color w:val="auto"/>
        </w:rPr>
        <w:t xml:space="preserve"> Adjusted EBITDA </w:t>
      </w:r>
      <w:r>
        <w:rPr>
          <w:rFonts w:ascii="Arial" w:cs="Arial" w:eastAsia="Arial" w:hAnsi="Arial"/>
          <w:sz w:val="18"/>
          <w:szCs w:val="18"/>
          <w:color w:val="auto"/>
        </w:rPr>
        <w:t>decreased 16.8%. On a pro forma basis to reflect the separation of Versant, which was</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on January 2, 2026, revenue increased 10.9% and Adjusted EBITDA decreased 8.8%.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decreased 32.6% to $0.60.</w:t>
      </w:r>
      <w:r>
        <w:rPr>
          <w:rFonts w:ascii="Arial" w:cs="Arial" w:eastAsia="Arial" w:hAnsi="Arial"/>
          <w:sz w:val="18"/>
          <w:szCs w:val="18"/>
          <w:b w:val="1"/>
          <w:bCs w:val="1"/>
          <w:i w:val="1"/>
          <w:iCs w:val="1"/>
          <w:color w:val="auto"/>
        </w:rPr>
        <w:t xml:space="preserve"> Adjusted EPS </w:t>
      </w:r>
      <w:r>
        <w:rPr>
          <w:rFonts w:ascii="Arial" w:cs="Arial" w:eastAsia="Arial" w:hAnsi="Arial"/>
          <w:sz w:val="18"/>
          <w:szCs w:val="18"/>
          <w:color w:val="auto"/>
        </w:rPr>
        <w:t>decreased 27.5% to $0.79</w:t>
      </w:r>
      <w:r>
        <w:rPr>
          <w:rFonts w:ascii="Arial" w:cs="Arial" w:eastAsia="Arial" w:hAnsi="Arial"/>
          <w:sz w:val="18"/>
          <w:szCs w:val="18"/>
          <w:color w:val="242424"/>
        </w:rPr>
        <w:t>.</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4.4% to $2.4 billion. Connectivity &amp; Platforms’ capital expenditures increased 13.4% to $1.8 billion,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higher spending on customer premise equipment, scalable infrastructure and support capital. Content &amp; Experiences' capital expenditures decreased 20.1% to $481 million, reflecting the opening of Epic Universe in May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$6.9 billion.</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$3.9 billion.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Comcast paid dividends totaling $1.2 billion and repurchased 42 million of its shares for $1.3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resulting in a total return of capital to shareholders of $2.5 billion.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Connectivity &amp;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25031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0317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p>
      <w:pPr>
        <w:spacing w:after="0" w:line="397" w:lineRule="exact"/>
        <w:rPr>
          <w:sz w:val="20"/>
          <w:szCs w:val="20"/>
          <w:color w:val="auto"/>
        </w:rPr>
      </w:pPr>
    </w:p>
    <w:p>
      <w:pPr>
        <w:ind w:left="140"/>
        <w:spacing w:after="0"/>
        <w:rPr>
          <w:sz w:val="20"/>
          <w:szCs w:val="20"/>
          <w:color w:val="auto"/>
        </w:rPr>
      </w:pPr>
      <w:r>
        <w:rPr>
          <w:rFonts w:ascii="Arial" w:cs="Arial" w:eastAsia="Arial" w:hAnsi="Arial"/>
          <w:sz w:val="11"/>
          <w:szCs w:val="11"/>
          <w:i w:val="1"/>
          <w:iCs w:val="1"/>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Connectivity &amp; Platforms Revenue</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Connectivity &amp; Platforms Revenue</w:t>
      </w:r>
    </w:p>
    <w:p>
      <w:pPr>
        <w:spacing w:after="0" w:line="25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Connectivity &amp; Platforms Adjusted EBITDA</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right="2100" w:hanging="12"/>
        <w:spacing w:after="0" w:line="462" w:lineRule="auto"/>
        <w:rPr>
          <w:sz w:val="20"/>
          <w:szCs w:val="20"/>
          <w:color w:val="auto"/>
        </w:rPr>
      </w:pPr>
      <w:r>
        <w:rPr>
          <w:rFonts w:ascii="Arial" w:cs="Arial" w:eastAsia="Arial" w:hAnsi="Arial"/>
          <w:sz w:val="14"/>
          <w:szCs w:val="14"/>
          <w:b w:val="1"/>
          <w:bCs w:val="1"/>
          <w:color w:val="auto"/>
        </w:rPr>
        <w:t>Total Connectivity &amp; Platforms Adjusted EBITDA Connectivity &amp; Platforms Adjusted EBITDA Margin</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Connectivity &amp; Platforms Adjusted EBITDA Margin</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Borders>
              <w:right w:val="single" w:sz="8" w:color="D9D9D6"/>
            </w:tcBorders>
            <w:gridSpan w:val="2"/>
            <w:vMerge w:val="restart"/>
            <w:shd w:val="clear" w:color="auto" w:fill="D9D9D6"/>
          </w:tcPr>
          <w:p>
            <w:pPr>
              <w:ind w:left="580"/>
              <w:spacing w:after="0"/>
              <w:rPr>
                <w:sz w:val="20"/>
                <w:szCs w:val="20"/>
                <w:color w:val="auto"/>
              </w:rPr>
            </w:pPr>
            <w:r>
              <w:rPr>
                <w:rFonts w:ascii="Arial" w:cs="Arial" w:eastAsia="Arial" w:hAnsi="Arial"/>
                <w:sz w:val="14"/>
                <w:szCs w:val="14"/>
                <w:color w:val="auto"/>
              </w:rPr>
              <w:t>Constant</w:t>
            </w:r>
          </w:p>
        </w:tc>
        <w:tc>
          <w:tcPr>
            <w:tcW w:w="320" w:type="dxa"/>
            <w:vAlign w:val="bottom"/>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76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80" w:type="dxa"/>
            <w:vAlign w:val="bottom"/>
            <w:vMerge w:val="restart"/>
            <w:shd w:val="clear" w:color="auto" w:fill="D9D9D6"/>
          </w:tcPr>
          <w:p>
            <w:pPr>
              <w:spacing w:after="0"/>
              <w:rPr>
                <w:sz w:val="8"/>
                <w:szCs w:val="8"/>
                <w:color w:val="auto"/>
              </w:rPr>
            </w:pPr>
          </w:p>
        </w:tc>
        <w:tc>
          <w:tcPr>
            <w:tcW w:w="820" w:type="dxa"/>
            <w:vAlign w:val="bottom"/>
            <w:gridSpan w:val="3"/>
            <w:vMerge w:val="restart"/>
            <w:shd w:val="clear" w:color="auto" w:fill="D9D9D6"/>
          </w:tcPr>
          <w:p>
            <w:pPr>
              <w:jc w:val="right"/>
              <w:ind w:right="100"/>
              <w:spacing w:after="0"/>
              <w:rPr>
                <w:sz w:val="20"/>
                <w:szCs w:val="20"/>
                <w:color w:val="auto"/>
              </w:rPr>
            </w:pPr>
            <w:r>
              <w:rPr>
                <w:rFonts w:ascii="Arial" w:cs="Arial" w:eastAsia="Arial" w:hAnsi="Arial"/>
                <w:sz w:val="14"/>
                <w:szCs w:val="14"/>
                <w:color w:val="auto"/>
                <w:w w:val="99"/>
              </w:rPr>
              <w:t>1st Quarter</w:t>
            </w:r>
          </w:p>
        </w:tc>
        <w:tc>
          <w:tcPr>
            <w:tcW w:w="680" w:type="dxa"/>
            <w:vAlign w:val="bottom"/>
            <w:shd w:val="clear" w:color="auto" w:fill="D9D9D6"/>
          </w:tcPr>
          <w:p>
            <w:pPr>
              <w:spacing w:after="0"/>
              <w:rPr>
                <w:sz w:val="8"/>
                <w:szCs w:val="8"/>
                <w:color w:val="auto"/>
              </w:rPr>
            </w:pPr>
          </w:p>
        </w:tc>
        <w:tc>
          <w:tcPr>
            <w:tcW w:w="50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200" w:type="dxa"/>
            <w:vAlign w:val="bottom"/>
            <w:tcBorders>
              <w:right w:val="single" w:sz="8" w:color="D9D9D6"/>
            </w:tcBorders>
            <w:gridSpan w:val="2"/>
            <w:vMerge w:val="continue"/>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760" w:type="dxa"/>
            <w:vAlign w:val="bottom"/>
            <w:shd w:val="clear" w:color="auto" w:fill="D9D9D6"/>
          </w:tcPr>
          <w:p>
            <w:pPr>
              <w:spacing w:after="0"/>
              <w:rPr>
                <w:sz w:val="7"/>
                <w:szCs w:val="7"/>
                <w:color w:val="auto"/>
              </w:rPr>
            </w:pPr>
          </w:p>
        </w:tc>
        <w:tc>
          <w:tcPr>
            <w:tcW w:w="320" w:type="dxa"/>
            <w:vAlign w:val="bottom"/>
            <w:shd w:val="clear" w:color="auto" w:fill="D9D9D6"/>
          </w:tcPr>
          <w:p>
            <w:pPr>
              <w:spacing w:after="0"/>
              <w:rPr>
                <w:sz w:val="7"/>
                <w:szCs w:val="7"/>
                <w:color w:val="auto"/>
              </w:rPr>
            </w:pPr>
          </w:p>
        </w:tc>
        <w:tc>
          <w:tcPr>
            <w:tcW w:w="20" w:type="dxa"/>
            <w:vAlign w:val="bottom"/>
            <w:shd w:val="clear" w:color="auto" w:fill="D9D9D6"/>
          </w:tcPr>
          <w:p>
            <w:pPr>
              <w:spacing w:after="0"/>
              <w:rPr>
                <w:sz w:val="7"/>
                <w:szCs w:val="7"/>
                <w:color w:val="auto"/>
              </w:rPr>
            </w:pPr>
          </w:p>
        </w:tc>
        <w:tc>
          <w:tcPr>
            <w:tcW w:w="180" w:type="dxa"/>
            <w:vAlign w:val="bottom"/>
            <w:vMerge w:val="continue"/>
            <w:shd w:val="clear" w:color="auto" w:fill="D9D9D6"/>
          </w:tcPr>
          <w:p>
            <w:pPr>
              <w:spacing w:after="0"/>
              <w:rPr>
                <w:sz w:val="7"/>
                <w:szCs w:val="7"/>
                <w:color w:val="auto"/>
              </w:rPr>
            </w:pPr>
          </w:p>
        </w:tc>
        <w:tc>
          <w:tcPr>
            <w:tcW w:w="820" w:type="dxa"/>
            <w:vAlign w:val="bottom"/>
            <w:gridSpan w:val="3"/>
            <w:vMerge w:val="continue"/>
            <w:shd w:val="clear" w:color="auto" w:fill="D9D9D6"/>
          </w:tcPr>
          <w:p>
            <w:pPr>
              <w:spacing w:after="0"/>
              <w:rPr>
                <w:sz w:val="7"/>
                <w:szCs w:val="7"/>
                <w:color w:val="auto"/>
              </w:rPr>
            </w:pPr>
          </w:p>
        </w:tc>
        <w:tc>
          <w:tcPr>
            <w:tcW w:w="680" w:type="dxa"/>
            <w:vAlign w:val="bottom"/>
            <w:shd w:val="clear" w:color="auto" w:fill="D9D9D6"/>
          </w:tcPr>
          <w:p>
            <w:pPr>
              <w:spacing w:after="0"/>
              <w:rPr>
                <w:sz w:val="7"/>
                <w:szCs w:val="7"/>
                <w:color w:val="auto"/>
              </w:rPr>
            </w:pPr>
          </w:p>
        </w:tc>
        <w:tc>
          <w:tcPr>
            <w:tcW w:w="500" w:type="dxa"/>
            <w:vAlign w:val="bottom"/>
            <w:shd w:val="clear" w:color="auto" w:fill="D9D9D6"/>
          </w:tcPr>
          <w:p>
            <w:pPr>
              <w:spacing w:after="0"/>
              <w:rPr>
                <w:sz w:val="7"/>
                <w:szCs w:val="7"/>
                <w:color w:val="auto"/>
              </w:rPr>
            </w:pPr>
          </w:p>
        </w:tc>
        <w:tc>
          <w:tcPr>
            <w:tcW w:w="20" w:type="dxa"/>
            <w:vAlign w:val="bottom"/>
            <w:shd w:val="clear" w:color="auto" w:fill="D9D9D6"/>
          </w:tcPr>
          <w:p>
            <w:pPr>
              <w:spacing w:after="0"/>
              <w:rPr>
                <w:sz w:val="7"/>
                <w:szCs w:val="7"/>
                <w:color w:val="auto"/>
              </w:rPr>
            </w:pPr>
          </w:p>
        </w:tc>
        <w:tc>
          <w:tcPr>
            <w:tcW w:w="1200" w:type="dxa"/>
            <w:vAlign w:val="bottom"/>
            <w:tcBorders>
              <w:right w:val="single" w:sz="8" w:color="D9D9D6"/>
            </w:tcBorders>
            <w:gridSpan w:val="2"/>
            <w:vMerge w:val="restart"/>
            <w:shd w:val="clear" w:color="auto" w:fill="D9D9D6"/>
          </w:tcPr>
          <w:p>
            <w:pPr>
              <w:ind w:left="560"/>
              <w:spacing w:after="0" w:line="137" w:lineRule="exact"/>
              <w:rPr>
                <w:sz w:val="20"/>
                <w:szCs w:val="20"/>
                <w:color w:val="auto"/>
              </w:rPr>
            </w:pPr>
            <w:r>
              <w:rPr>
                <w:rFonts w:ascii="Arial" w:cs="Arial" w:eastAsia="Arial" w:hAnsi="Arial"/>
                <w:sz w:val="14"/>
                <w:szCs w:val="14"/>
                <w:color w:val="auto"/>
              </w:rPr>
              <w:t>Currency</w:t>
            </w:r>
          </w:p>
        </w:tc>
        <w:tc>
          <w:tcPr>
            <w:tcW w:w="320" w:type="dxa"/>
            <w:vAlign w:val="bottom"/>
            <w:shd w:val="clear" w:color="auto" w:fill="D9D9D6"/>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vMerge w:val="restart"/>
            <w:shd w:val="clear" w:color="auto" w:fill="D9D9D6"/>
          </w:tcPr>
          <w:p>
            <w:pPr>
              <w:spacing w:after="0" w:line="20" w:lineRule="exact"/>
              <w:rPr>
                <w:sz w:val="1"/>
                <w:szCs w:val="1"/>
                <w:color w:val="auto"/>
              </w:rPr>
            </w:pPr>
          </w:p>
        </w:tc>
        <w:tc>
          <w:tcPr>
            <w:tcW w:w="340" w:type="dxa"/>
            <w:vAlign w:val="bottom"/>
            <w:gridSpan w:val="2"/>
            <w:vMerge w:val="restart"/>
            <w:shd w:val="clear" w:color="auto" w:fill="D9D9D6"/>
          </w:tcPr>
          <w:p>
            <w:pPr>
              <w:jc w:val="right"/>
              <w:ind w:right="20"/>
              <w:spacing w:after="0"/>
              <w:rPr>
                <w:sz w:val="20"/>
                <w:szCs w:val="20"/>
                <w:color w:val="auto"/>
              </w:rPr>
            </w:pPr>
            <w:r>
              <w:rPr>
                <w:rFonts w:ascii="Arial" w:cs="Arial" w:eastAsia="Arial" w:hAnsi="Arial"/>
                <w:sz w:val="14"/>
                <w:szCs w:val="14"/>
                <w:color w:val="auto"/>
                <w:w w:val="96"/>
              </w:rPr>
              <w:t>2026</w:t>
            </w:r>
          </w:p>
        </w:tc>
        <w:tc>
          <w:tcPr>
            <w:tcW w:w="180" w:type="dxa"/>
            <w:vAlign w:val="bottom"/>
            <w:shd w:val="clear" w:color="auto" w:fill="D9D9D6"/>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Borders>
              <w:right w:val="single" w:sz="8" w:color="D9D9D6"/>
            </w:tcBorders>
            <w:shd w:val="clear" w:color="auto" w:fill="000000"/>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1200" w:type="dxa"/>
            <w:vAlign w:val="bottom"/>
            <w:gridSpan w:val="3"/>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Change</w:t>
            </w:r>
          </w:p>
        </w:tc>
        <w:tc>
          <w:tcPr>
            <w:tcW w:w="1200" w:type="dxa"/>
            <w:vAlign w:val="bottom"/>
            <w:tcBorders>
              <w:right w:val="single" w:sz="8" w:color="D9D9D6"/>
            </w:tcBorders>
            <w:gridSpan w:val="2"/>
            <w:vMerge w:val="continue"/>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760" w:type="dxa"/>
            <w:vAlign w:val="bottom"/>
            <w:vMerge w:val="continue"/>
            <w:shd w:val="clear" w:color="auto" w:fill="D9D9D6"/>
          </w:tcPr>
          <w:p>
            <w:pPr>
              <w:spacing w:after="0"/>
              <w:rPr>
                <w:sz w:val="3"/>
                <w:szCs w:val="3"/>
                <w:color w:val="auto"/>
              </w:rPr>
            </w:pPr>
          </w:p>
        </w:tc>
        <w:tc>
          <w:tcPr>
            <w:tcW w:w="340" w:type="dxa"/>
            <w:vAlign w:val="bottom"/>
            <w:gridSpan w:val="2"/>
            <w:vMerge w:val="continue"/>
            <w:shd w:val="clear" w:color="auto" w:fill="D9D9D6"/>
          </w:tcPr>
          <w:p>
            <w:pPr>
              <w:spacing w:after="0"/>
              <w:rPr>
                <w:sz w:val="3"/>
                <w:szCs w:val="3"/>
                <w:color w:val="auto"/>
              </w:rPr>
            </w:pPr>
          </w:p>
        </w:tc>
        <w:tc>
          <w:tcPr>
            <w:tcW w:w="180" w:type="dxa"/>
            <w:vAlign w:val="bottom"/>
            <w:vMerge w:val="restart"/>
            <w:shd w:val="clear" w:color="auto" w:fill="D9D9D6"/>
          </w:tcPr>
          <w:p>
            <w:pPr>
              <w:spacing w:after="0"/>
              <w:rPr>
                <w:sz w:val="3"/>
                <w:szCs w:val="3"/>
                <w:color w:val="auto"/>
              </w:rPr>
            </w:pPr>
          </w:p>
        </w:tc>
        <w:tc>
          <w:tcPr>
            <w:tcW w:w="820" w:type="dxa"/>
            <w:vAlign w:val="bottom"/>
            <w:gridSpan w:val="3"/>
            <w:vMerge w:val="restart"/>
            <w:shd w:val="clear" w:color="auto" w:fill="D9D9D6"/>
          </w:tcPr>
          <w:p>
            <w:pPr>
              <w:jc w:val="right"/>
              <w:ind w:right="20"/>
              <w:spacing w:after="0" w:line="169" w:lineRule="exact"/>
              <w:rPr>
                <w:sz w:val="20"/>
                <w:szCs w:val="20"/>
                <w:color w:val="auto"/>
              </w:rPr>
            </w:pPr>
            <w:r>
              <w:rPr>
                <w:rFonts w:ascii="Arial" w:cs="Arial" w:eastAsia="Arial" w:hAnsi="Arial"/>
                <w:sz w:val="14"/>
                <w:szCs w:val="14"/>
                <w:color w:val="auto"/>
              </w:rPr>
              <w:t>2025</w:t>
            </w:r>
            <w:r>
              <w:rPr>
                <w:rFonts w:ascii="Arial" w:cs="Arial" w:eastAsia="Arial" w:hAnsi="Arial"/>
                <w:sz w:val="18"/>
                <w:szCs w:val="18"/>
                <w:color w:val="auto"/>
                <w:vertAlign w:val="superscript"/>
              </w:rPr>
              <w:t>6</w:t>
            </w:r>
          </w:p>
        </w:tc>
        <w:tc>
          <w:tcPr>
            <w:tcW w:w="1200" w:type="dxa"/>
            <w:vAlign w:val="bottom"/>
            <w:gridSpan w:val="3"/>
            <w:vMerge w:val="continue"/>
            <w:shd w:val="clear" w:color="auto" w:fill="D9D9D6"/>
          </w:tcPr>
          <w:p>
            <w:pPr>
              <w:spacing w:after="0"/>
              <w:rPr>
                <w:sz w:val="3"/>
                <w:szCs w:val="3"/>
                <w:color w:val="auto"/>
              </w:rPr>
            </w:pPr>
          </w:p>
        </w:tc>
        <w:tc>
          <w:tcPr>
            <w:tcW w:w="1200" w:type="dxa"/>
            <w:vAlign w:val="bottom"/>
            <w:tcBorders>
              <w:right w:val="single" w:sz="8" w:color="D9D9D6"/>
            </w:tcBorders>
            <w:gridSpan w:val="2"/>
            <w:vMerge w:val="continue"/>
            <w:shd w:val="clear" w:color="auto" w:fill="D9D9D6"/>
          </w:tcPr>
          <w:p>
            <w:pPr>
              <w:spacing w:after="0"/>
              <w:rPr>
                <w:sz w:val="3"/>
                <w:szCs w:val="3"/>
                <w:color w:val="auto"/>
              </w:rPr>
            </w:pPr>
          </w:p>
        </w:tc>
        <w:tc>
          <w:tcPr>
            <w:tcW w:w="320" w:type="dxa"/>
            <w:vAlign w:val="bottom"/>
            <w:shd w:val="clear" w:color="auto" w:fill="D9D9D6"/>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7"/>
        </w:trPr>
        <w:tc>
          <w:tcPr>
            <w:tcW w:w="760" w:type="dxa"/>
            <w:vAlign w:val="bottom"/>
            <w:vMerge w:val="continue"/>
            <w:shd w:val="clear" w:color="auto" w:fill="D9D9D6"/>
          </w:tcPr>
          <w:p>
            <w:pPr>
              <w:spacing w:after="0"/>
              <w:rPr>
                <w:sz w:val="12"/>
                <w:szCs w:val="12"/>
                <w:color w:val="auto"/>
              </w:rPr>
            </w:pPr>
          </w:p>
        </w:tc>
        <w:tc>
          <w:tcPr>
            <w:tcW w:w="340" w:type="dxa"/>
            <w:vAlign w:val="bottom"/>
            <w:gridSpan w:val="2"/>
            <w:vMerge w:val="continue"/>
            <w:shd w:val="clear" w:color="auto" w:fill="D9D9D6"/>
          </w:tcPr>
          <w:p>
            <w:pPr>
              <w:spacing w:after="0"/>
              <w:rPr>
                <w:sz w:val="12"/>
                <w:szCs w:val="12"/>
                <w:color w:val="auto"/>
              </w:rPr>
            </w:pPr>
          </w:p>
        </w:tc>
        <w:tc>
          <w:tcPr>
            <w:tcW w:w="180" w:type="dxa"/>
            <w:vAlign w:val="bottom"/>
            <w:vMerge w:val="continue"/>
            <w:shd w:val="clear" w:color="auto" w:fill="D9D9D6"/>
          </w:tcPr>
          <w:p>
            <w:pPr>
              <w:spacing w:after="0"/>
              <w:rPr>
                <w:sz w:val="12"/>
                <w:szCs w:val="12"/>
                <w:color w:val="auto"/>
              </w:rPr>
            </w:pPr>
          </w:p>
        </w:tc>
        <w:tc>
          <w:tcPr>
            <w:tcW w:w="820" w:type="dxa"/>
            <w:vAlign w:val="bottom"/>
            <w:gridSpan w:val="3"/>
            <w:vMerge w:val="continue"/>
            <w:shd w:val="clear" w:color="auto" w:fill="D9D9D6"/>
          </w:tcPr>
          <w:p>
            <w:pPr>
              <w:spacing w:after="0"/>
              <w:rPr>
                <w:sz w:val="12"/>
                <w:szCs w:val="12"/>
                <w:color w:val="auto"/>
              </w:rPr>
            </w:pPr>
          </w:p>
        </w:tc>
        <w:tc>
          <w:tcPr>
            <w:tcW w:w="1200" w:type="dxa"/>
            <w:vAlign w:val="bottom"/>
            <w:gridSpan w:val="3"/>
            <w:vMerge w:val="continue"/>
            <w:shd w:val="clear" w:color="auto" w:fill="D9D9D6"/>
          </w:tcPr>
          <w:p>
            <w:pPr>
              <w:spacing w:after="0"/>
              <w:rPr>
                <w:sz w:val="12"/>
                <w:szCs w:val="12"/>
                <w:color w:val="auto"/>
              </w:rPr>
            </w:pPr>
          </w:p>
        </w:tc>
        <w:tc>
          <w:tcPr>
            <w:tcW w:w="640" w:type="dxa"/>
            <w:vAlign w:val="bottom"/>
            <w:shd w:val="clear" w:color="auto" w:fill="D9D9D6"/>
          </w:tcPr>
          <w:p>
            <w:pPr>
              <w:spacing w:after="0"/>
              <w:rPr>
                <w:sz w:val="12"/>
                <w:szCs w:val="12"/>
                <w:color w:val="auto"/>
              </w:rPr>
            </w:pPr>
          </w:p>
        </w:tc>
        <w:tc>
          <w:tcPr>
            <w:tcW w:w="560" w:type="dxa"/>
            <w:vAlign w:val="bottom"/>
            <w:tcBorders>
              <w:right w:val="single" w:sz="8" w:color="D9D9D6"/>
            </w:tcBorders>
            <w:shd w:val="clear" w:color="auto" w:fill="D9D9D6"/>
          </w:tcPr>
          <w:p>
            <w:pPr>
              <w:jc w:val="right"/>
              <w:spacing w:after="0" w:line="127"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7</w:t>
            </w:r>
          </w:p>
        </w:tc>
        <w:tc>
          <w:tcPr>
            <w:tcW w:w="320" w:type="dxa"/>
            <w:vAlign w:val="bottom"/>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D9D9D6"/>
            </w:tcBorders>
            <w:shd w:val="clear" w:color="auto" w:fill="D9D9D6"/>
          </w:tcPr>
          <w:p>
            <w:pPr>
              <w:spacing w:after="0" w:line="20" w:lineRule="exact"/>
              <w:rPr>
                <w:sz w:val="1"/>
                <w:szCs w:val="1"/>
                <w:color w:val="auto"/>
              </w:rPr>
            </w:pPr>
          </w:p>
        </w:tc>
        <w:tc>
          <w:tcPr>
            <w:tcW w:w="32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180" w:type="dxa"/>
            <w:vAlign w:val="bottom"/>
            <w:tcBorders>
              <w:top w:val="single" w:sz="8" w:color="D9D9D6"/>
            </w:tcBorders>
            <w:shd w:val="clear" w:color="auto" w:fill="D9D9D6"/>
          </w:tcPr>
          <w:p>
            <w:pPr>
              <w:spacing w:after="0" w:line="20" w:lineRule="exact"/>
              <w:rPr>
                <w:sz w:val="1"/>
                <w:szCs w:val="1"/>
                <w:color w:val="auto"/>
              </w:rPr>
            </w:pPr>
          </w:p>
        </w:tc>
        <w:tc>
          <w:tcPr>
            <w:tcW w:w="420" w:type="dxa"/>
            <w:vAlign w:val="bottom"/>
            <w:tcBorders>
              <w:top w:val="single" w:sz="8" w:color="D9D9D6"/>
            </w:tcBorders>
            <w:shd w:val="clear" w:color="auto" w:fill="D9D9D6"/>
          </w:tcPr>
          <w:p>
            <w:pPr>
              <w:spacing w:after="0" w:line="20" w:lineRule="exact"/>
              <w:rPr>
                <w:sz w:val="1"/>
                <w:szCs w:val="1"/>
                <w:color w:val="auto"/>
              </w:rPr>
            </w:pPr>
          </w:p>
        </w:tc>
        <w:tc>
          <w:tcPr>
            <w:tcW w:w="320" w:type="dxa"/>
            <w:vAlign w:val="bottom"/>
            <w:tcBorders>
              <w:top w:val="single" w:sz="8" w:color="D9D9D6"/>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D9D9D6"/>
            </w:tcBorders>
            <w:shd w:val="clear" w:color="auto" w:fill="D9D9D6"/>
          </w:tcPr>
          <w:p>
            <w:pPr>
              <w:spacing w:after="0" w:line="20" w:lineRule="exact"/>
              <w:rPr>
                <w:sz w:val="1"/>
                <w:szCs w:val="1"/>
                <w:color w:val="auto"/>
              </w:rPr>
            </w:pPr>
          </w:p>
        </w:tc>
        <w:tc>
          <w:tcPr>
            <w:tcW w:w="68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64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right w:val="single" w:sz="8" w:color="D9D9D6"/>
            </w:tcBorders>
            <w:shd w:val="clear" w:color="auto" w:fill="000000"/>
          </w:tcPr>
          <w:p>
            <w:pPr>
              <w:spacing w:after="0" w:line="20" w:lineRule="exact"/>
              <w:rPr>
                <w:sz w:val="1"/>
                <w:szCs w:val="1"/>
                <w:color w:val="auto"/>
              </w:rPr>
            </w:pPr>
          </w:p>
        </w:tc>
        <w:tc>
          <w:tcPr>
            <w:tcW w:w="320" w:type="dxa"/>
            <w:vAlign w:val="bottom"/>
            <w:tcBorders>
              <w:top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$17,323</w:t>
            </w: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$17,665</w:t>
            </w:r>
          </w:p>
        </w:tc>
        <w:tc>
          <w:tcPr>
            <w:tcW w:w="118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(1.9%)</w:t>
            </w:r>
          </w:p>
        </w:tc>
        <w:tc>
          <w:tcPr>
            <w:tcW w:w="20" w:type="dxa"/>
            <w:vAlign w:val="bottom"/>
            <w:shd w:val="clear" w:color="auto" w:fill="D9D9D6"/>
          </w:tcPr>
          <w:p>
            <w:pPr>
              <w:spacing w:after="0"/>
              <w:rPr>
                <w:sz w:val="24"/>
                <w:szCs w:val="24"/>
                <w:color w:val="auto"/>
              </w:rPr>
            </w:pPr>
          </w:p>
        </w:tc>
        <w:tc>
          <w:tcPr>
            <w:tcW w:w="120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(3.6%)</w:t>
            </w: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1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2,640</w:t>
            </w:r>
          </w:p>
        </w:tc>
        <w:tc>
          <w:tcPr>
            <w:tcW w:w="100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2,496</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5.8%</w:t>
            </w: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4"/>
                <w:szCs w:val="14"/>
                <w:color w:val="auto"/>
              </w:rPr>
              <w:t>5.7%</w:t>
            </w:r>
          </w:p>
        </w:tc>
        <w:tc>
          <w:tcPr>
            <w:tcW w:w="3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$19,962</w:t>
            </w: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$20,161</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(1.0%)</w:t>
            </w:r>
          </w:p>
        </w:tc>
        <w:tc>
          <w:tcPr>
            <w:tcW w:w="20" w:type="dxa"/>
            <w:vAlign w:val="bottom"/>
          </w:tcPr>
          <w:p>
            <w:pPr>
              <w:spacing w:after="0"/>
              <w:rPr>
                <w:sz w:val="17"/>
                <w:szCs w:val="17"/>
                <w:color w:val="auto"/>
              </w:rPr>
            </w:pPr>
          </w:p>
        </w:tc>
        <w:tc>
          <w:tcPr>
            <w:tcW w:w="120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(2.5%)</w:t>
            </w:r>
          </w:p>
        </w:tc>
        <w:tc>
          <w:tcPr>
            <w:tcW w:w="3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2"/>
        </w:trPr>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$6,434</w:t>
            </w: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$6,842</w:t>
            </w:r>
          </w:p>
        </w:tc>
        <w:tc>
          <w:tcPr>
            <w:tcW w:w="118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(6.0%)</w:t>
            </w:r>
          </w:p>
        </w:tc>
        <w:tc>
          <w:tcPr>
            <w:tcW w:w="20" w:type="dxa"/>
            <w:vAlign w:val="bottom"/>
            <w:shd w:val="clear" w:color="auto" w:fill="D9D9D6"/>
          </w:tcPr>
          <w:p>
            <w:pPr>
              <w:spacing w:after="0"/>
              <w:rPr>
                <w:sz w:val="24"/>
                <w:szCs w:val="24"/>
                <w:color w:val="auto"/>
              </w:rPr>
            </w:pPr>
          </w:p>
        </w:tc>
        <w:tc>
          <w:tcPr>
            <w:tcW w:w="120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(6.5%)</w:t>
            </w: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1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1,476</w:t>
            </w:r>
          </w:p>
        </w:tc>
        <w:tc>
          <w:tcPr>
            <w:tcW w:w="100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1,422</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3.8%</w:t>
            </w: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4"/>
                <w:szCs w:val="14"/>
                <w:color w:val="auto"/>
              </w:rPr>
              <w:t>3.9%</w:t>
            </w:r>
          </w:p>
        </w:tc>
        <w:tc>
          <w:tcPr>
            <w:tcW w:w="3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$7,910</w:t>
            </w: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$8,264</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(4.3%)</w:t>
            </w:r>
          </w:p>
        </w:tc>
        <w:tc>
          <w:tcPr>
            <w:tcW w:w="20" w:type="dxa"/>
            <w:vAlign w:val="bottom"/>
          </w:tcPr>
          <w:p>
            <w:pPr>
              <w:spacing w:after="0"/>
              <w:rPr>
                <w:sz w:val="17"/>
                <w:szCs w:val="17"/>
                <w:color w:val="auto"/>
              </w:rPr>
            </w:pPr>
          </w:p>
        </w:tc>
        <w:tc>
          <w:tcPr>
            <w:tcW w:w="120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(4.7%)</w:t>
            </w:r>
          </w:p>
        </w:tc>
        <w:tc>
          <w:tcPr>
            <w:tcW w:w="3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2"/>
        </w:trPr>
        <w:tc>
          <w:tcPr>
            <w:tcW w:w="10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37.1%</w:t>
            </w:r>
          </w:p>
        </w:tc>
        <w:tc>
          <w:tcPr>
            <w:tcW w:w="20" w:type="dxa"/>
            <w:vAlign w:val="bottom"/>
            <w:shd w:val="clear" w:color="auto" w:fill="D9D9D6"/>
          </w:tcPr>
          <w:p>
            <w:pPr>
              <w:spacing w:after="0"/>
              <w:rPr>
                <w:sz w:val="24"/>
                <w:szCs w:val="24"/>
                <w:color w:val="auto"/>
              </w:rPr>
            </w:pP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38.7%</w:t>
            </w:r>
          </w:p>
        </w:tc>
        <w:tc>
          <w:tcPr>
            <w:tcW w:w="12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(160) bps</w:t>
            </w:r>
          </w:p>
        </w:tc>
        <w:tc>
          <w:tcPr>
            <w:tcW w:w="1200" w:type="dxa"/>
            <w:vAlign w:val="bottom"/>
            <w:tcBorders>
              <w:right w:val="single" w:sz="8" w:color="D9D9D6"/>
            </w:tcBorders>
            <w:gridSpan w:val="2"/>
            <w:shd w:val="clear" w:color="auto" w:fill="D9D9D6"/>
          </w:tcPr>
          <w:p>
            <w:pPr>
              <w:ind w:left="580"/>
              <w:spacing w:after="0"/>
              <w:rPr>
                <w:sz w:val="20"/>
                <w:szCs w:val="20"/>
                <w:color w:val="auto"/>
              </w:rPr>
            </w:pPr>
            <w:r>
              <w:rPr>
                <w:rFonts w:ascii="Arial" w:cs="Arial" w:eastAsia="Arial" w:hAnsi="Arial"/>
                <w:sz w:val="14"/>
                <w:szCs w:val="14"/>
                <w:color w:val="auto"/>
                <w:w w:val="97"/>
              </w:rPr>
              <w:t>(120) bps</w:t>
            </w: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55.9%</w:t>
            </w: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57.0%</w:t>
            </w:r>
          </w:p>
        </w:tc>
        <w:tc>
          <w:tcPr>
            <w:tcW w:w="12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(110) bps</w:t>
            </w:r>
          </w:p>
        </w:tc>
        <w:tc>
          <w:tcPr>
            <w:tcW w:w="1200" w:type="dxa"/>
            <w:vAlign w:val="bottom"/>
            <w:tcBorders>
              <w:bottom w:val="single" w:sz="8" w:color="auto"/>
              <w:right w:val="single" w:sz="8" w:color="D9D9D6"/>
            </w:tcBorders>
            <w:gridSpan w:val="2"/>
            <w:shd w:val="clear" w:color="auto" w:fill="D9D9D6"/>
          </w:tcPr>
          <w:p>
            <w:pPr>
              <w:ind w:left="580"/>
              <w:spacing w:after="0"/>
              <w:rPr>
                <w:sz w:val="20"/>
                <w:szCs w:val="20"/>
                <w:color w:val="auto"/>
              </w:rPr>
            </w:pPr>
            <w:r>
              <w:rPr>
                <w:rFonts w:ascii="Arial" w:cs="Arial" w:eastAsia="Arial" w:hAnsi="Arial"/>
                <w:sz w:val="14"/>
                <w:szCs w:val="14"/>
                <w:color w:val="auto"/>
                <w:w w:val="97"/>
              </w:rPr>
              <w:t>(100) bps</w:t>
            </w:r>
          </w:p>
        </w:tc>
        <w:tc>
          <w:tcPr>
            <w:tcW w:w="3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Borders>
              <w:bottom w:val="single" w:sz="8" w:color="D9D9D6"/>
            </w:tcBorders>
            <w:gridSpan w:val="2"/>
          </w:tcPr>
          <w:p>
            <w:pPr>
              <w:jc w:val="right"/>
              <w:spacing w:after="0"/>
              <w:rPr>
                <w:sz w:val="20"/>
                <w:szCs w:val="20"/>
                <w:color w:val="auto"/>
              </w:rPr>
            </w:pPr>
            <w:r>
              <w:rPr>
                <w:rFonts w:ascii="Arial" w:cs="Arial" w:eastAsia="Arial" w:hAnsi="Arial"/>
                <w:sz w:val="14"/>
                <w:szCs w:val="14"/>
                <w:b w:val="1"/>
                <w:bCs w:val="1"/>
                <w:color w:val="auto"/>
              </w:rPr>
              <w:t>39.6%</w:t>
            </w:r>
          </w:p>
        </w:tc>
        <w:tc>
          <w:tcPr>
            <w:tcW w:w="20" w:type="dxa"/>
            <w:vAlign w:val="bottom"/>
            <w:tcBorders>
              <w:bottom w:val="single" w:sz="8" w:color="D9D9D6"/>
            </w:tcBorders>
          </w:tcPr>
          <w:p>
            <w:pPr>
              <w:spacing w:after="0"/>
              <w:rPr>
                <w:sz w:val="20"/>
                <w:szCs w:val="20"/>
                <w:color w:val="auto"/>
              </w:rPr>
            </w:pPr>
          </w:p>
        </w:tc>
        <w:tc>
          <w:tcPr>
            <w:tcW w:w="1000" w:type="dxa"/>
            <w:vAlign w:val="bottom"/>
            <w:tcBorders>
              <w:bottom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41.0%</w:t>
            </w:r>
          </w:p>
        </w:tc>
        <w:tc>
          <w:tcPr>
            <w:tcW w:w="1200" w:type="dxa"/>
            <w:vAlign w:val="bottom"/>
            <w:tcBorders>
              <w:bottom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(140) bps</w:t>
            </w:r>
          </w:p>
        </w:tc>
        <w:tc>
          <w:tcPr>
            <w:tcW w:w="1200" w:type="dxa"/>
            <w:vAlign w:val="bottom"/>
            <w:tcBorders>
              <w:bottom w:val="single" w:sz="8" w:color="D9D9D6"/>
              <w:right w:val="single" w:sz="8" w:color="D9D9D6"/>
            </w:tcBorders>
            <w:gridSpan w:val="2"/>
            <w:shd w:val="clear" w:color="auto" w:fill="D9D9D6"/>
          </w:tcPr>
          <w:p>
            <w:pPr>
              <w:ind w:left="560"/>
              <w:spacing w:after="0"/>
              <w:rPr>
                <w:sz w:val="20"/>
                <w:szCs w:val="20"/>
                <w:color w:val="auto"/>
              </w:rPr>
            </w:pPr>
            <w:r>
              <w:rPr>
                <w:rFonts w:ascii="Arial" w:cs="Arial" w:eastAsia="Arial" w:hAnsi="Arial"/>
                <w:sz w:val="14"/>
                <w:szCs w:val="14"/>
                <w:b w:val="1"/>
                <w:bCs w:val="1"/>
                <w:color w:val="auto"/>
                <w:w w:val="97"/>
              </w:rPr>
              <w:t>(100) bps</w:t>
            </w:r>
          </w:p>
        </w:tc>
        <w:tc>
          <w:tcPr>
            <w:tcW w:w="320" w:type="dxa"/>
            <w:vAlign w:val="bottom"/>
            <w:tcBorders>
              <w:bottom w:val="single" w:sz="8" w:color="D9D9D6"/>
            </w:tcBorders>
            <w:shd w:val="clear" w:color="auto" w:fill="D9D9D6"/>
          </w:tcPr>
          <w:p>
            <w:pPr>
              <w:spacing w:after="0"/>
              <w:rPr>
                <w:sz w:val="20"/>
                <w:szCs w:val="2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ectPr>
          <w:pgSz w:w="11900" w:h="16838" w:orient="portrait"/>
          <w:cols w:equalWidth="0" w:num="2">
            <w:col w:w="5700" w:space="720"/>
            <w:col w:w="4820"/>
          </w:cols>
          <w:pgMar w:left="320" w:top="580" w:right="339" w:bottom="1440" w:gutter="0" w:footer="0" w:header="0"/>
          <w:type w:val="continuous"/>
        </w:sectPr>
      </w:pPr>
    </w:p>
    <w:p>
      <w:pPr>
        <w:spacing w:after="0" w:line="285" w:lineRule="auto"/>
        <w:rPr>
          <w:sz w:val="20"/>
          <w:szCs w:val="20"/>
          <w:color w:val="auto"/>
        </w:rPr>
      </w:pPr>
      <w:r>
        <w:rPr>
          <w:rFonts w:ascii="Arial" w:cs="Arial" w:eastAsia="Arial" w:hAnsi="Arial"/>
          <w:sz w:val="14"/>
          <w:szCs w:val="14"/>
          <w:color w:val="auto"/>
        </w:rPr>
        <w:t>Change percentages represent year/year growth rates. The changes in Adjusted EBITDA margins are presented as year/year basis point changes in the rounded Adjusted EBITDA margins.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Connectivity &amp; Platforms decreased compared to the prior year period.</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decreased due to a decline in</w:t>
      </w:r>
    </w:p>
    <w:p>
      <w:pPr>
        <w:spacing w:after="0" w:line="1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 xml:space="preserve">Residential Connectivity &amp; Platforms, partially offset by growth in Business Services Connectivity. Residential Connectivity &amp; Platforms revenue and Adjusted EBITDA reflect the investment in our new go-to-market strategy. </w:t>
      </w:r>
      <w:r>
        <w:rPr>
          <w:rFonts w:ascii="Arial" w:cs="Arial" w:eastAsia="Arial" w:hAnsi="Arial"/>
          <w:sz w:val="18"/>
          <w:szCs w:val="18"/>
          <w:b w:val="1"/>
          <w:bCs w:val="1"/>
          <w:i w:val="1"/>
          <w:iCs w:val="1"/>
          <w:color w:val="auto"/>
        </w:rPr>
        <w:t>Adjusted EBITDA margin</w:t>
      </w:r>
      <w:r>
        <w:rPr>
          <w:rFonts w:ascii="Arial" w:cs="Arial" w:eastAsia="Arial" w:hAnsi="Arial"/>
          <w:sz w:val="18"/>
          <w:szCs w:val="18"/>
          <w:color w:val="auto"/>
        </w:rPr>
        <w:t xml:space="preserve"> was 39.6%.</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580"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23"/>
        </w:trPr>
        <w:tc>
          <w:tcPr>
            <w:tcW w:w="120" w:type="dxa"/>
            <w:vAlign w:val="bottom"/>
            <w:shd w:val="clear" w:color="auto" w:fill="D9D9D6"/>
          </w:tcPr>
          <w:p>
            <w:pPr>
              <w:spacing w:after="0"/>
              <w:rPr>
                <w:sz w:val="19"/>
                <w:szCs w:val="19"/>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(in thousands)</w:t>
            </w:r>
          </w:p>
        </w:tc>
        <w:tc>
          <w:tcPr>
            <w:tcW w:w="520" w:type="dxa"/>
            <w:vAlign w:val="bottom"/>
            <w:shd w:val="clear" w:color="auto" w:fill="D9D9D6"/>
          </w:tcPr>
          <w:p>
            <w:pPr>
              <w:spacing w:after="0"/>
              <w:rPr>
                <w:sz w:val="19"/>
                <w:szCs w:val="19"/>
                <w:color w:val="auto"/>
              </w:rPr>
            </w:pPr>
          </w:p>
        </w:tc>
        <w:tc>
          <w:tcPr>
            <w:tcW w:w="3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40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380" w:type="dxa"/>
            <w:vAlign w:val="bottom"/>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c>
          <w:tcPr>
            <w:tcW w:w="220" w:type="dxa"/>
            <w:vAlign w:val="bottom"/>
            <w:shd w:val="clear" w:color="auto" w:fill="D9D9D6"/>
          </w:tcPr>
          <w:p>
            <w:pPr>
              <w:spacing w:after="0"/>
              <w:rPr>
                <w:sz w:val="19"/>
                <w:szCs w:val="19"/>
                <w:color w:val="auto"/>
              </w:rPr>
            </w:pPr>
          </w:p>
        </w:tc>
        <w:tc>
          <w:tcPr>
            <w:tcW w:w="120" w:type="dxa"/>
            <w:vAlign w:val="bottom"/>
            <w:tcBorders>
              <w:right w:val="single" w:sz="8" w:color="D9D9D6"/>
            </w:tcBorders>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r>
      <w:tr>
        <w:trPr>
          <w:trHeight w:val="223"/>
        </w:trPr>
        <w:tc>
          <w:tcPr>
            <w:tcW w:w="120" w:type="dxa"/>
            <w:vAlign w:val="bottom"/>
            <w:shd w:val="clear" w:color="auto" w:fill="D9D9D6"/>
          </w:tcPr>
          <w:p>
            <w:pPr>
              <w:spacing w:after="0"/>
              <w:rPr>
                <w:sz w:val="19"/>
                <w:szCs w:val="19"/>
                <w:color w:val="auto"/>
              </w:rPr>
            </w:pPr>
          </w:p>
        </w:tc>
        <w:tc>
          <w:tcPr>
            <w:tcW w:w="744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1780" w:type="dxa"/>
            <w:vAlign w:val="bottom"/>
            <w:gridSpan w:val="9"/>
            <w:shd w:val="clear" w:color="auto" w:fill="D9D9D6"/>
          </w:tcPr>
          <w:p>
            <w:pPr>
              <w:jc w:val="center"/>
              <w:ind w:right="240"/>
              <w:spacing w:after="0"/>
              <w:rPr>
                <w:sz w:val="20"/>
                <w:szCs w:val="20"/>
                <w:color w:val="auto"/>
              </w:rPr>
            </w:pPr>
            <w:r>
              <w:rPr>
                <w:rFonts w:ascii="Arial" w:cs="Arial" w:eastAsia="Arial" w:hAnsi="Arial"/>
                <w:sz w:val="14"/>
                <w:szCs w:val="14"/>
                <w:color w:val="auto"/>
              </w:rPr>
              <w:t>Net Additions / (Losses)</w:t>
            </w:r>
          </w:p>
        </w:tc>
      </w:tr>
      <w:tr>
        <w:trPr>
          <w:trHeight w:val="183"/>
        </w:trPr>
        <w:tc>
          <w:tcPr>
            <w:tcW w:w="120" w:type="dxa"/>
            <w:vAlign w:val="bottom"/>
            <w:tcBorders>
              <w:top w:val="single" w:sz="8" w:color="D9D9D6"/>
            </w:tcBorders>
            <w:shd w:val="clear" w:color="auto" w:fill="D9D9D6"/>
          </w:tcPr>
          <w:p>
            <w:pPr>
              <w:spacing w:after="0"/>
              <w:rPr>
                <w:sz w:val="15"/>
                <w:szCs w:val="15"/>
                <w:color w:val="auto"/>
              </w:rPr>
            </w:pPr>
          </w:p>
        </w:tc>
        <w:tc>
          <w:tcPr>
            <w:tcW w:w="7440" w:type="dxa"/>
            <w:vAlign w:val="bottom"/>
            <w:tcBorders>
              <w:top w:val="single" w:sz="8" w:color="D9D9D6"/>
            </w:tcBorders>
            <w:shd w:val="clear" w:color="auto" w:fill="D9D9D6"/>
          </w:tcPr>
          <w:p>
            <w:pPr>
              <w:spacing w:after="0"/>
              <w:rPr>
                <w:sz w:val="15"/>
                <w:szCs w:val="15"/>
                <w:color w:val="auto"/>
              </w:rPr>
            </w:pPr>
          </w:p>
        </w:tc>
        <w:tc>
          <w:tcPr>
            <w:tcW w:w="520" w:type="dxa"/>
            <w:vAlign w:val="bottom"/>
            <w:tcBorders>
              <w:top w:val="single" w:sz="8" w:color="D9D9D6"/>
            </w:tcBorders>
            <w:shd w:val="clear" w:color="auto" w:fill="D9D9D6"/>
          </w:tcPr>
          <w:p>
            <w:pPr>
              <w:spacing w:after="0"/>
              <w:rPr>
                <w:sz w:val="15"/>
                <w:szCs w:val="15"/>
                <w:color w:val="auto"/>
              </w:rPr>
            </w:pPr>
          </w:p>
        </w:tc>
        <w:tc>
          <w:tcPr>
            <w:tcW w:w="340" w:type="dxa"/>
            <w:vAlign w:val="bottom"/>
            <w:tcBorders>
              <w:top w:val="single" w:sz="8" w:color="D9D9D6"/>
            </w:tcBorders>
            <w:shd w:val="clear" w:color="auto" w:fill="D9D9D6"/>
          </w:tcPr>
          <w:p>
            <w:pPr>
              <w:spacing w:after="0"/>
              <w:rPr>
                <w:sz w:val="15"/>
                <w:szCs w:val="15"/>
                <w:color w:val="auto"/>
              </w:rPr>
            </w:pPr>
          </w:p>
        </w:tc>
        <w:tc>
          <w:tcPr>
            <w:tcW w:w="20" w:type="dxa"/>
            <w:vAlign w:val="bottom"/>
            <w:tcBorders>
              <w:top w:val="single" w:sz="8" w:color="D9D9D6"/>
            </w:tcBorders>
            <w:shd w:val="clear" w:color="auto" w:fill="D9D9D6"/>
          </w:tcPr>
          <w:p>
            <w:pPr>
              <w:spacing w:after="0"/>
              <w:rPr>
                <w:sz w:val="15"/>
                <w:szCs w:val="15"/>
                <w:color w:val="auto"/>
              </w:rPr>
            </w:pPr>
          </w:p>
        </w:tc>
        <w:tc>
          <w:tcPr>
            <w:tcW w:w="520" w:type="dxa"/>
            <w:vAlign w:val="bottom"/>
            <w:tcBorders>
              <w:top w:val="single" w:sz="8" w:color="D9D9D6"/>
            </w:tcBorders>
            <w:shd w:val="clear" w:color="auto" w:fill="D9D9D6"/>
          </w:tcPr>
          <w:p>
            <w:pPr>
              <w:spacing w:after="0"/>
              <w:rPr>
                <w:sz w:val="15"/>
                <w:szCs w:val="15"/>
                <w:color w:val="auto"/>
              </w:rPr>
            </w:pPr>
          </w:p>
        </w:tc>
        <w:tc>
          <w:tcPr>
            <w:tcW w:w="360" w:type="dxa"/>
            <w:vAlign w:val="bottom"/>
            <w:tcBorders>
              <w:top w:val="single" w:sz="8" w:color="D9D9D6"/>
            </w:tcBorders>
            <w:shd w:val="clear" w:color="auto" w:fill="D9D9D6"/>
          </w:tcPr>
          <w:p>
            <w:pPr>
              <w:spacing w:after="0"/>
              <w:rPr>
                <w:sz w:val="15"/>
                <w:szCs w:val="15"/>
                <w:color w:val="auto"/>
              </w:rPr>
            </w:pPr>
          </w:p>
        </w:tc>
        <w:tc>
          <w:tcPr>
            <w:tcW w:w="20" w:type="dxa"/>
            <w:vAlign w:val="bottom"/>
            <w:tcBorders>
              <w:top w:val="single" w:sz="8" w:color="D9D9D6"/>
            </w:tcBorders>
            <w:shd w:val="clear" w:color="auto" w:fill="D9D9D6"/>
          </w:tcPr>
          <w:p>
            <w:pPr>
              <w:spacing w:after="0"/>
              <w:rPr>
                <w:sz w:val="15"/>
                <w:szCs w:val="15"/>
                <w:color w:val="auto"/>
              </w:rPr>
            </w:pPr>
          </w:p>
        </w:tc>
        <w:tc>
          <w:tcPr>
            <w:tcW w:w="120" w:type="dxa"/>
            <w:vAlign w:val="bottom"/>
            <w:tcBorders>
              <w:top w:val="single" w:sz="8" w:color="D9D9D6"/>
            </w:tcBorders>
            <w:shd w:val="clear" w:color="auto" w:fill="D9D9D6"/>
          </w:tcPr>
          <w:p>
            <w:pPr>
              <w:spacing w:after="0"/>
              <w:rPr>
                <w:sz w:val="15"/>
                <w:szCs w:val="15"/>
                <w:color w:val="auto"/>
              </w:rPr>
            </w:pPr>
          </w:p>
        </w:tc>
        <w:tc>
          <w:tcPr>
            <w:tcW w:w="400" w:type="dxa"/>
            <w:vAlign w:val="bottom"/>
            <w:tcBorders>
              <w:top w:val="single" w:sz="8" w:color="auto"/>
            </w:tcBorders>
            <w:shd w:val="clear" w:color="auto" w:fill="D9D9D6"/>
          </w:tcPr>
          <w:p>
            <w:pPr>
              <w:spacing w:after="0"/>
              <w:rPr>
                <w:sz w:val="15"/>
                <w:szCs w:val="15"/>
                <w:color w:val="auto"/>
              </w:rPr>
            </w:pPr>
          </w:p>
        </w:tc>
        <w:tc>
          <w:tcPr>
            <w:tcW w:w="820" w:type="dxa"/>
            <w:vAlign w:val="bottom"/>
            <w:tcBorders>
              <w:top w:val="single" w:sz="8" w:color="auto"/>
            </w:tcBorders>
            <w:gridSpan w:val="4"/>
            <w:shd w:val="clear" w:color="auto" w:fill="D9D9D6"/>
          </w:tcPr>
          <w:p>
            <w:pPr>
              <w:jc w:val="center"/>
              <w:ind w:right="100"/>
              <w:spacing w:after="0"/>
              <w:rPr>
                <w:sz w:val="20"/>
                <w:szCs w:val="20"/>
                <w:color w:val="auto"/>
              </w:rPr>
            </w:pPr>
            <w:r>
              <w:rPr>
                <w:rFonts w:ascii="Arial" w:cs="Arial" w:eastAsia="Arial" w:hAnsi="Arial"/>
                <w:sz w:val="14"/>
                <w:szCs w:val="14"/>
                <w:color w:val="auto"/>
              </w:rPr>
              <w:t>1st Quarter</w:t>
            </w:r>
          </w:p>
        </w:tc>
        <w:tc>
          <w:tcPr>
            <w:tcW w:w="100" w:type="dxa"/>
            <w:vAlign w:val="bottom"/>
            <w:tcBorders>
              <w:top w:val="single" w:sz="8" w:color="auto"/>
            </w:tcBorders>
            <w:shd w:val="clear" w:color="auto" w:fill="D9D9D6"/>
          </w:tcPr>
          <w:p>
            <w:pPr>
              <w:spacing w:after="0"/>
              <w:rPr>
                <w:sz w:val="15"/>
                <w:szCs w:val="15"/>
                <w:color w:val="auto"/>
              </w:rPr>
            </w:pPr>
          </w:p>
        </w:tc>
        <w:tc>
          <w:tcPr>
            <w:tcW w:w="220" w:type="dxa"/>
            <w:vAlign w:val="bottom"/>
            <w:tcBorders>
              <w:top w:val="single" w:sz="8" w:color="auto"/>
            </w:tcBorders>
            <w:shd w:val="clear" w:color="auto" w:fill="D9D9D6"/>
          </w:tcPr>
          <w:p>
            <w:pPr>
              <w:spacing w:after="0"/>
              <w:rPr>
                <w:sz w:val="15"/>
                <w:szCs w:val="15"/>
                <w:color w:val="auto"/>
              </w:rPr>
            </w:pPr>
          </w:p>
        </w:tc>
        <w:tc>
          <w:tcPr>
            <w:tcW w:w="120" w:type="dxa"/>
            <w:vAlign w:val="bottom"/>
            <w:tcBorders>
              <w:top w:val="single" w:sz="8" w:color="D9D9D6"/>
              <w:right w:val="single" w:sz="8" w:color="D9D9D6"/>
            </w:tcBorders>
            <w:shd w:val="clear" w:color="auto" w:fill="D9D9D6"/>
          </w:tcPr>
          <w:p>
            <w:pPr>
              <w:spacing w:after="0"/>
              <w:rPr>
                <w:sz w:val="15"/>
                <w:szCs w:val="15"/>
                <w:color w:val="auto"/>
              </w:rPr>
            </w:pPr>
          </w:p>
        </w:tc>
        <w:tc>
          <w:tcPr>
            <w:tcW w:w="120" w:type="dxa"/>
            <w:vAlign w:val="bottom"/>
            <w:tcBorders>
              <w:top w:val="single" w:sz="8" w:color="D9D9D6"/>
            </w:tcBorders>
            <w:shd w:val="clear" w:color="auto" w:fill="D9D9D6"/>
          </w:tcPr>
          <w:p>
            <w:pPr>
              <w:spacing w:after="0"/>
              <w:rPr>
                <w:sz w:val="15"/>
                <w:szCs w:val="15"/>
                <w:color w:val="auto"/>
              </w:rPr>
            </w:pPr>
          </w:p>
        </w:tc>
      </w:tr>
      <w:tr>
        <w:trPr>
          <w:trHeight w:val="183"/>
        </w:trPr>
        <w:tc>
          <w:tcPr>
            <w:tcW w:w="120" w:type="dxa"/>
            <w:vAlign w:val="bottom"/>
            <w:tcBorders>
              <w:top w:val="single" w:sz="8" w:color="D9D9D6"/>
            </w:tcBorders>
            <w:shd w:val="clear" w:color="auto" w:fill="D9D9D6"/>
          </w:tcPr>
          <w:p>
            <w:pPr>
              <w:spacing w:after="0"/>
              <w:rPr>
                <w:sz w:val="15"/>
                <w:szCs w:val="15"/>
                <w:color w:val="auto"/>
              </w:rPr>
            </w:pPr>
          </w:p>
        </w:tc>
        <w:tc>
          <w:tcPr>
            <w:tcW w:w="7440" w:type="dxa"/>
            <w:vAlign w:val="bottom"/>
            <w:tcBorders>
              <w:top w:val="single" w:sz="8" w:color="D9D9D6"/>
            </w:tcBorders>
            <w:shd w:val="clear" w:color="auto" w:fill="D9D9D6"/>
          </w:tcPr>
          <w:p>
            <w:pPr>
              <w:spacing w:after="0"/>
              <w:rPr>
                <w:sz w:val="15"/>
                <w:szCs w:val="15"/>
                <w:color w:val="auto"/>
              </w:rPr>
            </w:pPr>
          </w:p>
        </w:tc>
        <w:tc>
          <w:tcPr>
            <w:tcW w:w="520" w:type="dxa"/>
            <w:vAlign w:val="bottom"/>
            <w:tcBorders>
              <w:top w:val="single" w:sz="8" w:color="D9D9D6"/>
            </w:tcBorders>
            <w:shd w:val="clear" w:color="auto" w:fill="D9D9D6"/>
          </w:tcPr>
          <w:p>
            <w:pPr>
              <w:spacing w:after="0"/>
              <w:rPr>
                <w:sz w:val="15"/>
                <w:szCs w:val="15"/>
                <w:color w:val="auto"/>
              </w:rPr>
            </w:pPr>
          </w:p>
        </w:tc>
        <w:tc>
          <w:tcPr>
            <w:tcW w:w="360" w:type="dxa"/>
            <w:vAlign w:val="bottom"/>
            <w:tcBorders>
              <w:top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3"/>
              </w:rPr>
              <w:t>1Q26</w:t>
            </w:r>
          </w:p>
        </w:tc>
        <w:tc>
          <w:tcPr>
            <w:tcW w:w="520" w:type="dxa"/>
            <w:vAlign w:val="bottom"/>
            <w:tcBorders>
              <w:top w:val="single" w:sz="8" w:color="D9D9D6"/>
            </w:tcBorders>
            <w:shd w:val="clear" w:color="auto" w:fill="D9D9D6"/>
          </w:tcPr>
          <w:p>
            <w:pPr>
              <w:spacing w:after="0"/>
              <w:rPr>
                <w:sz w:val="15"/>
                <w:szCs w:val="15"/>
                <w:color w:val="auto"/>
              </w:rPr>
            </w:pPr>
          </w:p>
        </w:tc>
        <w:tc>
          <w:tcPr>
            <w:tcW w:w="380" w:type="dxa"/>
            <w:vAlign w:val="bottom"/>
            <w:tcBorders>
              <w:top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9"/>
              </w:rPr>
              <w:t>1Q25</w:t>
            </w:r>
          </w:p>
        </w:tc>
        <w:tc>
          <w:tcPr>
            <w:tcW w:w="520" w:type="dxa"/>
            <w:vAlign w:val="bottom"/>
            <w:tcBorders>
              <w:top w:val="single" w:sz="8" w:color="D9D9D6"/>
            </w:tcBorders>
            <w:gridSpan w:val="2"/>
            <w:shd w:val="clear" w:color="auto" w:fill="D9D9D6"/>
          </w:tcPr>
          <w:p>
            <w:pPr>
              <w:spacing w:after="0"/>
              <w:rPr>
                <w:sz w:val="15"/>
                <w:szCs w:val="15"/>
                <w:color w:val="auto"/>
              </w:rPr>
            </w:pPr>
          </w:p>
        </w:tc>
        <w:tc>
          <w:tcPr>
            <w:tcW w:w="720" w:type="dxa"/>
            <w:vAlign w:val="bottom"/>
            <w:tcBorders>
              <w:top w:val="single" w:sz="8" w:color="auto"/>
            </w:tcBorders>
            <w:gridSpan w:val="3"/>
            <w:shd w:val="clear" w:color="auto" w:fill="D9D9D6"/>
          </w:tcPr>
          <w:p>
            <w:pPr>
              <w:jc w:val="right"/>
              <w:ind w:right="380"/>
              <w:spacing w:after="0"/>
              <w:rPr>
                <w:sz w:val="20"/>
                <w:szCs w:val="20"/>
                <w:color w:val="auto"/>
              </w:rPr>
            </w:pPr>
            <w:r>
              <w:rPr>
                <w:rFonts w:ascii="Arial" w:cs="Arial" w:eastAsia="Arial" w:hAnsi="Arial"/>
                <w:sz w:val="14"/>
                <w:szCs w:val="14"/>
                <w:color w:val="auto"/>
              </w:rPr>
              <w:t>2026</w:t>
            </w:r>
          </w:p>
        </w:tc>
        <w:tc>
          <w:tcPr>
            <w:tcW w:w="100" w:type="dxa"/>
            <w:vAlign w:val="bottom"/>
            <w:tcBorders>
              <w:top w:val="single" w:sz="8" w:color="D9D9D6"/>
            </w:tcBorders>
            <w:shd w:val="clear" w:color="auto" w:fill="D9D9D6"/>
          </w:tcPr>
          <w:p>
            <w:pPr>
              <w:spacing w:after="0"/>
              <w:rPr>
                <w:sz w:val="15"/>
                <w:szCs w:val="15"/>
                <w:color w:val="auto"/>
              </w:rPr>
            </w:pPr>
          </w:p>
        </w:tc>
        <w:tc>
          <w:tcPr>
            <w:tcW w:w="440" w:type="dxa"/>
            <w:vAlign w:val="bottom"/>
            <w:tcBorders>
              <w:top w:val="single" w:sz="8" w:color="D9D9D6"/>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2025</w:t>
            </w:r>
          </w:p>
        </w:tc>
        <w:tc>
          <w:tcPr>
            <w:tcW w:w="120" w:type="dxa"/>
            <w:vAlign w:val="bottom"/>
            <w:tcBorders>
              <w:top w:val="single" w:sz="8" w:color="D9D9D6"/>
            </w:tcBorders>
            <w:shd w:val="clear" w:color="auto" w:fill="D9D9D6"/>
          </w:tcPr>
          <w:p>
            <w:pPr>
              <w:spacing w:after="0"/>
              <w:rPr>
                <w:sz w:val="15"/>
                <w:szCs w:val="15"/>
                <w:color w:val="auto"/>
              </w:rPr>
            </w:pP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74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Residential Connectivity &amp; Platforms Customer Relationships</w:t>
            </w:r>
          </w:p>
        </w:tc>
        <w:tc>
          <w:tcPr>
            <w:tcW w:w="52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2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c>
          <w:tcPr>
            <w:tcW w:w="400" w:type="dxa"/>
            <w:vAlign w:val="bottom"/>
            <w:tcBorders>
              <w:top w:val="single" w:sz="8" w:color="D9D9D6"/>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380" w:type="dxa"/>
            <w:vAlign w:val="bottom"/>
            <w:tcBorders>
              <w:top w:val="single" w:sz="8" w:color="D9D9D6"/>
            </w:tcBorders>
            <w:shd w:val="clear" w:color="auto" w:fill="D9D9D6"/>
          </w:tcPr>
          <w:p>
            <w:pPr>
              <w:spacing w:after="0"/>
              <w:rPr>
                <w:sz w:val="19"/>
                <w:szCs w:val="19"/>
                <w:color w:val="auto"/>
              </w:rPr>
            </w:pPr>
          </w:p>
        </w:tc>
        <w:tc>
          <w:tcPr>
            <w:tcW w:w="100" w:type="dxa"/>
            <w:vAlign w:val="bottom"/>
            <w:tcBorders>
              <w:top w:val="single" w:sz="8" w:color="D9D9D6"/>
            </w:tcBorders>
            <w:shd w:val="clear" w:color="auto" w:fill="D9D9D6"/>
          </w:tcPr>
          <w:p>
            <w:pPr>
              <w:spacing w:after="0"/>
              <w:rPr>
                <w:sz w:val="19"/>
                <w:szCs w:val="19"/>
                <w:color w:val="auto"/>
              </w:rPr>
            </w:pPr>
          </w:p>
        </w:tc>
        <w:tc>
          <w:tcPr>
            <w:tcW w:w="100" w:type="dxa"/>
            <w:vAlign w:val="bottom"/>
            <w:tcBorders>
              <w:top w:val="single" w:sz="8" w:color="D9D9D6"/>
            </w:tcBorders>
            <w:shd w:val="clear" w:color="auto" w:fill="D9D9D6"/>
          </w:tcPr>
          <w:p>
            <w:pPr>
              <w:spacing w:after="0"/>
              <w:rPr>
                <w:sz w:val="19"/>
                <w:szCs w:val="19"/>
                <w:color w:val="auto"/>
              </w:rPr>
            </w:pPr>
          </w:p>
        </w:tc>
        <w:tc>
          <w:tcPr>
            <w:tcW w:w="220" w:type="dxa"/>
            <w:vAlign w:val="bottom"/>
            <w:tcBorders>
              <w:top w:val="single" w:sz="8" w:color="auto"/>
            </w:tcBorders>
            <w:shd w:val="clear" w:color="auto" w:fill="D9D9D6"/>
          </w:tcPr>
          <w:p>
            <w:pPr>
              <w:spacing w:after="0"/>
              <w:rPr>
                <w:sz w:val="19"/>
                <w:szCs w:val="19"/>
                <w:color w:val="auto"/>
              </w:rPr>
            </w:pPr>
          </w:p>
        </w:tc>
        <w:tc>
          <w:tcPr>
            <w:tcW w:w="120" w:type="dxa"/>
            <w:vAlign w:val="bottom"/>
            <w:tcBorders>
              <w:top w:val="single" w:sz="8" w:color="auto"/>
              <w:right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Residential Connectivity &amp; Platforms Customer Relationships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30,345</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30,969</w:t>
            </w:r>
          </w:p>
        </w:tc>
        <w:tc>
          <w:tcPr>
            <w:tcW w:w="86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(94)</w:t>
            </w:r>
          </w:p>
        </w:tc>
        <w:tc>
          <w:tcPr>
            <w:tcW w:w="38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D9D9D6"/>
          </w:tcPr>
          <w:p>
            <w:pPr>
              <w:spacing w:after="0"/>
              <w:rPr>
                <w:sz w:val="17"/>
                <w:szCs w:val="17"/>
                <w:color w:val="auto"/>
              </w:rPr>
            </w:pPr>
          </w:p>
        </w:tc>
      </w:tr>
      <w:tr>
        <w:trPr>
          <w:trHeight w:val="211"/>
        </w:trPr>
        <w:tc>
          <w:tcPr>
            <w:tcW w:w="120" w:type="dxa"/>
            <w:vAlign w:val="bottom"/>
            <w:tcBorders>
              <w:bottom w:val="single" w:sz="8" w:color="D9D9D6"/>
            </w:tcBorders>
            <w:shd w:val="clear" w:color="auto" w:fill="D9D9D6"/>
          </w:tcPr>
          <w:p>
            <w:pPr>
              <w:spacing w:after="0"/>
              <w:rPr>
                <w:sz w:val="18"/>
                <w:szCs w:val="18"/>
                <w:color w:val="auto"/>
              </w:rPr>
            </w:pPr>
          </w:p>
        </w:tc>
        <w:tc>
          <w:tcPr>
            <w:tcW w:w="74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International Residential Connectivity &amp; Platforms Customer Relationships</w:t>
            </w:r>
            <w:r>
              <w:rPr>
                <w:rFonts w:ascii="Arial" w:cs="Arial" w:eastAsia="Arial" w:hAnsi="Arial"/>
                <w:sz w:val="18"/>
                <w:szCs w:val="18"/>
                <w:color w:val="auto"/>
                <w:vertAlign w:val="superscript"/>
              </w:rPr>
              <w:t>8</w:t>
            </w:r>
          </w:p>
        </w:tc>
        <w:tc>
          <w:tcPr>
            <w:tcW w:w="8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17,603</w:t>
            </w:r>
          </w:p>
        </w:tc>
        <w:tc>
          <w:tcPr>
            <w:tcW w:w="9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17,674</w:t>
            </w:r>
          </w:p>
        </w:tc>
        <w:tc>
          <w:tcPr>
            <w:tcW w:w="860" w:type="dxa"/>
            <w:vAlign w:val="bottom"/>
            <w:tcBorders>
              <w:bottom w:val="single" w:sz="8" w:color="auto"/>
            </w:tcBorders>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104</w:t>
            </w:r>
          </w:p>
        </w:tc>
        <w:tc>
          <w:tcPr>
            <w:tcW w:w="380" w:type="dxa"/>
            <w:vAlign w:val="bottom"/>
            <w:tcBorders>
              <w:bottom w:val="single" w:sz="8" w:color="auto"/>
            </w:tcBorders>
            <w:shd w:val="clear" w:color="auto" w:fill="D9D9D6"/>
          </w:tcPr>
          <w:p>
            <w:pPr>
              <w:spacing w:after="0"/>
              <w:rPr>
                <w:sz w:val="18"/>
                <w:szCs w:val="18"/>
                <w:color w:val="auto"/>
              </w:rPr>
            </w:pPr>
          </w:p>
        </w:tc>
        <w:tc>
          <w:tcPr>
            <w:tcW w:w="100" w:type="dxa"/>
            <w:vAlign w:val="bottom"/>
            <w:tcBorders>
              <w:bottom w:val="single" w:sz="8" w:color="auto"/>
            </w:tcBorders>
            <w:shd w:val="clear" w:color="auto" w:fill="D9D9D6"/>
          </w:tcPr>
          <w:p>
            <w:pPr>
              <w:spacing w:after="0"/>
              <w:rPr>
                <w:sz w:val="18"/>
                <w:szCs w:val="18"/>
                <w:color w:val="auto"/>
              </w:rPr>
            </w:pPr>
          </w:p>
        </w:tc>
        <w:tc>
          <w:tcPr>
            <w:tcW w:w="440" w:type="dxa"/>
            <w:vAlign w:val="bottom"/>
            <w:tcBorders>
              <w:bottom w:val="single" w:sz="8" w:color="auto"/>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D9D9D6"/>
            </w:tcBorders>
            <w:shd w:val="clear" w:color="auto" w:fill="D9D9D6"/>
          </w:tcPr>
          <w:p>
            <w:pPr>
              <w:spacing w:after="0"/>
              <w:rPr>
                <w:sz w:val="18"/>
                <w:szCs w:val="18"/>
                <w:color w:val="auto"/>
              </w:rPr>
            </w:pPr>
          </w:p>
        </w:tc>
      </w:tr>
      <w:tr>
        <w:trPr>
          <w:trHeight w:val="196"/>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20"/>
              <w:spacing w:after="0" w:line="196" w:lineRule="exact"/>
              <w:rPr>
                <w:sz w:val="20"/>
                <w:szCs w:val="20"/>
                <w:color w:val="auto"/>
              </w:rPr>
            </w:pPr>
            <w:r>
              <w:rPr>
                <w:rFonts w:ascii="Arial" w:cs="Arial" w:eastAsia="Arial" w:hAnsi="Arial"/>
                <w:sz w:val="14"/>
                <w:szCs w:val="14"/>
                <w:b w:val="1"/>
                <w:bCs w:val="1"/>
                <w:color w:val="auto"/>
              </w:rPr>
              <w:t>Total Residential Connectivity &amp; Platforms Customer Relationships</w:t>
            </w:r>
            <w:r>
              <w:rPr>
                <w:rFonts w:ascii="Arial" w:cs="Arial" w:eastAsia="Arial" w:hAnsi="Arial"/>
                <w:sz w:val="18"/>
                <w:szCs w:val="18"/>
                <w:b w:val="1"/>
                <w:bCs w:val="1"/>
                <w:color w:val="auto"/>
                <w:vertAlign w:val="superscript"/>
              </w:rPr>
              <w:t>8</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47,948</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48,643</w:t>
            </w:r>
          </w:p>
        </w:tc>
        <w:tc>
          <w:tcPr>
            <w:tcW w:w="860" w:type="dxa"/>
            <w:vAlign w:val="bottom"/>
            <w:gridSpan w:val="4"/>
            <w:shd w:val="clear" w:color="auto" w:fill="DBDBDB"/>
          </w:tcPr>
          <w:p>
            <w:pPr>
              <w:jc w:val="right"/>
              <w:ind w:right="40"/>
              <w:spacing w:after="0"/>
              <w:rPr>
                <w:sz w:val="20"/>
                <w:szCs w:val="20"/>
                <w:color w:val="auto"/>
              </w:rPr>
            </w:pPr>
            <w:r>
              <w:rPr>
                <w:rFonts w:ascii="Arial" w:cs="Arial" w:eastAsia="Arial" w:hAnsi="Arial"/>
                <w:sz w:val="14"/>
                <w:szCs w:val="14"/>
                <w:b w:val="1"/>
                <w:bCs w:val="1"/>
                <w:color w:val="auto"/>
              </w:rPr>
              <w:t>10</w:t>
            </w:r>
          </w:p>
        </w:tc>
        <w:tc>
          <w:tcPr>
            <w:tcW w:w="3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40" w:type="dxa"/>
            <w:vAlign w:val="bottom"/>
            <w:tcBorders>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b w:val="1"/>
                <w:bCs w:val="1"/>
                <w:color w:val="auto"/>
              </w:rPr>
              <w:t>(215)</w:t>
            </w:r>
          </w:p>
        </w:tc>
        <w:tc>
          <w:tcPr>
            <w:tcW w:w="120" w:type="dxa"/>
            <w:vAlign w:val="bottom"/>
            <w:shd w:val="clear" w:color="auto" w:fill="D9D9D6"/>
          </w:tcPr>
          <w:p>
            <w:pPr>
              <w:spacing w:after="0"/>
              <w:rPr>
                <w:sz w:val="17"/>
                <w:szCs w:val="17"/>
                <w:color w:val="auto"/>
              </w:rPr>
            </w:pPr>
          </w:p>
        </w:tc>
      </w:tr>
      <w:tr>
        <w:trPr>
          <w:trHeight w:val="416"/>
        </w:trPr>
        <w:tc>
          <w:tcPr>
            <w:tcW w:w="120" w:type="dxa"/>
            <w:vAlign w:val="bottom"/>
            <w:shd w:val="clear" w:color="auto" w:fill="D9D9D6"/>
          </w:tcPr>
          <w:p>
            <w:pPr>
              <w:spacing w:after="0"/>
              <w:rPr>
                <w:sz w:val="24"/>
                <w:szCs w:val="24"/>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Broadband Residential Customers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28,654</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29,190</w:t>
            </w:r>
          </w:p>
        </w:tc>
        <w:tc>
          <w:tcPr>
            <w:tcW w:w="86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(65)</w:t>
            </w:r>
          </w:p>
        </w:tc>
        <w:tc>
          <w:tcPr>
            <w:tcW w:w="38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(183)</w:t>
            </w:r>
          </w:p>
        </w:tc>
        <w:tc>
          <w:tcPr>
            <w:tcW w:w="120" w:type="dxa"/>
            <w:vAlign w:val="bottom"/>
            <w:shd w:val="clear" w:color="auto" w:fill="D9D9D6"/>
          </w:tcPr>
          <w:p>
            <w:pPr>
              <w:spacing w:after="0"/>
              <w:rPr>
                <w:sz w:val="24"/>
                <w:szCs w:val="24"/>
                <w:color w:val="auto"/>
              </w:rPr>
            </w:pPr>
          </w:p>
        </w:tc>
      </w:tr>
      <w:tr>
        <w:trPr>
          <w:trHeight w:val="418"/>
        </w:trPr>
        <w:tc>
          <w:tcPr>
            <w:tcW w:w="120" w:type="dxa"/>
            <w:vAlign w:val="bottom"/>
            <w:shd w:val="clear" w:color="auto" w:fill="D9D9D6"/>
          </w:tcPr>
          <w:p>
            <w:pPr>
              <w:spacing w:after="0"/>
              <w:rPr>
                <w:sz w:val="24"/>
                <w:szCs w:val="24"/>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Wireless Lines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9,739</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8,148</w:t>
            </w:r>
          </w:p>
        </w:tc>
        <w:tc>
          <w:tcPr>
            <w:tcW w:w="8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435</w:t>
            </w:r>
          </w:p>
        </w:tc>
        <w:tc>
          <w:tcPr>
            <w:tcW w:w="38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4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323</w:t>
            </w:r>
          </w:p>
        </w:tc>
        <w:tc>
          <w:tcPr>
            <w:tcW w:w="120" w:type="dxa"/>
            <w:vAlign w:val="bottom"/>
            <w:shd w:val="clear" w:color="auto" w:fill="D9D9D6"/>
          </w:tcPr>
          <w:p>
            <w:pPr>
              <w:spacing w:after="0"/>
              <w:rPr>
                <w:sz w:val="24"/>
                <w:szCs w:val="24"/>
                <w:color w:val="auto"/>
              </w:rPr>
            </w:pPr>
          </w:p>
        </w:tc>
      </w:tr>
      <w:tr>
        <w:trPr>
          <w:trHeight w:val="419"/>
        </w:trPr>
        <w:tc>
          <w:tcPr>
            <w:tcW w:w="120" w:type="dxa"/>
            <w:vAlign w:val="bottom"/>
            <w:shd w:val="clear" w:color="auto" w:fill="D9D9D6"/>
          </w:tcPr>
          <w:p>
            <w:pPr>
              <w:spacing w:after="0"/>
              <w:rPr>
                <w:sz w:val="24"/>
                <w:szCs w:val="24"/>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Video Customers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10,948</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12,096</w:t>
            </w:r>
          </w:p>
        </w:tc>
        <w:tc>
          <w:tcPr>
            <w:tcW w:w="86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(322)</w:t>
            </w:r>
          </w:p>
        </w:tc>
        <w:tc>
          <w:tcPr>
            <w:tcW w:w="38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(427)</w:t>
            </w:r>
          </w:p>
        </w:tc>
        <w:tc>
          <w:tcPr>
            <w:tcW w:w="120" w:type="dxa"/>
            <w:vAlign w:val="bottom"/>
            <w:shd w:val="clear" w:color="auto" w:fill="D9D9D6"/>
          </w:tcPr>
          <w:p>
            <w:pPr>
              <w:spacing w:after="0"/>
              <w:rPr>
                <w:sz w:val="24"/>
                <w:szCs w:val="24"/>
                <w:color w:val="auto"/>
              </w:rPr>
            </w:pPr>
          </w:p>
        </w:tc>
      </w:tr>
      <w:tr>
        <w:trPr>
          <w:trHeight w:val="56"/>
        </w:trPr>
        <w:tc>
          <w:tcPr>
            <w:tcW w:w="120" w:type="dxa"/>
            <w:vAlign w:val="bottom"/>
            <w:shd w:val="clear" w:color="auto" w:fill="D9D9D6"/>
          </w:tcPr>
          <w:p>
            <w:pPr>
              <w:spacing w:after="0"/>
              <w:rPr>
                <w:sz w:val="4"/>
                <w:szCs w:val="4"/>
                <w:color w:val="auto"/>
              </w:rPr>
            </w:pPr>
          </w:p>
        </w:tc>
        <w:tc>
          <w:tcPr>
            <w:tcW w:w="7440" w:type="dxa"/>
            <w:vAlign w:val="bottom"/>
            <w:shd w:val="clear" w:color="auto" w:fill="D9D9D6"/>
          </w:tcPr>
          <w:p>
            <w:pPr>
              <w:spacing w:after="0"/>
              <w:rPr>
                <w:sz w:val="4"/>
                <w:szCs w:val="4"/>
                <w:color w:val="auto"/>
              </w:rPr>
            </w:pPr>
          </w:p>
        </w:tc>
        <w:tc>
          <w:tcPr>
            <w:tcW w:w="520" w:type="dxa"/>
            <w:vAlign w:val="bottom"/>
            <w:shd w:val="clear" w:color="auto" w:fill="D9D9D6"/>
          </w:tcPr>
          <w:p>
            <w:pPr>
              <w:spacing w:after="0"/>
              <w:rPr>
                <w:sz w:val="4"/>
                <w:szCs w:val="4"/>
                <w:color w:val="auto"/>
              </w:rPr>
            </w:pPr>
          </w:p>
        </w:tc>
        <w:tc>
          <w:tcPr>
            <w:tcW w:w="34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2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40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380" w:type="dxa"/>
            <w:vAlign w:val="bottom"/>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120" w:type="dxa"/>
            <w:vAlign w:val="bottom"/>
            <w:tcBorders>
              <w:right w:val="single" w:sz="8" w:color="D9D9D6"/>
            </w:tcBorders>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r>
    </w:tbl>
    <w:p>
      <w:pPr>
        <w:spacing w:after="0" w:line="29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for Residential Connectivity &amp; Platforms increased by 10,000 to 47.9 million, reflecting an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residential customer relationships, offset by a decrease in domestic residential customer relationships. Total domestic broadband residential customer net losses were 65,000, total domestic wireless line net additions were 435,000 and total domestic video customer net losses were 322,000.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 w:type="dxa"/>
            <w:vAlign w:val="bottom"/>
            <w:shd w:val="clear" w:color="auto" w:fill="D9D9D6"/>
          </w:tcPr>
          <w:p>
            <w:pPr>
              <w:spacing w:after="0"/>
              <w:rPr>
                <w:sz w:val="19"/>
                <w:szCs w:val="19"/>
                <w:color w:val="auto"/>
              </w:rPr>
            </w:pPr>
          </w:p>
        </w:tc>
        <w:tc>
          <w:tcPr>
            <w:tcW w:w="62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76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280" w:type="dxa"/>
            <w:vAlign w:val="bottom"/>
            <w:shd w:val="clear" w:color="auto" w:fill="D9D9D6"/>
          </w:tcPr>
          <w:p>
            <w:pPr>
              <w:spacing w:after="0"/>
              <w:rPr>
                <w:sz w:val="19"/>
                <w:szCs w:val="19"/>
                <w:color w:val="auto"/>
              </w:rPr>
            </w:pPr>
          </w:p>
        </w:tc>
        <w:tc>
          <w:tcPr>
            <w:tcW w:w="38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160" w:type="dxa"/>
            <w:vAlign w:val="bottom"/>
            <w:shd w:val="clear" w:color="auto" w:fill="D9D9D6"/>
          </w:tcPr>
          <w:p>
            <w:pPr>
              <w:spacing w:after="0"/>
              <w:rPr>
                <w:sz w:val="19"/>
                <w:szCs w:val="19"/>
                <w:color w:val="auto"/>
              </w:rPr>
            </w:pPr>
          </w:p>
        </w:tc>
        <w:tc>
          <w:tcPr>
            <w:tcW w:w="700" w:type="dxa"/>
            <w:vAlign w:val="bottom"/>
            <w:shd w:val="clear" w:color="auto" w:fill="D9D9D6"/>
          </w:tcPr>
          <w:p>
            <w:pPr>
              <w:spacing w:after="0"/>
              <w:rPr>
                <w:sz w:val="19"/>
                <w:szCs w:val="19"/>
                <w:color w:val="auto"/>
              </w:rPr>
            </w:pPr>
          </w:p>
        </w:tc>
        <w:tc>
          <w:tcPr>
            <w:tcW w:w="50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20" w:type="dxa"/>
            <w:vAlign w:val="bottom"/>
            <w:gridSpan w:val="3"/>
            <w:vMerge w:val="restart"/>
            <w:shd w:val="clear" w:color="auto" w:fill="D9D9D6"/>
          </w:tcPr>
          <w:p>
            <w:pPr>
              <w:ind w:left="580"/>
              <w:spacing w:after="0"/>
              <w:rPr>
                <w:sz w:val="20"/>
                <w:szCs w:val="20"/>
                <w:color w:val="auto"/>
              </w:rPr>
            </w:pPr>
            <w:r>
              <w:rPr>
                <w:rFonts w:ascii="Arial" w:cs="Arial" w:eastAsia="Arial" w:hAnsi="Arial"/>
                <w:sz w:val="14"/>
                <w:szCs w:val="14"/>
                <w:color w:val="auto"/>
              </w:rPr>
              <w:t>Constant</w:t>
            </w:r>
          </w:p>
        </w:tc>
        <w:tc>
          <w:tcPr>
            <w:tcW w:w="180" w:type="dxa"/>
            <w:vAlign w:val="bottom"/>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20" w:type="dxa"/>
            <w:vAlign w:val="bottom"/>
            <w:shd w:val="clear" w:color="auto" w:fill="D9D9D6"/>
          </w:tcPr>
          <w:p>
            <w:pPr>
              <w:spacing w:after="0"/>
              <w:rPr>
                <w:sz w:val="12"/>
                <w:szCs w:val="12"/>
                <w:color w:val="auto"/>
              </w:rPr>
            </w:pPr>
          </w:p>
        </w:tc>
        <w:tc>
          <w:tcPr>
            <w:tcW w:w="6240" w:type="dxa"/>
            <w:vAlign w:val="bottom"/>
            <w:shd w:val="clear" w:color="auto" w:fill="D9D9D6"/>
          </w:tcPr>
          <w:p>
            <w:pPr>
              <w:spacing w:after="0"/>
              <w:rPr>
                <w:sz w:val="12"/>
                <w:szCs w:val="12"/>
                <w:color w:val="auto"/>
              </w:rPr>
            </w:pPr>
          </w:p>
        </w:tc>
        <w:tc>
          <w:tcPr>
            <w:tcW w:w="76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160" w:type="dxa"/>
            <w:vAlign w:val="bottom"/>
            <w:gridSpan w:val="4"/>
            <w:vMerge w:val="restart"/>
            <w:shd w:val="clear" w:color="auto" w:fill="D9D9D6"/>
          </w:tcPr>
          <w:p>
            <w:pPr>
              <w:jc w:val="right"/>
              <w:ind w:right="160"/>
              <w:spacing w:after="0"/>
              <w:rPr>
                <w:sz w:val="20"/>
                <w:szCs w:val="20"/>
                <w:color w:val="auto"/>
              </w:rPr>
            </w:pPr>
            <w:r>
              <w:rPr>
                <w:rFonts w:ascii="Arial" w:cs="Arial" w:eastAsia="Arial" w:hAnsi="Arial"/>
                <w:sz w:val="14"/>
                <w:szCs w:val="14"/>
                <w:color w:val="auto"/>
              </w:rPr>
              <w:t>1st Quarter</w:t>
            </w:r>
          </w:p>
        </w:tc>
        <w:tc>
          <w:tcPr>
            <w:tcW w:w="700" w:type="dxa"/>
            <w:vAlign w:val="bottom"/>
            <w:shd w:val="clear" w:color="auto" w:fill="D9D9D6"/>
          </w:tcPr>
          <w:p>
            <w:pPr>
              <w:spacing w:after="0"/>
              <w:rPr>
                <w:sz w:val="12"/>
                <w:szCs w:val="12"/>
                <w:color w:val="auto"/>
              </w:rPr>
            </w:pPr>
          </w:p>
        </w:tc>
        <w:tc>
          <w:tcPr>
            <w:tcW w:w="50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220" w:type="dxa"/>
            <w:vAlign w:val="bottom"/>
            <w:gridSpan w:val="3"/>
            <w:vMerge w:val="continue"/>
            <w:shd w:val="clear" w:color="auto" w:fill="D9D9D6"/>
          </w:tcPr>
          <w:p>
            <w:pPr>
              <w:spacing w:after="0"/>
              <w:rPr>
                <w:sz w:val="12"/>
                <w:szCs w:val="12"/>
                <w:color w:val="auto"/>
              </w:rPr>
            </w:pPr>
          </w:p>
        </w:tc>
        <w:tc>
          <w:tcPr>
            <w:tcW w:w="180" w:type="dxa"/>
            <w:vAlign w:val="bottom"/>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20" w:type="dxa"/>
            <w:vAlign w:val="bottom"/>
            <w:shd w:val="clear" w:color="auto" w:fill="D9D9D6"/>
          </w:tcPr>
          <w:p>
            <w:pPr>
              <w:spacing w:after="0"/>
              <w:rPr>
                <w:sz w:val="6"/>
                <w:szCs w:val="6"/>
                <w:color w:val="auto"/>
              </w:rPr>
            </w:pPr>
          </w:p>
        </w:tc>
        <w:tc>
          <w:tcPr>
            <w:tcW w:w="6240" w:type="dxa"/>
            <w:vAlign w:val="bottom"/>
            <w:shd w:val="clear" w:color="auto" w:fill="D9D9D6"/>
          </w:tcPr>
          <w:p>
            <w:pPr>
              <w:spacing w:after="0"/>
              <w:rPr>
                <w:sz w:val="6"/>
                <w:szCs w:val="6"/>
                <w:color w:val="auto"/>
              </w:rPr>
            </w:pPr>
          </w:p>
        </w:tc>
        <w:tc>
          <w:tcPr>
            <w:tcW w:w="76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160" w:type="dxa"/>
            <w:vAlign w:val="bottom"/>
            <w:gridSpan w:val="4"/>
            <w:vMerge w:val="continue"/>
            <w:shd w:val="clear" w:color="auto" w:fill="D9D9D6"/>
          </w:tcPr>
          <w:p>
            <w:pPr>
              <w:spacing w:after="0"/>
              <w:rPr>
                <w:sz w:val="6"/>
                <w:szCs w:val="6"/>
                <w:color w:val="auto"/>
              </w:rPr>
            </w:pPr>
          </w:p>
        </w:tc>
        <w:tc>
          <w:tcPr>
            <w:tcW w:w="700" w:type="dxa"/>
            <w:vAlign w:val="bottom"/>
            <w:shd w:val="clear" w:color="auto" w:fill="D9D9D6"/>
          </w:tcPr>
          <w:p>
            <w:pPr>
              <w:spacing w:after="0"/>
              <w:rPr>
                <w:sz w:val="6"/>
                <w:szCs w:val="6"/>
                <w:color w:val="auto"/>
              </w:rPr>
            </w:pPr>
          </w:p>
        </w:tc>
        <w:tc>
          <w:tcPr>
            <w:tcW w:w="50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220" w:type="dxa"/>
            <w:vAlign w:val="bottom"/>
            <w:gridSpan w:val="3"/>
            <w:vMerge w:val="restart"/>
            <w:shd w:val="clear" w:color="auto" w:fill="D9D9D6"/>
          </w:tcPr>
          <w:p>
            <w:pPr>
              <w:ind w:left="560"/>
              <w:spacing w:after="0" w:line="146" w:lineRule="exact"/>
              <w:rPr>
                <w:sz w:val="20"/>
                <w:szCs w:val="20"/>
                <w:color w:val="auto"/>
              </w:rPr>
            </w:pPr>
            <w:r>
              <w:rPr>
                <w:rFonts w:ascii="Arial" w:cs="Arial" w:eastAsia="Arial" w:hAnsi="Arial"/>
                <w:sz w:val="14"/>
                <w:szCs w:val="14"/>
                <w:color w:val="auto"/>
              </w:rPr>
              <w:t>Currency</w:t>
            </w:r>
          </w:p>
        </w:tc>
        <w:tc>
          <w:tcPr>
            <w:tcW w:w="180" w:type="dxa"/>
            <w:vAlign w:val="bottom"/>
            <w:shd w:val="clear" w:color="auto" w:fill="D9D9D6"/>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6240" w:type="dxa"/>
            <w:vAlign w:val="bottom"/>
            <w:shd w:val="clear" w:color="auto" w:fill="D9D9D6"/>
          </w:tcPr>
          <w:p>
            <w:pPr>
              <w:spacing w:after="0" w:line="20" w:lineRule="exact"/>
              <w:rPr>
                <w:sz w:val="1"/>
                <w:szCs w:val="1"/>
                <w:color w:val="auto"/>
              </w:rPr>
            </w:pPr>
          </w:p>
        </w:tc>
        <w:tc>
          <w:tcPr>
            <w:tcW w:w="760" w:type="dxa"/>
            <w:vAlign w:val="bottom"/>
            <w:shd w:val="clear" w:color="auto" w:fill="D9D9D6"/>
          </w:tcPr>
          <w:p>
            <w:pPr>
              <w:spacing w:after="0" w:line="20" w:lineRule="exact"/>
              <w:rPr>
                <w:sz w:val="1"/>
                <w:szCs w:val="1"/>
                <w:color w:val="auto"/>
              </w:rPr>
            </w:pPr>
          </w:p>
        </w:tc>
        <w:tc>
          <w:tcPr>
            <w:tcW w:w="320" w:type="dxa"/>
            <w:vAlign w:val="bottom"/>
            <w:vMerge w:val="restart"/>
            <w:shd w:val="clear" w:color="auto" w:fill="D9D9D6"/>
          </w:tcPr>
          <w:p>
            <w:pPr>
              <w:jc w:val="right"/>
              <w:spacing w:after="0"/>
              <w:rPr>
                <w:sz w:val="20"/>
                <w:szCs w:val="20"/>
                <w:color w:val="auto"/>
              </w:rPr>
            </w:pPr>
            <w:r>
              <w:rPr>
                <w:rFonts w:ascii="Arial" w:cs="Arial" w:eastAsia="Arial" w:hAnsi="Arial"/>
                <w:sz w:val="14"/>
                <w:szCs w:val="14"/>
                <w:color w:val="auto"/>
                <w:w w:val="96"/>
              </w:rPr>
              <w:t>2026</w:t>
            </w:r>
          </w:p>
        </w:tc>
        <w:tc>
          <w:tcPr>
            <w:tcW w:w="20" w:type="dxa"/>
            <w:vAlign w:val="bottom"/>
            <w:shd w:val="clear" w:color="auto" w:fill="D9D9D6"/>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700" w:type="dxa"/>
            <w:vAlign w:val="bottom"/>
            <w:shd w:val="clear" w:color="auto" w:fill="D9D9D6"/>
          </w:tcPr>
          <w:p>
            <w:pPr>
              <w:spacing w:after="0" w:line="20" w:lineRule="exact"/>
              <w:rPr>
                <w:sz w:val="1"/>
                <w:szCs w:val="1"/>
                <w:color w:val="auto"/>
              </w:rPr>
            </w:pPr>
          </w:p>
        </w:tc>
        <w:tc>
          <w:tcPr>
            <w:tcW w:w="500" w:type="dxa"/>
            <w:vAlign w:val="bottom"/>
            <w:vMerge w:val="restart"/>
            <w:shd w:val="clear" w:color="auto" w:fill="D9D9D6"/>
          </w:tcPr>
          <w:p>
            <w:pPr>
              <w:jc w:val="right"/>
              <w:spacing w:after="0"/>
              <w:rPr>
                <w:sz w:val="20"/>
                <w:szCs w:val="20"/>
                <w:color w:val="auto"/>
              </w:rPr>
            </w:pPr>
            <w:r>
              <w:rPr>
                <w:rFonts w:ascii="Arial" w:cs="Arial" w:eastAsia="Arial" w:hAnsi="Arial"/>
                <w:sz w:val="14"/>
                <w:szCs w:val="14"/>
                <w:color w:val="auto"/>
                <w:w w:val="97"/>
              </w:rPr>
              <w:t>Change</w:t>
            </w:r>
          </w:p>
        </w:tc>
        <w:tc>
          <w:tcPr>
            <w:tcW w:w="20" w:type="dxa"/>
            <w:vAlign w:val="bottom"/>
            <w:shd w:val="clear" w:color="auto" w:fill="D9D9D6"/>
          </w:tcPr>
          <w:p>
            <w:pPr>
              <w:spacing w:after="0" w:line="20" w:lineRule="exact"/>
              <w:rPr>
                <w:sz w:val="1"/>
                <w:szCs w:val="1"/>
                <w:color w:val="auto"/>
              </w:rPr>
            </w:pPr>
          </w:p>
        </w:tc>
        <w:tc>
          <w:tcPr>
            <w:tcW w:w="1220" w:type="dxa"/>
            <w:vAlign w:val="bottom"/>
            <w:gridSpan w:val="3"/>
            <w:vMerge w:val="continue"/>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120" w:type="dxa"/>
            <w:vAlign w:val="bottom"/>
            <w:shd w:val="clear" w:color="auto" w:fill="D9D9D6"/>
          </w:tcPr>
          <w:p>
            <w:pPr>
              <w:spacing w:after="0"/>
              <w:rPr>
                <w:sz w:val="4"/>
                <w:szCs w:val="4"/>
                <w:color w:val="auto"/>
              </w:rPr>
            </w:pPr>
          </w:p>
        </w:tc>
        <w:tc>
          <w:tcPr>
            <w:tcW w:w="6240" w:type="dxa"/>
            <w:vAlign w:val="bottom"/>
            <w:shd w:val="clear" w:color="auto" w:fill="D9D9D6"/>
          </w:tcPr>
          <w:p>
            <w:pPr>
              <w:spacing w:after="0"/>
              <w:rPr>
                <w:sz w:val="4"/>
                <w:szCs w:val="4"/>
                <w:color w:val="auto"/>
              </w:rPr>
            </w:pPr>
          </w:p>
        </w:tc>
        <w:tc>
          <w:tcPr>
            <w:tcW w:w="760" w:type="dxa"/>
            <w:vAlign w:val="bottom"/>
            <w:shd w:val="clear" w:color="auto" w:fill="D9D9D6"/>
          </w:tcPr>
          <w:p>
            <w:pPr>
              <w:spacing w:after="0"/>
              <w:rPr>
                <w:sz w:val="4"/>
                <w:szCs w:val="4"/>
                <w:color w:val="auto"/>
              </w:rPr>
            </w:pPr>
          </w:p>
        </w:tc>
        <w:tc>
          <w:tcPr>
            <w:tcW w:w="320" w:type="dxa"/>
            <w:vAlign w:val="bottom"/>
            <w:vMerge w:val="continue"/>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280" w:type="dxa"/>
            <w:vAlign w:val="bottom"/>
            <w:vMerge w:val="restart"/>
            <w:shd w:val="clear" w:color="auto" w:fill="D9D9D6"/>
          </w:tcPr>
          <w:p>
            <w:pPr>
              <w:spacing w:after="0"/>
              <w:rPr>
                <w:sz w:val="4"/>
                <w:szCs w:val="4"/>
                <w:color w:val="auto"/>
              </w:rPr>
            </w:pPr>
          </w:p>
        </w:tc>
        <w:tc>
          <w:tcPr>
            <w:tcW w:w="880" w:type="dxa"/>
            <w:vAlign w:val="bottom"/>
            <w:gridSpan w:val="3"/>
            <w:vMerge w:val="restart"/>
            <w:shd w:val="clear" w:color="auto" w:fill="D9D9D6"/>
          </w:tcPr>
          <w:p>
            <w:pPr>
              <w:jc w:val="right"/>
              <w:ind w:right="20"/>
              <w:spacing w:after="0" w:line="182" w:lineRule="exact"/>
              <w:rPr>
                <w:sz w:val="20"/>
                <w:szCs w:val="20"/>
                <w:color w:val="auto"/>
              </w:rPr>
            </w:pPr>
            <w:r>
              <w:rPr>
                <w:rFonts w:ascii="Arial" w:cs="Arial" w:eastAsia="Arial" w:hAnsi="Arial"/>
                <w:sz w:val="14"/>
                <w:szCs w:val="14"/>
                <w:color w:val="auto"/>
              </w:rPr>
              <w:t>2025</w:t>
            </w:r>
            <w:r>
              <w:rPr>
                <w:rFonts w:ascii="Arial" w:cs="Arial" w:eastAsia="Arial" w:hAnsi="Arial"/>
                <w:sz w:val="18"/>
                <w:szCs w:val="18"/>
                <w:color w:val="auto"/>
                <w:vertAlign w:val="superscript"/>
              </w:rPr>
              <w:t>6, 9</w:t>
            </w:r>
          </w:p>
        </w:tc>
        <w:tc>
          <w:tcPr>
            <w:tcW w:w="700" w:type="dxa"/>
            <w:vAlign w:val="bottom"/>
            <w:shd w:val="clear" w:color="auto" w:fill="D9D9D6"/>
          </w:tcPr>
          <w:p>
            <w:pPr>
              <w:spacing w:after="0"/>
              <w:rPr>
                <w:sz w:val="4"/>
                <w:szCs w:val="4"/>
                <w:color w:val="auto"/>
              </w:rPr>
            </w:pPr>
          </w:p>
        </w:tc>
        <w:tc>
          <w:tcPr>
            <w:tcW w:w="500" w:type="dxa"/>
            <w:vAlign w:val="bottom"/>
            <w:vMerge w:val="continue"/>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20" w:type="dxa"/>
            <w:vAlign w:val="bottom"/>
            <w:gridSpan w:val="3"/>
            <w:vMerge w:val="continue"/>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20" w:type="dxa"/>
            <w:vAlign w:val="bottom"/>
            <w:tcBorders>
              <w:bottom w:val="single" w:sz="8" w:color="D9D9D6"/>
            </w:tcBorders>
            <w:shd w:val="clear" w:color="auto" w:fill="D9D9D6"/>
          </w:tcPr>
          <w:p>
            <w:pPr>
              <w:spacing w:after="0"/>
              <w:rPr>
                <w:sz w:val="15"/>
                <w:szCs w:val="15"/>
                <w:color w:val="auto"/>
              </w:rPr>
            </w:pPr>
          </w:p>
        </w:tc>
        <w:tc>
          <w:tcPr>
            <w:tcW w:w="6240" w:type="dxa"/>
            <w:vAlign w:val="bottom"/>
            <w:tcBorders>
              <w:bottom w:val="single" w:sz="8" w:color="D9D9D6"/>
            </w:tcBorders>
            <w:shd w:val="clear" w:color="auto" w:fill="D9D9D6"/>
          </w:tcPr>
          <w:p>
            <w:pPr>
              <w:spacing w:after="0"/>
              <w:rPr>
                <w:sz w:val="15"/>
                <w:szCs w:val="15"/>
                <w:color w:val="auto"/>
              </w:rPr>
            </w:pPr>
          </w:p>
        </w:tc>
        <w:tc>
          <w:tcPr>
            <w:tcW w:w="76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auto"/>
            </w:tcBorders>
            <w:vMerge w:val="continue"/>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280" w:type="dxa"/>
            <w:vAlign w:val="bottom"/>
            <w:tcBorders>
              <w:bottom w:val="single" w:sz="8" w:color="D9D9D6"/>
            </w:tcBorders>
            <w:vMerge w:val="continue"/>
            <w:shd w:val="clear" w:color="auto" w:fill="D9D9D6"/>
          </w:tcPr>
          <w:p>
            <w:pPr>
              <w:spacing w:after="0"/>
              <w:rPr>
                <w:sz w:val="15"/>
                <w:szCs w:val="15"/>
                <w:color w:val="auto"/>
              </w:rPr>
            </w:pPr>
          </w:p>
        </w:tc>
        <w:tc>
          <w:tcPr>
            <w:tcW w:w="880" w:type="dxa"/>
            <w:vAlign w:val="bottom"/>
            <w:tcBorders>
              <w:bottom w:val="single" w:sz="8" w:color="D9D9D6"/>
            </w:tcBorders>
            <w:gridSpan w:val="3"/>
            <w:vMerge w:val="continue"/>
            <w:shd w:val="clear" w:color="auto" w:fill="D9D9D6"/>
          </w:tcPr>
          <w:p>
            <w:pPr>
              <w:spacing w:after="0"/>
              <w:rPr>
                <w:sz w:val="15"/>
                <w:szCs w:val="15"/>
                <w:color w:val="auto"/>
              </w:rPr>
            </w:pPr>
          </w:p>
        </w:tc>
        <w:tc>
          <w:tcPr>
            <w:tcW w:w="700" w:type="dxa"/>
            <w:vAlign w:val="bottom"/>
            <w:tcBorders>
              <w:bottom w:val="single" w:sz="8" w:color="D9D9D6"/>
            </w:tcBorders>
            <w:shd w:val="clear" w:color="auto" w:fill="D9D9D6"/>
          </w:tcPr>
          <w:p>
            <w:pPr>
              <w:spacing w:after="0"/>
              <w:rPr>
                <w:sz w:val="15"/>
                <w:szCs w:val="15"/>
                <w:color w:val="auto"/>
              </w:rPr>
            </w:pPr>
          </w:p>
        </w:tc>
        <w:tc>
          <w:tcPr>
            <w:tcW w:w="500" w:type="dxa"/>
            <w:vAlign w:val="bottom"/>
            <w:tcBorders>
              <w:bottom w:val="single" w:sz="8" w:color="auto"/>
            </w:tcBorders>
            <w:vMerge w:val="continue"/>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220" w:type="dxa"/>
            <w:vAlign w:val="bottom"/>
            <w:tcBorders>
              <w:bottom w:val="single" w:sz="8" w:color="D9D9D6"/>
            </w:tcBorders>
            <w:gridSpan w:val="3"/>
            <w:shd w:val="clear" w:color="auto" w:fill="D9D9D6"/>
          </w:tcPr>
          <w:p>
            <w:pPr>
              <w:jc w:val="right"/>
              <w:ind w:right="20"/>
              <w:spacing w:after="0" w:line="127"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7</w:t>
            </w:r>
          </w:p>
        </w:tc>
        <w:tc>
          <w:tcPr>
            <w:tcW w:w="180" w:type="dxa"/>
            <w:vAlign w:val="bottom"/>
            <w:tcBorders>
              <w:bottom w:val="single" w:sz="8" w:color="D9D9D6"/>
            </w:tcBorders>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120" w:type="dxa"/>
            <w:vAlign w:val="bottom"/>
            <w:tcBorders>
              <w:top w:val="single" w:sz="8" w:color="D9D9D6"/>
            </w:tcBorders>
            <w:shd w:val="clear" w:color="auto" w:fill="D9D9D6"/>
          </w:tcPr>
          <w:p>
            <w:pPr>
              <w:spacing w:after="0"/>
              <w:rPr>
                <w:sz w:val="24"/>
                <w:szCs w:val="24"/>
                <w:color w:val="auto"/>
              </w:rPr>
            </w:pPr>
          </w:p>
        </w:tc>
        <w:tc>
          <w:tcPr>
            <w:tcW w:w="62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76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D9D9D6"/>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280" w:type="dxa"/>
            <w:vAlign w:val="bottom"/>
            <w:tcBorders>
              <w:top w:val="single" w:sz="8" w:color="D9D9D6"/>
            </w:tcBorders>
            <w:shd w:val="clear" w:color="auto" w:fill="D9D9D6"/>
          </w:tcPr>
          <w:p>
            <w:pPr>
              <w:spacing w:after="0"/>
              <w:rPr>
                <w:sz w:val="24"/>
                <w:szCs w:val="24"/>
                <w:color w:val="auto"/>
              </w:rPr>
            </w:pPr>
          </w:p>
        </w:tc>
        <w:tc>
          <w:tcPr>
            <w:tcW w:w="380" w:type="dxa"/>
            <w:vAlign w:val="bottom"/>
            <w:tcBorders>
              <w:top w:val="single" w:sz="8" w:color="D9D9D6"/>
            </w:tcBorders>
            <w:shd w:val="clear" w:color="auto" w:fill="D9D9D6"/>
          </w:tcPr>
          <w:p>
            <w:pPr>
              <w:spacing w:after="0"/>
              <w:rPr>
                <w:sz w:val="24"/>
                <w:szCs w:val="24"/>
                <w:color w:val="auto"/>
              </w:rPr>
            </w:pPr>
          </w:p>
        </w:tc>
        <w:tc>
          <w:tcPr>
            <w:tcW w:w="340" w:type="dxa"/>
            <w:vAlign w:val="bottom"/>
            <w:tcBorders>
              <w:top w:val="single" w:sz="8" w:color="auto"/>
              <w:right w:val="single" w:sz="8" w:color="D9D9D6"/>
            </w:tcBorders>
            <w:shd w:val="clear" w:color="auto" w:fill="D9D9D6"/>
          </w:tcPr>
          <w:p>
            <w:pPr>
              <w:spacing w:after="0"/>
              <w:rPr>
                <w:sz w:val="24"/>
                <w:szCs w:val="24"/>
                <w:color w:val="auto"/>
              </w:rPr>
            </w:pPr>
          </w:p>
        </w:tc>
        <w:tc>
          <w:tcPr>
            <w:tcW w:w="160" w:type="dxa"/>
            <w:vAlign w:val="bottom"/>
            <w:tcBorders>
              <w:top w:val="single" w:sz="8" w:color="D9D9D6"/>
            </w:tcBorders>
            <w:shd w:val="clear" w:color="auto" w:fill="D9D9D6"/>
          </w:tcPr>
          <w:p>
            <w:pPr>
              <w:spacing w:after="0"/>
              <w:rPr>
                <w:sz w:val="24"/>
                <w:szCs w:val="24"/>
                <w:color w:val="auto"/>
              </w:rPr>
            </w:pPr>
          </w:p>
        </w:tc>
        <w:tc>
          <w:tcPr>
            <w:tcW w:w="700" w:type="dxa"/>
            <w:vAlign w:val="bottom"/>
            <w:tcBorders>
              <w:top w:val="single" w:sz="8" w:color="D9D9D6"/>
            </w:tcBorders>
            <w:shd w:val="clear" w:color="auto" w:fill="D9D9D6"/>
          </w:tcPr>
          <w:p>
            <w:pPr>
              <w:spacing w:after="0"/>
              <w:rPr>
                <w:sz w:val="24"/>
                <w:szCs w:val="24"/>
                <w:color w:val="auto"/>
              </w:rPr>
            </w:pPr>
          </w:p>
        </w:tc>
        <w:tc>
          <w:tcPr>
            <w:tcW w:w="500" w:type="dxa"/>
            <w:vAlign w:val="bottom"/>
            <w:tcBorders>
              <w:top w:val="single" w:sz="8" w:color="D9D9D6"/>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640" w:type="dxa"/>
            <w:vAlign w:val="bottom"/>
            <w:tcBorders>
              <w:top w:val="single" w:sz="8" w:color="D9D9D6"/>
            </w:tcBorders>
            <w:shd w:val="clear" w:color="auto" w:fill="D9D9D6"/>
          </w:tcPr>
          <w:p>
            <w:pPr>
              <w:spacing w:after="0"/>
              <w:rPr>
                <w:sz w:val="24"/>
                <w:szCs w:val="24"/>
                <w:color w:val="auto"/>
              </w:rPr>
            </w:pPr>
          </w:p>
        </w:tc>
        <w:tc>
          <w:tcPr>
            <w:tcW w:w="500" w:type="dxa"/>
            <w:vAlign w:val="bottom"/>
            <w:tcBorders>
              <w:top w:val="single" w:sz="8" w:color="auto"/>
            </w:tcBorders>
            <w:shd w:val="clear" w:color="auto" w:fill="D9D9D6"/>
          </w:tcPr>
          <w:p>
            <w:pPr>
              <w:spacing w:after="0"/>
              <w:rPr>
                <w:sz w:val="24"/>
                <w:szCs w:val="24"/>
                <w:color w:val="auto"/>
              </w:rPr>
            </w:pPr>
          </w:p>
        </w:tc>
        <w:tc>
          <w:tcPr>
            <w:tcW w:w="80" w:type="dxa"/>
            <w:vAlign w:val="bottom"/>
            <w:tcBorders>
              <w:top w:val="single" w:sz="8" w:color="D9D9D6"/>
            </w:tcBorders>
            <w:shd w:val="clear" w:color="auto" w:fill="D9D9D6"/>
          </w:tcPr>
          <w:p>
            <w:pPr>
              <w:spacing w:after="0"/>
              <w:rPr>
                <w:sz w:val="24"/>
                <w:szCs w:val="24"/>
                <w:color w:val="auto"/>
              </w:rPr>
            </w:pPr>
          </w:p>
        </w:tc>
        <w:tc>
          <w:tcPr>
            <w:tcW w:w="180" w:type="dxa"/>
            <w:vAlign w:val="bottom"/>
            <w:tcBorders>
              <w:top w:val="single" w:sz="8" w:color="D9D9D6"/>
            </w:tcBorders>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20" w:type="dxa"/>
            <w:vAlign w:val="bottom"/>
            <w:shd w:val="clear" w:color="auto" w:fill="D9D9D6"/>
          </w:tcPr>
          <w:p>
            <w:pPr>
              <w:spacing w:after="0"/>
              <w:rPr>
                <w:sz w:val="17"/>
                <w:szCs w:val="17"/>
                <w:color w:val="auto"/>
              </w:rPr>
            </w:pPr>
          </w:p>
        </w:tc>
        <w:tc>
          <w:tcPr>
            <w:tcW w:w="6240" w:type="dxa"/>
            <w:vAlign w:val="bottom"/>
            <w:shd w:val="clear" w:color="auto" w:fill="D9D9D6"/>
          </w:tcPr>
          <w:p>
            <w:pPr>
              <w:ind w:left="340"/>
              <w:spacing w:after="0"/>
              <w:rPr>
                <w:sz w:val="20"/>
                <w:szCs w:val="20"/>
                <w:color w:val="auto"/>
              </w:rPr>
            </w:pPr>
            <w:r>
              <w:rPr>
                <w:rFonts w:ascii="Arial" w:cs="Arial" w:eastAsia="Arial" w:hAnsi="Arial"/>
                <w:sz w:val="14"/>
                <w:szCs w:val="14"/>
                <w:color w:val="auto"/>
              </w:rPr>
              <w:t>Domestic Broadband</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$6,338</w:t>
            </w:r>
          </w:p>
        </w:tc>
        <w:tc>
          <w:tcPr>
            <w:tcW w:w="11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$6,679</w:t>
            </w:r>
          </w:p>
        </w:tc>
        <w:tc>
          <w:tcPr>
            <w:tcW w:w="12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(5.1%)</w:t>
            </w:r>
          </w:p>
        </w:tc>
        <w:tc>
          <w:tcPr>
            <w:tcW w:w="20" w:type="dxa"/>
            <w:vAlign w:val="bottom"/>
            <w:shd w:val="clear" w:color="auto" w:fill="D9D9D6"/>
          </w:tcPr>
          <w:p>
            <w:pPr>
              <w:spacing w:after="0"/>
              <w:rPr>
                <w:sz w:val="17"/>
                <w:szCs w:val="17"/>
                <w:color w:val="auto"/>
              </w:rPr>
            </w:pPr>
          </w:p>
        </w:tc>
        <w:tc>
          <w:tcPr>
            <w:tcW w:w="12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(5.1%)</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6240" w:type="dxa"/>
            <w:vAlign w:val="bottom"/>
            <w:tcBorders>
              <w:bottom w:val="single" w:sz="8" w:color="D9D9D6"/>
            </w:tcBorders>
            <w:shd w:val="clear" w:color="auto" w:fill="D9D9D6"/>
          </w:tcPr>
          <w:p>
            <w:pPr>
              <w:ind w:left="340"/>
              <w:spacing w:after="0"/>
              <w:rPr>
                <w:sz w:val="20"/>
                <w:szCs w:val="20"/>
                <w:color w:val="auto"/>
              </w:rPr>
            </w:pPr>
            <w:r>
              <w:rPr>
                <w:rFonts w:ascii="Arial" w:cs="Arial" w:eastAsia="Arial" w:hAnsi="Arial"/>
                <w:sz w:val="14"/>
                <w:szCs w:val="14"/>
                <w:color w:val="auto"/>
              </w:rPr>
              <w:t>Domestic Wireless Service</w:t>
            </w:r>
          </w:p>
        </w:tc>
        <w:tc>
          <w:tcPr>
            <w:tcW w:w="11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977</w:t>
            </w:r>
          </w:p>
        </w:tc>
        <w:tc>
          <w:tcPr>
            <w:tcW w:w="116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850</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15.0%</w:t>
            </w:r>
          </w:p>
        </w:tc>
        <w:tc>
          <w:tcPr>
            <w:tcW w:w="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15.0%</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6240" w:type="dxa"/>
            <w:vAlign w:val="bottom"/>
            <w:shd w:val="clear" w:color="auto" w:fill="D9D9D6"/>
          </w:tcPr>
          <w:p>
            <w:pPr>
              <w:ind w:left="240"/>
              <w:spacing w:after="0"/>
              <w:rPr>
                <w:sz w:val="20"/>
                <w:szCs w:val="20"/>
                <w:color w:val="auto"/>
              </w:rPr>
            </w:pPr>
            <w:r>
              <w:rPr>
                <w:rFonts w:ascii="Arial" w:cs="Arial" w:eastAsia="Arial" w:hAnsi="Arial"/>
                <w:sz w:val="14"/>
                <w:szCs w:val="14"/>
                <w:color w:val="auto"/>
              </w:rPr>
              <w:t>Domestic Convergence Revenue</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7,315</w:t>
            </w:r>
          </w:p>
        </w:tc>
        <w:tc>
          <w:tcPr>
            <w:tcW w:w="11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7,529</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17"/>
                <w:szCs w:val="17"/>
                <w:color w:val="auto"/>
              </w:rPr>
            </w:pPr>
          </w:p>
        </w:tc>
        <w:tc>
          <w:tcPr>
            <w:tcW w:w="12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(2.8%)</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0" w:type="dxa"/>
            <w:vAlign w:val="bottom"/>
            <w:shd w:val="clear" w:color="auto" w:fill="D9D9D6"/>
          </w:tcPr>
          <w:p>
            <w:pPr>
              <w:spacing w:after="0"/>
              <w:rPr>
                <w:sz w:val="16"/>
                <w:szCs w:val="16"/>
                <w:color w:val="auto"/>
              </w:rPr>
            </w:pPr>
          </w:p>
        </w:tc>
        <w:tc>
          <w:tcPr>
            <w:tcW w:w="6240" w:type="dxa"/>
            <w:vAlign w:val="bottom"/>
            <w:shd w:val="clear" w:color="auto" w:fill="D9D9D6"/>
          </w:tcPr>
          <w:p>
            <w:pPr>
              <w:ind w:left="240"/>
              <w:spacing w:after="0"/>
              <w:rPr>
                <w:sz w:val="20"/>
                <w:szCs w:val="20"/>
                <w:color w:val="auto"/>
              </w:rPr>
            </w:pPr>
            <w:r>
              <w:rPr>
                <w:rFonts w:ascii="Arial" w:cs="Arial" w:eastAsia="Arial" w:hAnsi="Arial"/>
                <w:sz w:val="14"/>
                <w:szCs w:val="14"/>
                <w:color w:val="auto"/>
              </w:rPr>
              <w:t>Domestic Wireless Equipment</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418</w:t>
            </w:r>
          </w:p>
        </w:tc>
        <w:tc>
          <w:tcPr>
            <w:tcW w:w="11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273</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52.9%</w:t>
            </w:r>
          </w:p>
        </w:tc>
        <w:tc>
          <w:tcPr>
            <w:tcW w:w="2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52.9%</w:t>
            </w:r>
          </w:p>
        </w:tc>
        <w:tc>
          <w:tcPr>
            <w:tcW w:w="80" w:type="dxa"/>
            <w:vAlign w:val="bottom"/>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6240" w:type="dxa"/>
            <w:vAlign w:val="bottom"/>
            <w:tcBorders>
              <w:bottom w:val="single" w:sz="8" w:color="D9D9D6"/>
            </w:tcBorders>
            <w:shd w:val="clear" w:color="auto" w:fill="D9D9D6"/>
          </w:tcPr>
          <w:p>
            <w:pPr>
              <w:ind w:left="240"/>
              <w:spacing w:after="0"/>
              <w:rPr>
                <w:sz w:val="20"/>
                <w:szCs w:val="20"/>
                <w:color w:val="auto"/>
              </w:rPr>
            </w:pPr>
            <w:r>
              <w:rPr>
                <w:rFonts w:ascii="Arial" w:cs="Arial" w:eastAsia="Arial" w:hAnsi="Arial"/>
                <w:sz w:val="14"/>
                <w:szCs w:val="14"/>
                <w:color w:val="auto"/>
              </w:rPr>
              <w:t>International Connectivity</w:t>
            </w:r>
          </w:p>
        </w:tc>
        <w:tc>
          <w:tcPr>
            <w:tcW w:w="11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1,240</w:t>
            </w:r>
          </w:p>
        </w:tc>
        <w:tc>
          <w:tcPr>
            <w:tcW w:w="116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1,132</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9.5%</w:t>
            </w:r>
          </w:p>
        </w:tc>
        <w:tc>
          <w:tcPr>
            <w:tcW w:w="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0" w:type="dxa"/>
            <w:vAlign w:val="bottom"/>
            <w:shd w:val="clear" w:color="auto" w:fill="D9D9D6"/>
          </w:tcPr>
          <w:p>
            <w:pPr>
              <w:spacing w:after="0"/>
              <w:rPr>
                <w:sz w:val="16"/>
                <w:szCs w:val="16"/>
                <w:color w:val="auto"/>
              </w:rPr>
            </w:pPr>
          </w:p>
        </w:tc>
        <w:tc>
          <w:tcPr>
            <w:tcW w:w="6240" w:type="dxa"/>
            <w:vAlign w:val="bottom"/>
            <w:shd w:val="clear" w:color="auto" w:fill="D9D9D6"/>
          </w:tcPr>
          <w:p>
            <w:pPr>
              <w:ind w:left="120"/>
              <w:spacing w:after="0"/>
              <w:rPr>
                <w:sz w:val="20"/>
                <w:szCs w:val="20"/>
                <w:color w:val="auto"/>
              </w:rPr>
            </w:pPr>
            <w:r>
              <w:rPr>
                <w:rFonts w:ascii="Arial" w:cs="Arial" w:eastAsia="Arial" w:hAnsi="Arial"/>
                <w:sz w:val="14"/>
                <w:szCs w:val="14"/>
                <w:color w:val="auto"/>
              </w:rPr>
              <w:t>Total Residential Connectivity</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8,973</w:t>
            </w:r>
          </w:p>
        </w:tc>
        <w:tc>
          <w:tcPr>
            <w:tcW w:w="11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8,933</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6"/>
                <w:szCs w:val="16"/>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4"/>
                <w:szCs w:val="14"/>
                <w:color w:val="auto"/>
              </w:rPr>
              <w:t>(0.5%)</w:t>
            </w:r>
          </w:p>
        </w:tc>
        <w:tc>
          <w:tcPr>
            <w:tcW w:w="18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6240" w:type="dxa"/>
            <w:vAlign w:val="bottom"/>
            <w:shd w:val="clear" w:color="auto" w:fill="D9D9D6"/>
          </w:tcPr>
          <w:p>
            <w:pPr>
              <w:ind w:left="120"/>
              <w:spacing w:after="0"/>
              <w:rPr>
                <w:sz w:val="20"/>
                <w:szCs w:val="20"/>
                <w:color w:val="auto"/>
              </w:rPr>
            </w:pPr>
            <w:r>
              <w:rPr>
                <w:rFonts w:ascii="Arial" w:cs="Arial" w:eastAsia="Arial" w:hAnsi="Arial"/>
                <w:sz w:val="14"/>
                <w:szCs w:val="14"/>
                <w:color w:val="auto"/>
              </w:rPr>
              <w:t>Video</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6,256</w:t>
            </w:r>
          </w:p>
        </w:tc>
        <w:tc>
          <w:tcPr>
            <w:tcW w:w="11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6,600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(5.2%)</w:t>
            </w:r>
          </w:p>
        </w:tc>
        <w:tc>
          <w:tcPr>
            <w:tcW w:w="20" w:type="dxa"/>
            <w:vAlign w:val="bottom"/>
          </w:tcPr>
          <w:p>
            <w:pPr>
              <w:spacing w:after="0"/>
              <w:rPr>
                <w:sz w:val="17"/>
                <w:szCs w:val="17"/>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4"/>
                <w:szCs w:val="14"/>
                <w:color w:val="auto"/>
              </w:rPr>
              <w:t>(7.6%)</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6240" w:type="dxa"/>
            <w:vAlign w:val="bottom"/>
            <w:shd w:val="clear" w:color="auto" w:fill="D9D9D6"/>
          </w:tcPr>
          <w:p>
            <w:pPr>
              <w:ind w:left="120"/>
              <w:spacing w:after="0"/>
              <w:rPr>
                <w:sz w:val="20"/>
                <w:szCs w:val="20"/>
                <w:color w:val="auto"/>
              </w:rPr>
            </w:pPr>
            <w:r>
              <w:rPr>
                <w:rFonts w:ascii="Arial" w:cs="Arial" w:eastAsia="Arial" w:hAnsi="Arial"/>
                <w:sz w:val="14"/>
                <w:szCs w:val="14"/>
                <w:color w:val="auto"/>
              </w:rPr>
              <w:t>Advertising</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951</w:t>
            </w:r>
          </w:p>
        </w:tc>
        <w:tc>
          <w:tcPr>
            <w:tcW w:w="11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899</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624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Other</w:t>
            </w:r>
          </w:p>
        </w:tc>
        <w:tc>
          <w:tcPr>
            <w:tcW w:w="11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1,143</w:t>
            </w:r>
          </w:p>
        </w:tc>
        <w:tc>
          <w:tcPr>
            <w:tcW w:w="116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1,233</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(7.2%)</w:t>
            </w: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(8.9%)</w:t>
            </w: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shd w:val="clear" w:color="auto" w:fill="D9D9D6"/>
          </w:tcPr>
          <w:p>
            <w:pPr>
              <w:spacing w:after="0"/>
              <w:rPr>
                <w:sz w:val="17"/>
                <w:szCs w:val="17"/>
                <w:color w:val="auto"/>
              </w:rPr>
            </w:pPr>
          </w:p>
        </w:tc>
        <w:tc>
          <w:tcPr>
            <w:tcW w:w="62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$17,323</w:t>
            </w:r>
          </w:p>
        </w:tc>
        <w:tc>
          <w:tcPr>
            <w:tcW w:w="11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$17,665</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(1.9%)</w:t>
            </w:r>
          </w:p>
        </w:tc>
        <w:tc>
          <w:tcPr>
            <w:tcW w:w="20" w:type="dxa"/>
            <w:vAlign w:val="bottom"/>
          </w:tcPr>
          <w:p>
            <w:pPr>
              <w:spacing w:after="0"/>
              <w:rPr>
                <w:sz w:val="17"/>
                <w:szCs w:val="17"/>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(3.6%)</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120" w:type="dxa"/>
            <w:vAlign w:val="bottom"/>
            <w:shd w:val="clear" w:color="auto" w:fill="D9D9D6"/>
          </w:tcPr>
          <w:p>
            <w:pPr>
              <w:spacing w:after="0"/>
              <w:rPr>
                <w:sz w:val="24"/>
                <w:szCs w:val="24"/>
                <w:color w:val="auto"/>
              </w:rPr>
            </w:pPr>
          </w:p>
        </w:tc>
        <w:tc>
          <w:tcPr>
            <w:tcW w:w="62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Operating Expenses</w:t>
            </w:r>
          </w:p>
        </w:tc>
        <w:tc>
          <w:tcPr>
            <w:tcW w:w="7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80" w:type="dxa"/>
            <w:vAlign w:val="bottom"/>
            <w:shd w:val="clear" w:color="auto" w:fill="D9D9D6"/>
          </w:tcPr>
          <w:p>
            <w:pPr>
              <w:spacing w:after="0"/>
              <w:rPr>
                <w:sz w:val="24"/>
                <w:szCs w:val="24"/>
                <w:color w:val="auto"/>
              </w:rPr>
            </w:pPr>
          </w:p>
        </w:tc>
        <w:tc>
          <w:tcPr>
            <w:tcW w:w="380" w:type="dxa"/>
            <w:vAlign w:val="bottom"/>
            <w:shd w:val="clear" w:color="auto" w:fill="D9D9D6"/>
          </w:tcPr>
          <w:p>
            <w:pPr>
              <w:spacing w:after="0"/>
              <w:rPr>
                <w:sz w:val="24"/>
                <w:szCs w:val="24"/>
                <w:color w:val="auto"/>
              </w:rPr>
            </w:pPr>
          </w:p>
        </w:tc>
        <w:tc>
          <w:tcPr>
            <w:tcW w:w="340" w:type="dxa"/>
            <w:vAlign w:val="bottom"/>
            <w:tcBorders>
              <w:right w:val="single" w:sz="8" w:color="D9D9D6"/>
            </w:tcBorders>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70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64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20" w:type="dxa"/>
            <w:vAlign w:val="bottom"/>
            <w:shd w:val="clear" w:color="auto" w:fill="D9D9D6"/>
          </w:tcPr>
          <w:p>
            <w:pPr>
              <w:spacing w:after="0"/>
              <w:rPr>
                <w:sz w:val="17"/>
                <w:szCs w:val="17"/>
                <w:color w:val="auto"/>
              </w:rPr>
            </w:pPr>
          </w:p>
        </w:tc>
        <w:tc>
          <w:tcPr>
            <w:tcW w:w="6240" w:type="dxa"/>
            <w:vAlign w:val="bottom"/>
            <w:shd w:val="clear" w:color="auto" w:fill="D9D9D6"/>
          </w:tcPr>
          <w:p>
            <w:pPr>
              <w:ind w:left="120"/>
              <w:spacing w:after="0"/>
              <w:rPr>
                <w:sz w:val="20"/>
                <w:szCs w:val="20"/>
                <w:color w:val="auto"/>
              </w:rPr>
            </w:pPr>
            <w:r>
              <w:rPr>
                <w:rFonts w:ascii="Arial" w:cs="Arial" w:eastAsia="Arial" w:hAnsi="Arial"/>
                <w:sz w:val="14"/>
                <w:szCs w:val="14"/>
                <w:color w:val="auto"/>
              </w:rPr>
              <w:t>Programming</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$3,787</w:t>
            </w:r>
          </w:p>
        </w:tc>
        <w:tc>
          <w:tcPr>
            <w:tcW w:w="11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$4,107</w:t>
            </w:r>
          </w:p>
        </w:tc>
        <w:tc>
          <w:tcPr>
            <w:tcW w:w="12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(7.8%)</w:t>
            </w:r>
          </w:p>
        </w:tc>
        <w:tc>
          <w:tcPr>
            <w:tcW w:w="20" w:type="dxa"/>
            <w:vAlign w:val="bottom"/>
            <w:shd w:val="clear" w:color="auto" w:fill="D9D9D6"/>
          </w:tcPr>
          <w:p>
            <w:pPr>
              <w:spacing w:after="0"/>
              <w:rPr>
                <w:sz w:val="17"/>
                <w:szCs w:val="17"/>
                <w:color w:val="auto"/>
              </w:rPr>
            </w:pPr>
          </w:p>
        </w:tc>
        <w:tc>
          <w:tcPr>
            <w:tcW w:w="12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(10.2%)</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624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Non-Programming</w:t>
            </w:r>
          </w:p>
        </w:tc>
        <w:tc>
          <w:tcPr>
            <w:tcW w:w="11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7,102</w:t>
            </w:r>
          </w:p>
        </w:tc>
        <w:tc>
          <w:tcPr>
            <w:tcW w:w="116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6,716</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5.7%</w:t>
            </w:r>
          </w:p>
        </w:tc>
        <w:tc>
          <w:tcPr>
            <w:tcW w:w="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3.4%</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0" w:type="dxa"/>
            <w:vAlign w:val="bottom"/>
            <w:shd w:val="clear" w:color="auto" w:fill="D9D9D6"/>
          </w:tcPr>
          <w:p>
            <w:pPr>
              <w:spacing w:after="0"/>
              <w:rPr>
                <w:sz w:val="17"/>
                <w:szCs w:val="17"/>
                <w:color w:val="auto"/>
              </w:rPr>
            </w:pPr>
          </w:p>
        </w:tc>
        <w:tc>
          <w:tcPr>
            <w:tcW w:w="62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$10,889</w:t>
            </w:r>
          </w:p>
        </w:tc>
        <w:tc>
          <w:tcPr>
            <w:tcW w:w="11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$10,823</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0.6%</w:t>
            </w:r>
          </w:p>
        </w:tc>
        <w:tc>
          <w:tcPr>
            <w:tcW w:w="20" w:type="dxa"/>
            <w:vAlign w:val="bottom"/>
          </w:tcPr>
          <w:p>
            <w:pPr>
              <w:spacing w:after="0"/>
              <w:rPr>
                <w:sz w:val="17"/>
                <w:szCs w:val="17"/>
                <w:color w:val="auto"/>
              </w:rPr>
            </w:pPr>
          </w:p>
        </w:tc>
        <w:tc>
          <w:tcPr>
            <w:tcW w:w="12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(1.8%)</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120" w:type="dxa"/>
            <w:vAlign w:val="bottom"/>
            <w:shd w:val="clear" w:color="auto" w:fill="D9D9D6"/>
          </w:tcPr>
          <w:p>
            <w:pPr>
              <w:spacing w:after="0"/>
              <w:rPr>
                <w:sz w:val="24"/>
                <w:szCs w:val="24"/>
                <w:color w:val="auto"/>
              </w:rPr>
            </w:pPr>
          </w:p>
        </w:tc>
        <w:tc>
          <w:tcPr>
            <w:tcW w:w="62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$6,434</w:t>
            </w:r>
          </w:p>
        </w:tc>
        <w:tc>
          <w:tcPr>
            <w:tcW w:w="11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$6,842</w:t>
            </w:r>
          </w:p>
        </w:tc>
        <w:tc>
          <w:tcPr>
            <w:tcW w:w="12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(6.0%)</w:t>
            </w:r>
          </w:p>
        </w:tc>
        <w:tc>
          <w:tcPr>
            <w:tcW w:w="20" w:type="dxa"/>
            <w:vAlign w:val="bottom"/>
            <w:shd w:val="clear" w:color="auto" w:fill="D9D9D6"/>
          </w:tcPr>
          <w:p>
            <w:pPr>
              <w:spacing w:after="0"/>
              <w:rPr>
                <w:sz w:val="24"/>
                <w:szCs w:val="24"/>
                <w:color w:val="auto"/>
              </w:rPr>
            </w:pPr>
          </w:p>
        </w:tc>
        <w:tc>
          <w:tcPr>
            <w:tcW w:w="12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(6.5%)</w:t>
            </w:r>
          </w:p>
        </w:tc>
        <w:tc>
          <w:tcPr>
            <w:tcW w:w="1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shd w:val="clear" w:color="auto" w:fill="D9D9D6"/>
          </w:tcPr>
          <w:p>
            <w:pPr>
              <w:spacing w:after="0"/>
              <w:rPr>
                <w:sz w:val="17"/>
                <w:szCs w:val="17"/>
                <w:color w:val="auto"/>
              </w:rPr>
            </w:pPr>
          </w:p>
        </w:tc>
        <w:tc>
          <w:tcPr>
            <w:tcW w:w="624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10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37.1%</w:t>
            </w:r>
          </w:p>
        </w:tc>
        <w:tc>
          <w:tcPr>
            <w:tcW w:w="20" w:type="dxa"/>
            <w:vAlign w:val="bottom"/>
            <w:shd w:val="clear" w:color="auto" w:fill="D9D9D6"/>
          </w:tcPr>
          <w:p>
            <w:pPr>
              <w:spacing w:after="0"/>
              <w:rPr>
                <w:sz w:val="17"/>
                <w:szCs w:val="17"/>
                <w:color w:val="auto"/>
              </w:rPr>
            </w:pPr>
          </w:p>
        </w:tc>
        <w:tc>
          <w:tcPr>
            <w:tcW w:w="11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38.7%</w:t>
            </w:r>
          </w:p>
        </w:tc>
        <w:tc>
          <w:tcPr>
            <w:tcW w:w="12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(160) bps</w:t>
            </w:r>
          </w:p>
        </w:tc>
        <w:tc>
          <w:tcPr>
            <w:tcW w:w="1220" w:type="dxa"/>
            <w:vAlign w:val="bottom"/>
            <w:gridSpan w:val="3"/>
            <w:shd w:val="clear" w:color="auto" w:fill="D9D9D6"/>
          </w:tcPr>
          <w:p>
            <w:pPr>
              <w:ind w:left="580"/>
              <w:spacing w:after="0"/>
              <w:rPr>
                <w:sz w:val="20"/>
                <w:szCs w:val="20"/>
                <w:color w:val="auto"/>
              </w:rPr>
            </w:pPr>
            <w:r>
              <w:rPr>
                <w:rFonts w:ascii="Arial" w:cs="Arial" w:eastAsia="Arial" w:hAnsi="Arial"/>
                <w:sz w:val="14"/>
                <w:szCs w:val="14"/>
                <w:color w:val="auto"/>
              </w:rPr>
              <w:t>(120) bps</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120" w:type="dxa"/>
            <w:vAlign w:val="bottom"/>
            <w:shd w:val="clear" w:color="auto" w:fill="D9D9D6"/>
          </w:tcPr>
          <w:p>
            <w:pPr>
              <w:spacing w:after="0"/>
              <w:rPr>
                <w:sz w:val="5"/>
                <w:szCs w:val="5"/>
                <w:color w:val="auto"/>
              </w:rPr>
            </w:pPr>
          </w:p>
        </w:tc>
        <w:tc>
          <w:tcPr>
            <w:tcW w:w="6240" w:type="dxa"/>
            <w:vAlign w:val="bottom"/>
            <w:shd w:val="clear" w:color="auto" w:fill="D9D9D6"/>
          </w:tcPr>
          <w:p>
            <w:pPr>
              <w:spacing w:after="0"/>
              <w:rPr>
                <w:sz w:val="5"/>
                <w:szCs w:val="5"/>
                <w:color w:val="auto"/>
              </w:rPr>
            </w:pPr>
          </w:p>
        </w:tc>
        <w:tc>
          <w:tcPr>
            <w:tcW w:w="76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280" w:type="dxa"/>
            <w:vAlign w:val="bottom"/>
            <w:shd w:val="clear" w:color="auto" w:fill="D9D9D6"/>
          </w:tcPr>
          <w:p>
            <w:pPr>
              <w:spacing w:after="0"/>
              <w:rPr>
                <w:sz w:val="5"/>
                <w:szCs w:val="5"/>
                <w:color w:val="auto"/>
              </w:rPr>
            </w:pPr>
          </w:p>
        </w:tc>
        <w:tc>
          <w:tcPr>
            <w:tcW w:w="380" w:type="dxa"/>
            <w:vAlign w:val="bottom"/>
            <w:shd w:val="clear" w:color="auto" w:fill="D9D9D6"/>
          </w:tcPr>
          <w:p>
            <w:pPr>
              <w:spacing w:after="0"/>
              <w:rPr>
                <w:sz w:val="5"/>
                <w:szCs w:val="5"/>
                <w:color w:val="auto"/>
              </w:rPr>
            </w:pPr>
          </w:p>
        </w:tc>
        <w:tc>
          <w:tcPr>
            <w:tcW w:w="340" w:type="dxa"/>
            <w:vAlign w:val="bottom"/>
            <w:tcBorders>
              <w:right w:val="single" w:sz="8" w:color="D9D9D6"/>
            </w:tcBorders>
            <w:shd w:val="clear" w:color="auto" w:fill="D9D9D6"/>
          </w:tcPr>
          <w:p>
            <w:pPr>
              <w:spacing w:after="0"/>
              <w:rPr>
                <w:sz w:val="5"/>
                <w:szCs w:val="5"/>
                <w:color w:val="auto"/>
              </w:rPr>
            </w:pPr>
          </w:p>
        </w:tc>
        <w:tc>
          <w:tcPr>
            <w:tcW w:w="160" w:type="dxa"/>
            <w:vAlign w:val="bottom"/>
            <w:shd w:val="clear" w:color="auto" w:fill="D9D9D6"/>
          </w:tcPr>
          <w:p>
            <w:pPr>
              <w:spacing w:after="0"/>
              <w:rPr>
                <w:sz w:val="5"/>
                <w:szCs w:val="5"/>
                <w:color w:val="auto"/>
              </w:rPr>
            </w:pPr>
          </w:p>
        </w:tc>
        <w:tc>
          <w:tcPr>
            <w:tcW w:w="70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64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-2399665</wp:posOffset>
            </wp:positionV>
            <wp:extent cx="1543050" cy="131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3050" cy="131127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-822325</wp:posOffset>
            </wp:positionV>
            <wp:extent cx="1543050"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3050" cy="394335"/>
                    </a:xfrm>
                    <a:prstGeom prst="rect">
                      <a:avLst/>
                    </a:prstGeom>
                    <a:noFill/>
                  </pic:spPr>
                </pic:pic>
              </a:graphicData>
            </a:graphic>
          </wp:anchor>
        </w:drawing>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Change percentages represent year/year growth rates. The changes in Adjusted EBITDA margins are presented as year/year basis point changes in the rounded Adjusted EBITDA margins.</w:t>
      </w:r>
    </w:p>
    <w:p>
      <w:pPr>
        <w:spacing w:after="0" w:line="2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Residential Connectivity &amp; Platforms decreased compared to the prior year period, reflecting decreases in video, domestic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broadband and other revenue, partially offset by increases in domestic wireless equipment, domestic wireless service, international</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connectivity and advertising revenue. Domestic broadband revenue decreased due to lower average rates and a decline in the number of domestic broadband customers. Domestic wireless service revenue increased due to an increase in the number of customer lines. Domestic wireless equipment revenue increased due to an increase in device sales. International connectivity revenue increased primarily due to the positive impact of foreign currency and an increase in broadband revenue from higher average rates. Video revenue decreased primarily due</w:t>
      </w:r>
    </w:p>
    <w:p>
      <w:pPr>
        <w:jc w:val="both"/>
        <w:spacing w:after="0" w:line="228" w:lineRule="auto"/>
        <w:rPr>
          <w:sz w:val="20"/>
          <w:szCs w:val="20"/>
          <w:color w:val="auto"/>
        </w:rPr>
      </w:pPr>
      <w:r>
        <w:rPr>
          <w:rFonts w:ascii="Arial" w:cs="Arial" w:eastAsia="Arial" w:hAnsi="Arial"/>
          <w:sz w:val="18"/>
          <w:szCs w:val="18"/>
          <w:color w:val="auto"/>
        </w:rPr>
        <w:t>to a decline in the number of video customers, partially offset by the positive impact of foreign currency. Advertising revenue increased primarily due to higher revenue from our advanced advertising business, the positive impact of foreign currency and higher domestic political advertising. Other revenue decreased primarily due to lower residential wireline voice revenue, driven by a decline in the number of customers.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626" w:right="339" w:bottom="1440" w:gutter="0" w:footer="0" w:header="0"/>
        </w:sectPr>
      </w:pPr>
    </w:p>
    <w:bookmarkStart w:id="6" w:name="page7"/>
    <w:bookmarkEnd w:id="6"/>
    <w:p>
      <w:pPr>
        <w:jc w:val="both"/>
        <w:spacing w:after="0" w:line="228"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Residential Connectivity &amp; Platforms decreased due to lower revenue, partially offset by lower operating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when excluding the impact of foreign currency. Programming expenses decreased primarily due to a decline in the number of domestic video customers, partially offset by the impact of foreign currency. Non-programming expenses increased primarily reflecting an increase in direct product costs mainly due to higher mobile device sales, the impact of foreign currency and higher marketing and promotion costs. </w:t>
      </w:r>
      <w:r>
        <w:rPr>
          <w:rFonts w:ascii="Arial" w:cs="Arial" w:eastAsia="Arial" w:hAnsi="Arial"/>
          <w:sz w:val="18"/>
          <w:szCs w:val="18"/>
          <w:b w:val="1"/>
          <w:bCs w:val="1"/>
          <w:i w:val="1"/>
          <w:iCs w:val="1"/>
          <w:color w:val="auto"/>
        </w:rPr>
        <w:t>Adjusted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EBITDA margin </w:t>
      </w:r>
      <w:r>
        <w:rPr>
          <w:rFonts w:ascii="Arial" w:cs="Arial" w:eastAsia="Arial" w:hAnsi="Arial"/>
          <w:sz w:val="18"/>
          <w:szCs w:val="18"/>
          <w:color w:val="auto"/>
        </w:rPr>
        <w:t>was 37.1%.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Services Connectivity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680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6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60" w:type="dxa"/>
            <w:vAlign w:val="bottom"/>
            <w:shd w:val="clear" w:color="auto" w:fill="D9D9D6"/>
          </w:tcPr>
          <w:p>
            <w:pPr>
              <w:spacing w:after="0"/>
              <w:rPr>
                <w:sz w:val="19"/>
                <w:szCs w:val="19"/>
                <w:color w:val="auto"/>
              </w:rPr>
            </w:pPr>
          </w:p>
        </w:tc>
        <w:tc>
          <w:tcPr>
            <w:tcW w:w="500" w:type="dxa"/>
            <w:vAlign w:val="bottom"/>
            <w:shd w:val="clear" w:color="auto" w:fill="D9D9D6"/>
          </w:tcPr>
          <w:p>
            <w:pPr>
              <w:spacing w:after="0"/>
              <w:rPr>
                <w:sz w:val="19"/>
                <w:szCs w:val="19"/>
                <w:color w:val="auto"/>
              </w:rPr>
            </w:pPr>
          </w:p>
        </w:tc>
        <w:tc>
          <w:tcPr>
            <w:tcW w:w="220" w:type="dxa"/>
            <w:vAlign w:val="bottom"/>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40" w:type="dxa"/>
            <w:vAlign w:val="bottom"/>
            <w:shd w:val="clear" w:color="auto" w:fill="D9D9D6"/>
          </w:tcPr>
          <w:p>
            <w:pPr>
              <w:spacing w:after="0"/>
              <w:rPr>
                <w:sz w:val="19"/>
                <w:szCs w:val="19"/>
                <w:color w:val="auto"/>
              </w:rPr>
            </w:pPr>
          </w:p>
        </w:tc>
        <w:tc>
          <w:tcPr>
            <w:tcW w:w="50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60" w:type="dxa"/>
            <w:vAlign w:val="bottom"/>
            <w:gridSpan w:val="3"/>
            <w:vMerge w:val="restart"/>
            <w:shd w:val="clear" w:color="auto" w:fill="D9D9D6"/>
          </w:tcPr>
          <w:p>
            <w:pPr>
              <w:jc w:val="right"/>
              <w:ind w:right="260"/>
              <w:spacing w:after="0"/>
              <w:rPr>
                <w:sz w:val="20"/>
                <w:szCs w:val="20"/>
                <w:color w:val="auto"/>
              </w:rPr>
            </w:pPr>
            <w:r>
              <w:rPr>
                <w:rFonts w:ascii="Arial" w:cs="Arial" w:eastAsia="Arial" w:hAnsi="Arial"/>
                <w:sz w:val="14"/>
                <w:szCs w:val="14"/>
                <w:color w:val="auto"/>
              </w:rPr>
              <w:t>Constant</w:t>
            </w:r>
          </w:p>
        </w:tc>
        <w:tc>
          <w:tcPr>
            <w:tcW w:w="0" w:type="dxa"/>
            <w:vAlign w:val="bottom"/>
          </w:tcPr>
          <w:p>
            <w:pPr>
              <w:spacing w:after="0"/>
              <w:rPr>
                <w:sz w:val="1"/>
                <w:szCs w:val="1"/>
                <w:color w:val="auto"/>
              </w:rPr>
            </w:pPr>
          </w:p>
        </w:tc>
      </w:tr>
      <w:tr>
        <w:trPr>
          <w:trHeight w:val="146"/>
        </w:trPr>
        <w:tc>
          <w:tcPr>
            <w:tcW w:w="100" w:type="dxa"/>
            <w:vAlign w:val="bottom"/>
            <w:shd w:val="clear" w:color="auto" w:fill="D9D9D6"/>
          </w:tcPr>
          <w:p>
            <w:pPr>
              <w:spacing w:after="0"/>
              <w:rPr>
                <w:sz w:val="12"/>
                <w:szCs w:val="12"/>
                <w:color w:val="auto"/>
              </w:rPr>
            </w:pPr>
          </w:p>
        </w:tc>
        <w:tc>
          <w:tcPr>
            <w:tcW w:w="6800" w:type="dxa"/>
            <w:vAlign w:val="bottom"/>
            <w:shd w:val="clear" w:color="auto" w:fill="D9D9D6"/>
          </w:tcPr>
          <w:p>
            <w:pPr>
              <w:spacing w:after="0"/>
              <w:rPr>
                <w:sz w:val="12"/>
                <w:szCs w:val="12"/>
                <w:color w:val="auto"/>
              </w:rPr>
            </w:pPr>
          </w:p>
        </w:tc>
        <w:tc>
          <w:tcPr>
            <w:tcW w:w="66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60" w:type="dxa"/>
            <w:vAlign w:val="bottom"/>
            <w:shd w:val="clear" w:color="auto" w:fill="D9D9D6"/>
          </w:tcPr>
          <w:p>
            <w:pPr>
              <w:spacing w:after="0"/>
              <w:rPr>
                <w:sz w:val="12"/>
                <w:szCs w:val="12"/>
                <w:color w:val="auto"/>
              </w:rPr>
            </w:pPr>
          </w:p>
        </w:tc>
        <w:tc>
          <w:tcPr>
            <w:tcW w:w="840" w:type="dxa"/>
            <w:vAlign w:val="bottom"/>
            <w:gridSpan w:val="4"/>
            <w:vMerge w:val="restart"/>
            <w:shd w:val="clear" w:color="auto" w:fill="D9D9D6"/>
          </w:tcPr>
          <w:p>
            <w:pPr>
              <w:spacing w:after="0"/>
              <w:rPr>
                <w:sz w:val="20"/>
                <w:szCs w:val="20"/>
                <w:color w:val="auto"/>
              </w:rPr>
            </w:pPr>
            <w:r>
              <w:rPr>
                <w:rFonts w:ascii="Arial" w:cs="Arial" w:eastAsia="Arial" w:hAnsi="Arial"/>
                <w:sz w:val="14"/>
                <w:szCs w:val="14"/>
                <w:color w:val="auto"/>
              </w:rPr>
              <w:t>1st Quarter</w:t>
            </w:r>
          </w:p>
        </w:tc>
        <w:tc>
          <w:tcPr>
            <w:tcW w:w="540" w:type="dxa"/>
            <w:vAlign w:val="bottom"/>
            <w:shd w:val="clear" w:color="auto" w:fill="D9D9D6"/>
          </w:tcPr>
          <w:p>
            <w:pPr>
              <w:spacing w:after="0"/>
              <w:rPr>
                <w:sz w:val="12"/>
                <w:szCs w:val="12"/>
                <w:color w:val="auto"/>
              </w:rPr>
            </w:pPr>
          </w:p>
        </w:tc>
        <w:tc>
          <w:tcPr>
            <w:tcW w:w="50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260" w:type="dxa"/>
            <w:vAlign w:val="bottom"/>
            <w:gridSpan w:val="3"/>
            <w:vMerge w:val="continue"/>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00" w:type="dxa"/>
            <w:vAlign w:val="bottom"/>
            <w:shd w:val="clear" w:color="auto" w:fill="D9D9D6"/>
          </w:tcPr>
          <w:p>
            <w:pPr>
              <w:spacing w:after="0"/>
              <w:rPr>
                <w:sz w:val="6"/>
                <w:szCs w:val="6"/>
                <w:color w:val="auto"/>
              </w:rPr>
            </w:pPr>
          </w:p>
        </w:tc>
        <w:tc>
          <w:tcPr>
            <w:tcW w:w="6800" w:type="dxa"/>
            <w:vAlign w:val="bottom"/>
            <w:shd w:val="clear" w:color="auto" w:fill="D9D9D6"/>
          </w:tcPr>
          <w:p>
            <w:pPr>
              <w:spacing w:after="0"/>
              <w:rPr>
                <w:sz w:val="6"/>
                <w:szCs w:val="6"/>
                <w:color w:val="auto"/>
              </w:rPr>
            </w:pPr>
          </w:p>
        </w:tc>
        <w:tc>
          <w:tcPr>
            <w:tcW w:w="66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60" w:type="dxa"/>
            <w:vAlign w:val="bottom"/>
            <w:shd w:val="clear" w:color="auto" w:fill="D9D9D6"/>
          </w:tcPr>
          <w:p>
            <w:pPr>
              <w:spacing w:after="0"/>
              <w:rPr>
                <w:sz w:val="6"/>
                <w:szCs w:val="6"/>
                <w:color w:val="auto"/>
              </w:rPr>
            </w:pPr>
          </w:p>
        </w:tc>
        <w:tc>
          <w:tcPr>
            <w:tcW w:w="840" w:type="dxa"/>
            <w:vAlign w:val="bottom"/>
            <w:gridSpan w:val="4"/>
            <w:vMerge w:val="continue"/>
            <w:shd w:val="clear" w:color="auto" w:fill="D9D9D6"/>
          </w:tcPr>
          <w:p>
            <w:pPr>
              <w:spacing w:after="0"/>
              <w:rPr>
                <w:sz w:val="6"/>
                <w:szCs w:val="6"/>
                <w:color w:val="auto"/>
              </w:rPr>
            </w:pPr>
          </w:p>
        </w:tc>
        <w:tc>
          <w:tcPr>
            <w:tcW w:w="540" w:type="dxa"/>
            <w:vAlign w:val="bottom"/>
            <w:shd w:val="clear" w:color="auto" w:fill="D9D9D6"/>
          </w:tcPr>
          <w:p>
            <w:pPr>
              <w:spacing w:after="0"/>
              <w:rPr>
                <w:sz w:val="6"/>
                <w:szCs w:val="6"/>
                <w:color w:val="auto"/>
              </w:rPr>
            </w:pPr>
          </w:p>
        </w:tc>
        <w:tc>
          <w:tcPr>
            <w:tcW w:w="50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260" w:type="dxa"/>
            <w:vAlign w:val="bottom"/>
            <w:gridSpan w:val="3"/>
            <w:vMerge w:val="restart"/>
            <w:shd w:val="clear" w:color="auto" w:fill="D9D9D6"/>
          </w:tcPr>
          <w:p>
            <w:pPr>
              <w:jc w:val="right"/>
              <w:ind w:right="260"/>
              <w:spacing w:after="0" w:line="126"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49"/>
        </w:trPr>
        <w:tc>
          <w:tcPr>
            <w:tcW w:w="100" w:type="dxa"/>
            <w:vAlign w:val="bottom"/>
            <w:tcBorders>
              <w:bottom w:val="single" w:sz="8" w:color="D9D9D6"/>
            </w:tcBorders>
            <w:shd w:val="clear" w:color="auto" w:fill="D9D9D6"/>
          </w:tcPr>
          <w:p>
            <w:pPr>
              <w:spacing w:after="0"/>
              <w:rPr>
                <w:sz w:val="4"/>
                <w:szCs w:val="4"/>
                <w:color w:val="auto"/>
              </w:rPr>
            </w:pPr>
          </w:p>
        </w:tc>
        <w:tc>
          <w:tcPr>
            <w:tcW w:w="6800" w:type="dxa"/>
            <w:vAlign w:val="bottom"/>
            <w:tcBorders>
              <w:bottom w:val="single" w:sz="8" w:color="D9D9D6"/>
            </w:tcBorders>
            <w:shd w:val="clear" w:color="auto" w:fill="D9D9D6"/>
          </w:tcPr>
          <w:p>
            <w:pPr>
              <w:spacing w:after="0"/>
              <w:rPr>
                <w:sz w:val="4"/>
                <w:szCs w:val="4"/>
                <w:color w:val="auto"/>
              </w:rPr>
            </w:pPr>
          </w:p>
        </w:tc>
        <w:tc>
          <w:tcPr>
            <w:tcW w:w="660" w:type="dxa"/>
            <w:vAlign w:val="bottom"/>
            <w:tcBorders>
              <w:bottom w:val="single" w:sz="8" w:color="D9D9D6"/>
            </w:tcBorders>
            <w:shd w:val="clear" w:color="auto" w:fill="D9D9D6"/>
          </w:tcPr>
          <w:p>
            <w:pPr>
              <w:spacing w:after="0"/>
              <w:rPr>
                <w:sz w:val="4"/>
                <w:szCs w:val="4"/>
                <w:color w:val="auto"/>
              </w:rPr>
            </w:pPr>
          </w:p>
        </w:tc>
        <w:tc>
          <w:tcPr>
            <w:tcW w:w="320" w:type="dxa"/>
            <w:vAlign w:val="bottom"/>
            <w:tcBorders>
              <w:bottom w:val="single" w:sz="8" w:color="D9D9D6"/>
            </w:tcBorders>
            <w:shd w:val="clear" w:color="auto" w:fill="D9D9D6"/>
          </w:tcPr>
          <w:p>
            <w:pPr>
              <w:spacing w:after="0"/>
              <w:rPr>
                <w:sz w:val="4"/>
                <w:szCs w:val="4"/>
                <w:color w:val="auto"/>
              </w:rPr>
            </w:pPr>
          </w:p>
        </w:tc>
        <w:tc>
          <w:tcPr>
            <w:tcW w:w="20" w:type="dxa"/>
            <w:vAlign w:val="bottom"/>
            <w:tcBorders>
              <w:bottom w:val="single" w:sz="8" w:color="D9D9D6"/>
            </w:tcBorders>
            <w:shd w:val="clear" w:color="auto" w:fill="D9D9D6"/>
          </w:tcPr>
          <w:p>
            <w:pPr>
              <w:spacing w:after="0"/>
              <w:rPr>
                <w:sz w:val="4"/>
                <w:szCs w:val="4"/>
                <w:color w:val="auto"/>
              </w:rPr>
            </w:pPr>
          </w:p>
        </w:tc>
        <w:tc>
          <w:tcPr>
            <w:tcW w:w="160" w:type="dxa"/>
            <w:vAlign w:val="bottom"/>
            <w:tcBorders>
              <w:bottom w:val="single" w:sz="8" w:color="D9D9D6"/>
            </w:tcBorders>
            <w:shd w:val="clear" w:color="auto" w:fill="D9D9D6"/>
          </w:tcPr>
          <w:p>
            <w:pPr>
              <w:spacing w:after="0"/>
              <w:rPr>
                <w:sz w:val="4"/>
                <w:szCs w:val="4"/>
                <w:color w:val="auto"/>
              </w:rPr>
            </w:pPr>
          </w:p>
        </w:tc>
        <w:tc>
          <w:tcPr>
            <w:tcW w:w="500" w:type="dxa"/>
            <w:vAlign w:val="bottom"/>
            <w:tcBorders>
              <w:bottom w:val="single" w:sz="8" w:color="D9D9D6"/>
            </w:tcBorders>
            <w:shd w:val="clear" w:color="auto" w:fill="000000"/>
          </w:tcPr>
          <w:p>
            <w:pPr>
              <w:spacing w:after="0"/>
              <w:rPr>
                <w:sz w:val="4"/>
                <w:szCs w:val="4"/>
                <w:color w:val="auto"/>
              </w:rPr>
            </w:pPr>
          </w:p>
        </w:tc>
        <w:tc>
          <w:tcPr>
            <w:tcW w:w="220" w:type="dxa"/>
            <w:vAlign w:val="bottom"/>
            <w:tcBorders>
              <w:bottom w:val="single" w:sz="8" w:color="D9D9D6"/>
            </w:tcBorders>
            <w:shd w:val="clear" w:color="auto" w:fill="000000"/>
          </w:tcPr>
          <w:p>
            <w:pPr>
              <w:spacing w:after="0"/>
              <w:rPr>
                <w:sz w:val="4"/>
                <w:szCs w:val="4"/>
                <w:color w:val="auto"/>
              </w:rPr>
            </w:pPr>
          </w:p>
        </w:tc>
        <w:tc>
          <w:tcPr>
            <w:tcW w:w="100" w:type="dxa"/>
            <w:vAlign w:val="bottom"/>
            <w:tcBorders>
              <w:bottom w:val="single" w:sz="8" w:color="D9D9D6"/>
            </w:tcBorders>
            <w:shd w:val="clear" w:color="auto" w:fill="D9D9D6"/>
          </w:tcPr>
          <w:p>
            <w:pPr>
              <w:spacing w:after="0"/>
              <w:rPr>
                <w:sz w:val="4"/>
                <w:szCs w:val="4"/>
                <w:color w:val="auto"/>
              </w:rPr>
            </w:pPr>
          </w:p>
        </w:tc>
        <w:tc>
          <w:tcPr>
            <w:tcW w:w="20" w:type="dxa"/>
            <w:vAlign w:val="bottom"/>
            <w:tcBorders>
              <w:bottom w:val="single" w:sz="8" w:color="D9D9D6"/>
            </w:tcBorders>
            <w:shd w:val="clear" w:color="auto" w:fill="D9D9D6"/>
          </w:tcPr>
          <w:p>
            <w:pPr>
              <w:spacing w:after="0"/>
              <w:rPr>
                <w:sz w:val="4"/>
                <w:szCs w:val="4"/>
                <w:color w:val="auto"/>
              </w:rPr>
            </w:pPr>
          </w:p>
        </w:tc>
        <w:tc>
          <w:tcPr>
            <w:tcW w:w="540" w:type="dxa"/>
            <w:vAlign w:val="bottom"/>
            <w:tcBorders>
              <w:bottom w:val="single" w:sz="8" w:color="D9D9D6"/>
            </w:tcBorders>
            <w:shd w:val="clear" w:color="auto" w:fill="D9D9D6"/>
          </w:tcPr>
          <w:p>
            <w:pPr>
              <w:spacing w:after="0"/>
              <w:rPr>
                <w:sz w:val="4"/>
                <w:szCs w:val="4"/>
                <w:color w:val="auto"/>
              </w:rPr>
            </w:pPr>
          </w:p>
        </w:tc>
        <w:tc>
          <w:tcPr>
            <w:tcW w:w="500" w:type="dxa"/>
            <w:vAlign w:val="bottom"/>
            <w:tcBorders>
              <w:bottom w:val="single" w:sz="8" w:color="D9D9D6"/>
            </w:tcBorders>
            <w:shd w:val="clear" w:color="auto" w:fill="D9D9D6"/>
          </w:tcPr>
          <w:p>
            <w:pPr>
              <w:spacing w:after="0"/>
              <w:rPr>
                <w:sz w:val="4"/>
                <w:szCs w:val="4"/>
                <w:color w:val="auto"/>
              </w:rPr>
            </w:pPr>
          </w:p>
        </w:tc>
        <w:tc>
          <w:tcPr>
            <w:tcW w:w="20" w:type="dxa"/>
            <w:vAlign w:val="bottom"/>
            <w:tcBorders>
              <w:bottom w:val="single" w:sz="8" w:color="D9D9D6"/>
            </w:tcBorders>
            <w:shd w:val="clear" w:color="auto" w:fill="D9D9D6"/>
          </w:tcPr>
          <w:p>
            <w:pPr>
              <w:spacing w:after="0"/>
              <w:rPr>
                <w:sz w:val="4"/>
                <w:szCs w:val="4"/>
                <w:color w:val="auto"/>
              </w:rPr>
            </w:pPr>
          </w:p>
        </w:tc>
        <w:tc>
          <w:tcPr>
            <w:tcW w:w="1260" w:type="dxa"/>
            <w:vAlign w:val="bottom"/>
            <w:tcBorders>
              <w:bottom w:val="single" w:sz="8" w:color="D9D9D6"/>
            </w:tcBorders>
            <w:gridSpan w:val="3"/>
            <w:vMerge w:val="continue"/>
            <w:shd w:val="clear" w:color="auto" w:fill="D9D9D6"/>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100" w:type="dxa"/>
            <w:vAlign w:val="bottom"/>
            <w:tcBorders>
              <w:bottom w:val="single" w:sz="8" w:color="D9D9D6"/>
            </w:tcBorders>
            <w:shd w:val="clear" w:color="auto" w:fill="D9D9D6"/>
          </w:tcPr>
          <w:p>
            <w:pPr>
              <w:spacing w:after="0"/>
              <w:rPr>
                <w:sz w:val="13"/>
                <w:szCs w:val="13"/>
                <w:color w:val="auto"/>
              </w:rPr>
            </w:pPr>
          </w:p>
        </w:tc>
        <w:tc>
          <w:tcPr>
            <w:tcW w:w="6800" w:type="dxa"/>
            <w:vAlign w:val="bottom"/>
            <w:tcBorders>
              <w:bottom w:val="single" w:sz="8" w:color="D9D9D6"/>
            </w:tcBorders>
            <w:shd w:val="clear" w:color="auto" w:fill="D9D9D6"/>
          </w:tcPr>
          <w:p>
            <w:pPr>
              <w:spacing w:after="0"/>
              <w:rPr>
                <w:sz w:val="13"/>
                <w:szCs w:val="13"/>
                <w:color w:val="auto"/>
              </w:rPr>
            </w:pPr>
          </w:p>
        </w:tc>
        <w:tc>
          <w:tcPr>
            <w:tcW w:w="660" w:type="dxa"/>
            <w:vAlign w:val="bottom"/>
            <w:tcBorders>
              <w:bottom w:val="single" w:sz="8" w:color="D9D9D6"/>
            </w:tcBorders>
            <w:shd w:val="clear" w:color="auto" w:fill="D9D9D6"/>
          </w:tcPr>
          <w:p>
            <w:pPr>
              <w:spacing w:after="0"/>
              <w:rPr>
                <w:sz w:val="13"/>
                <w:szCs w:val="13"/>
                <w:color w:val="auto"/>
              </w:rPr>
            </w:pPr>
          </w:p>
        </w:tc>
        <w:tc>
          <w:tcPr>
            <w:tcW w:w="320" w:type="dxa"/>
            <w:vAlign w:val="bottom"/>
            <w:tcBorders>
              <w:bottom w:val="single" w:sz="8" w:color="auto"/>
            </w:tcBorders>
            <w:shd w:val="clear" w:color="auto" w:fill="D9D9D6"/>
          </w:tcPr>
          <w:p>
            <w:pPr>
              <w:jc w:val="right"/>
              <w:spacing w:after="0" w:line="120" w:lineRule="exact"/>
              <w:rPr>
                <w:sz w:val="20"/>
                <w:szCs w:val="20"/>
                <w:color w:val="auto"/>
              </w:rPr>
            </w:pPr>
            <w:r>
              <w:rPr>
                <w:rFonts w:ascii="Arial" w:cs="Arial" w:eastAsia="Arial" w:hAnsi="Arial"/>
                <w:sz w:val="13"/>
                <w:szCs w:val="13"/>
                <w:color w:val="auto"/>
              </w:rPr>
              <w:t>2026</w:t>
            </w:r>
          </w:p>
        </w:tc>
        <w:tc>
          <w:tcPr>
            <w:tcW w:w="20" w:type="dxa"/>
            <w:vAlign w:val="bottom"/>
            <w:tcBorders>
              <w:bottom w:val="single" w:sz="8" w:color="D9D9D6"/>
            </w:tcBorders>
            <w:shd w:val="clear" w:color="auto" w:fill="D9D9D6"/>
          </w:tcPr>
          <w:p>
            <w:pPr>
              <w:spacing w:after="0"/>
              <w:rPr>
                <w:sz w:val="13"/>
                <w:szCs w:val="13"/>
                <w:color w:val="auto"/>
              </w:rPr>
            </w:pPr>
          </w:p>
        </w:tc>
        <w:tc>
          <w:tcPr>
            <w:tcW w:w="660" w:type="dxa"/>
            <w:vAlign w:val="bottom"/>
            <w:tcBorders>
              <w:bottom w:val="single" w:sz="8" w:color="D9D9D6"/>
            </w:tcBorders>
            <w:gridSpan w:val="2"/>
            <w:shd w:val="clear" w:color="auto" w:fill="D9D9D6"/>
          </w:tcPr>
          <w:p>
            <w:pPr>
              <w:spacing w:after="0"/>
              <w:rPr>
                <w:sz w:val="13"/>
                <w:szCs w:val="13"/>
                <w:color w:val="auto"/>
              </w:rPr>
            </w:pPr>
          </w:p>
        </w:tc>
        <w:tc>
          <w:tcPr>
            <w:tcW w:w="320" w:type="dxa"/>
            <w:vAlign w:val="bottom"/>
            <w:tcBorders>
              <w:bottom w:val="single" w:sz="8" w:color="auto"/>
            </w:tcBorders>
            <w:gridSpan w:val="2"/>
            <w:shd w:val="clear" w:color="auto" w:fill="D9D9D6"/>
          </w:tcPr>
          <w:p>
            <w:pPr>
              <w:jc w:val="right"/>
              <w:spacing w:after="0" w:line="120" w:lineRule="exact"/>
              <w:rPr>
                <w:sz w:val="20"/>
                <w:szCs w:val="20"/>
                <w:color w:val="auto"/>
              </w:rPr>
            </w:pPr>
            <w:r>
              <w:rPr>
                <w:rFonts w:ascii="Arial" w:cs="Arial" w:eastAsia="Arial" w:hAnsi="Arial"/>
                <w:sz w:val="13"/>
                <w:szCs w:val="13"/>
                <w:color w:val="auto"/>
              </w:rPr>
              <w:t>2025</w:t>
            </w:r>
          </w:p>
        </w:tc>
        <w:tc>
          <w:tcPr>
            <w:tcW w:w="20" w:type="dxa"/>
            <w:vAlign w:val="bottom"/>
            <w:tcBorders>
              <w:bottom w:val="single" w:sz="8" w:color="D9D9D6"/>
            </w:tcBorders>
            <w:shd w:val="clear" w:color="auto" w:fill="D9D9D6"/>
          </w:tcPr>
          <w:p>
            <w:pPr>
              <w:spacing w:after="0"/>
              <w:rPr>
                <w:sz w:val="13"/>
                <w:szCs w:val="13"/>
                <w:color w:val="auto"/>
              </w:rPr>
            </w:pPr>
          </w:p>
        </w:tc>
        <w:tc>
          <w:tcPr>
            <w:tcW w:w="540" w:type="dxa"/>
            <w:vAlign w:val="bottom"/>
            <w:tcBorders>
              <w:bottom w:val="single" w:sz="8" w:color="D9D9D6"/>
            </w:tcBorders>
            <w:shd w:val="clear" w:color="auto" w:fill="D9D9D6"/>
          </w:tcPr>
          <w:p>
            <w:pPr>
              <w:spacing w:after="0"/>
              <w:rPr>
                <w:sz w:val="13"/>
                <w:szCs w:val="13"/>
                <w:color w:val="auto"/>
              </w:rPr>
            </w:pPr>
          </w:p>
        </w:tc>
        <w:tc>
          <w:tcPr>
            <w:tcW w:w="500" w:type="dxa"/>
            <w:vAlign w:val="bottom"/>
            <w:tcBorders>
              <w:bottom w:val="single" w:sz="8" w:color="auto"/>
            </w:tcBorders>
            <w:shd w:val="clear" w:color="auto" w:fill="D9D9D6"/>
          </w:tcPr>
          <w:p>
            <w:pPr>
              <w:jc w:val="right"/>
              <w:spacing w:after="0" w:line="120" w:lineRule="exact"/>
              <w:rPr>
                <w:sz w:val="20"/>
                <w:szCs w:val="20"/>
                <w:color w:val="auto"/>
              </w:rPr>
            </w:pPr>
            <w:r>
              <w:rPr>
                <w:rFonts w:ascii="Arial" w:cs="Arial" w:eastAsia="Arial" w:hAnsi="Arial"/>
                <w:sz w:val="13"/>
                <w:szCs w:val="13"/>
                <w:color w:val="auto"/>
              </w:rPr>
              <w:t>Change</w:t>
            </w:r>
          </w:p>
        </w:tc>
        <w:tc>
          <w:tcPr>
            <w:tcW w:w="20" w:type="dxa"/>
            <w:vAlign w:val="bottom"/>
            <w:tcBorders>
              <w:bottom w:val="single" w:sz="8" w:color="D9D9D6"/>
            </w:tcBorders>
            <w:shd w:val="clear" w:color="auto" w:fill="D9D9D6"/>
          </w:tcPr>
          <w:p>
            <w:pPr>
              <w:spacing w:after="0"/>
              <w:rPr>
                <w:sz w:val="13"/>
                <w:szCs w:val="13"/>
                <w:color w:val="auto"/>
              </w:rPr>
            </w:pPr>
          </w:p>
        </w:tc>
        <w:tc>
          <w:tcPr>
            <w:tcW w:w="1260" w:type="dxa"/>
            <w:vAlign w:val="bottom"/>
            <w:tcBorders>
              <w:bottom w:val="single" w:sz="8" w:color="D9D9D6"/>
            </w:tcBorders>
            <w:gridSpan w:val="3"/>
            <w:shd w:val="clear" w:color="auto" w:fill="D9D9D6"/>
          </w:tcPr>
          <w:p>
            <w:pPr>
              <w:jc w:val="right"/>
              <w:ind w:right="220"/>
              <w:spacing w:after="0" w:line="127"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7</w:t>
            </w:r>
          </w:p>
        </w:tc>
        <w:tc>
          <w:tcPr>
            <w:tcW w:w="0" w:type="dxa"/>
            <w:vAlign w:val="bottom"/>
          </w:tcPr>
          <w:p>
            <w:pPr>
              <w:spacing w:after="0"/>
              <w:rPr>
                <w:sz w:val="1"/>
                <w:szCs w:val="1"/>
                <w:color w:val="auto"/>
              </w:rPr>
            </w:pPr>
          </w:p>
        </w:tc>
      </w:tr>
      <w:tr>
        <w:trPr>
          <w:trHeight w:val="20"/>
        </w:trPr>
        <w:tc>
          <w:tcPr>
            <w:tcW w:w="100" w:type="dxa"/>
            <w:vAlign w:val="bottom"/>
            <w:tcBorders>
              <w:top w:val="single" w:sz="8" w:color="D9D9D6"/>
            </w:tcBorders>
            <w:shd w:val="clear" w:color="auto" w:fill="D9D9D6"/>
          </w:tcPr>
          <w:p>
            <w:pPr>
              <w:spacing w:after="0" w:line="20" w:lineRule="exact"/>
              <w:rPr>
                <w:sz w:val="1"/>
                <w:szCs w:val="1"/>
                <w:color w:val="auto"/>
              </w:rPr>
            </w:pPr>
          </w:p>
        </w:tc>
        <w:tc>
          <w:tcPr>
            <w:tcW w:w="6800" w:type="dxa"/>
            <w:vAlign w:val="bottom"/>
            <w:tcBorders>
              <w:top w:val="single" w:sz="8" w:color="D9D9D6"/>
            </w:tcBorders>
            <w:shd w:val="clear" w:color="auto" w:fill="D9D9D6"/>
          </w:tcPr>
          <w:p>
            <w:pPr>
              <w:spacing w:after="0" w:line="20" w:lineRule="exact"/>
              <w:rPr>
                <w:sz w:val="1"/>
                <w:szCs w:val="1"/>
                <w:color w:val="auto"/>
              </w:rPr>
            </w:pPr>
          </w:p>
        </w:tc>
        <w:tc>
          <w:tcPr>
            <w:tcW w:w="660" w:type="dxa"/>
            <w:vAlign w:val="bottom"/>
            <w:tcBorders>
              <w:top w:val="single" w:sz="8" w:color="D9D9D6"/>
            </w:tcBorders>
            <w:shd w:val="clear" w:color="auto" w:fill="D9D9D6"/>
          </w:tcPr>
          <w:p>
            <w:pPr>
              <w:spacing w:after="0" w:line="20" w:lineRule="exact"/>
              <w:rPr>
                <w:sz w:val="1"/>
                <w:szCs w:val="1"/>
                <w:color w:val="auto"/>
              </w:rPr>
            </w:pPr>
          </w:p>
        </w:tc>
        <w:tc>
          <w:tcPr>
            <w:tcW w:w="320" w:type="dxa"/>
            <w:vAlign w:val="bottom"/>
            <w:tcBorders>
              <w:top w:val="single" w:sz="8" w:color="D9D9D6"/>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16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D9D9D6"/>
            </w:tcBorders>
            <w:shd w:val="clear" w:color="auto" w:fill="D9D9D6"/>
          </w:tcPr>
          <w:p>
            <w:pPr>
              <w:spacing w:after="0" w:line="20" w:lineRule="exact"/>
              <w:rPr>
                <w:sz w:val="1"/>
                <w:szCs w:val="1"/>
                <w:color w:val="auto"/>
              </w:rPr>
            </w:pPr>
          </w:p>
        </w:tc>
        <w:tc>
          <w:tcPr>
            <w:tcW w:w="220" w:type="dxa"/>
            <w:vAlign w:val="bottom"/>
            <w:tcBorders>
              <w:top w:val="single" w:sz="8" w:color="D9D9D6"/>
            </w:tcBorders>
            <w:shd w:val="clear" w:color="auto" w:fill="D9D9D6"/>
          </w:tcPr>
          <w:p>
            <w:pPr>
              <w:spacing w:after="0" w:line="20" w:lineRule="exact"/>
              <w:rPr>
                <w:sz w:val="1"/>
                <w:szCs w:val="1"/>
                <w:color w:val="auto"/>
              </w:rPr>
            </w:pPr>
          </w:p>
        </w:tc>
        <w:tc>
          <w:tcPr>
            <w:tcW w:w="100" w:type="dxa"/>
            <w:vAlign w:val="bottom"/>
            <w:tcBorders>
              <w:top w:val="single" w:sz="8" w:color="D9D9D6"/>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54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D9D9D6"/>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right w:val="single" w:sz="8" w:color="D9D9D6"/>
            </w:tcBorders>
            <w:shd w:val="clear" w:color="auto" w:fill="000000"/>
          </w:tcPr>
          <w:p>
            <w:pPr>
              <w:spacing w:after="0" w:line="20" w:lineRule="exact"/>
              <w:rPr>
                <w:sz w:val="1"/>
                <w:szCs w:val="1"/>
                <w:color w:val="auto"/>
              </w:rPr>
            </w:pPr>
          </w:p>
        </w:tc>
        <w:tc>
          <w:tcPr>
            <w:tcW w:w="200" w:type="dxa"/>
            <w:vAlign w:val="bottom"/>
            <w:tcBorders>
              <w:top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shd w:val="clear" w:color="auto" w:fill="D9D9D6"/>
          </w:tcPr>
          <w:p>
            <w:pPr>
              <w:spacing w:after="0"/>
              <w:rPr>
                <w:sz w:val="24"/>
                <w:szCs w:val="24"/>
                <w:color w:val="auto"/>
              </w:rPr>
            </w:pPr>
          </w:p>
        </w:tc>
        <w:tc>
          <w:tcPr>
            <w:tcW w:w="68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10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$2,640</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$2,496</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5.8%</w:t>
            </w:r>
          </w:p>
        </w:tc>
        <w:tc>
          <w:tcPr>
            <w:tcW w:w="2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5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5.7%</w:t>
            </w:r>
          </w:p>
        </w:tc>
        <w:tc>
          <w:tcPr>
            <w:tcW w:w="20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Borders>
              <w:bottom w:val="single" w:sz="8" w:color="D9D9D6"/>
            </w:tcBorders>
            <w:shd w:val="clear" w:color="auto" w:fill="D9D9D6"/>
          </w:tcPr>
          <w:p>
            <w:pPr>
              <w:spacing w:after="0"/>
              <w:rPr>
                <w:sz w:val="17"/>
                <w:szCs w:val="17"/>
                <w:color w:val="auto"/>
              </w:rPr>
            </w:pPr>
          </w:p>
        </w:tc>
        <w:tc>
          <w:tcPr>
            <w:tcW w:w="680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10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1,163</w:t>
            </w:r>
          </w:p>
        </w:tc>
        <w:tc>
          <w:tcPr>
            <w:tcW w:w="100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1,074</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8.3%</w:t>
            </w:r>
          </w:p>
        </w:tc>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8.1%</w:t>
            </w:r>
          </w:p>
        </w:tc>
        <w:tc>
          <w:tcPr>
            <w:tcW w:w="200" w:type="dxa"/>
            <w:vAlign w:val="bottom"/>
            <w:tcBorders>
              <w:bottom w:val="single" w:sz="8" w:color="D9D9D6"/>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00" w:type="dxa"/>
            <w:vAlign w:val="bottom"/>
            <w:shd w:val="clear" w:color="auto" w:fill="D9D9D6"/>
          </w:tcPr>
          <w:p>
            <w:pPr>
              <w:spacing w:after="0"/>
              <w:rPr>
                <w:sz w:val="17"/>
                <w:szCs w:val="17"/>
                <w:color w:val="auto"/>
              </w:rPr>
            </w:pPr>
          </w:p>
        </w:tc>
        <w:tc>
          <w:tcPr>
            <w:tcW w:w="680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10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$1,476</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$1,422</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3.8%</w:t>
            </w:r>
          </w:p>
        </w:tc>
        <w:tc>
          <w:tcPr>
            <w:tcW w:w="20" w:type="dxa"/>
            <w:vAlign w:val="bottom"/>
          </w:tcPr>
          <w:p>
            <w:pPr>
              <w:spacing w:after="0"/>
              <w:rPr>
                <w:sz w:val="17"/>
                <w:szCs w:val="17"/>
                <w:color w:val="auto"/>
              </w:rPr>
            </w:pPr>
          </w:p>
        </w:tc>
        <w:tc>
          <w:tcPr>
            <w:tcW w:w="10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3.9%</w:t>
            </w:r>
          </w:p>
        </w:tc>
        <w:tc>
          <w:tcPr>
            <w:tcW w:w="20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 w:type="dxa"/>
            <w:vAlign w:val="bottom"/>
            <w:shd w:val="clear" w:color="auto" w:fill="D9D9D6"/>
          </w:tcPr>
          <w:p>
            <w:pPr>
              <w:spacing w:after="0"/>
              <w:rPr>
                <w:sz w:val="17"/>
                <w:szCs w:val="17"/>
                <w:color w:val="auto"/>
              </w:rPr>
            </w:pPr>
          </w:p>
        </w:tc>
        <w:tc>
          <w:tcPr>
            <w:tcW w:w="680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55.9%</w:t>
            </w:r>
          </w:p>
        </w:tc>
        <w:tc>
          <w:tcPr>
            <w:tcW w:w="20" w:type="dxa"/>
            <w:vAlign w:val="bottom"/>
            <w:shd w:val="clear" w:color="auto" w:fill="D9D9D6"/>
          </w:tcPr>
          <w:p>
            <w:pPr>
              <w:spacing w:after="0"/>
              <w:rPr>
                <w:sz w:val="17"/>
                <w:szCs w:val="17"/>
                <w:color w:val="auto"/>
              </w:rPr>
            </w:pPr>
          </w:p>
        </w:tc>
        <w:tc>
          <w:tcPr>
            <w:tcW w:w="98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57.0%</w:t>
            </w:r>
          </w:p>
        </w:tc>
        <w:tc>
          <w:tcPr>
            <w:tcW w:w="20" w:type="dxa"/>
            <w:vAlign w:val="bottom"/>
            <w:shd w:val="clear" w:color="auto" w:fill="D9D9D6"/>
          </w:tcPr>
          <w:p>
            <w:pPr>
              <w:spacing w:after="0"/>
              <w:rPr>
                <w:sz w:val="17"/>
                <w:szCs w:val="17"/>
                <w:color w:val="auto"/>
              </w:rPr>
            </w:pPr>
          </w:p>
        </w:tc>
        <w:tc>
          <w:tcPr>
            <w:tcW w:w="10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(110) bps</w:t>
            </w:r>
          </w:p>
        </w:tc>
        <w:tc>
          <w:tcPr>
            <w:tcW w:w="10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(100) bps</w:t>
            </w:r>
          </w:p>
        </w:tc>
        <w:tc>
          <w:tcPr>
            <w:tcW w:w="20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D9D9D6"/>
          </w:tcPr>
          <w:p>
            <w:pPr>
              <w:spacing w:after="0"/>
              <w:rPr>
                <w:sz w:val="5"/>
                <w:szCs w:val="5"/>
                <w:color w:val="auto"/>
              </w:rPr>
            </w:pPr>
          </w:p>
        </w:tc>
        <w:tc>
          <w:tcPr>
            <w:tcW w:w="6800" w:type="dxa"/>
            <w:vAlign w:val="bottom"/>
            <w:shd w:val="clear" w:color="auto" w:fill="D9D9D6"/>
          </w:tcPr>
          <w:p>
            <w:pPr>
              <w:spacing w:after="0"/>
              <w:rPr>
                <w:sz w:val="5"/>
                <w:szCs w:val="5"/>
                <w:color w:val="auto"/>
              </w:rPr>
            </w:pPr>
          </w:p>
        </w:tc>
        <w:tc>
          <w:tcPr>
            <w:tcW w:w="66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16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220" w:type="dxa"/>
            <w:vAlign w:val="bottom"/>
            <w:shd w:val="clear" w:color="auto" w:fill="D9D9D6"/>
          </w:tcPr>
          <w:p>
            <w:pPr>
              <w:spacing w:after="0"/>
              <w:rPr>
                <w:sz w:val="5"/>
                <w:szCs w:val="5"/>
                <w:color w:val="auto"/>
              </w:rPr>
            </w:pPr>
          </w:p>
        </w:tc>
        <w:tc>
          <w:tcPr>
            <w:tcW w:w="10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4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560" w:type="dxa"/>
            <w:vAlign w:val="bottom"/>
            <w:tcBorders>
              <w:right w:val="single" w:sz="8" w:color="D9D9D6"/>
            </w:tcBorders>
            <w:shd w:val="clear" w:color="auto" w:fill="D9D9D6"/>
          </w:tcPr>
          <w:p>
            <w:pPr>
              <w:spacing w:after="0"/>
              <w:rPr>
                <w:sz w:val="5"/>
                <w:szCs w:val="5"/>
                <w:color w:val="auto"/>
              </w:rPr>
            </w:pPr>
          </w:p>
        </w:tc>
        <w:tc>
          <w:tcPr>
            <w:tcW w:w="200" w:type="dxa"/>
            <w:vAlign w:val="bottom"/>
            <w:shd w:val="clear" w:color="auto" w:fill="D9D9D6"/>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-556895</wp:posOffset>
            </wp:positionV>
            <wp:extent cx="1474470"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394335"/>
                    </a:xfrm>
                    <a:prstGeom prst="rect">
                      <a:avLst/>
                    </a:prstGeom>
                    <a:noFill/>
                  </pic:spPr>
                </pic:pic>
              </a:graphicData>
            </a:graphic>
          </wp:anchor>
        </w:drawing>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Change percentages represent year/year growth rates. The changes in Adjusted EBITDA margins are presented as year/year basis point changes in the rounded Adjusted EBITDA margins.</w:t>
      </w:r>
    </w:p>
    <w:p>
      <w:pPr>
        <w:spacing w:after="0" w:line="2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Business Services Connectivity increased primarily due to an increase in revenue from enterprise solutions offerings,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results from a recent acquisition.</w:t>
      </w:r>
    </w:p>
    <w:p>
      <w:pPr>
        <w:spacing w:after="0" w:line="19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Business Services Connectivity increased due to higher revenue, partially offset by higher operating expenses.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increase in operating expenses was primarily due to an increase in direct product costs, which include the results from a recent acquisition, and higher marketing and promotion expenses. </w:t>
      </w:r>
      <w:r>
        <w:rPr>
          <w:rFonts w:ascii="Arial" w:cs="Arial" w:eastAsia="Arial" w:hAnsi="Arial"/>
          <w:sz w:val="18"/>
          <w:szCs w:val="18"/>
          <w:b w:val="1"/>
          <w:bCs w:val="1"/>
          <w:i w:val="1"/>
          <w:iCs w:val="1"/>
          <w:color w:val="auto"/>
        </w:rPr>
        <w:t>Adjusted EBITDA margin</w:t>
      </w:r>
      <w:r>
        <w:rPr>
          <w:rFonts w:ascii="Arial" w:cs="Arial" w:eastAsia="Arial" w:hAnsi="Arial"/>
          <w:sz w:val="18"/>
          <w:szCs w:val="18"/>
          <w:color w:val="auto"/>
        </w:rPr>
        <w:t xml:space="preserve"> was 55.9%.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809"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Content &amp;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80645</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80" w:type="dxa"/>
            <w:vAlign w:val="bottom"/>
            <w:tcBorders>
              <w:right w:val="single" w:sz="8" w:color="D9D9D6"/>
            </w:tcBorders>
            <w:shd w:val="clear" w:color="auto" w:fill="D9D9D6"/>
          </w:tcPr>
          <w:p>
            <w:pPr>
              <w:spacing w:after="0"/>
              <w:rPr>
                <w:sz w:val="17"/>
                <w:szCs w:val="17"/>
                <w:color w:val="auto"/>
              </w:rPr>
            </w:pPr>
          </w:p>
        </w:tc>
        <w:tc>
          <w:tcPr>
            <w:tcW w:w="56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tcBorders>
              <w:bottom w:val="single" w:sz="8" w:color="D9D9D6"/>
            </w:tcBorders>
            <w:shd w:val="clear" w:color="auto" w:fill="D9D9D6"/>
          </w:tcPr>
          <w:p>
            <w:pPr>
              <w:spacing w:after="0"/>
              <w:rPr>
                <w:sz w:val="15"/>
                <w:szCs w:val="15"/>
                <w:color w:val="auto"/>
              </w:rPr>
            </w:pPr>
          </w:p>
        </w:tc>
        <w:tc>
          <w:tcPr>
            <w:tcW w:w="8040" w:type="dxa"/>
            <w:vAlign w:val="bottom"/>
            <w:tcBorders>
              <w:bottom w:val="single" w:sz="8" w:color="D9D9D6"/>
            </w:tcBorders>
            <w:shd w:val="clear" w:color="auto" w:fill="D9D9D6"/>
          </w:tcPr>
          <w:p>
            <w:pPr>
              <w:spacing w:after="0"/>
              <w:rPr>
                <w:sz w:val="15"/>
                <w:szCs w:val="15"/>
                <w:color w:val="auto"/>
              </w:rPr>
            </w:pPr>
          </w:p>
        </w:tc>
        <w:tc>
          <w:tcPr>
            <w:tcW w:w="64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40" w:type="dxa"/>
            <w:vAlign w:val="bottom"/>
            <w:tcBorders>
              <w:bottom w:val="single" w:sz="8" w:color="D9D9D6"/>
            </w:tcBorders>
            <w:shd w:val="clear" w:color="auto" w:fill="D9D9D6"/>
          </w:tcPr>
          <w:p>
            <w:pPr>
              <w:spacing w:after="0"/>
              <w:rPr>
                <w:sz w:val="15"/>
                <w:szCs w:val="15"/>
                <w:color w:val="auto"/>
              </w:rPr>
            </w:pPr>
          </w:p>
        </w:tc>
        <w:tc>
          <w:tcPr>
            <w:tcW w:w="760" w:type="dxa"/>
            <w:vAlign w:val="bottom"/>
            <w:tcBorders>
              <w:bottom w:val="single" w:sz="8" w:color="auto"/>
              <w:right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w w:val="99"/>
              </w:rPr>
              <w:t>1st Quarter</w:t>
            </w:r>
          </w:p>
        </w:tc>
        <w:tc>
          <w:tcPr>
            <w:tcW w:w="560" w:type="dxa"/>
            <w:vAlign w:val="bottom"/>
            <w:tcBorders>
              <w:bottom w:val="single" w:sz="8" w:color="D9D9D6"/>
            </w:tcBorders>
            <w:shd w:val="clear" w:color="auto" w:fill="D9D9D6"/>
          </w:tcPr>
          <w:p>
            <w:pPr>
              <w:spacing w:after="0"/>
              <w:rPr>
                <w:sz w:val="15"/>
                <w:szCs w:val="15"/>
                <w:color w:val="auto"/>
              </w:rPr>
            </w:pPr>
          </w:p>
        </w:tc>
        <w:tc>
          <w:tcPr>
            <w:tcW w:w="50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20" w:type="dxa"/>
            <w:vAlign w:val="bottom"/>
            <w:tcBorders>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8040" w:type="dxa"/>
            <w:vAlign w:val="bottom"/>
            <w:shd w:val="clear" w:color="auto" w:fill="D9D9D6"/>
          </w:tcPr>
          <w:p>
            <w:pPr>
              <w:spacing w:after="0"/>
              <w:rPr>
                <w:sz w:val="15"/>
                <w:szCs w:val="15"/>
                <w:color w:val="auto"/>
              </w:rPr>
            </w:pP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2026</w:t>
            </w:r>
          </w:p>
        </w:tc>
        <w:tc>
          <w:tcPr>
            <w:tcW w:w="900" w:type="dxa"/>
            <w:vAlign w:val="bottom"/>
            <w:tcBorders>
              <w:right w:val="single" w:sz="8" w:color="D9D9D6"/>
            </w:tcBorders>
            <w:gridSpan w:val="4"/>
            <w:shd w:val="clear" w:color="auto" w:fill="D9D9D6"/>
          </w:tcPr>
          <w:p>
            <w:pPr>
              <w:jc w:val="right"/>
              <w:ind w:right="20"/>
              <w:spacing w:after="0" w:line="182" w:lineRule="exact"/>
              <w:rPr>
                <w:sz w:val="20"/>
                <w:szCs w:val="20"/>
                <w:color w:val="auto"/>
              </w:rPr>
            </w:pPr>
            <w:r>
              <w:rPr>
                <w:rFonts w:ascii="Arial" w:cs="Arial" w:eastAsia="Arial" w:hAnsi="Arial"/>
                <w:sz w:val="14"/>
                <w:szCs w:val="14"/>
                <w:color w:val="auto"/>
              </w:rPr>
              <w:t>2025</w:t>
            </w:r>
            <w:r>
              <w:rPr>
                <w:rFonts w:ascii="Arial" w:cs="Arial" w:eastAsia="Arial" w:hAnsi="Arial"/>
                <w:sz w:val="18"/>
                <w:szCs w:val="18"/>
                <w:color w:val="auto"/>
                <w:vertAlign w:val="superscript"/>
              </w:rPr>
              <w:t>6</w:t>
            </w:r>
          </w:p>
        </w:tc>
        <w:tc>
          <w:tcPr>
            <w:tcW w:w="1200" w:type="dxa"/>
            <w:vAlign w:val="bottom"/>
            <w:gridSpan w:val="4"/>
            <w:shd w:val="clear" w:color="auto" w:fill="D9D9D6"/>
          </w:tcPr>
          <w:p>
            <w:pPr>
              <w:ind w:left="56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80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Content &amp; Experiences Revenue</w:t>
            </w:r>
          </w:p>
        </w:tc>
        <w:tc>
          <w:tcPr>
            <w:tcW w:w="6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4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80" w:type="dxa"/>
            <w:vAlign w:val="bottom"/>
            <w:tcBorders>
              <w:top w:val="single" w:sz="8" w:color="D9D9D6"/>
              <w:right w:val="single" w:sz="8" w:color="D9D9D6"/>
            </w:tcBorders>
            <w:shd w:val="clear" w:color="auto" w:fill="D9D9D6"/>
          </w:tcPr>
          <w:p>
            <w:pPr>
              <w:spacing w:after="0"/>
              <w:rPr>
                <w:sz w:val="19"/>
                <w:szCs w:val="19"/>
                <w:color w:val="auto"/>
              </w:rPr>
            </w:pPr>
          </w:p>
        </w:tc>
        <w:tc>
          <w:tcPr>
            <w:tcW w:w="560" w:type="dxa"/>
            <w:vAlign w:val="bottom"/>
            <w:tcBorders>
              <w:top w:val="single" w:sz="8" w:color="D9D9D6"/>
            </w:tcBorders>
            <w:shd w:val="clear" w:color="auto" w:fill="D9D9D6"/>
          </w:tcPr>
          <w:p>
            <w:pPr>
              <w:spacing w:after="0"/>
              <w:rPr>
                <w:sz w:val="19"/>
                <w:szCs w:val="19"/>
                <w:color w:val="auto"/>
              </w:rPr>
            </w:pPr>
          </w:p>
        </w:tc>
        <w:tc>
          <w:tcPr>
            <w:tcW w:w="50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204"/>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Media</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$7,280</w:t>
            </w:r>
          </w:p>
        </w:tc>
        <w:tc>
          <w:tcPr>
            <w:tcW w:w="900" w:type="dxa"/>
            <w:vAlign w:val="bottom"/>
            <w:tcBorders>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$4,527</w:t>
            </w:r>
          </w:p>
        </w:tc>
        <w:tc>
          <w:tcPr>
            <w:tcW w:w="10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60.8%</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100"/>
              <w:spacing w:after="0" w:line="202" w:lineRule="exact"/>
              <w:rPr>
                <w:sz w:val="20"/>
                <w:szCs w:val="20"/>
                <w:color w:val="auto"/>
              </w:rPr>
            </w:pPr>
            <w:r>
              <w:rPr>
                <w:rFonts w:ascii="Arial" w:cs="Arial" w:eastAsia="Arial" w:hAnsi="Arial"/>
                <w:sz w:val="14"/>
                <w:szCs w:val="14"/>
                <w:i w:val="1"/>
                <w:iCs w:val="1"/>
                <w:color w:val="auto"/>
              </w:rPr>
              <w:t>Excluding Olympics and Super Bowl</w:t>
            </w:r>
            <w:r>
              <w:rPr>
                <w:rFonts w:ascii="Arial" w:cs="Arial" w:eastAsia="Arial" w:hAnsi="Arial"/>
                <w:sz w:val="18"/>
                <w:szCs w:val="18"/>
                <w:i w:val="1"/>
                <w:iCs w:val="1"/>
                <w:color w:val="auto"/>
                <w:vertAlign w:val="superscript"/>
              </w:rPr>
              <w:t>10</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i w:val="1"/>
                <w:iCs w:val="1"/>
                <w:color w:val="auto"/>
              </w:rPr>
              <w:t>5,102</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4"/>
            <w:shd w:val="clear" w:color="auto" w:fill="D9D9D6"/>
          </w:tcPr>
          <w:p>
            <w:pPr>
              <w:jc w:val="right"/>
              <w:ind w:right="60"/>
              <w:spacing w:after="0"/>
              <w:rPr>
                <w:sz w:val="20"/>
                <w:szCs w:val="20"/>
                <w:color w:val="auto"/>
              </w:rPr>
            </w:pPr>
            <w:r>
              <w:rPr>
                <w:rFonts w:ascii="Arial" w:cs="Arial" w:eastAsia="Arial" w:hAnsi="Arial"/>
                <w:sz w:val="14"/>
                <w:szCs w:val="14"/>
                <w:i w:val="1"/>
                <w:iCs w:val="1"/>
                <w:color w:val="auto"/>
              </w:rPr>
              <w:t>4,527</w:t>
            </w:r>
          </w:p>
        </w:tc>
        <w:tc>
          <w:tcPr>
            <w:tcW w:w="1060" w:type="dxa"/>
            <w:vAlign w:val="bottom"/>
            <w:gridSpan w:val="2"/>
          </w:tcPr>
          <w:p>
            <w:pPr>
              <w:jc w:val="right"/>
              <w:spacing w:after="0"/>
              <w:rPr>
                <w:sz w:val="20"/>
                <w:szCs w:val="20"/>
                <w:color w:val="auto"/>
              </w:rPr>
            </w:pPr>
            <w:r>
              <w:rPr>
                <w:rFonts w:ascii="Arial" w:cs="Arial" w:eastAsia="Arial" w:hAnsi="Arial"/>
                <w:sz w:val="14"/>
                <w:szCs w:val="14"/>
                <w:i w:val="1"/>
                <w:iCs w:val="1"/>
                <w:color w:val="auto"/>
              </w:rPr>
              <w:t>12.7%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5"/>
        </w:trPr>
        <w:tc>
          <w:tcPr>
            <w:tcW w:w="120" w:type="dxa"/>
            <w:vAlign w:val="bottom"/>
            <w:shd w:val="clear" w:color="auto" w:fill="D9D9D6"/>
          </w:tcPr>
          <w:p>
            <w:pPr>
              <w:spacing w:after="0"/>
              <w:rPr>
                <w:sz w:val="16"/>
                <w:szCs w:val="16"/>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Studios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3,426</w:t>
            </w:r>
          </w:p>
        </w:tc>
        <w:tc>
          <w:tcPr>
            <w:tcW w:w="20" w:type="dxa"/>
            <w:vAlign w:val="bottom"/>
            <w:shd w:val="clear" w:color="auto" w:fill="D9D9D6"/>
          </w:tcPr>
          <w:p>
            <w:pPr>
              <w:spacing w:after="0"/>
              <w:rPr>
                <w:sz w:val="16"/>
                <w:szCs w:val="16"/>
                <w:color w:val="auto"/>
              </w:rPr>
            </w:pPr>
          </w:p>
        </w:tc>
        <w:tc>
          <w:tcPr>
            <w:tcW w:w="900" w:type="dxa"/>
            <w:vAlign w:val="bottom"/>
            <w:tcBorders>
              <w:right w:val="single" w:sz="8" w:color="D9D9D6"/>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2,826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21.2%</w:t>
            </w:r>
          </w:p>
        </w:tc>
        <w:tc>
          <w:tcPr>
            <w:tcW w:w="20" w:type="dxa"/>
            <w:vAlign w:val="bottom"/>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202"/>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Theme Parks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2,331</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1,876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24.2%</w:t>
            </w:r>
          </w:p>
        </w:tc>
        <w:tc>
          <w:tcPr>
            <w:tcW w:w="20" w:type="dxa"/>
            <w:vAlign w:val="bottom"/>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Headquarters &amp; Other</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15</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11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35.9%</w:t>
            </w:r>
          </w:p>
        </w:tc>
        <w:tc>
          <w:tcPr>
            <w:tcW w:w="20" w:type="dxa"/>
            <w:vAlign w:val="bottom"/>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0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Eliminations</w:t>
            </w:r>
          </w:p>
        </w:tc>
        <w:tc>
          <w:tcPr>
            <w:tcW w:w="9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(1,111)</w:t>
            </w:r>
          </w:p>
        </w:tc>
        <w:tc>
          <w:tcPr>
            <w:tcW w:w="20" w:type="dxa"/>
            <w:vAlign w:val="bottom"/>
            <w:tcBorders>
              <w:bottom w:val="single" w:sz="8" w:color="auto"/>
            </w:tcBorders>
            <w:shd w:val="clear" w:color="auto" w:fill="D9D9D6"/>
          </w:tcPr>
          <w:p>
            <w:pPr>
              <w:spacing w:after="0"/>
              <w:rPr>
                <w:sz w:val="17"/>
                <w:szCs w:val="17"/>
                <w:color w:val="auto"/>
              </w:rPr>
            </w:pPr>
          </w:p>
        </w:tc>
        <w:tc>
          <w:tcPr>
            <w:tcW w:w="900" w:type="dxa"/>
            <w:vAlign w:val="bottom"/>
            <w:tcBorders>
              <w:bottom w:val="single" w:sz="8" w:color="auto"/>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(694)</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(60.0%)</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1"/>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Content &amp; Experiences Revenue</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$11,940</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4"/>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$8,546</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39.7%</w:t>
            </w:r>
          </w:p>
        </w:tc>
        <w:tc>
          <w:tcPr>
            <w:tcW w:w="20" w:type="dxa"/>
            <w:vAlign w:val="bottom"/>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Content &amp; Experiences Adjusted EBITDA</w:t>
            </w:r>
          </w:p>
        </w:tc>
        <w:tc>
          <w:tcPr>
            <w:tcW w:w="6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80" w:type="dxa"/>
            <w:vAlign w:val="bottom"/>
            <w:tcBorders>
              <w:right w:val="single" w:sz="8" w:color="D9D9D6"/>
            </w:tcBorders>
            <w:shd w:val="clear" w:color="auto" w:fill="D9D9D6"/>
          </w:tcPr>
          <w:p>
            <w:pPr>
              <w:spacing w:after="0"/>
              <w:rPr>
                <w:sz w:val="24"/>
                <w:szCs w:val="24"/>
                <w:color w:val="auto"/>
              </w:rPr>
            </w:pPr>
          </w:p>
        </w:tc>
        <w:tc>
          <w:tcPr>
            <w:tcW w:w="56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197"/>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Media</w:t>
            </w:r>
          </w:p>
        </w:tc>
        <w:tc>
          <w:tcPr>
            <w:tcW w:w="9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($426)</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$107</w:t>
            </w:r>
          </w:p>
        </w:tc>
        <w:tc>
          <w:tcPr>
            <w:tcW w:w="560" w:type="dxa"/>
            <w:vAlign w:val="bottom"/>
            <w:shd w:val="clear" w:color="auto" w:fill="D9D9D6"/>
          </w:tcPr>
          <w:p>
            <w:pPr>
              <w:spacing w:after="0"/>
              <w:rPr>
                <w:sz w:val="17"/>
                <w:szCs w:val="17"/>
                <w:color w:val="auto"/>
              </w:rPr>
            </w:pPr>
          </w:p>
        </w:tc>
        <w:tc>
          <w:tcPr>
            <w:tcW w:w="520" w:type="dxa"/>
            <w:vAlign w:val="bottom"/>
            <w:gridSpan w:val="2"/>
            <w:shd w:val="clear" w:color="auto" w:fill="D9D9D6"/>
          </w:tcPr>
          <w:p>
            <w:pPr>
              <w:ind w:left="160"/>
              <w:spacing w:after="0"/>
              <w:rPr>
                <w:sz w:val="20"/>
                <w:szCs w:val="20"/>
                <w:color w:val="auto"/>
              </w:rPr>
            </w:pPr>
            <w:r>
              <w:rPr>
                <w:rFonts w:ascii="Arial" w:cs="Arial" w:eastAsia="Arial" w:hAnsi="Arial"/>
                <w:sz w:val="14"/>
                <w:szCs w:val="14"/>
                <w:color w:val="auto"/>
              </w:rPr>
              <w:t>NM</w:t>
            </w: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Studios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555</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274</w:t>
            </w:r>
          </w:p>
        </w:tc>
        <w:tc>
          <w:tcPr>
            <w:tcW w:w="10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102.4%</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Theme Parks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551</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413</w:t>
            </w:r>
          </w:p>
        </w:tc>
        <w:tc>
          <w:tcPr>
            <w:tcW w:w="10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33.3%</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Headquarters &amp; Other</w:t>
            </w:r>
          </w:p>
        </w:tc>
        <w:tc>
          <w:tcPr>
            <w:tcW w:w="9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(208)</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(195)</w:t>
            </w:r>
          </w:p>
        </w:tc>
        <w:tc>
          <w:tcPr>
            <w:tcW w:w="10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(6.8%)</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0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Eliminations</w:t>
            </w:r>
          </w:p>
        </w:tc>
        <w:tc>
          <w:tcPr>
            <w:tcW w:w="9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(140)</w:t>
            </w:r>
          </w:p>
        </w:tc>
        <w:tc>
          <w:tcPr>
            <w:tcW w:w="20" w:type="dxa"/>
            <w:vAlign w:val="bottom"/>
            <w:tcBorders>
              <w:bottom w:val="single" w:sz="8" w:color="auto"/>
            </w:tcBorders>
            <w:shd w:val="clear" w:color="auto" w:fill="D9D9D6"/>
          </w:tcPr>
          <w:p>
            <w:pPr>
              <w:spacing w:after="0"/>
              <w:rPr>
                <w:sz w:val="17"/>
                <w:szCs w:val="17"/>
                <w:color w:val="auto"/>
              </w:rPr>
            </w:pPr>
          </w:p>
        </w:tc>
        <w:tc>
          <w:tcPr>
            <w:tcW w:w="900" w:type="dxa"/>
            <w:vAlign w:val="bottom"/>
            <w:tcBorders>
              <w:bottom w:val="single" w:sz="8" w:color="auto"/>
              <w:right w:val="single" w:sz="8" w:color="D9D9D6"/>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14</w:t>
            </w:r>
          </w:p>
        </w:tc>
        <w:tc>
          <w:tcPr>
            <w:tcW w:w="560" w:type="dxa"/>
            <w:vAlign w:val="bottom"/>
            <w:tcBorders>
              <w:bottom w:val="single" w:sz="8" w:color="auto"/>
            </w:tcBorders>
            <w:shd w:val="clear" w:color="auto" w:fill="D9D9D6"/>
          </w:tcPr>
          <w:p>
            <w:pPr>
              <w:spacing w:after="0"/>
              <w:rPr>
                <w:sz w:val="17"/>
                <w:szCs w:val="17"/>
                <w:color w:val="auto"/>
              </w:rPr>
            </w:pPr>
          </w:p>
        </w:tc>
        <w:tc>
          <w:tcPr>
            <w:tcW w:w="520" w:type="dxa"/>
            <w:vAlign w:val="bottom"/>
            <w:tcBorders>
              <w:bottom w:val="single" w:sz="8" w:color="auto"/>
            </w:tcBorders>
            <w:gridSpan w:val="2"/>
            <w:shd w:val="clear" w:color="auto" w:fill="D9D9D6"/>
          </w:tcPr>
          <w:p>
            <w:pPr>
              <w:ind w:left="160"/>
              <w:spacing w:after="0"/>
              <w:rPr>
                <w:sz w:val="20"/>
                <w:szCs w:val="20"/>
                <w:color w:val="auto"/>
              </w:rPr>
            </w:pPr>
            <w:r>
              <w:rPr>
                <w:rFonts w:ascii="Arial" w:cs="Arial" w:eastAsia="Arial" w:hAnsi="Arial"/>
                <w:sz w:val="14"/>
                <w:szCs w:val="14"/>
                <w:color w:val="auto"/>
              </w:rPr>
              <w:t>NM</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Content &amp; Experiences Adjusted EBITDA</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$331</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4"/>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$614</w:t>
            </w:r>
          </w:p>
        </w:tc>
        <w:tc>
          <w:tcPr>
            <w:tcW w:w="10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(46.0%)</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5"/>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NM=comparison not meaningful.</w:t>
            </w:r>
          </w:p>
        </w:tc>
        <w:tc>
          <w:tcPr>
            <w:tcW w:w="6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80" w:type="dxa"/>
            <w:vAlign w:val="bottom"/>
            <w:tcBorders>
              <w:right w:val="single" w:sz="8" w:color="D9D9D6"/>
            </w:tcBorders>
            <w:shd w:val="clear" w:color="auto" w:fill="D9D9D6"/>
          </w:tcPr>
          <w:p>
            <w:pPr>
              <w:spacing w:after="0"/>
              <w:rPr>
                <w:sz w:val="17"/>
                <w:szCs w:val="17"/>
                <w:color w:val="auto"/>
              </w:rPr>
            </w:pPr>
          </w:p>
        </w:tc>
        <w:tc>
          <w:tcPr>
            <w:tcW w:w="56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-2082800</wp:posOffset>
            </wp:positionV>
            <wp:extent cx="763270" cy="908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3270" cy="90868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Content &amp; Experiences increased compared to the prior year period, including $2.2 billion of</w:t>
      </w:r>
    </w:p>
    <w:p>
      <w:pPr>
        <w:spacing w:after="0" w:line="14"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 xml:space="preserve">incremental revenue from the Milan Cortina Olympics and the NFL’s Super Bowl included in the Media segment.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for Content &amp; Experiences decreased primarily due to a decline in Media, partially offset by growth in Studios and Theme Parks.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20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6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380" w:type="dxa"/>
            <w:vAlign w:val="bottom"/>
            <w:tcBorders>
              <w:right w:val="single" w:sz="8" w:color="D9D9D6"/>
            </w:tcBorders>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shd w:val="clear" w:color="auto" w:fill="D9D9D6"/>
          </w:tcPr>
          <w:p>
            <w:pPr>
              <w:spacing w:after="0"/>
              <w:rPr>
                <w:sz w:val="15"/>
                <w:szCs w:val="15"/>
                <w:color w:val="auto"/>
              </w:rPr>
            </w:pPr>
          </w:p>
        </w:tc>
        <w:tc>
          <w:tcPr>
            <w:tcW w:w="8200" w:type="dxa"/>
            <w:vAlign w:val="bottom"/>
            <w:shd w:val="clear" w:color="auto" w:fill="D9D9D6"/>
          </w:tcPr>
          <w:p>
            <w:pPr>
              <w:spacing w:after="0"/>
              <w:rPr>
                <w:sz w:val="15"/>
                <w:szCs w:val="15"/>
                <w:color w:val="auto"/>
              </w:rPr>
            </w:pPr>
          </w:p>
        </w:tc>
        <w:tc>
          <w:tcPr>
            <w:tcW w:w="560" w:type="dxa"/>
            <w:vAlign w:val="bottom"/>
            <w:shd w:val="clear" w:color="auto" w:fill="D9D9D6"/>
          </w:tcPr>
          <w:p>
            <w:pPr>
              <w:spacing w:after="0"/>
              <w:rPr>
                <w:sz w:val="15"/>
                <w:szCs w:val="15"/>
                <w:color w:val="auto"/>
              </w:rPr>
            </w:pPr>
          </w:p>
        </w:tc>
        <w:tc>
          <w:tcPr>
            <w:tcW w:w="340" w:type="dxa"/>
            <w:vAlign w:val="bottom"/>
            <w:tcBorders>
              <w:right w:val="single" w:sz="8" w:color="D9D9D6"/>
            </w:tcBorders>
            <w:shd w:val="clear" w:color="auto" w:fill="D9D9D6"/>
          </w:tcPr>
          <w:p>
            <w:pPr>
              <w:spacing w:after="0"/>
              <w:rPr>
                <w:sz w:val="15"/>
                <w:szCs w:val="15"/>
                <w:color w:val="auto"/>
              </w:rPr>
            </w:pPr>
          </w:p>
        </w:tc>
        <w:tc>
          <w:tcPr>
            <w:tcW w:w="140" w:type="dxa"/>
            <w:vAlign w:val="bottom"/>
            <w:shd w:val="clear" w:color="auto" w:fill="D9D9D6"/>
          </w:tcPr>
          <w:p>
            <w:pPr>
              <w:spacing w:after="0"/>
              <w:rPr>
                <w:sz w:val="15"/>
                <w:szCs w:val="15"/>
                <w:color w:val="auto"/>
              </w:rPr>
            </w:pPr>
          </w:p>
        </w:tc>
        <w:tc>
          <w:tcPr>
            <w:tcW w:w="74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9"/>
              </w:rPr>
              <w:t>1st Quarter</w:t>
            </w:r>
          </w:p>
        </w:tc>
        <w:tc>
          <w:tcPr>
            <w:tcW w:w="500" w:type="dxa"/>
            <w:vAlign w:val="bottom"/>
            <w:shd w:val="clear" w:color="auto" w:fill="D9D9D6"/>
          </w:tcPr>
          <w:p>
            <w:pPr>
              <w:spacing w:after="0"/>
              <w:rPr>
                <w:sz w:val="15"/>
                <w:szCs w:val="15"/>
                <w:color w:val="auto"/>
              </w:rPr>
            </w:pPr>
          </w:p>
        </w:tc>
        <w:tc>
          <w:tcPr>
            <w:tcW w:w="50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8200" w:type="dxa"/>
            <w:vAlign w:val="bottom"/>
            <w:shd w:val="clear" w:color="auto" w:fill="D9D9D6"/>
          </w:tcPr>
          <w:p>
            <w:pPr>
              <w:spacing w:after="0" w:line="20" w:lineRule="exact"/>
              <w:rPr>
                <w:sz w:val="1"/>
                <w:szCs w:val="1"/>
                <w:color w:val="auto"/>
              </w:rPr>
            </w:pPr>
          </w:p>
        </w:tc>
        <w:tc>
          <w:tcPr>
            <w:tcW w:w="56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D9D9D6"/>
          </w:tcPr>
          <w:p>
            <w:pPr>
              <w:spacing w:after="0" w:line="20" w:lineRule="exact"/>
              <w:rPr>
                <w:sz w:val="1"/>
                <w:szCs w:val="1"/>
                <w:color w:val="auto"/>
              </w:rPr>
            </w:pPr>
          </w:p>
        </w:tc>
        <w:tc>
          <w:tcPr>
            <w:tcW w:w="50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8200" w:type="dxa"/>
            <w:vAlign w:val="bottom"/>
            <w:shd w:val="clear" w:color="auto" w:fill="D9D9D6"/>
          </w:tcPr>
          <w:p>
            <w:pPr>
              <w:spacing w:after="0"/>
              <w:rPr>
                <w:sz w:val="15"/>
                <w:szCs w:val="15"/>
                <w:color w:val="auto"/>
              </w:rPr>
            </w:pP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2026</w:t>
            </w:r>
          </w:p>
        </w:tc>
        <w:tc>
          <w:tcPr>
            <w:tcW w:w="140" w:type="dxa"/>
            <w:vAlign w:val="bottom"/>
            <w:shd w:val="clear" w:color="auto" w:fill="D9D9D6"/>
          </w:tcPr>
          <w:p>
            <w:pPr>
              <w:spacing w:after="0"/>
              <w:rPr>
                <w:sz w:val="15"/>
                <w:szCs w:val="15"/>
                <w:color w:val="auto"/>
              </w:rPr>
            </w:pPr>
          </w:p>
        </w:tc>
        <w:tc>
          <w:tcPr>
            <w:tcW w:w="740" w:type="dxa"/>
            <w:vAlign w:val="bottom"/>
            <w:tcBorders>
              <w:right w:val="single" w:sz="8" w:color="D9D9D6"/>
            </w:tcBorders>
            <w:gridSpan w:val="2"/>
            <w:shd w:val="clear" w:color="auto" w:fill="D9D9D6"/>
          </w:tcPr>
          <w:p>
            <w:pPr>
              <w:jc w:val="right"/>
              <w:ind w:right="20"/>
              <w:spacing w:after="0" w:line="182" w:lineRule="exact"/>
              <w:rPr>
                <w:sz w:val="20"/>
                <w:szCs w:val="20"/>
                <w:color w:val="auto"/>
              </w:rPr>
            </w:pPr>
            <w:r>
              <w:rPr>
                <w:rFonts w:ascii="Arial" w:cs="Arial" w:eastAsia="Arial" w:hAnsi="Arial"/>
                <w:sz w:val="14"/>
                <w:szCs w:val="14"/>
                <w:color w:val="auto"/>
              </w:rPr>
              <w:t>2025</w:t>
            </w:r>
            <w:r>
              <w:rPr>
                <w:rFonts w:ascii="Arial" w:cs="Arial" w:eastAsia="Arial" w:hAnsi="Arial"/>
                <w:sz w:val="18"/>
                <w:szCs w:val="18"/>
                <w:color w:val="auto"/>
                <w:vertAlign w:val="superscript"/>
              </w:rPr>
              <w:t>6</w:t>
            </w:r>
          </w:p>
        </w:tc>
        <w:tc>
          <w:tcPr>
            <w:tcW w:w="1140" w:type="dxa"/>
            <w:vAlign w:val="bottom"/>
            <w:gridSpan w:val="4"/>
            <w:shd w:val="clear" w:color="auto" w:fill="D9D9D6"/>
          </w:tcPr>
          <w:p>
            <w:pPr>
              <w:ind w:left="500"/>
              <w:spacing w:after="0"/>
              <w:rPr>
                <w:sz w:val="20"/>
                <w:szCs w:val="20"/>
                <w:color w:val="auto"/>
              </w:rPr>
            </w:pPr>
            <w:r>
              <w:rPr>
                <w:rFonts w:ascii="Arial" w:cs="Arial" w:eastAsia="Arial" w:hAnsi="Arial"/>
                <w:sz w:val="14"/>
                <w:szCs w:val="14"/>
                <w:color w:val="auto"/>
              </w:rPr>
              <w:t>Change</w:t>
            </w:r>
          </w:p>
        </w:tc>
      </w:tr>
      <w:tr>
        <w:trPr>
          <w:trHeight w:val="223"/>
        </w:trPr>
        <w:tc>
          <w:tcPr>
            <w:tcW w:w="120" w:type="dxa"/>
            <w:vAlign w:val="bottom"/>
            <w:tcBorders>
              <w:top w:val="single" w:sz="8" w:color="D9D9D6"/>
            </w:tcBorders>
            <w:shd w:val="clear" w:color="auto" w:fill="D9D9D6"/>
          </w:tcPr>
          <w:p>
            <w:pPr>
              <w:spacing w:after="0"/>
              <w:rPr>
                <w:sz w:val="19"/>
                <w:szCs w:val="19"/>
                <w:color w:val="auto"/>
              </w:rPr>
            </w:pPr>
          </w:p>
        </w:tc>
        <w:tc>
          <w:tcPr>
            <w:tcW w:w="820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56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right w:val="single" w:sz="8" w:color="D9D9D6"/>
            </w:tcBorders>
            <w:shd w:val="clear" w:color="auto" w:fill="D9D9D6"/>
          </w:tcPr>
          <w:p>
            <w:pPr>
              <w:spacing w:after="0"/>
              <w:rPr>
                <w:sz w:val="19"/>
                <w:szCs w:val="19"/>
                <w:color w:val="auto"/>
              </w:rPr>
            </w:pPr>
          </w:p>
        </w:tc>
        <w:tc>
          <w:tcPr>
            <w:tcW w:w="14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D9D9D6"/>
            </w:tcBorders>
            <w:shd w:val="clear" w:color="auto" w:fill="D9D9D6"/>
          </w:tcPr>
          <w:p>
            <w:pPr>
              <w:spacing w:after="0"/>
              <w:rPr>
                <w:sz w:val="19"/>
                <w:szCs w:val="19"/>
                <w:color w:val="auto"/>
              </w:rPr>
            </w:pPr>
          </w:p>
        </w:tc>
        <w:tc>
          <w:tcPr>
            <w:tcW w:w="380" w:type="dxa"/>
            <w:vAlign w:val="bottom"/>
            <w:tcBorders>
              <w:top w:val="single" w:sz="8" w:color="auto"/>
              <w:right w:val="single" w:sz="8" w:color="D9D9D6"/>
            </w:tcBorders>
            <w:shd w:val="clear" w:color="auto" w:fill="D9D9D6"/>
          </w:tcPr>
          <w:p>
            <w:pPr>
              <w:spacing w:after="0"/>
              <w:rPr>
                <w:sz w:val="19"/>
                <w:szCs w:val="19"/>
                <w:color w:val="auto"/>
              </w:rPr>
            </w:pPr>
          </w:p>
        </w:tc>
        <w:tc>
          <w:tcPr>
            <w:tcW w:w="500" w:type="dxa"/>
            <w:vAlign w:val="bottom"/>
            <w:tcBorders>
              <w:top w:val="single" w:sz="8" w:color="D9D9D6"/>
            </w:tcBorders>
            <w:shd w:val="clear" w:color="auto" w:fill="D9D9D6"/>
          </w:tcPr>
          <w:p>
            <w:pPr>
              <w:spacing w:after="0"/>
              <w:rPr>
                <w:sz w:val="19"/>
                <w:szCs w:val="19"/>
                <w:color w:val="auto"/>
              </w:rPr>
            </w:pPr>
          </w:p>
        </w:tc>
        <w:tc>
          <w:tcPr>
            <w:tcW w:w="50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203"/>
        </w:trPr>
        <w:tc>
          <w:tcPr>
            <w:tcW w:w="120" w:type="dxa"/>
            <w:vAlign w:val="bottom"/>
            <w:shd w:val="clear" w:color="auto" w:fill="D9D9D6"/>
          </w:tcPr>
          <w:p>
            <w:pPr>
              <w:spacing w:after="0"/>
              <w:rPr>
                <w:sz w:val="17"/>
                <w:szCs w:val="17"/>
                <w:color w:val="auto"/>
              </w:rPr>
            </w:pPr>
          </w:p>
        </w:tc>
        <w:tc>
          <w:tcPr>
            <w:tcW w:w="82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Advertising</w:t>
            </w:r>
          </w:p>
        </w:tc>
        <w:tc>
          <w:tcPr>
            <w:tcW w:w="900" w:type="dxa"/>
            <w:vAlign w:val="bottom"/>
            <w:tcBorders>
              <w:right w:val="single" w:sz="8" w:color="DBDBDB"/>
            </w:tcBorders>
            <w:gridSpan w:val="2"/>
            <w:shd w:val="clear" w:color="auto" w:fill="DBDBDB"/>
          </w:tcPr>
          <w:p>
            <w:pPr>
              <w:jc w:val="right"/>
              <w:ind w:right="20"/>
              <w:spacing w:after="0"/>
              <w:rPr>
                <w:sz w:val="20"/>
                <w:szCs w:val="20"/>
                <w:color w:val="auto"/>
              </w:rPr>
            </w:pPr>
            <w:r>
              <w:rPr>
                <w:rFonts w:ascii="Arial" w:cs="Arial" w:eastAsia="Arial" w:hAnsi="Arial"/>
                <w:sz w:val="14"/>
                <w:szCs w:val="14"/>
                <w:color w:val="auto"/>
              </w:rPr>
              <w:t>$3,453</w:t>
            </w:r>
          </w:p>
        </w:tc>
        <w:tc>
          <w:tcPr>
            <w:tcW w:w="880" w:type="dxa"/>
            <w:vAlign w:val="bottom"/>
            <w:tcBorders>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color w:val="auto"/>
              </w:rPr>
              <w:t>$1,468</w:t>
            </w:r>
          </w:p>
        </w:tc>
        <w:tc>
          <w:tcPr>
            <w:tcW w:w="10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135.3%</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200" w:type="dxa"/>
            <w:vAlign w:val="bottom"/>
            <w:shd w:val="clear" w:color="auto" w:fill="D9D9D6"/>
          </w:tcPr>
          <w:p>
            <w:pPr>
              <w:ind w:left="220"/>
              <w:spacing w:after="0" w:line="202" w:lineRule="exact"/>
              <w:rPr>
                <w:sz w:val="20"/>
                <w:szCs w:val="20"/>
                <w:color w:val="auto"/>
              </w:rPr>
            </w:pPr>
            <w:r>
              <w:rPr>
                <w:rFonts w:ascii="Arial" w:cs="Arial" w:eastAsia="Arial" w:hAnsi="Arial"/>
                <w:sz w:val="14"/>
                <w:szCs w:val="14"/>
                <w:i w:val="1"/>
                <w:iCs w:val="1"/>
                <w:color w:val="auto"/>
              </w:rPr>
              <w:t>Excluding Olympics and Super Bowl</w:t>
            </w:r>
            <w:r>
              <w:rPr>
                <w:rFonts w:ascii="Arial" w:cs="Arial" w:eastAsia="Arial" w:hAnsi="Arial"/>
                <w:sz w:val="18"/>
                <w:szCs w:val="18"/>
                <w:i w:val="1"/>
                <w:iCs w:val="1"/>
                <w:color w:val="auto"/>
                <w:vertAlign w:val="superscript"/>
              </w:rPr>
              <w:t>10</w:t>
            </w:r>
          </w:p>
        </w:tc>
        <w:tc>
          <w:tcPr>
            <w:tcW w:w="900" w:type="dxa"/>
            <w:vAlign w:val="bottom"/>
            <w:tcBorders>
              <w:right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4"/>
                <w:szCs w:val="14"/>
                <w:i w:val="1"/>
                <w:iCs w:val="1"/>
                <w:color w:val="auto"/>
              </w:rPr>
              <w:t>1,536</w:t>
            </w:r>
          </w:p>
        </w:tc>
        <w:tc>
          <w:tcPr>
            <w:tcW w:w="88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i w:val="1"/>
                <w:iCs w:val="1"/>
                <w:color w:val="auto"/>
              </w:rPr>
              <w:t>1,468</w:t>
            </w:r>
          </w:p>
        </w:tc>
        <w:tc>
          <w:tcPr>
            <w:tcW w:w="1000" w:type="dxa"/>
            <w:vAlign w:val="bottom"/>
            <w:gridSpan w:val="2"/>
          </w:tcPr>
          <w:p>
            <w:pPr>
              <w:jc w:val="right"/>
              <w:spacing w:after="0"/>
              <w:rPr>
                <w:sz w:val="20"/>
                <w:szCs w:val="20"/>
                <w:color w:val="auto"/>
              </w:rPr>
            </w:pPr>
            <w:r>
              <w:rPr>
                <w:rFonts w:ascii="Arial" w:cs="Arial" w:eastAsia="Arial" w:hAnsi="Arial"/>
                <w:sz w:val="14"/>
                <w:szCs w:val="14"/>
                <w:i w:val="1"/>
                <w:iCs w:val="1"/>
                <w:color w:val="auto"/>
              </w:rPr>
              <w:t>4.7%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5"/>
        </w:trPr>
        <w:tc>
          <w:tcPr>
            <w:tcW w:w="120" w:type="dxa"/>
            <w:vAlign w:val="bottom"/>
            <w:shd w:val="clear" w:color="auto" w:fill="D9D9D6"/>
          </w:tcPr>
          <w:p>
            <w:pPr>
              <w:spacing w:after="0"/>
              <w:rPr>
                <w:sz w:val="16"/>
                <w:szCs w:val="16"/>
                <w:color w:val="auto"/>
              </w:rPr>
            </w:pPr>
          </w:p>
        </w:tc>
        <w:tc>
          <w:tcPr>
            <w:tcW w:w="82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Distribution</w:t>
            </w:r>
          </w:p>
        </w:tc>
        <w:tc>
          <w:tcPr>
            <w:tcW w:w="9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2,283</w:t>
            </w:r>
          </w:p>
        </w:tc>
        <w:tc>
          <w:tcPr>
            <w:tcW w:w="88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1,667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37.0%</w:t>
            </w:r>
          </w:p>
        </w:tc>
        <w:tc>
          <w:tcPr>
            <w:tcW w:w="20" w:type="dxa"/>
            <w:vAlign w:val="bottom"/>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215"/>
        </w:trPr>
        <w:tc>
          <w:tcPr>
            <w:tcW w:w="120" w:type="dxa"/>
            <w:vAlign w:val="bottom"/>
            <w:shd w:val="clear" w:color="auto" w:fill="D9D9D6"/>
          </w:tcPr>
          <w:p>
            <w:pPr>
              <w:spacing w:after="0"/>
              <w:rPr>
                <w:sz w:val="18"/>
                <w:szCs w:val="18"/>
                <w:color w:val="auto"/>
              </w:rPr>
            </w:pPr>
          </w:p>
        </w:tc>
        <w:tc>
          <w:tcPr>
            <w:tcW w:w="8200" w:type="dxa"/>
            <w:vAlign w:val="bottom"/>
            <w:shd w:val="clear" w:color="auto" w:fill="D9D9D6"/>
          </w:tcPr>
          <w:p>
            <w:pPr>
              <w:ind w:left="220"/>
              <w:spacing w:after="0"/>
              <w:rPr>
                <w:sz w:val="20"/>
                <w:szCs w:val="20"/>
                <w:color w:val="auto"/>
              </w:rPr>
            </w:pPr>
            <w:r>
              <w:rPr>
                <w:rFonts w:ascii="Arial" w:cs="Arial" w:eastAsia="Arial" w:hAnsi="Arial"/>
                <w:sz w:val="14"/>
                <w:szCs w:val="14"/>
                <w:i w:val="1"/>
                <w:iCs w:val="1"/>
                <w:color w:val="auto"/>
              </w:rPr>
              <w:t>Excluding Olympics</w:t>
            </w:r>
            <w:r>
              <w:rPr>
                <w:rFonts w:ascii="Arial" w:cs="Arial" w:eastAsia="Arial" w:hAnsi="Arial"/>
                <w:sz w:val="18"/>
                <w:szCs w:val="18"/>
                <w:i w:val="1"/>
                <w:iCs w:val="1"/>
                <w:color w:val="auto"/>
                <w:vertAlign w:val="superscript"/>
              </w:rPr>
              <w:t>10</w:t>
            </w:r>
          </w:p>
        </w:tc>
        <w:tc>
          <w:tcPr>
            <w:tcW w:w="9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i w:val="1"/>
                <w:iCs w:val="1"/>
                <w:color w:val="auto"/>
              </w:rPr>
              <w:t>2,021</w:t>
            </w:r>
          </w:p>
        </w:tc>
        <w:tc>
          <w:tcPr>
            <w:tcW w:w="88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i w:val="1"/>
                <w:iCs w:val="1"/>
                <w:color w:val="auto"/>
              </w:rPr>
              <w:t>1,667</w:t>
            </w:r>
          </w:p>
        </w:tc>
        <w:tc>
          <w:tcPr>
            <w:tcW w:w="1000" w:type="dxa"/>
            <w:vAlign w:val="bottom"/>
            <w:gridSpan w:val="2"/>
          </w:tcPr>
          <w:p>
            <w:pPr>
              <w:jc w:val="right"/>
              <w:spacing w:after="0"/>
              <w:rPr>
                <w:sz w:val="20"/>
                <w:szCs w:val="20"/>
                <w:color w:val="auto"/>
              </w:rPr>
            </w:pPr>
            <w:r>
              <w:rPr>
                <w:rFonts w:ascii="Arial" w:cs="Arial" w:eastAsia="Arial" w:hAnsi="Arial"/>
                <w:sz w:val="14"/>
                <w:szCs w:val="14"/>
                <w:i w:val="1"/>
                <w:iCs w:val="1"/>
                <w:color w:val="auto"/>
              </w:rPr>
              <w:t>21.3%</w:t>
            </w:r>
          </w:p>
        </w:tc>
        <w:tc>
          <w:tcPr>
            <w:tcW w:w="20" w:type="dxa"/>
            <w:vAlign w:val="bottom"/>
          </w:tcPr>
          <w:p>
            <w:pPr>
              <w:spacing w:after="0"/>
              <w:rPr>
                <w:sz w:val="18"/>
                <w:szCs w:val="18"/>
                <w:color w:val="auto"/>
              </w:rPr>
            </w:pPr>
          </w:p>
        </w:tc>
        <w:tc>
          <w:tcPr>
            <w:tcW w:w="120" w:type="dxa"/>
            <w:vAlign w:val="bottom"/>
            <w:shd w:val="clear" w:color="auto" w:fill="D9D9D6"/>
          </w:tcPr>
          <w:p>
            <w:pPr>
              <w:spacing w:after="0"/>
              <w:rPr>
                <w:sz w:val="18"/>
                <w:szCs w:val="18"/>
                <w:color w:val="auto"/>
              </w:rPr>
            </w:pPr>
          </w:p>
        </w:tc>
      </w:tr>
      <w:tr>
        <w:trPr>
          <w:trHeight w:val="190"/>
        </w:trPr>
        <w:tc>
          <w:tcPr>
            <w:tcW w:w="120" w:type="dxa"/>
            <w:vAlign w:val="bottom"/>
            <w:shd w:val="clear" w:color="auto" w:fill="D9D9D6"/>
          </w:tcPr>
          <w:p>
            <w:pPr>
              <w:spacing w:after="0"/>
              <w:rPr>
                <w:sz w:val="16"/>
                <w:szCs w:val="16"/>
                <w:color w:val="auto"/>
              </w:rPr>
            </w:pPr>
          </w:p>
        </w:tc>
        <w:tc>
          <w:tcPr>
            <w:tcW w:w="82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International Networks</w:t>
            </w:r>
          </w:p>
        </w:tc>
        <w:tc>
          <w:tcPr>
            <w:tcW w:w="9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1,291</w:t>
            </w:r>
          </w:p>
        </w:tc>
        <w:tc>
          <w:tcPr>
            <w:tcW w:w="88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1,148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12.4%</w:t>
            </w:r>
          </w:p>
        </w:tc>
        <w:tc>
          <w:tcPr>
            <w:tcW w:w="20" w:type="dxa"/>
            <w:vAlign w:val="bottom"/>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20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253</w:t>
            </w:r>
          </w:p>
        </w:tc>
        <w:tc>
          <w:tcPr>
            <w:tcW w:w="880" w:type="dxa"/>
            <w:vAlign w:val="bottom"/>
            <w:tcBorders>
              <w:bottom w:val="single" w:sz="8" w:color="auto"/>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244</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3.9%</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2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9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$7,280</w:t>
            </w:r>
          </w:p>
        </w:tc>
        <w:tc>
          <w:tcPr>
            <w:tcW w:w="88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$4,527</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60.8%</w:t>
            </w:r>
          </w:p>
        </w:tc>
        <w:tc>
          <w:tcPr>
            <w:tcW w:w="20" w:type="dxa"/>
            <w:vAlign w:val="bottom"/>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200" w:type="dxa"/>
            <w:vAlign w:val="bottom"/>
            <w:shd w:val="clear" w:color="auto" w:fill="D9D9D6"/>
          </w:tcPr>
          <w:p>
            <w:pPr>
              <w:ind w:left="120"/>
              <w:spacing w:after="0" w:line="202" w:lineRule="exact"/>
              <w:rPr>
                <w:sz w:val="20"/>
                <w:szCs w:val="20"/>
                <w:color w:val="auto"/>
              </w:rPr>
            </w:pPr>
            <w:r>
              <w:rPr>
                <w:rFonts w:ascii="Arial" w:cs="Arial" w:eastAsia="Arial" w:hAnsi="Arial"/>
                <w:sz w:val="14"/>
                <w:szCs w:val="14"/>
                <w:i w:val="1"/>
                <w:iCs w:val="1"/>
                <w:color w:val="auto"/>
              </w:rPr>
              <w:t>Excluding Olympics and Super Bowl</w:t>
            </w:r>
            <w:r>
              <w:rPr>
                <w:rFonts w:ascii="Arial" w:cs="Arial" w:eastAsia="Arial" w:hAnsi="Arial"/>
                <w:sz w:val="18"/>
                <w:szCs w:val="18"/>
                <w:i w:val="1"/>
                <w:iCs w:val="1"/>
                <w:color w:val="auto"/>
                <w:vertAlign w:val="superscript"/>
              </w:rPr>
              <w:t>10</w:t>
            </w:r>
          </w:p>
        </w:tc>
        <w:tc>
          <w:tcPr>
            <w:tcW w:w="900" w:type="dxa"/>
            <w:vAlign w:val="bottom"/>
            <w:tcBorders>
              <w:right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4"/>
                <w:szCs w:val="14"/>
                <w:i w:val="1"/>
                <w:iCs w:val="1"/>
                <w:color w:val="auto"/>
              </w:rPr>
              <w:t>5,102</w:t>
            </w:r>
          </w:p>
        </w:tc>
        <w:tc>
          <w:tcPr>
            <w:tcW w:w="88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i w:val="1"/>
                <w:iCs w:val="1"/>
                <w:color w:val="auto"/>
              </w:rPr>
              <w:t>4,527</w:t>
            </w:r>
          </w:p>
        </w:tc>
        <w:tc>
          <w:tcPr>
            <w:tcW w:w="1000" w:type="dxa"/>
            <w:vAlign w:val="bottom"/>
            <w:gridSpan w:val="2"/>
          </w:tcPr>
          <w:p>
            <w:pPr>
              <w:jc w:val="right"/>
              <w:spacing w:after="0"/>
              <w:rPr>
                <w:sz w:val="20"/>
                <w:szCs w:val="20"/>
                <w:color w:val="auto"/>
              </w:rPr>
            </w:pPr>
            <w:r>
              <w:rPr>
                <w:rFonts w:ascii="Arial" w:cs="Arial" w:eastAsia="Arial" w:hAnsi="Arial"/>
                <w:sz w:val="14"/>
                <w:szCs w:val="14"/>
                <w:i w:val="1"/>
                <w:iCs w:val="1"/>
                <w:color w:val="auto"/>
              </w:rPr>
              <w:t>12.7%</w:t>
            </w:r>
          </w:p>
        </w:tc>
        <w:tc>
          <w:tcPr>
            <w:tcW w:w="20" w:type="dxa"/>
            <w:vAlign w:val="bottom"/>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820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900" w:type="dxa"/>
            <w:vAlign w:val="bottom"/>
            <w:tcBorders>
              <w:bottom w:val="single" w:sz="8" w:color="auto"/>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7,706</w:t>
            </w:r>
          </w:p>
        </w:tc>
        <w:tc>
          <w:tcPr>
            <w:tcW w:w="880" w:type="dxa"/>
            <w:vAlign w:val="bottom"/>
            <w:tcBorders>
              <w:bottom w:val="single" w:sz="8" w:color="auto"/>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4,420</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74.4%</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82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900" w:type="dxa"/>
            <w:vAlign w:val="bottom"/>
            <w:tcBorders>
              <w:right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($426)</w:t>
            </w:r>
          </w:p>
        </w:tc>
        <w:tc>
          <w:tcPr>
            <w:tcW w:w="88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$107</w:t>
            </w:r>
          </w:p>
        </w:tc>
        <w:tc>
          <w:tcPr>
            <w:tcW w:w="500" w:type="dxa"/>
            <w:vAlign w:val="bottom"/>
            <w:shd w:val="clear" w:color="auto" w:fill="D9D9D6"/>
          </w:tcPr>
          <w:p>
            <w:pPr>
              <w:spacing w:after="0"/>
              <w:rPr>
                <w:sz w:val="17"/>
                <w:szCs w:val="17"/>
                <w:color w:val="auto"/>
              </w:rPr>
            </w:pPr>
          </w:p>
        </w:tc>
        <w:tc>
          <w:tcPr>
            <w:tcW w:w="520" w:type="dxa"/>
            <w:vAlign w:val="bottom"/>
            <w:gridSpan w:val="2"/>
            <w:shd w:val="clear" w:color="auto" w:fill="D9D9D6"/>
          </w:tcPr>
          <w:p>
            <w:pPr>
              <w:ind w:left="160"/>
              <w:spacing w:after="0"/>
              <w:rPr>
                <w:sz w:val="20"/>
                <w:szCs w:val="20"/>
                <w:color w:val="auto"/>
              </w:rPr>
            </w:pPr>
            <w:r>
              <w:rPr>
                <w:rFonts w:ascii="Arial" w:cs="Arial" w:eastAsia="Arial" w:hAnsi="Arial"/>
                <w:sz w:val="14"/>
                <w:szCs w:val="14"/>
                <w:b w:val="1"/>
                <w:bCs w:val="1"/>
                <w:color w:val="auto"/>
              </w:rPr>
              <w:t>NM</w:t>
            </w:r>
          </w:p>
        </w:tc>
        <w:tc>
          <w:tcPr>
            <w:tcW w:w="120" w:type="dxa"/>
            <w:vAlign w:val="bottom"/>
            <w:shd w:val="clear" w:color="auto" w:fill="D9D9D6"/>
          </w:tcPr>
          <w:p>
            <w:pPr>
              <w:spacing w:after="0"/>
              <w:rPr>
                <w:sz w:val="17"/>
                <w:szCs w:val="17"/>
                <w:color w:val="auto"/>
              </w:rPr>
            </w:pPr>
          </w:p>
        </w:tc>
      </w:tr>
      <w:tr>
        <w:trPr>
          <w:trHeight w:val="205"/>
        </w:trPr>
        <w:tc>
          <w:tcPr>
            <w:tcW w:w="120" w:type="dxa"/>
            <w:vAlign w:val="bottom"/>
            <w:shd w:val="clear" w:color="auto" w:fill="D9D9D6"/>
          </w:tcPr>
          <w:p>
            <w:pPr>
              <w:spacing w:after="0"/>
              <w:rPr>
                <w:sz w:val="17"/>
                <w:szCs w:val="17"/>
                <w:color w:val="auto"/>
              </w:rPr>
            </w:pPr>
          </w:p>
        </w:tc>
        <w:tc>
          <w:tcPr>
            <w:tcW w:w="8200" w:type="dxa"/>
            <w:vAlign w:val="bottom"/>
            <w:shd w:val="clear" w:color="auto" w:fill="D9D9D6"/>
          </w:tcPr>
          <w:p>
            <w:pPr>
              <w:ind w:left="20"/>
              <w:spacing w:after="0"/>
              <w:rPr>
                <w:sz w:val="20"/>
                <w:szCs w:val="20"/>
                <w:color w:val="auto"/>
              </w:rPr>
            </w:pPr>
            <w:r>
              <w:rPr>
                <w:rFonts w:ascii="Arial" w:cs="Arial" w:eastAsia="Arial" w:hAnsi="Arial"/>
                <w:sz w:val="14"/>
                <w:szCs w:val="14"/>
                <w:color w:val="auto"/>
              </w:rPr>
              <w:t>NM=comparison not meaningful.</w:t>
            </w:r>
          </w:p>
        </w:tc>
        <w:tc>
          <w:tcPr>
            <w:tcW w:w="56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380" w:type="dxa"/>
            <w:vAlign w:val="bottom"/>
            <w:tcBorders>
              <w:right w:val="single" w:sz="8" w:color="D9D9D6"/>
            </w:tcBorders>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6417310</wp:posOffset>
            </wp:positionH>
            <wp:positionV relativeFrom="paragraph">
              <wp:posOffset>-1431290</wp:posOffset>
            </wp:positionV>
            <wp:extent cx="720090" cy="1165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90" cy="1165860"/>
                    </a:xfrm>
                    <a:prstGeom prst="rect">
                      <a:avLst/>
                    </a:prstGeom>
                    <a:noFill/>
                  </pic:spPr>
                </pic:pic>
              </a:graphicData>
            </a:graphic>
          </wp:anchor>
        </w:drawing>
      </w:r>
    </w:p>
    <w:p>
      <w:pPr>
        <w:spacing w:after="0" w:line="272"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Media increased primarily due to higher domestic advertising and domestic distribution revenue. Excluding $2.2 billion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incremental revenue from the Milan Cortina Olympics and the NFL’s Super Bowl, Media revenue increased 12.7% primarily due to higher domestic distribution, international networks and domestic advertising revenue. Domestic advertising revenue increased primarily reflecting the Milan Cortina Olympics and the NFL’s Super Bowl. Excluding the incremental revenue associated with these events, domestic advertising revenue increased primarily due to higher revenue at Peacock, partially offset by lower revenue at our networks. Domestic distribution revenue increased including the Milan Cortina Olympics. Excluding the incremental revenue associated with this event, domestic distribution revenue increased due to higher revenue at Peacock, driven by an increase in paid subscribers and higher average rates compared to the prior year period. International networks revenue increased primarily due to the positive impact of foreign currency.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58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Media decreased due to higher operating expenses more than offsetting higher revenue. The increase in operating</w:t>
      </w:r>
    </w:p>
    <w:p>
      <w:pPr>
        <w:spacing w:after="0" w:line="14" w:lineRule="exact"/>
        <w:rPr>
          <w:sz w:val="20"/>
          <w:szCs w:val="20"/>
          <w:color w:val="auto"/>
        </w:rPr>
      </w:pPr>
    </w:p>
    <w:p>
      <w:pPr>
        <w:jc w:val="both"/>
        <w:spacing w:after="0" w:line="199" w:lineRule="auto"/>
        <w:rPr>
          <w:sz w:val="20"/>
          <w:szCs w:val="20"/>
          <w:color w:val="auto"/>
        </w:rPr>
      </w:pPr>
      <w:r>
        <w:rPr>
          <w:rFonts w:ascii="Arial" w:cs="Arial" w:eastAsia="Arial" w:hAnsi="Arial"/>
          <w:sz w:val="18"/>
          <w:szCs w:val="18"/>
          <w:color w:val="auto"/>
        </w:rPr>
        <w:t>expenses primarily reflects higher programming costs associated with the Milan Cortina Olympics and the NFL's Super Bowl, as well as the impact of NBA rights in the current year period. Media results include $2.1 billion of revenue and an Adjusted EBITDA</w:t>
      </w:r>
      <w:r>
        <w:rPr>
          <w:rFonts w:ascii="Arial" w:cs="Arial" w:eastAsia="Arial" w:hAnsi="Arial"/>
          <w:sz w:val="23"/>
          <w:szCs w:val="23"/>
          <w:color w:val="auto"/>
          <w:vertAlign w:val="superscript"/>
        </w:rPr>
        <w:t>11</w:t>
      </w:r>
      <w:r>
        <w:rPr>
          <w:rFonts w:ascii="Arial" w:cs="Arial" w:eastAsia="Arial" w:hAnsi="Arial"/>
          <w:sz w:val="18"/>
          <w:szCs w:val="18"/>
          <w:color w:val="auto"/>
        </w:rPr>
        <w:t xml:space="preserve"> loss of $432 million</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related to Peacock, which includes amounts attributable to the Olympics and Super Bowl, compared to $1.2 billion of revenue and an Adjusted EBITDA</w:t>
      </w:r>
      <w:r>
        <w:rPr>
          <w:rFonts w:ascii="Arial" w:cs="Arial" w:eastAsia="Arial" w:hAnsi="Arial"/>
          <w:sz w:val="23"/>
          <w:szCs w:val="23"/>
          <w:color w:val="auto"/>
          <w:vertAlign w:val="superscript"/>
        </w:rPr>
        <w:t>11</w:t>
      </w:r>
      <w:r>
        <w:rPr>
          <w:rFonts w:ascii="Arial" w:cs="Arial" w:eastAsia="Arial" w:hAnsi="Arial"/>
          <w:sz w:val="18"/>
          <w:szCs w:val="18"/>
          <w:color w:val="auto"/>
        </w:rPr>
        <w:t xml:space="preserve"> loss of $215 million in the prior year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30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tcBorders>
              <w:bottom w:val="single" w:sz="8" w:color="D9D9D6"/>
            </w:tcBorders>
            <w:shd w:val="clear" w:color="auto" w:fill="D9D9D6"/>
          </w:tcPr>
          <w:p>
            <w:pPr>
              <w:spacing w:after="0"/>
              <w:rPr>
                <w:sz w:val="15"/>
                <w:szCs w:val="15"/>
                <w:color w:val="auto"/>
              </w:rPr>
            </w:pPr>
          </w:p>
        </w:tc>
        <w:tc>
          <w:tcPr>
            <w:tcW w:w="8140" w:type="dxa"/>
            <w:vAlign w:val="bottom"/>
            <w:tcBorders>
              <w:bottom w:val="single" w:sz="8" w:color="D9D9D6"/>
            </w:tcBorders>
            <w:shd w:val="clear" w:color="auto" w:fill="D9D9D6"/>
          </w:tcPr>
          <w:p>
            <w:pPr>
              <w:spacing w:after="0"/>
              <w:rPr>
                <w:sz w:val="15"/>
                <w:szCs w:val="15"/>
                <w:color w:val="auto"/>
              </w:rPr>
            </w:pPr>
          </w:p>
        </w:tc>
        <w:tc>
          <w:tcPr>
            <w:tcW w:w="56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80" w:type="dxa"/>
            <w:vAlign w:val="bottom"/>
            <w:tcBorders>
              <w:bottom w:val="single" w:sz="8" w:color="D9D9D6"/>
            </w:tcBorders>
            <w:shd w:val="clear" w:color="auto" w:fill="D9D9D6"/>
          </w:tcPr>
          <w:p>
            <w:pPr>
              <w:spacing w:after="0"/>
              <w:rPr>
                <w:sz w:val="15"/>
                <w:szCs w:val="15"/>
                <w:color w:val="auto"/>
              </w:rPr>
            </w:pPr>
          </w:p>
        </w:tc>
        <w:tc>
          <w:tcPr>
            <w:tcW w:w="72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w w:val="99"/>
              </w:rPr>
              <w:t>1st Quarter</w:t>
            </w:r>
          </w:p>
        </w:tc>
        <w:tc>
          <w:tcPr>
            <w:tcW w:w="240" w:type="dxa"/>
            <w:vAlign w:val="bottom"/>
            <w:tcBorders>
              <w:bottom w:val="single" w:sz="8" w:color="D9D9D6"/>
            </w:tcBorders>
            <w:shd w:val="clear" w:color="auto" w:fill="D9D9D6"/>
          </w:tcPr>
          <w:p>
            <w:pPr>
              <w:spacing w:after="0"/>
              <w:rPr>
                <w:sz w:val="15"/>
                <w:szCs w:val="15"/>
                <w:color w:val="auto"/>
              </w:rPr>
            </w:pPr>
          </w:p>
        </w:tc>
        <w:tc>
          <w:tcPr>
            <w:tcW w:w="300" w:type="dxa"/>
            <w:vAlign w:val="bottom"/>
            <w:tcBorders>
              <w:bottom w:val="single" w:sz="8" w:color="D9D9D6"/>
            </w:tcBorders>
            <w:shd w:val="clear" w:color="auto" w:fill="D9D9D6"/>
          </w:tcPr>
          <w:p>
            <w:pPr>
              <w:spacing w:after="0"/>
              <w:rPr>
                <w:sz w:val="15"/>
                <w:szCs w:val="15"/>
                <w:color w:val="auto"/>
              </w:rPr>
            </w:pPr>
          </w:p>
        </w:tc>
        <w:tc>
          <w:tcPr>
            <w:tcW w:w="50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20" w:type="dxa"/>
            <w:vAlign w:val="bottom"/>
            <w:tcBorders>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8140" w:type="dxa"/>
            <w:vAlign w:val="bottom"/>
            <w:shd w:val="clear" w:color="auto" w:fill="D9D9D6"/>
          </w:tcPr>
          <w:p>
            <w:pPr>
              <w:spacing w:after="0"/>
              <w:rPr>
                <w:sz w:val="15"/>
                <w:szCs w:val="15"/>
                <w:color w:val="auto"/>
              </w:rPr>
            </w:pP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2026</w:t>
            </w:r>
          </w:p>
        </w:tc>
        <w:tc>
          <w:tcPr>
            <w:tcW w:w="900" w:type="dxa"/>
            <w:vAlign w:val="bottom"/>
            <w:gridSpan w:val="4"/>
            <w:shd w:val="clear" w:color="auto" w:fill="D9D9D6"/>
          </w:tcPr>
          <w:p>
            <w:pPr>
              <w:jc w:val="right"/>
              <w:ind w:right="20"/>
              <w:spacing w:after="0" w:line="182" w:lineRule="exact"/>
              <w:rPr>
                <w:sz w:val="20"/>
                <w:szCs w:val="20"/>
                <w:color w:val="auto"/>
              </w:rPr>
            </w:pPr>
            <w:r>
              <w:rPr>
                <w:rFonts w:ascii="Arial" w:cs="Arial" w:eastAsia="Arial" w:hAnsi="Arial"/>
                <w:sz w:val="14"/>
                <w:szCs w:val="14"/>
                <w:color w:val="auto"/>
              </w:rPr>
              <w:t>2025</w:t>
            </w:r>
            <w:r>
              <w:rPr>
                <w:rFonts w:ascii="Arial" w:cs="Arial" w:eastAsia="Arial" w:hAnsi="Arial"/>
                <w:sz w:val="18"/>
                <w:szCs w:val="18"/>
                <w:color w:val="auto"/>
                <w:vertAlign w:val="superscript"/>
              </w:rPr>
              <w:t>6</w:t>
            </w:r>
          </w:p>
        </w:tc>
        <w:tc>
          <w:tcPr>
            <w:tcW w:w="240" w:type="dxa"/>
            <w:vAlign w:val="bottom"/>
            <w:shd w:val="clear" w:color="auto" w:fill="D9D9D6"/>
          </w:tcPr>
          <w:p>
            <w:pPr>
              <w:spacing w:after="0"/>
              <w:rPr>
                <w:sz w:val="15"/>
                <w:szCs w:val="15"/>
                <w:color w:val="auto"/>
              </w:rPr>
            </w:pPr>
          </w:p>
        </w:tc>
        <w:tc>
          <w:tcPr>
            <w:tcW w:w="940" w:type="dxa"/>
            <w:vAlign w:val="bottom"/>
            <w:gridSpan w:val="4"/>
            <w:shd w:val="clear" w:color="auto" w:fill="D9D9D6"/>
          </w:tcPr>
          <w:p>
            <w:pPr>
              <w:ind w:left="30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81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5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8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80" w:type="dxa"/>
            <w:vAlign w:val="bottom"/>
            <w:tcBorders>
              <w:top w:val="single" w:sz="8" w:color="D9D9D6"/>
            </w:tcBorders>
            <w:shd w:val="clear" w:color="auto" w:fill="D9D9D6"/>
          </w:tcPr>
          <w:p>
            <w:pPr>
              <w:spacing w:after="0"/>
              <w:rPr>
                <w:sz w:val="19"/>
                <w:szCs w:val="19"/>
                <w:color w:val="auto"/>
              </w:rPr>
            </w:pPr>
          </w:p>
        </w:tc>
        <w:tc>
          <w:tcPr>
            <w:tcW w:w="240" w:type="dxa"/>
            <w:vAlign w:val="bottom"/>
            <w:tcBorders>
              <w:top w:val="single" w:sz="8" w:color="D9D9D6"/>
            </w:tcBorders>
            <w:shd w:val="clear" w:color="auto" w:fill="D9D9D6"/>
          </w:tcPr>
          <w:p>
            <w:pPr>
              <w:spacing w:after="0"/>
              <w:rPr>
                <w:sz w:val="19"/>
                <w:szCs w:val="19"/>
                <w:color w:val="auto"/>
              </w:rPr>
            </w:pPr>
          </w:p>
        </w:tc>
        <w:tc>
          <w:tcPr>
            <w:tcW w:w="300" w:type="dxa"/>
            <w:vAlign w:val="bottom"/>
            <w:tcBorders>
              <w:top w:val="single" w:sz="8" w:color="D9D9D6"/>
            </w:tcBorders>
            <w:shd w:val="clear" w:color="auto" w:fill="D9D9D6"/>
          </w:tcPr>
          <w:p>
            <w:pPr>
              <w:spacing w:after="0"/>
              <w:rPr>
                <w:sz w:val="19"/>
                <w:szCs w:val="19"/>
                <w:color w:val="auto"/>
              </w:rPr>
            </w:pPr>
          </w:p>
        </w:tc>
        <w:tc>
          <w:tcPr>
            <w:tcW w:w="50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Content Licensing</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$2,973</w:t>
            </w:r>
          </w:p>
        </w:tc>
        <w:tc>
          <w:tcPr>
            <w:tcW w:w="20" w:type="dxa"/>
            <w:vAlign w:val="bottom"/>
            <w:shd w:val="clear" w:color="auto" w:fill="D9D9D6"/>
          </w:tcPr>
          <w:p>
            <w:pPr>
              <w:spacing w:after="0"/>
              <w:rPr>
                <w:sz w:val="17"/>
                <w:szCs w:val="17"/>
                <w:color w:val="auto"/>
              </w:rPr>
            </w:pPr>
          </w:p>
        </w:tc>
        <w:tc>
          <w:tcPr>
            <w:tcW w:w="900" w:type="dxa"/>
            <w:vAlign w:val="bottom"/>
            <w:gridSpan w:val="4"/>
            <w:shd w:val="clear" w:color="auto" w:fill="D9D9D6"/>
          </w:tcPr>
          <w:p>
            <w:pPr>
              <w:jc w:val="right"/>
              <w:ind w:right="80"/>
              <w:spacing w:after="0"/>
              <w:rPr>
                <w:sz w:val="20"/>
                <w:szCs w:val="20"/>
                <w:color w:val="auto"/>
              </w:rPr>
            </w:pPr>
            <w:r>
              <w:rPr>
                <w:rFonts w:ascii="Arial" w:cs="Arial" w:eastAsia="Arial" w:hAnsi="Arial"/>
                <w:sz w:val="14"/>
                <w:szCs w:val="14"/>
                <w:color w:val="auto"/>
              </w:rPr>
              <w:t>$2,174</w:t>
            </w:r>
          </w:p>
        </w:tc>
        <w:tc>
          <w:tcPr>
            <w:tcW w:w="240" w:type="dxa"/>
            <w:vAlign w:val="bottom"/>
            <w:shd w:val="clear" w:color="auto" w:fill="D9D9D6"/>
          </w:tcPr>
          <w:p>
            <w:pPr>
              <w:spacing w:after="0"/>
              <w:rPr>
                <w:sz w:val="17"/>
                <w:szCs w:val="17"/>
                <w:color w:val="auto"/>
              </w:rPr>
            </w:pPr>
          </w:p>
        </w:tc>
        <w:tc>
          <w:tcPr>
            <w:tcW w:w="80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36.8%</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Theatrical</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117</w:t>
            </w:r>
          </w:p>
        </w:tc>
        <w:tc>
          <w:tcPr>
            <w:tcW w:w="20" w:type="dxa"/>
            <w:vAlign w:val="bottom"/>
            <w:shd w:val="clear" w:color="auto" w:fill="D9D9D6"/>
          </w:tcPr>
          <w:p>
            <w:pPr>
              <w:spacing w:after="0"/>
              <w:rPr>
                <w:sz w:val="17"/>
                <w:szCs w:val="17"/>
                <w:color w:val="auto"/>
              </w:rPr>
            </w:pPr>
          </w:p>
        </w:tc>
        <w:tc>
          <w:tcPr>
            <w:tcW w:w="900" w:type="dxa"/>
            <w:vAlign w:val="bottom"/>
            <w:gridSpan w:val="4"/>
            <w:shd w:val="clear" w:color="auto" w:fill="D9D9D6"/>
          </w:tcPr>
          <w:p>
            <w:pPr>
              <w:jc w:val="right"/>
              <w:ind w:right="80"/>
              <w:spacing w:after="0"/>
              <w:rPr>
                <w:sz w:val="20"/>
                <w:szCs w:val="20"/>
                <w:color w:val="auto"/>
              </w:rPr>
            </w:pPr>
            <w:r>
              <w:rPr>
                <w:rFonts w:ascii="Arial" w:cs="Arial" w:eastAsia="Arial" w:hAnsi="Arial"/>
                <w:sz w:val="14"/>
                <w:szCs w:val="14"/>
                <w:color w:val="auto"/>
              </w:rPr>
              <w:t>286</w:t>
            </w:r>
          </w:p>
        </w:tc>
        <w:tc>
          <w:tcPr>
            <w:tcW w:w="240" w:type="dxa"/>
            <w:vAlign w:val="bottom"/>
            <w:shd w:val="clear" w:color="auto" w:fill="D9D9D6"/>
          </w:tcPr>
          <w:p>
            <w:pPr>
              <w:spacing w:after="0"/>
              <w:rPr>
                <w:sz w:val="17"/>
                <w:szCs w:val="17"/>
                <w:color w:val="auto"/>
              </w:rPr>
            </w:pP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(59.2%)</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1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336</w:t>
            </w:r>
          </w:p>
        </w:tc>
        <w:tc>
          <w:tcPr>
            <w:tcW w:w="20" w:type="dxa"/>
            <w:vAlign w:val="bottom"/>
            <w:tcBorders>
              <w:bottom w:val="single" w:sz="8" w:color="auto"/>
            </w:tcBorders>
            <w:shd w:val="clear" w:color="auto" w:fill="D9D9D6"/>
          </w:tcPr>
          <w:p>
            <w:pPr>
              <w:spacing w:after="0"/>
              <w:rPr>
                <w:sz w:val="17"/>
                <w:szCs w:val="17"/>
                <w:color w:val="auto"/>
              </w:rPr>
            </w:pPr>
          </w:p>
        </w:tc>
        <w:tc>
          <w:tcPr>
            <w:tcW w:w="900" w:type="dxa"/>
            <w:vAlign w:val="bottom"/>
            <w:tcBorders>
              <w:bottom w:val="single" w:sz="8" w:color="auto"/>
            </w:tcBorders>
            <w:gridSpan w:val="4"/>
            <w:shd w:val="clear" w:color="auto" w:fill="D9D9D6"/>
          </w:tcPr>
          <w:p>
            <w:pPr>
              <w:jc w:val="right"/>
              <w:ind w:right="80"/>
              <w:spacing w:after="0"/>
              <w:rPr>
                <w:sz w:val="20"/>
                <w:szCs w:val="20"/>
                <w:color w:val="auto"/>
              </w:rPr>
            </w:pPr>
            <w:r>
              <w:rPr>
                <w:rFonts w:ascii="Arial" w:cs="Arial" w:eastAsia="Arial" w:hAnsi="Arial"/>
                <w:sz w:val="14"/>
                <w:szCs w:val="14"/>
                <w:color w:val="auto"/>
              </w:rPr>
              <w:t>366</w:t>
            </w:r>
          </w:p>
        </w:tc>
        <w:tc>
          <w:tcPr>
            <w:tcW w:w="240" w:type="dxa"/>
            <w:vAlign w:val="bottom"/>
            <w:tcBorders>
              <w:bottom w:val="single" w:sz="8" w:color="auto"/>
            </w:tcBorders>
            <w:shd w:val="clear" w:color="auto" w:fill="D9D9D6"/>
          </w:tcPr>
          <w:p>
            <w:pPr>
              <w:spacing w:after="0"/>
              <w:rPr>
                <w:sz w:val="17"/>
                <w:szCs w:val="17"/>
                <w:color w:val="auto"/>
              </w:rPr>
            </w:pPr>
          </w:p>
        </w:tc>
        <w:tc>
          <w:tcPr>
            <w:tcW w:w="8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(8.2%)</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$3,426</w:t>
            </w:r>
          </w:p>
        </w:tc>
        <w:tc>
          <w:tcPr>
            <w:tcW w:w="20" w:type="dxa"/>
            <w:vAlign w:val="bottom"/>
            <w:shd w:val="clear" w:color="auto" w:fill="D9D9D6"/>
          </w:tcPr>
          <w:p>
            <w:pPr>
              <w:spacing w:after="0"/>
              <w:rPr>
                <w:sz w:val="17"/>
                <w:szCs w:val="17"/>
                <w:color w:val="auto"/>
              </w:rPr>
            </w:pPr>
          </w:p>
        </w:tc>
        <w:tc>
          <w:tcPr>
            <w:tcW w:w="900" w:type="dxa"/>
            <w:vAlign w:val="bottom"/>
            <w:gridSpan w:val="4"/>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$2,826</w:t>
            </w:r>
          </w:p>
        </w:tc>
        <w:tc>
          <w:tcPr>
            <w:tcW w:w="240" w:type="dxa"/>
            <w:vAlign w:val="bottom"/>
            <w:shd w:val="clear" w:color="auto" w:fill="D9D9D6"/>
          </w:tcPr>
          <w:p>
            <w:pPr>
              <w:spacing w:after="0"/>
              <w:rPr>
                <w:sz w:val="17"/>
                <w:szCs w:val="17"/>
                <w:color w:val="auto"/>
              </w:rPr>
            </w:pPr>
          </w:p>
        </w:tc>
        <w:tc>
          <w:tcPr>
            <w:tcW w:w="80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21.2%</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81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8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2,871</w:t>
            </w:r>
          </w:p>
        </w:tc>
        <w:tc>
          <w:tcPr>
            <w:tcW w:w="20" w:type="dxa"/>
            <w:vAlign w:val="bottom"/>
            <w:tcBorders>
              <w:bottom w:val="single" w:sz="8" w:color="auto"/>
            </w:tcBorders>
            <w:shd w:val="clear" w:color="auto" w:fill="D9D9D6"/>
          </w:tcPr>
          <w:p>
            <w:pPr>
              <w:spacing w:after="0"/>
              <w:rPr>
                <w:sz w:val="17"/>
                <w:szCs w:val="17"/>
                <w:color w:val="auto"/>
              </w:rPr>
            </w:pPr>
          </w:p>
        </w:tc>
        <w:tc>
          <w:tcPr>
            <w:tcW w:w="900" w:type="dxa"/>
            <w:vAlign w:val="bottom"/>
            <w:tcBorders>
              <w:bottom w:val="single" w:sz="8" w:color="auto"/>
            </w:tcBorders>
            <w:gridSpan w:val="4"/>
            <w:shd w:val="clear" w:color="auto" w:fill="D9D9D6"/>
          </w:tcPr>
          <w:p>
            <w:pPr>
              <w:jc w:val="right"/>
              <w:ind w:right="80"/>
              <w:spacing w:after="0"/>
              <w:rPr>
                <w:sz w:val="20"/>
                <w:szCs w:val="20"/>
                <w:color w:val="auto"/>
              </w:rPr>
            </w:pPr>
            <w:r>
              <w:rPr>
                <w:rFonts w:ascii="Arial" w:cs="Arial" w:eastAsia="Arial" w:hAnsi="Arial"/>
                <w:sz w:val="14"/>
                <w:szCs w:val="14"/>
                <w:color w:val="auto"/>
              </w:rPr>
              <w:t>2,552</w:t>
            </w:r>
          </w:p>
        </w:tc>
        <w:tc>
          <w:tcPr>
            <w:tcW w:w="240" w:type="dxa"/>
            <w:vAlign w:val="bottom"/>
            <w:tcBorders>
              <w:bottom w:val="single" w:sz="8" w:color="auto"/>
            </w:tcBorders>
            <w:shd w:val="clear" w:color="auto" w:fill="D9D9D6"/>
          </w:tcPr>
          <w:p>
            <w:pPr>
              <w:spacing w:after="0"/>
              <w:rPr>
                <w:sz w:val="17"/>
                <w:szCs w:val="17"/>
                <w:color w:val="auto"/>
              </w:rPr>
            </w:pPr>
          </w:p>
        </w:tc>
        <w:tc>
          <w:tcPr>
            <w:tcW w:w="80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12.5%</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37"/>
        </w:trPr>
        <w:tc>
          <w:tcPr>
            <w:tcW w:w="120" w:type="dxa"/>
            <w:vAlign w:val="bottom"/>
            <w:tcBorders>
              <w:bottom w:val="single" w:sz="8" w:color="D9D9D6"/>
            </w:tcBorders>
            <w:shd w:val="clear" w:color="auto" w:fill="D9D9D6"/>
          </w:tcPr>
          <w:p>
            <w:pPr>
              <w:spacing w:after="0"/>
              <w:rPr>
                <w:sz w:val="20"/>
                <w:szCs w:val="20"/>
                <w:color w:val="auto"/>
              </w:rPr>
            </w:pPr>
          </w:p>
        </w:tc>
        <w:tc>
          <w:tcPr>
            <w:tcW w:w="81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tcBorders>
              <w:bottom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$555</w:t>
            </w:r>
          </w:p>
        </w:tc>
        <w:tc>
          <w:tcPr>
            <w:tcW w:w="20" w:type="dxa"/>
            <w:vAlign w:val="bottom"/>
            <w:tcBorders>
              <w:bottom w:val="single" w:sz="8" w:color="D9D9D6"/>
            </w:tcBorders>
            <w:shd w:val="clear" w:color="auto" w:fill="D9D9D6"/>
          </w:tcPr>
          <w:p>
            <w:pPr>
              <w:spacing w:after="0"/>
              <w:rPr>
                <w:sz w:val="20"/>
                <w:szCs w:val="20"/>
                <w:color w:val="auto"/>
              </w:rPr>
            </w:pPr>
          </w:p>
        </w:tc>
        <w:tc>
          <w:tcPr>
            <w:tcW w:w="900" w:type="dxa"/>
            <w:vAlign w:val="bottom"/>
            <w:tcBorders>
              <w:bottom w:val="single" w:sz="8" w:color="D9D9D6"/>
            </w:tcBorders>
            <w:gridSpan w:val="4"/>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$274</w:t>
            </w:r>
          </w:p>
        </w:tc>
        <w:tc>
          <w:tcPr>
            <w:tcW w:w="240" w:type="dxa"/>
            <w:vAlign w:val="bottom"/>
            <w:tcBorders>
              <w:bottom w:val="single" w:sz="8" w:color="D9D9D6"/>
            </w:tcBorders>
          </w:tcPr>
          <w:p>
            <w:pPr>
              <w:spacing w:after="0"/>
              <w:rPr>
                <w:sz w:val="20"/>
                <w:szCs w:val="20"/>
                <w:color w:val="auto"/>
              </w:rPr>
            </w:pPr>
          </w:p>
        </w:tc>
        <w:tc>
          <w:tcPr>
            <w:tcW w:w="800" w:type="dxa"/>
            <w:vAlign w:val="bottom"/>
            <w:tcBorders>
              <w:bottom w:val="single" w:sz="8" w:color="D9D9D6"/>
            </w:tcBorders>
            <w:gridSpan w:val="2"/>
          </w:tcPr>
          <w:p>
            <w:pPr>
              <w:jc w:val="right"/>
              <w:ind w:right="60"/>
              <w:spacing w:after="0"/>
              <w:rPr>
                <w:sz w:val="20"/>
                <w:szCs w:val="20"/>
                <w:color w:val="auto"/>
              </w:rPr>
            </w:pPr>
            <w:r>
              <w:rPr>
                <w:rFonts w:ascii="Arial" w:cs="Arial" w:eastAsia="Arial" w:hAnsi="Arial"/>
                <w:sz w:val="14"/>
                <w:szCs w:val="14"/>
                <w:b w:val="1"/>
                <w:bCs w:val="1"/>
                <w:color w:val="auto"/>
              </w:rPr>
              <w:t>102.4%</w:t>
            </w:r>
          </w:p>
        </w:tc>
        <w:tc>
          <w:tcPr>
            <w:tcW w:w="20" w:type="dxa"/>
            <w:vAlign w:val="bottom"/>
            <w:tcBorders>
              <w:bottom w:val="single" w:sz="8" w:color="D9D9D6"/>
            </w:tcBorders>
          </w:tcPr>
          <w:p>
            <w:pPr>
              <w:spacing w:after="0"/>
              <w:rPr>
                <w:sz w:val="20"/>
                <w:szCs w:val="20"/>
                <w:color w:val="auto"/>
              </w:rPr>
            </w:pPr>
          </w:p>
        </w:tc>
        <w:tc>
          <w:tcPr>
            <w:tcW w:w="120" w:type="dxa"/>
            <w:vAlign w:val="bottom"/>
            <w:tcBorders>
              <w:bottom w:val="single" w:sz="8" w:color="D9D9D6"/>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6383020</wp:posOffset>
            </wp:positionH>
            <wp:positionV relativeFrom="paragraph">
              <wp:posOffset>-299720</wp:posOffset>
            </wp:positionV>
            <wp:extent cx="75438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54380" cy="265430"/>
                    </a:xfrm>
                    <a:prstGeom prst="rect">
                      <a:avLst/>
                    </a:prstGeom>
                    <a:noFill/>
                  </pic:spPr>
                </pic:pic>
              </a:graphicData>
            </a:graphic>
          </wp:anchor>
        </w:drawing>
      </w:r>
    </w:p>
    <w:p>
      <w:pPr>
        <w:spacing w:after="0" w:line="2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Studios increased due to higher content licensing revenue. Content licensing revenue increased primarily due to the timing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when content was made available by our television studios, primarily driven by a renewed licensing agreement for content exclusively available for streaming on Peacock. Theatrical revenue decreased primarily due to higher revenue from releases in the prior year period, including </w:t>
      </w:r>
      <w:r>
        <w:rPr>
          <w:rFonts w:ascii="Arial" w:cs="Arial" w:eastAsia="Arial" w:hAnsi="Arial"/>
          <w:sz w:val="18"/>
          <w:szCs w:val="18"/>
          <w:i w:val="1"/>
          <w:iCs w:val="1"/>
          <w:color w:val="auto"/>
        </w:rPr>
        <w:t>Dog Man</w:t>
      </w:r>
      <w:r>
        <w:rPr>
          <w:rFonts w:ascii="Arial" w:cs="Arial" w:eastAsia="Arial" w:hAnsi="Arial"/>
          <w:sz w:val="18"/>
          <w:szCs w:val="18"/>
          <w:color w:val="auto"/>
        </w:rPr>
        <w:t xml:space="preserve"> and </w:t>
      </w:r>
      <w:r>
        <w:rPr>
          <w:rFonts w:ascii="Arial" w:cs="Arial" w:eastAsia="Arial" w:hAnsi="Arial"/>
          <w:sz w:val="18"/>
          <w:szCs w:val="18"/>
          <w:i w:val="1"/>
          <w:iCs w:val="1"/>
          <w:color w:val="auto"/>
        </w:rPr>
        <w:t>Nosferatu</w:t>
      </w:r>
      <w:r>
        <w:rPr>
          <w:rFonts w:ascii="Arial" w:cs="Arial" w:eastAsia="Arial" w:hAnsi="Arial"/>
          <w:sz w:val="18"/>
          <w:szCs w:val="18"/>
          <w:color w:val="auto"/>
        </w:rPr>
        <w:t>, compared to revenue from recent releases impacting the current year period.</w:t>
      </w:r>
    </w:p>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Studios increased due to higher revenue, which more than offset higher operating expenses. The higher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primarily reflected higher programming and production expenses, primarily due to higher costs associated with the renewed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licensing agreement for content exclusively available for streaming on Peacock.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828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4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140" w:type="dxa"/>
            <w:vAlign w:val="bottom"/>
            <w:shd w:val="clear" w:color="auto" w:fill="D9D9D6"/>
          </w:tcPr>
          <w:p>
            <w:pPr>
              <w:spacing w:after="0"/>
              <w:rPr>
                <w:sz w:val="19"/>
                <w:szCs w:val="19"/>
                <w:color w:val="auto"/>
              </w:rPr>
            </w:pPr>
          </w:p>
        </w:tc>
        <w:tc>
          <w:tcPr>
            <w:tcW w:w="340" w:type="dxa"/>
            <w:vAlign w:val="bottom"/>
            <w:shd w:val="clear" w:color="auto" w:fill="D9D9D6"/>
          </w:tcPr>
          <w:p>
            <w:pPr>
              <w:spacing w:after="0"/>
              <w:rPr>
                <w:sz w:val="19"/>
                <w:szCs w:val="19"/>
                <w:color w:val="auto"/>
              </w:rPr>
            </w:pPr>
          </w:p>
        </w:tc>
        <w:tc>
          <w:tcPr>
            <w:tcW w:w="400" w:type="dxa"/>
            <w:vAlign w:val="bottom"/>
            <w:tcBorders>
              <w:right w:val="single" w:sz="8" w:color="D9D9D6"/>
            </w:tcBorders>
            <w:shd w:val="clear" w:color="auto" w:fill="D9D9D6"/>
          </w:tcPr>
          <w:p>
            <w:pPr>
              <w:spacing w:after="0"/>
              <w:rPr>
                <w:sz w:val="19"/>
                <w:szCs w:val="19"/>
                <w:color w:val="auto"/>
              </w:rPr>
            </w:pPr>
          </w:p>
        </w:tc>
        <w:tc>
          <w:tcPr>
            <w:tcW w:w="480" w:type="dxa"/>
            <w:vAlign w:val="bottom"/>
            <w:shd w:val="clear" w:color="auto" w:fill="D9D9D6"/>
          </w:tcPr>
          <w:p>
            <w:pPr>
              <w:spacing w:after="0"/>
              <w:rPr>
                <w:sz w:val="19"/>
                <w:szCs w:val="19"/>
                <w:color w:val="auto"/>
              </w:rPr>
            </w:pPr>
          </w:p>
        </w:tc>
        <w:tc>
          <w:tcPr>
            <w:tcW w:w="520" w:type="dxa"/>
            <w:vAlign w:val="bottom"/>
            <w:tcBorders>
              <w:right w:val="single" w:sz="8" w:color="D9D9D6"/>
            </w:tcBorders>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r>
      <w:tr>
        <w:trPr>
          <w:trHeight w:val="223"/>
        </w:trPr>
        <w:tc>
          <w:tcPr>
            <w:tcW w:w="100" w:type="dxa"/>
            <w:vAlign w:val="bottom"/>
            <w:tcBorders>
              <w:bottom w:val="single" w:sz="8" w:color="D9D9D6"/>
            </w:tcBorders>
            <w:shd w:val="clear" w:color="auto" w:fill="D9D9D6"/>
          </w:tcPr>
          <w:p>
            <w:pPr>
              <w:spacing w:after="0"/>
              <w:rPr>
                <w:sz w:val="19"/>
                <w:szCs w:val="19"/>
                <w:color w:val="auto"/>
              </w:rPr>
            </w:pPr>
          </w:p>
        </w:tc>
        <w:tc>
          <w:tcPr>
            <w:tcW w:w="8280" w:type="dxa"/>
            <w:vAlign w:val="bottom"/>
            <w:tcBorders>
              <w:bottom w:val="single" w:sz="8" w:color="D9D9D6"/>
            </w:tcBorders>
            <w:shd w:val="clear" w:color="auto" w:fill="D9D9D6"/>
          </w:tcPr>
          <w:p>
            <w:pPr>
              <w:spacing w:after="0"/>
              <w:rPr>
                <w:sz w:val="19"/>
                <w:szCs w:val="19"/>
                <w:color w:val="auto"/>
              </w:rPr>
            </w:pPr>
          </w:p>
        </w:tc>
        <w:tc>
          <w:tcPr>
            <w:tcW w:w="540" w:type="dxa"/>
            <w:vAlign w:val="bottom"/>
            <w:tcBorders>
              <w:bottom w:val="single" w:sz="8" w:color="D9D9D6"/>
            </w:tcBorders>
            <w:shd w:val="clear" w:color="auto" w:fill="D9D9D6"/>
          </w:tcPr>
          <w:p>
            <w:pPr>
              <w:spacing w:after="0"/>
              <w:rPr>
                <w:sz w:val="19"/>
                <w:szCs w:val="19"/>
                <w:color w:val="auto"/>
              </w:rPr>
            </w:pPr>
          </w:p>
        </w:tc>
        <w:tc>
          <w:tcPr>
            <w:tcW w:w="340" w:type="dxa"/>
            <w:vAlign w:val="bottom"/>
            <w:tcBorders>
              <w:bottom w:val="single" w:sz="8" w:color="D9D9D6"/>
              <w:right w:val="single" w:sz="8" w:color="D9D9D6"/>
            </w:tcBorders>
            <w:shd w:val="clear" w:color="auto" w:fill="D9D9D6"/>
          </w:tcPr>
          <w:p>
            <w:pPr>
              <w:spacing w:after="0"/>
              <w:rPr>
                <w:sz w:val="19"/>
                <w:szCs w:val="19"/>
                <w:color w:val="auto"/>
              </w:rPr>
            </w:pPr>
          </w:p>
        </w:tc>
        <w:tc>
          <w:tcPr>
            <w:tcW w:w="140" w:type="dxa"/>
            <w:vAlign w:val="bottom"/>
            <w:tcBorders>
              <w:bottom w:val="single" w:sz="8" w:color="D9D9D6"/>
            </w:tcBorders>
            <w:shd w:val="clear" w:color="auto" w:fill="D9D9D6"/>
          </w:tcPr>
          <w:p>
            <w:pPr>
              <w:spacing w:after="0"/>
              <w:rPr>
                <w:sz w:val="19"/>
                <w:szCs w:val="19"/>
                <w:color w:val="auto"/>
              </w:rPr>
            </w:pPr>
          </w:p>
        </w:tc>
        <w:tc>
          <w:tcPr>
            <w:tcW w:w="740" w:type="dxa"/>
            <w:vAlign w:val="bottom"/>
            <w:tcBorders>
              <w:bottom w:val="single" w:sz="8" w:color="auto"/>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9"/>
              </w:rPr>
              <w:t>1st Quarter</w:t>
            </w:r>
          </w:p>
        </w:tc>
        <w:tc>
          <w:tcPr>
            <w:tcW w:w="480" w:type="dxa"/>
            <w:vAlign w:val="bottom"/>
            <w:tcBorders>
              <w:bottom w:val="single" w:sz="8" w:color="D9D9D6"/>
            </w:tcBorders>
            <w:shd w:val="clear" w:color="auto" w:fill="D9D9D6"/>
          </w:tcPr>
          <w:p>
            <w:pPr>
              <w:spacing w:after="0"/>
              <w:rPr>
                <w:sz w:val="19"/>
                <w:szCs w:val="19"/>
                <w:color w:val="auto"/>
              </w:rPr>
            </w:pPr>
          </w:p>
        </w:tc>
        <w:tc>
          <w:tcPr>
            <w:tcW w:w="520" w:type="dxa"/>
            <w:vAlign w:val="bottom"/>
            <w:tcBorders>
              <w:bottom w:val="single" w:sz="8" w:color="D9D9D6"/>
              <w:right w:val="single" w:sz="8" w:color="D9D9D6"/>
            </w:tcBorders>
            <w:shd w:val="clear" w:color="auto" w:fill="D9D9D6"/>
          </w:tcPr>
          <w:p>
            <w:pPr>
              <w:spacing w:after="0"/>
              <w:rPr>
                <w:sz w:val="19"/>
                <w:szCs w:val="19"/>
                <w:color w:val="auto"/>
              </w:rPr>
            </w:pPr>
          </w:p>
        </w:tc>
        <w:tc>
          <w:tcPr>
            <w:tcW w:w="100" w:type="dxa"/>
            <w:vAlign w:val="bottom"/>
            <w:tcBorders>
              <w:bottom w:val="single" w:sz="8" w:color="D9D9D6"/>
            </w:tcBorders>
            <w:shd w:val="clear" w:color="auto" w:fill="D9D9D6"/>
          </w:tcPr>
          <w:p>
            <w:pPr>
              <w:spacing w:after="0"/>
              <w:rPr>
                <w:sz w:val="19"/>
                <w:szCs w:val="19"/>
                <w:color w:val="auto"/>
              </w:rPr>
            </w:pPr>
          </w:p>
        </w:tc>
      </w:tr>
      <w:tr>
        <w:trPr>
          <w:trHeight w:val="183"/>
        </w:trPr>
        <w:tc>
          <w:tcPr>
            <w:tcW w:w="100" w:type="dxa"/>
            <w:vAlign w:val="bottom"/>
            <w:shd w:val="clear" w:color="auto" w:fill="D9D9D6"/>
          </w:tcPr>
          <w:p>
            <w:pPr>
              <w:spacing w:after="0"/>
              <w:rPr>
                <w:sz w:val="15"/>
                <w:szCs w:val="15"/>
                <w:color w:val="auto"/>
              </w:rPr>
            </w:pPr>
          </w:p>
        </w:tc>
        <w:tc>
          <w:tcPr>
            <w:tcW w:w="8280" w:type="dxa"/>
            <w:vAlign w:val="bottom"/>
            <w:shd w:val="clear" w:color="auto" w:fill="D9D9D6"/>
          </w:tcPr>
          <w:p>
            <w:pPr>
              <w:spacing w:after="0"/>
              <w:rPr>
                <w:sz w:val="15"/>
                <w:szCs w:val="15"/>
                <w:color w:val="auto"/>
              </w:rPr>
            </w:pPr>
          </w:p>
        </w:tc>
        <w:tc>
          <w:tcPr>
            <w:tcW w:w="88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2026</w:t>
            </w:r>
          </w:p>
        </w:tc>
        <w:tc>
          <w:tcPr>
            <w:tcW w:w="880" w:type="dxa"/>
            <w:vAlign w:val="bottom"/>
            <w:tcBorders>
              <w:right w:val="single" w:sz="8" w:color="D9D9D6"/>
            </w:tcBorders>
            <w:gridSpan w:val="3"/>
            <w:shd w:val="clear" w:color="auto" w:fill="D9D9D6"/>
          </w:tcPr>
          <w:p>
            <w:pPr>
              <w:jc w:val="right"/>
              <w:ind w:right="20"/>
              <w:spacing w:after="0" w:line="182" w:lineRule="exact"/>
              <w:rPr>
                <w:sz w:val="20"/>
                <w:szCs w:val="20"/>
                <w:color w:val="auto"/>
              </w:rPr>
            </w:pPr>
            <w:r>
              <w:rPr>
                <w:rFonts w:ascii="Arial" w:cs="Arial" w:eastAsia="Arial" w:hAnsi="Arial"/>
                <w:sz w:val="14"/>
                <w:szCs w:val="14"/>
                <w:color w:val="auto"/>
              </w:rPr>
              <w:t>2025</w:t>
            </w:r>
            <w:r>
              <w:rPr>
                <w:rFonts w:ascii="Arial" w:cs="Arial" w:eastAsia="Arial" w:hAnsi="Arial"/>
                <w:sz w:val="18"/>
                <w:szCs w:val="18"/>
                <w:color w:val="auto"/>
                <w:vertAlign w:val="superscript"/>
              </w:rPr>
              <w:t>6</w:t>
            </w:r>
          </w:p>
        </w:tc>
        <w:tc>
          <w:tcPr>
            <w:tcW w:w="480" w:type="dxa"/>
            <w:vAlign w:val="bottom"/>
            <w:shd w:val="clear" w:color="auto" w:fill="D9D9D6"/>
          </w:tcPr>
          <w:p>
            <w:pPr>
              <w:spacing w:after="0"/>
              <w:rPr>
                <w:sz w:val="15"/>
                <w:szCs w:val="15"/>
                <w:color w:val="auto"/>
              </w:rPr>
            </w:pPr>
          </w:p>
        </w:tc>
        <w:tc>
          <w:tcPr>
            <w:tcW w:w="620" w:type="dxa"/>
            <w:vAlign w:val="bottom"/>
            <w:gridSpan w:val="2"/>
            <w:shd w:val="clear" w:color="auto" w:fill="D9D9D6"/>
          </w:tcPr>
          <w:p>
            <w:pPr>
              <w:jc w:val="right"/>
              <w:ind w:right="120"/>
              <w:spacing w:after="0"/>
              <w:rPr>
                <w:sz w:val="20"/>
                <w:szCs w:val="20"/>
                <w:color w:val="auto"/>
              </w:rPr>
            </w:pPr>
            <w:r>
              <w:rPr>
                <w:rFonts w:ascii="Arial" w:cs="Arial" w:eastAsia="Arial" w:hAnsi="Arial"/>
                <w:sz w:val="14"/>
                <w:szCs w:val="14"/>
                <w:color w:val="auto"/>
                <w:w w:val="97"/>
              </w:rPr>
              <w:t>Change</w:t>
            </w:r>
          </w:p>
        </w:tc>
      </w:tr>
      <w:tr>
        <w:trPr>
          <w:trHeight w:val="20"/>
        </w:trPr>
        <w:tc>
          <w:tcPr>
            <w:tcW w:w="100" w:type="dxa"/>
            <w:vAlign w:val="bottom"/>
            <w:shd w:val="clear" w:color="auto" w:fill="D9D9D6"/>
          </w:tcPr>
          <w:p>
            <w:pPr>
              <w:spacing w:after="0" w:line="20" w:lineRule="exact"/>
              <w:rPr>
                <w:sz w:val="1"/>
                <w:szCs w:val="1"/>
                <w:color w:val="auto"/>
              </w:rPr>
            </w:pPr>
          </w:p>
        </w:tc>
        <w:tc>
          <w:tcPr>
            <w:tcW w:w="828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340" w:type="dxa"/>
            <w:vAlign w:val="bottom"/>
            <w:shd w:val="clear" w:color="auto" w:fill="D9D9D6"/>
          </w:tcPr>
          <w:p>
            <w:pPr>
              <w:spacing w:after="0" w:line="20" w:lineRule="exact"/>
              <w:rPr>
                <w:sz w:val="1"/>
                <w:szCs w:val="1"/>
                <w:color w:val="auto"/>
              </w:rPr>
            </w:pPr>
          </w:p>
        </w:tc>
        <w:tc>
          <w:tcPr>
            <w:tcW w:w="400" w:type="dxa"/>
            <w:vAlign w:val="bottom"/>
            <w:tcBorders>
              <w:right w:val="single" w:sz="8" w:color="D9D9D6"/>
            </w:tcBorders>
            <w:shd w:val="clear" w:color="auto" w:fill="000000"/>
          </w:tcPr>
          <w:p>
            <w:pPr>
              <w:spacing w:after="0" w:line="20" w:lineRule="exact"/>
              <w:rPr>
                <w:sz w:val="1"/>
                <w:szCs w:val="1"/>
                <w:color w:val="auto"/>
              </w:rPr>
            </w:pPr>
          </w:p>
        </w:tc>
        <w:tc>
          <w:tcPr>
            <w:tcW w:w="480" w:type="dxa"/>
            <w:vAlign w:val="bottom"/>
            <w:shd w:val="clear" w:color="auto" w:fill="D9D9D6"/>
          </w:tcPr>
          <w:p>
            <w:pPr>
              <w:spacing w:after="0" w:line="20" w:lineRule="exact"/>
              <w:rPr>
                <w:sz w:val="1"/>
                <w:szCs w:val="1"/>
                <w:color w:val="auto"/>
              </w:rPr>
            </w:pPr>
          </w:p>
        </w:tc>
        <w:tc>
          <w:tcPr>
            <w:tcW w:w="520" w:type="dxa"/>
            <w:vAlign w:val="bottom"/>
            <w:tcBorders>
              <w:right w:val="single" w:sz="8" w:color="D9D9D6"/>
            </w:tcBorders>
            <w:shd w:val="clear" w:color="auto" w:fill="000000"/>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r>
      <w:tr>
        <w:trPr>
          <w:trHeight w:val="343"/>
        </w:trPr>
        <w:tc>
          <w:tcPr>
            <w:tcW w:w="100" w:type="dxa"/>
            <w:vAlign w:val="bottom"/>
            <w:shd w:val="clear" w:color="auto" w:fill="D9D9D6"/>
          </w:tcPr>
          <w:p>
            <w:pPr>
              <w:spacing w:after="0"/>
              <w:rPr>
                <w:sz w:val="24"/>
                <w:szCs w:val="24"/>
                <w:color w:val="auto"/>
              </w:rPr>
            </w:pPr>
          </w:p>
        </w:tc>
        <w:tc>
          <w:tcPr>
            <w:tcW w:w="82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88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$2,331</w:t>
            </w: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$1,876</w:t>
            </w:r>
          </w:p>
        </w:tc>
        <w:tc>
          <w:tcPr>
            <w:tcW w:w="100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D9D9D6"/>
          </w:tcPr>
          <w:p>
            <w:pPr>
              <w:spacing w:after="0"/>
              <w:rPr>
                <w:sz w:val="24"/>
                <w:szCs w:val="24"/>
                <w:color w:val="auto"/>
              </w:rPr>
            </w:pPr>
          </w:p>
        </w:tc>
      </w:tr>
      <w:tr>
        <w:trPr>
          <w:trHeight w:val="198"/>
        </w:trPr>
        <w:tc>
          <w:tcPr>
            <w:tcW w:w="100" w:type="dxa"/>
            <w:vAlign w:val="bottom"/>
            <w:tcBorders>
              <w:bottom w:val="single" w:sz="8" w:color="D9D9D6"/>
            </w:tcBorders>
            <w:shd w:val="clear" w:color="auto" w:fill="D9D9D6"/>
          </w:tcPr>
          <w:p>
            <w:pPr>
              <w:spacing w:after="0"/>
              <w:rPr>
                <w:sz w:val="17"/>
                <w:szCs w:val="17"/>
                <w:color w:val="auto"/>
              </w:rPr>
            </w:pPr>
          </w:p>
        </w:tc>
        <w:tc>
          <w:tcPr>
            <w:tcW w:w="828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880" w:type="dxa"/>
            <w:vAlign w:val="bottom"/>
            <w:tcBorders>
              <w:bottom w:val="single" w:sz="8" w:color="auto"/>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1,780</w:t>
            </w:r>
          </w:p>
        </w:tc>
        <w:tc>
          <w:tcPr>
            <w:tcW w:w="880" w:type="dxa"/>
            <w:vAlign w:val="bottom"/>
            <w:tcBorders>
              <w:bottom w:val="single" w:sz="8" w:color="auto"/>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1,463</w:t>
            </w:r>
          </w:p>
        </w:tc>
        <w:tc>
          <w:tcPr>
            <w:tcW w:w="100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Borders>
              <w:bottom w:val="single" w:sz="8" w:color="D9D9D6"/>
            </w:tcBorders>
            <w:shd w:val="clear" w:color="auto" w:fill="D9D9D6"/>
          </w:tcPr>
          <w:p>
            <w:pPr>
              <w:spacing w:after="0"/>
              <w:rPr>
                <w:sz w:val="17"/>
                <w:szCs w:val="17"/>
                <w:color w:val="auto"/>
              </w:rPr>
            </w:pPr>
          </w:p>
        </w:tc>
      </w:tr>
      <w:tr>
        <w:trPr>
          <w:trHeight w:val="200"/>
        </w:trPr>
        <w:tc>
          <w:tcPr>
            <w:tcW w:w="100" w:type="dxa"/>
            <w:vAlign w:val="bottom"/>
            <w:shd w:val="clear" w:color="auto" w:fill="D9D9D6"/>
          </w:tcPr>
          <w:p>
            <w:pPr>
              <w:spacing w:after="0"/>
              <w:rPr>
                <w:sz w:val="17"/>
                <w:szCs w:val="17"/>
                <w:color w:val="auto"/>
              </w:rPr>
            </w:pPr>
          </w:p>
        </w:tc>
        <w:tc>
          <w:tcPr>
            <w:tcW w:w="828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$551</w:t>
            </w: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$413</w:t>
            </w:r>
          </w:p>
        </w:tc>
        <w:tc>
          <w:tcPr>
            <w:tcW w:w="100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33.3%</w:t>
            </w:r>
          </w:p>
        </w:tc>
        <w:tc>
          <w:tcPr>
            <w:tcW w:w="100" w:type="dxa"/>
            <w:vAlign w:val="bottom"/>
            <w:shd w:val="clear" w:color="auto" w:fill="D9D9D6"/>
          </w:tcPr>
          <w:p>
            <w:pPr>
              <w:spacing w:after="0"/>
              <w:rPr>
                <w:sz w:val="17"/>
                <w:szCs w:val="17"/>
                <w:color w:val="auto"/>
              </w:rPr>
            </w:pPr>
          </w:p>
        </w:tc>
      </w:tr>
      <w:tr>
        <w:trPr>
          <w:trHeight w:val="56"/>
        </w:trPr>
        <w:tc>
          <w:tcPr>
            <w:tcW w:w="100" w:type="dxa"/>
            <w:vAlign w:val="bottom"/>
            <w:shd w:val="clear" w:color="auto" w:fill="D9D9D6"/>
          </w:tcPr>
          <w:p>
            <w:pPr>
              <w:spacing w:after="0"/>
              <w:rPr>
                <w:sz w:val="4"/>
                <w:szCs w:val="4"/>
                <w:color w:val="auto"/>
              </w:rPr>
            </w:pPr>
          </w:p>
        </w:tc>
        <w:tc>
          <w:tcPr>
            <w:tcW w:w="8280" w:type="dxa"/>
            <w:vAlign w:val="bottom"/>
            <w:shd w:val="clear" w:color="auto" w:fill="D9D9D6"/>
          </w:tcPr>
          <w:p>
            <w:pPr>
              <w:spacing w:after="0"/>
              <w:rPr>
                <w:sz w:val="4"/>
                <w:szCs w:val="4"/>
                <w:color w:val="auto"/>
              </w:rPr>
            </w:pPr>
          </w:p>
        </w:tc>
        <w:tc>
          <w:tcPr>
            <w:tcW w:w="54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340" w:type="dxa"/>
            <w:vAlign w:val="bottom"/>
            <w:shd w:val="clear" w:color="auto" w:fill="D9D9D6"/>
          </w:tcPr>
          <w:p>
            <w:pPr>
              <w:spacing w:after="0"/>
              <w:rPr>
                <w:sz w:val="4"/>
                <w:szCs w:val="4"/>
                <w:color w:val="auto"/>
              </w:rPr>
            </w:pPr>
          </w:p>
        </w:tc>
        <w:tc>
          <w:tcPr>
            <w:tcW w:w="400" w:type="dxa"/>
            <w:vAlign w:val="bottom"/>
            <w:tcBorders>
              <w:right w:val="single" w:sz="8" w:color="D9D9D6"/>
            </w:tcBorders>
            <w:shd w:val="clear" w:color="auto" w:fill="D9D9D6"/>
          </w:tcPr>
          <w:p>
            <w:pPr>
              <w:spacing w:after="0"/>
              <w:rPr>
                <w:sz w:val="4"/>
                <w:szCs w:val="4"/>
                <w:color w:val="auto"/>
              </w:rPr>
            </w:pPr>
          </w:p>
        </w:tc>
        <w:tc>
          <w:tcPr>
            <w:tcW w:w="480" w:type="dxa"/>
            <w:vAlign w:val="bottom"/>
            <w:shd w:val="clear" w:color="auto" w:fill="D9D9D6"/>
          </w:tcPr>
          <w:p>
            <w:pPr>
              <w:spacing w:after="0"/>
              <w:rPr>
                <w:sz w:val="4"/>
                <w:szCs w:val="4"/>
                <w:color w:val="auto"/>
              </w:rPr>
            </w:pPr>
          </w:p>
        </w:tc>
        <w:tc>
          <w:tcPr>
            <w:tcW w:w="520" w:type="dxa"/>
            <w:vAlign w:val="bottom"/>
            <w:tcBorders>
              <w:right w:val="single" w:sz="8" w:color="D9D9D6"/>
            </w:tcBorders>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r>
    </w:tbl>
    <w:p>
      <w:pPr>
        <w:spacing w:after="0" w:line="29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Theme Parks increased due to higher revenue at our theme parks in Orlando driven by the successful opening of Epic Universe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May 2025.</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Theme Parks increased, reflecting higher revenue, which more than offset higher operating expenses. The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expenses was primarily due to operating costs associated with Epic Universe.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&amp; 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Content &amp; Experiences Headquarters &amp; Other includes overhead, personnel costs and costs associated with corporate initiatives.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Headquarters &amp; Other Adjusted EBITDA loss in the first quarter was $208 million, compared to a loss of $195 million in the prior year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Amounts represent eliminations of transactions between our Content &amp; Experiences segments, the most significant being content licensing between the Studios and Media segments, which are affected by the timing of recognition of content licenses. Revenue eliminations were $1.1 billion, compared to $694 million in the prior year period, and Adjusted EBITDA eliminations were a loss of $140 million, compared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566" w:right="339" w:bottom="1440" w:gutter="0" w:footer="0" w:header="0"/>
        </w:sectPr>
      </w:pPr>
    </w:p>
    <w:bookmarkStart w:id="9" w:name="page10"/>
    <w:bookmarkEnd w:id="9"/>
    <w:p>
      <w:pPr>
        <w:jc w:val="both"/>
        <w:spacing w:after="0" w:line="271" w:lineRule="auto"/>
        <w:rPr>
          <w:sz w:val="20"/>
          <w:szCs w:val="20"/>
          <w:color w:val="auto"/>
        </w:rPr>
      </w:pPr>
      <w:r>
        <w:rPr>
          <w:rFonts w:ascii="Arial" w:cs="Arial" w:eastAsia="Arial" w:hAnsi="Arial"/>
          <w:sz w:val="18"/>
          <w:szCs w:val="18"/>
          <w:color w:val="auto"/>
        </w:rPr>
        <w:t>to a benefit of $ 14 million in the prior year period. The year-over-year changes were primarily driven by the licensing of content by the Studios segment to Peacock in the Media segment.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151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776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72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48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58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shd w:val="clear" w:color="auto" w:fill="D9D9D6"/>
          </w:tcPr>
          <w:p>
            <w:pPr>
              <w:spacing w:after="0"/>
              <w:rPr>
                <w:sz w:val="15"/>
                <w:szCs w:val="15"/>
                <w:color w:val="auto"/>
              </w:rPr>
            </w:pPr>
          </w:p>
        </w:tc>
        <w:tc>
          <w:tcPr>
            <w:tcW w:w="7760" w:type="dxa"/>
            <w:vAlign w:val="bottom"/>
            <w:shd w:val="clear" w:color="auto" w:fill="D9D9D6"/>
          </w:tcPr>
          <w:p>
            <w:pPr>
              <w:spacing w:after="0"/>
              <w:rPr>
                <w:sz w:val="15"/>
                <w:szCs w:val="15"/>
                <w:color w:val="auto"/>
              </w:rPr>
            </w:pPr>
          </w:p>
        </w:tc>
        <w:tc>
          <w:tcPr>
            <w:tcW w:w="72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080" w:type="dxa"/>
            <w:vAlign w:val="bottom"/>
            <w:gridSpan w:val="5"/>
            <w:shd w:val="clear" w:color="auto" w:fill="D9D9D6"/>
          </w:tcPr>
          <w:p>
            <w:pPr>
              <w:jc w:val="right"/>
              <w:ind w:right="160"/>
              <w:spacing w:after="0"/>
              <w:rPr>
                <w:sz w:val="20"/>
                <w:szCs w:val="20"/>
                <w:color w:val="auto"/>
              </w:rPr>
            </w:pPr>
            <w:r>
              <w:rPr>
                <w:rFonts w:ascii="Arial" w:cs="Arial" w:eastAsia="Arial" w:hAnsi="Arial"/>
                <w:sz w:val="14"/>
                <w:szCs w:val="14"/>
                <w:color w:val="auto"/>
              </w:rPr>
              <w:t>1st Quarter</w:t>
            </w:r>
          </w:p>
        </w:tc>
        <w:tc>
          <w:tcPr>
            <w:tcW w:w="580" w:type="dxa"/>
            <w:vAlign w:val="bottom"/>
            <w:shd w:val="clear" w:color="auto" w:fill="D9D9D6"/>
          </w:tcPr>
          <w:p>
            <w:pPr>
              <w:spacing w:after="0"/>
              <w:rPr>
                <w:sz w:val="15"/>
                <w:szCs w:val="15"/>
                <w:color w:val="auto"/>
              </w:rPr>
            </w:pPr>
          </w:p>
        </w:tc>
        <w:tc>
          <w:tcPr>
            <w:tcW w:w="50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7760" w:type="dxa"/>
            <w:vAlign w:val="bottom"/>
            <w:shd w:val="clear" w:color="auto" w:fill="D9D9D6"/>
          </w:tcPr>
          <w:p>
            <w:pPr>
              <w:spacing w:after="0" w:line="20" w:lineRule="exact"/>
              <w:rPr>
                <w:sz w:val="1"/>
                <w:szCs w:val="1"/>
                <w:color w:val="auto"/>
              </w:rPr>
            </w:pPr>
          </w:p>
        </w:tc>
        <w:tc>
          <w:tcPr>
            <w:tcW w:w="72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580" w:type="dxa"/>
            <w:vAlign w:val="bottom"/>
            <w:shd w:val="clear" w:color="auto" w:fill="D9D9D6"/>
          </w:tcPr>
          <w:p>
            <w:pPr>
              <w:spacing w:after="0" w:line="20" w:lineRule="exact"/>
              <w:rPr>
                <w:sz w:val="1"/>
                <w:szCs w:val="1"/>
                <w:color w:val="auto"/>
              </w:rPr>
            </w:pPr>
          </w:p>
        </w:tc>
        <w:tc>
          <w:tcPr>
            <w:tcW w:w="50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7760" w:type="dxa"/>
            <w:vAlign w:val="bottom"/>
            <w:shd w:val="clear" w:color="auto" w:fill="D9D9D6"/>
          </w:tcPr>
          <w:p>
            <w:pPr>
              <w:spacing w:after="0"/>
              <w:rPr>
                <w:sz w:val="15"/>
                <w:szCs w:val="15"/>
                <w:color w:val="auto"/>
              </w:rPr>
            </w:pPr>
          </w:p>
        </w:tc>
        <w:tc>
          <w:tcPr>
            <w:tcW w:w="10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2026</w:t>
            </w:r>
          </w:p>
        </w:tc>
        <w:tc>
          <w:tcPr>
            <w:tcW w:w="200" w:type="dxa"/>
            <w:vAlign w:val="bottom"/>
            <w:shd w:val="clear" w:color="auto" w:fill="D9D9D6"/>
          </w:tcPr>
          <w:p>
            <w:pPr>
              <w:spacing w:after="0"/>
              <w:rPr>
                <w:sz w:val="15"/>
                <w:szCs w:val="15"/>
                <w:color w:val="auto"/>
              </w:rPr>
            </w:pPr>
          </w:p>
        </w:tc>
        <w:tc>
          <w:tcPr>
            <w:tcW w:w="880" w:type="dxa"/>
            <w:vAlign w:val="bottom"/>
            <w:gridSpan w:val="4"/>
            <w:shd w:val="clear" w:color="auto" w:fill="D9D9D6"/>
          </w:tcPr>
          <w:p>
            <w:pPr>
              <w:jc w:val="right"/>
              <w:ind w:right="20"/>
              <w:spacing w:after="0" w:line="182" w:lineRule="exact"/>
              <w:rPr>
                <w:sz w:val="20"/>
                <w:szCs w:val="20"/>
                <w:color w:val="auto"/>
              </w:rPr>
            </w:pPr>
            <w:r>
              <w:rPr>
                <w:rFonts w:ascii="Arial" w:cs="Arial" w:eastAsia="Arial" w:hAnsi="Arial"/>
                <w:sz w:val="14"/>
                <w:szCs w:val="14"/>
                <w:color w:val="auto"/>
              </w:rPr>
              <w:t>2025</w:t>
            </w:r>
            <w:r>
              <w:rPr>
                <w:rFonts w:ascii="Arial" w:cs="Arial" w:eastAsia="Arial" w:hAnsi="Arial"/>
                <w:sz w:val="18"/>
                <w:szCs w:val="18"/>
                <w:color w:val="auto"/>
                <w:vertAlign w:val="superscript"/>
              </w:rPr>
              <w:t>6</w:t>
            </w:r>
          </w:p>
        </w:tc>
        <w:tc>
          <w:tcPr>
            <w:tcW w:w="1220" w:type="dxa"/>
            <w:vAlign w:val="bottom"/>
            <w:gridSpan w:val="4"/>
            <w:shd w:val="clear" w:color="auto" w:fill="D9D9D6"/>
          </w:tcPr>
          <w:p>
            <w:pPr>
              <w:ind w:left="58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776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Corporate &amp; Other</w:t>
            </w:r>
          </w:p>
        </w:tc>
        <w:tc>
          <w:tcPr>
            <w:tcW w:w="72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200" w:type="dxa"/>
            <w:vAlign w:val="bottom"/>
            <w:tcBorders>
              <w:top w:val="single" w:sz="8" w:color="D9D9D6"/>
            </w:tcBorders>
            <w:shd w:val="clear" w:color="auto" w:fill="D9D9D6"/>
          </w:tcPr>
          <w:p>
            <w:pPr>
              <w:spacing w:after="0"/>
              <w:rPr>
                <w:sz w:val="19"/>
                <w:szCs w:val="19"/>
                <w:color w:val="auto"/>
              </w:rPr>
            </w:pPr>
          </w:p>
        </w:tc>
        <w:tc>
          <w:tcPr>
            <w:tcW w:w="480" w:type="dxa"/>
            <w:vAlign w:val="bottom"/>
            <w:tcBorders>
              <w:top w:val="single" w:sz="8" w:color="D9D9D6"/>
            </w:tcBorders>
            <w:shd w:val="clear" w:color="auto" w:fill="D9D9D6"/>
          </w:tcPr>
          <w:p>
            <w:pPr>
              <w:spacing w:after="0"/>
              <w:rPr>
                <w:sz w:val="19"/>
                <w:szCs w:val="19"/>
                <w:color w:val="auto"/>
              </w:rPr>
            </w:pPr>
          </w:p>
        </w:tc>
        <w:tc>
          <w:tcPr>
            <w:tcW w:w="240" w:type="dxa"/>
            <w:vAlign w:val="bottom"/>
            <w:tcBorders>
              <w:top w:val="single" w:sz="8" w:color="auto"/>
            </w:tcBorders>
            <w:shd w:val="clear" w:color="auto" w:fill="D9D9D6"/>
          </w:tcPr>
          <w:p>
            <w:pPr>
              <w:spacing w:after="0"/>
              <w:rPr>
                <w:sz w:val="19"/>
                <w:szCs w:val="19"/>
                <w:color w:val="auto"/>
              </w:rPr>
            </w:pPr>
          </w:p>
        </w:tc>
        <w:tc>
          <w:tcPr>
            <w:tcW w:w="80" w:type="dxa"/>
            <w:vAlign w:val="bottom"/>
            <w:tcBorders>
              <w:top w:val="single" w:sz="8" w:color="auto"/>
            </w:tcBorders>
            <w:shd w:val="clear" w:color="auto" w:fill="D9D9D6"/>
          </w:tcPr>
          <w:p>
            <w:pPr>
              <w:spacing w:after="0"/>
              <w:rPr>
                <w:sz w:val="19"/>
                <w:szCs w:val="19"/>
                <w:color w:val="auto"/>
              </w:rPr>
            </w:pPr>
          </w:p>
        </w:tc>
        <w:tc>
          <w:tcPr>
            <w:tcW w:w="80" w:type="dxa"/>
            <w:vAlign w:val="bottom"/>
            <w:tcBorders>
              <w:top w:val="single" w:sz="8" w:color="D9D9D6"/>
            </w:tcBorders>
            <w:shd w:val="clear" w:color="auto" w:fill="D9D9D6"/>
          </w:tcPr>
          <w:p>
            <w:pPr>
              <w:spacing w:after="0"/>
              <w:rPr>
                <w:sz w:val="19"/>
                <w:szCs w:val="19"/>
                <w:color w:val="auto"/>
              </w:rPr>
            </w:pPr>
          </w:p>
        </w:tc>
        <w:tc>
          <w:tcPr>
            <w:tcW w:w="580" w:type="dxa"/>
            <w:vAlign w:val="bottom"/>
            <w:tcBorders>
              <w:top w:val="single" w:sz="8" w:color="D9D9D6"/>
            </w:tcBorders>
            <w:shd w:val="clear" w:color="auto" w:fill="D9D9D6"/>
          </w:tcPr>
          <w:p>
            <w:pPr>
              <w:spacing w:after="0"/>
              <w:rPr>
                <w:sz w:val="19"/>
                <w:szCs w:val="19"/>
                <w:color w:val="auto"/>
              </w:rPr>
            </w:pPr>
          </w:p>
        </w:tc>
        <w:tc>
          <w:tcPr>
            <w:tcW w:w="50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203"/>
        </w:trPr>
        <w:tc>
          <w:tcPr>
            <w:tcW w:w="120" w:type="dxa"/>
            <w:vAlign w:val="bottom"/>
            <w:shd w:val="clear" w:color="auto" w:fill="D9D9D6"/>
          </w:tcPr>
          <w:p>
            <w:pPr>
              <w:spacing w:after="0"/>
              <w:rPr>
                <w:sz w:val="17"/>
                <w:szCs w:val="17"/>
                <w:color w:val="auto"/>
              </w:rPr>
            </w:pPr>
          </w:p>
        </w:tc>
        <w:tc>
          <w:tcPr>
            <w:tcW w:w="77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10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$1,006</w:t>
            </w:r>
          </w:p>
        </w:tc>
        <w:tc>
          <w:tcPr>
            <w:tcW w:w="20" w:type="dxa"/>
            <w:vAlign w:val="bottom"/>
            <w:shd w:val="clear" w:color="auto" w:fill="D9D9D6"/>
          </w:tcPr>
          <w:p>
            <w:pPr>
              <w:spacing w:after="0"/>
              <w:rPr>
                <w:sz w:val="17"/>
                <w:szCs w:val="17"/>
                <w:color w:val="auto"/>
              </w:rPr>
            </w:pPr>
          </w:p>
        </w:tc>
        <w:tc>
          <w:tcPr>
            <w:tcW w:w="1080" w:type="dxa"/>
            <w:vAlign w:val="bottom"/>
            <w:gridSpan w:val="5"/>
            <w:shd w:val="clear" w:color="auto" w:fill="D9D9D6"/>
          </w:tcPr>
          <w:p>
            <w:pPr>
              <w:jc w:val="right"/>
              <w:ind w:right="80"/>
              <w:spacing w:after="0"/>
              <w:rPr>
                <w:sz w:val="20"/>
                <w:szCs w:val="20"/>
                <w:color w:val="auto"/>
              </w:rPr>
            </w:pPr>
            <w:r>
              <w:rPr>
                <w:rFonts w:ascii="Arial" w:cs="Arial" w:eastAsia="Arial" w:hAnsi="Arial"/>
                <w:sz w:val="14"/>
                <w:szCs w:val="14"/>
                <w:color w:val="auto"/>
              </w:rPr>
              <w:t>$906</w:t>
            </w:r>
          </w:p>
        </w:tc>
        <w:tc>
          <w:tcPr>
            <w:tcW w:w="10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11.0%</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776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104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1,288</w:t>
            </w:r>
          </w:p>
        </w:tc>
        <w:tc>
          <w:tcPr>
            <w:tcW w:w="20" w:type="dxa"/>
            <w:vAlign w:val="bottom"/>
            <w:tcBorders>
              <w:bottom w:val="single" w:sz="8" w:color="auto"/>
            </w:tcBorders>
            <w:shd w:val="clear" w:color="auto" w:fill="D9D9D6"/>
          </w:tcPr>
          <w:p>
            <w:pPr>
              <w:spacing w:after="0"/>
              <w:rPr>
                <w:sz w:val="17"/>
                <w:szCs w:val="17"/>
                <w:color w:val="auto"/>
              </w:rPr>
            </w:pPr>
          </w:p>
        </w:tc>
        <w:tc>
          <w:tcPr>
            <w:tcW w:w="1080" w:type="dxa"/>
            <w:vAlign w:val="bottom"/>
            <w:tcBorders>
              <w:bottom w:val="single" w:sz="8" w:color="auto"/>
            </w:tcBorders>
            <w:gridSpan w:val="5"/>
            <w:shd w:val="clear" w:color="auto" w:fill="D9D9D6"/>
          </w:tcPr>
          <w:p>
            <w:pPr>
              <w:jc w:val="right"/>
              <w:ind w:right="80"/>
              <w:spacing w:after="0"/>
              <w:rPr>
                <w:sz w:val="20"/>
                <w:szCs w:val="20"/>
                <w:color w:val="auto"/>
              </w:rPr>
            </w:pPr>
            <w:r>
              <w:rPr>
                <w:rFonts w:ascii="Arial" w:cs="Arial" w:eastAsia="Arial" w:hAnsi="Arial"/>
                <w:sz w:val="14"/>
                <w:szCs w:val="14"/>
                <w:color w:val="auto"/>
              </w:rPr>
              <w:t>1,105</w:t>
            </w:r>
          </w:p>
        </w:tc>
        <w:tc>
          <w:tcPr>
            <w:tcW w:w="10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16.6%</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77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($283)</w:t>
            </w:r>
          </w:p>
        </w:tc>
        <w:tc>
          <w:tcPr>
            <w:tcW w:w="20" w:type="dxa"/>
            <w:vAlign w:val="bottom"/>
            <w:shd w:val="clear" w:color="auto" w:fill="D9D9D6"/>
          </w:tcPr>
          <w:p>
            <w:pPr>
              <w:spacing w:after="0"/>
              <w:rPr>
                <w:sz w:val="17"/>
                <w:szCs w:val="17"/>
                <w:color w:val="auto"/>
              </w:rPr>
            </w:pPr>
          </w:p>
        </w:tc>
        <w:tc>
          <w:tcPr>
            <w:tcW w:w="108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($198)</w:t>
            </w:r>
          </w:p>
        </w:tc>
        <w:tc>
          <w:tcPr>
            <w:tcW w:w="10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(42.6%)</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77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Eliminations</w:t>
            </w:r>
          </w:p>
        </w:tc>
        <w:tc>
          <w:tcPr>
            <w:tcW w:w="7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480" w:type="dxa"/>
            <w:vAlign w:val="bottom"/>
            <w:shd w:val="clear" w:color="auto" w:fill="D9D9D6"/>
          </w:tcPr>
          <w:p>
            <w:pPr>
              <w:spacing w:after="0"/>
              <w:rPr>
                <w:sz w:val="24"/>
                <w:szCs w:val="24"/>
                <w:color w:val="auto"/>
              </w:rPr>
            </w:pPr>
          </w:p>
        </w:tc>
        <w:tc>
          <w:tcPr>
            <w:tcW w:w="24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58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203"/>
        </w:trPr>
        <w:tc>
          <w:tcPr>
            <w:tcW w:w="120" w:type="dxa"/>
            <w:vAlign w:val="bottom"/>
            <w:shd w:val="clear" w:color="auto" w:fill="D9D9D6"/>
          </w:tcPr>
          <w:p>
            <w:pPr>
              <w:spacing w:after="0"/>
              <w:rPr>
                <w:sz w:val="17"/>
                <w:szCs w:val="17"/>
                <w:color w:val="auto"/>
              </w:rPr>
            </w:pPr>
          </w:p>
        </w:tc>
        <w:tc>
          <w:tcPr>
            <w:tcW w:w="77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($1,452)</w:t>
            </w:r>
          </w:p>
        </w:tc>
        <w:tc>
          <w:tcPr>
            <w:tcW w:w="20" w:type="dxa"/>
            <w:vAlign w:val="bottom"/>
            <w:shd w:val="clear" w:color="auto" w:fill="D9D9D6"/>
          </w:tcPr>
          <w:p>
            <w:pPr>
              <w:spacing w:after="0"/>
              <w:rPr>
                <w:sz w:val="17"/>
                <w:szCs w:val="17"/>
                <w:color w:val="auto"/>
              </w:rPr>
            </w:pPr>
          </w:p>
        </w:tc>
        <w:tc>
          <w:tcPr>
            <w:tcW w:w="108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color w:val="auto"/>
              </w:rPr>
              <w:t>($1,244)</w:t>
            </w:r>
          </w:p>
        </w:tc>
        <w:tc>
          <w:tcPr>
            <w:tcW w:w="10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16.7%</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776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10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(1,421)</w:t>
            </w:r>
          </w:p>
        </w:tc>
        <w:tc>
          <w:tcPr>
            <w:tcW w:w="20" w:type="dxa"/>
            <w:vAlign w:val="bottom"/>
            <w:tcBorders>
              <w:bottom w:val="single" w:sz="8" w:color="auto"/>
            </w:tcBorders>
            <w:shd w:val="clear" w:color="auto" w:fill="D9D9D6"/>
          </w:tcPr>
          <w:p>
            <w:pPr>
              <w:spacing w:after="0"/>
              <w:rPr>
                <w:sz w:val="17"/>
                <w:szCs w:val="17"/>
                <w:color w:val="auto"/>
              </w:rPr>
            </w:pPr>
          </w:p>
        </w:tc>
        <w:tc>
          <w:tcPr>
            <w:tcW w:w="1080" w:type="dxa"/>
            <w:vAlign w:val="bottom"/>
            <w:tcBorders>
              <w:bottom w:val="single" w:sz="8" w:color="auto"/>
            </w:tcBorders>
            <w:gridSpan w:val="5"/>
            <w:shd w:val="clear" w:color="auto" w:fill="D9D9D6"/>
          </w:tcPr>
          <w:p>
            <w:pPr>
              <w:jc w:val="right"/>
              <w:ind w:right="40"/>
              <w:spacing w:after="0"/>
              <w:rPr>
                <w:sz w:val="20"/>
                <w:szCs w:val="20"/>
                <w:color w:val="auto"/>
              </w:rPr>
            </w:pPr>
            <w:r>
              <w:rPr>
                <w:rFonts w:ascii="Arial" w:cs="Arial" w:eastAsia="Arial" w:hAnsi="Arial"/>
                <w:sz w:val="14"/>
                <w:szCs w:val="14"/>
                <w:color w:val="auto"/>
              </w:rPr>
              <w:t>(1,256)</w:t>
            </w:r>
          </w:p>
        </w:tc>
        <w:tc>
          <w:tcPr>
            <w:tcW w:w="10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13.1%</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77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($31)</w:t>
            </w:r>
          </w:p>
        </w:tc>
        <w:tc>
          <w:tcPr>
            <w:tcW w:w="20" w:type="dxa"/>
            <w:vAlign w:val="bottom"/>
            <w:shd w:val="clear" w:color="auto" w:fill="D9D9D6"/>
          </w:tcPr>
          <w:p>
            <w:pPr>
              <w:spacing w:after="0"/>
              <w:rPr>
                <w:sz w:val="17"/>
                <w:szCs w:val="17"/>
                <w:color w:val="auto"/>
              </w:rPr>
            </w:pPr>
          </w:p>
        </w:tc>
        <w:tc>
          <w:tcPr>
            <w:tcW w:w="1080" w:type="dxa"/>
            <w:vAlign w:val="bottom"/>
            <w:gridSpan w:val="5"/>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$12</w:t>
            </w:r>
          </w:p>
        </w:tc>
        <w:tc>
          <w:tcPr>
            <w:tcW w:w="580" w:type="dxa"/>
            <w:vAlign w:val="bottom"/>
            <w:shd w:val="clear" w:color="auto" w:fill="D9D9D6"/>
          </w:tcPr>
          <w:p>
            <w:pPr>
              <w:spacing w:after="0"/>
              <w:rPr>
                <w:sz w:val="17"/>
                <w:szCs w:val="17"/>
                <w:color w:val="auto"/>
              </w:rPr>
            </w:pPr>
          </w:p>
        </w:tc>
        <w:tc>
          <w:tcPr>
            <w:tcW w:w="520" w:type="dxa"/>
            <w:vAlign w:val="bottom"/>
            <w:gridSpan w:val="2"/>
            <w:shd w:val="clear" w:color="auto" w:fill="D9D9D6"/>
          </w:tcPr>
          <w:p>
            <w:pPr>
              <w:ind w:left="160"/>
              <w:spacing w:after="0"/>
              <w:rPr>
                <w:sz w:val="20"/>
                <w:szCs w:val="20"/>
                <w:color w:val="auto"/>
              </w:rPr>
            </w:pPr>
            <w:r>
              <w:rPr>
                <w:rFonts w:ascii="Arial" w:cs="Arial" w:eastAsia="Arial" w:hAnsi="Arial"/>
                <w:sz w:val="14"/>
                <w:szCs w:val="14"/>
                <w:b w:val="1"/>
                <w:bCs w:val="1"/>
                <w:color w:val="auto"/>
              </w:rPr>
              <w:t>NM</w:t>
            </w:r>
          </w:p>
        </w:tc>
        <w:tc>
          <w:tcPr>
            <w:tcW w:w="120" w:type="dxa"/>
            <w:vAlign w:val="bottom"/>
            <w:shd w:val="clear" w:color="auto" w:fill="D9D9D6"/>
          </w:tcPr>
          <w:p>
            <w:pPr>
              <w:spacing w:after="0"/>
              <w:rPr>
                <w:sz w:val="17"/>
                <w:szCs w:val="17"/>
                <w:color w:val="auto"/>
              </w:rPr>
            </w:pPr>
          </w:p>
        </w:tc>
      </w:tr>
      <w:tr>
        <w:trPr>
          <w:trHeight w:val="205"/>
        </w:trPr>
        <w:tc>
          <w:tcPr>
            <w:tcW w:w="120" w:type="dxa"/>
            <w:vAlign w:val="bottom"/>
            <w:shd w:val="clear" w:color="auto" w:fill="D9D9D6"/>
          </w:tcPr>
          <w:p>
            <w:pPr>
              <w:spacing w:after="0"/>
              <w:rPr>
                <w:sz w:val="17"/>
                <w:szCs w:val="17"/>
                <w:color w:val="auto"/>
              </w:rPr>
            </w:pPr>
          </w:p>
        </w:tc>
        <w:tc>
          <w:tcPr>
            <w:tcW w:w="7760" w:type="dxa"/>
            <w:vAlign w:val="bottom"/>
            <w:shd w:val="clear" w:color="auto" w:fill="D9D9D6"/>
          </w:tcPr>
          <w:p>
            <w:pPr>
              <w:ind w:left="20"/>
              <w:spacing w:after="0"/>
              <w:rPr>
                <w:sz w:val="20"/>
                <w:szCs w:val="20"/>
                <w:color w:val="auto"/>
              </w:rPr>
            </w:pPr>
            <w:r>
              <w:rPr>
                <w:rFonts w:ascii="Arial" w:cs="Arial" w:eastAsia="Arial" w:hAnsi="Arial"/>
                <w:sz w:val="14"/>
                <w:szCs w:val="14"/>
                <w:color w:val="auto"/>
              </w:rPr>
              <w:t>NM=comparison not meaningful.</w:t>
            </w:r>
          </w:p>
        </w:tc>
        <w:tc>
          <w:tcPr>
            <w:tcW w:w="72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48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58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Amounts for 2025 exclude the impacts of Versant. See Table 8 for the reconciliation to consolidated results.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Other</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&amp; Other primarily includes overhead and personnel costs; our Sky-branded video services and television networks in Germany; our regional sports networks; and Comcast Spectacor, which owns the Philadelphia Flyers and the Xfinity Mobile Arena in Philadelphia, Pennsylvania. Corporate &amp; Other Adjusted EBITDA decreased primarily reflecting higher costs related to Sky operations in Germany, lower revenue associated with our regional sports networks and higher costs related to corporate functions, including marketing associated with the Milan Cortina Olympics.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Amounts represent eliminations of transactions between Connectivity &amp; Platforms, Content &amp; Experiences and other businesses, the most significant being distribution of television network programming between the Media and Residential Connectivity &amp; Platforms segments. Revenue eliminations were $1.5 billion, compared to $1.2 billion in the prior year period, and Adjusted EBITDA eliminations were a loss of $31 million compared to a benefit of $12 million in the prior year period. Current year amounts reflect an increase in eliminations associated with the Milan Cortina Olympics.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566" w:right="3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397510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t>Notes:</w:t>
      </w:r>
    </w:p>
    <w:p>
      <w:pPr>
        <w:spacing w:after="0" w:line="90"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1 Certain financial information is presented on a pro forma basis in connection with the separation of Versant, which was completed on January 2, 2026 (the “Separation”). The pro forma financial measures are non-GAAP financial measures and are presented as if the Separation had occurred on January 1, 2024. The pro forma information is primarily based on historical results of operations and includes pro forma adjustments in accordance with Article 11 of Regulation S-X that are directly attributable to the Separation, including adjustments related to the commercial services agreement for the sale and use of Versant’s advertising and promotional inventory. This pro forma information is not necessarily indicative of future results. See Table 8 for reconciliations of non-GAAP financial measures.</w:t>
      </w:r>
    </w:p>
    <w:p>
      <w:pPr>
        <w:spacing w:after="0" w:line="128"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2 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w:t>
      </w:r>
    </w:p>
    <w:p>
      <w:pPr>
        <w:spacing w:after="0" w:line="125"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3 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4 All earnings per share amounts are presented on a diluted basis.</w:t>
      </w:r>
    </w:p>
    <w:p>
      <w:pPr>
        <w:spacing w:after="0" w:line="171"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5 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See Table 4 for reconciliation of non-GAAP financial measure.</w:t>
      </w:r>
    </w:p>
    <w:p>
      <w:pPr>
        <w:spacing w:after="0" w:line="128" w:lineRule="exact"/>
        <w:rPr>
          <w:sz w:val="20"/>
          <w:szCs w:val="20"/>
          <w:color w:val="auto"/>
        </w:rPr>
      </w:pPr>
    </w:p>
    <w:p>
      <w:pPr>
        <w:jc w:val="both"/>
        <w:ind w:left="180" w:hanging="161"/>
        <w:spacing w:after="0" w:line="256" w:lineRule="auto"/>
        <w:rPr>
          <w:sz w:val="20"/>
          <w:szCs w:val="20"/>
          <w:color w:val="auto"/>
        </w:rPr>
      </w:pPr>
      <w:r>
        <w:rPr>
          <w:rFonts w:ascii="Arial" w:cs="Arial" w:eastAsia="Arial" w:hAnsi="Arial"/>
          <w:sz w:val="18"/>
          <w:szCs w:val="18"/>
          <w:color w:val="auto"/>
        </w:rPr>
        <w:t>6 Beginning in the first quarter of 2026, we updated the composition of our segments to align with the segment-level information that is regularly provided to our chief operating decision maker, including (1) adjusting the Media segment to exclude the historical results of Versant; (2) reclassifying the results of our regional sports networks to Corporate and other from the Media segment; (3) reclassifying the results of Xumo, our streaming platform joint venture with Charter Communications, to the Residential Connectivity &amp; Platforms segment from Corporate and other; (4) reclassifying certain shared expenses into the related Media, Studios and Theme Parks segments from Content &amp; Experiences Headquarters &amp; Other; and (5) adjusting the Media segment and Versant for the effects of our commercial services agreement. Prior periods have been reclassified to reflect the current year presentation.</w:t>
      </w:r>
    </w:p>
    <w:p>
      <w:pPr>
        <w:spacing w:after="0" w:line="129" w:lineRule="exact"/>
        <w:rPr>
          <w:sz w:val="20"/>
          <w:szCs w:val="20"/>
          <w:color w:val="auto"/>
        </w:rPr>
      </w:pPr>
    </w:p>
    <w:p>
      <w:pPr>
        <w:jc w:val="both"/>
        <w:ind w:left="180" w:hanging="161"/>
        <w:spacing w:after="0" w:line="268" w:lineRule="auto"/>
        <w:rPr>
          <w:sz w:val="20"/>
          <w:szCs w:val="20"/>
          <w:color w:val="auto"/>
        </w:rPr>
      </w:pPr>
      <w:r>
        <w:rPr>
          <w:rFonts w:ascii="Arial" w:cs="Arial" w:eastAsia="Arial" w:hAnsi="Arial"/>
          <w:sz w:val="18"/>
          <w:szCs w:val="18"/>
          <w:color w:val="auto"/>
        </w:rPr>
        <w:t>7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 See Table 6 for reconciliations of non-GAAP financial measures.</w:t>
      </w:r>
    </w:p>
    <w:p>
      <w:pPr>
        <w:spacing w:after="0" w:line="117" w:lineRule="exact"/>
        <w:rPr>
          <w:sz w:val="20"/>
          <w:szCs w:val="20"/>
          <w:color w:val="auto"/>
        </w:rPr>
      </w:pPr>
    </w:p>
    <w:p>
      <w:pPr>
        <w:jc w:val="both"/>
        <w:ind w:left="180" w:hanging="161"/>
        <w:spacing w:after="0" w:line="268" w:lineRule="auto"/>
        <w:rPr>
          <w:sz w:val="20"/>
          <w:szCs w:val="20"/>
          <w:color w:val="auto"/>
        </w:rPr>
      </w:pPr>
      <w:r>
        <w:rPr>
          <w:rFonts w:ascii="Arial" w:cs="Arial" w:eastAsia="Arial" w:hAnsi="Arial"/>
          <w:sz w:val="18"/>
          <w:szCs w:val="18"/>
          <w:color w:val="auto"/>
        </w:rPr>
        <w:t>8 Residential Connectivity &amp; Platforms customer relationships and International Residential Connectivity &amp; Platforms customer relationships were updated in the first quarter of 2026 due to a conforming change in methodology, resulting in a decrease of 125,000 customers. There was no impact to net additions and information for all periods have been recast on a comparable basis.</w:t>
      </w:r>
    </w:p>
    <w:p>
      <w:pPr>
        <w:spacing w:after="0" w:line="117"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9 Beginning in the first quarter of 2026, commission revenue from the sale of certain direct to consumer (“DTC”) streaming services is presented in domestic broadband revenue or video revenue based on whether a customer is entitled to receive the DTC streaming service through a broadband or video service offering. Domestic broadband revenue also includes revenue from streaming devices available to our broadband customers. Previously, all of these amounts were in video revenue. Prior periods have been reclassified to reflect the current year presentation.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634" w:right="339" w:bottom="1440" w:gutter="0" w:footer="0" w:header="0"/>
        </w:sectPr>
      </w:pPr>
    </w:p>
    <w:bookmarkStart w:id="11" w:name="page12"/>
    <w:bookmarkEnd w:id="11"/>
    <w:p>
      <w:pPr>
        <w:jc w:val="both"/>
        <w:ind w:left="180" w:hanging="242"/>
        <w:spacing w:after="0" w:line="268" w:lineRule="auto"/>
        <w:rPr>
          <w:sz w:val="20"/>
          <w:szCs w:val="20"/>
          <w:color w:val="auto"/>
        </w:rPr>
      </w:pPr>
      <w:r>
        <w:rPr>
          <w:rFonts w:ascii="Arial" w:cs="Arial" w:eastAsia="Arial" w:hAnsi="Arial"/>
          <w:sz w:val="18"/>
          <w:szCs w:val="18"/>
          <w:color w:val="auto"/>
        </w:rPr>
        <w:t>10 From time to time, we may present adjusted information (e.g., Adjusted Revenues) to exclude the impact of certain events, gains, losses or other charges affecting period-to-period comparability of our operating performance. See Table 7 for reconciliations of non-GAAP financial measures.</w:t>
      </w:r>
    </w:p>
    <w:p>
      <w:pPr>
        <w:spacing w:after="0" w:line="117" w:lineRule="exact"/>
        <w:rPr>
          <w:sz w:val="20"/>
          <w:szCs w:val="20"/>
          <w:color w:val="auto"/>
        </w:rPr>
      </w:pPr>
    </w:p>
    <w:p>
      <w:pPr>
        <w:jc w:val="both"/>
        <w:ind w:left="180" w:hanging="242"/>
        <w:spacing w:after="0" w:line="259" w:lineRule="auto"/>
        <w:rPr>
          <w:sz w:val="20"/>
          <w:szCs w:val="20"/>
          <w:color w:val="auto"/>
        </w:rPr>
      </w:pPr>
      <w:r>
        <w:rPr>
          <w:rFonts w:ascii="Arial" w:cs="Arial" w:eastAsia="Arial" w:hAnsi="Arial"/>
          <w:sz w:val="18"/>
          <w:szCs w:val="18"/>
          <w:color w:val="auto"/>
        </w:rPr>
        <w:t>11 Adjusted EBITDA is the measure of profit or loss for our segments. From time to time, we may present Adjusted EBITDA for components of our reportable segments, such as Peacock. We believe these measures are useful to evaluate our financial results and provide a basis of comparison to others, although our definition of Adjusted EBITDA may not be directly comparable to similar measures used by other companies. Adjusted EBITDA for components are presented on a consistent basis with the respective segments and disaggregated in accordance with GAAP.</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Numerical information is presented on a rounded basis using actual amounts, unless otherwise noted. The change in Peacock paid subscribers is calculated using rounded paid subscriber amounts. Minor differences in totals and percentage calculations may exist due to rounding.</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April 23, 2026, at 8:30 a.m. Eastern Time (ET). The conference call and related materials will be broadcast live and posted on our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A replay of the call will be available today, April 23, 2026, starting at 11:30 a.m. ET on the Investor Relations website.</w:t>
      </w:r>
    </w:p>
    <w:p>
      <w:pPr>
        <w:spacing w:after="0" w:line="19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website, </w:t>
      </w:r>
      <w:r>
        <w:rPr>
          <w:rFonts w:ascii="Arial" w:cs="Arial" w:eastAsia="Arial" w:hAnsi="Arial"/>
          <w:sz w:val="16"/>
          <w:szCs w:val="16"/>
          <w:u w:val="single" w:color="auto"/>
          <w:color w:val="0000FF"/>
        </w:rPr>
        <w:t>www.comcastcorporation.com</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 alerts.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1240"/>
          </w:cols>
          <w:pgMar w:left="320" w:top="580" w:right="339" w:bottom="1440" w:gutter="0" w:footer="0" w:header="0"/>
        </w:sectPr>
      </w:pPr>
    </w:p>
    <w:p>
      <w:pPr>
        <w:spacing w:after="0" w:line="14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Investor Contacts: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4040"/>
        <w:spacing w:after="0"/>
        <w:rPr>
          <w:sz w:val="20"/>
          <w:szCs w:val="20"/>
          <w:color w:val="auto"/>
        </w:rPr>
      </w:pPr>
      <w:r>
        <w:rPr>
          <w:rFonts w:ascii="Arial" w:cs="Arial" w:eastAsia="Arial" w:hAnsi="Arial"/>
          <w:sz w:val="16"/>
          <w:szCs w:val="16"/>
          <w:b w:val="1"/>
          <w:bCs w:val="1"/>
          <w:color w:val="auto"/>
        </w:rPr>
        <w:t>Press Contacts:</w:t>
      </w:r>
    </w:p>
    <w:p>
      <w:pPr>
        <w:spacing w:after="0" w:line="39" w:lineRule="exact"/>
        <w:rPr>
          <w:sz w:val="20"/>
          <w:szCs w:val="20"/>
          <w:color w:val="auto"/>
        </w:rPr>
      </w:pPr>
    </w:p>
    <w:p>
      <w:pPr>
        <w:sectPr>
          <w:pgSz w:w="11900" w:h="16838" w:orient="portrait"/>
          <w:cols w:equalWidth="0" w:num="2">
            <w:col w:w="5260" w:space="720"/>
            <w:col w:w="5260"/>
          </w:cols>
          <w:pgMar w:left="320" w:top="580" w:right="3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Marci Ryvicker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Marci_Ryvicker@Comcast.com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Jennifer Khoury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Jennifer_Khoury@Comcast.com</w:t>
      </w:r>
    </w:p>
    <w:p>
      <w:pPr>
        <w:spacing w:after="0" w:line="25" w:lineRule="exact"/>
        <w:rPr>
          <w:sz w:val="20"/>
          <w:szCs w:val="20"/>
          <w:color w:val="auto"/>
        </w:rPr>
      </w:pPr>
    </w:p>
    <w:p>
      <w:pPr>
        <w:sectPr>
          <w:pgSz w:w="11900" w:h="16838" w:orient="portrait"/>
          <w:cols w:equalWidth="0" w:num="4">
            <w:col w:w="1560" w:space="720"/>
            <w:col w:w="2980" w:space="720"/>
            <w:col w:w="1120" w:space="660"/>
            <w:col w:w="3480"/>
          </w:cols>
          <w:pgMar w:left="320" w:top="580" w:right="339" w:bottom="1440" w:gutter="0" w:footer="0" w:header="0"/>
          <w:type w:val="continuous"/>
        </w:sectPr>
      </w:pPr>
    </w:p>
    <w:p>
      <w:pPr>
        <w:ind w:left="7760"/>
        <w:spacing w:after="0"/>
        <w:rPr>
          <w:sz w:val="20"/>
          <w:szCs w:val="20"/>
          <w:color w:val="auto"/>
        </w:rPr>
      </w:pPr>
      <w:r>
        <w:rPr>
          <w:rFonts w:ascii="Arial" w:cs="Arial" w:eastAsia="Arial" w:hAnsi="Arial"/>
          <w:sz w:val="16"/>
          <w:szCs w:val="16"/>
          <w:color w:val="auto"/>
        </w:rPr>
        <w:t>(215) 531-3296</w:t>
      </w:r>
    </w:p>
    <w:p>
      <w:pPr>
        <w:sectPr>
          <w:pgSz w:w="11900" w:h="16838" w:orient="portrait"/>
          <w:cols w:equalWidth="0" w:num="1">
            <w:col w:w="11240"/>
          </w:cols>
          <w:pgMar w:left="320" w:top="580" w:right="339" w:bottom="1440" w:gutter="0" w:footer="0" w:header="0"/>
          <w:type w:val="continuous"/>
        </w:sectPr>
      </w:pP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Jane Kearns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Jane_Kearns@Comcast.com</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John Demming</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John_Demming@Comcast.com</w:t>
      </w:r>
    </w:p>
    <w:p>
      <w:pPr>
        <w:spacing w:after="0" w:line="32" w:lineRule="exact"/>
        <w:rPr>
          <w:sz w:val="20"/>
          <w:szCs w:val="20"/>
          <w:color w:val="auto"/>
        </w:rPr>
      </w:pPr>
    </w:p>
    <w:p>
      <w:pPr>
        <w:sectPr>
          <w:pgSz w:w="11900" w:h="16838" w:orient="portrait"/>
          <w:cols w:equalWidth="0" w:num="4">
            <w:col w:w="1560" w:space="720"/>
            <w:col w:w="2980" w:space="720"/>
            <w:col w:w="1080" w:space="700"/>
            <w:col w:w="3480"/>
          </w:cols>
          <w:pgMar w:left="320" w:top="580" w:right="339" w:bottom="1440" w:gutter="0" w:footer="0" w:header="0"/>
          <w:type w:val="continuous"/>
        </w:sectPr>
      </w:pPr>
    </w:p>
    <w:p>
      <w:pPr>
        <w:ind w:left="7760"/>
        <w:spacing w:after="0"/>
        <w:rPr>
          <w:sz w:val="20"/>
          <w:szCs w:val="20"/>
          <w:color w:val="auto"/>
        </w:rPr>
      </w:pPr>
      <w:r>
        <w:rPr>
          <w:rFonts w:ascii="Arial" w:cs="Arial" w:eastAsia="Arial" w:hAnsi="Arial"/>
          <w:sz w:val="16"/>
          <w:szCs w:val="16"/>
          <w:color w:val="auto"/>
        </w:rPr>
        <w:t>(215) 429-4744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1240"/>
          </w:cols>
          <w:pgMar w:left="320" w:top="580" w:right="3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press release includes statements that may constitute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Factors that could cause our actual results to differ materially from these forward-looking statements include changes in and/or risks associated with: the competitive environment; consumer behavior; the advertising market; consumer acceptance of our content; programming costs;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labor disputes; significant tax liability if the separation of Versant is not tax-free; laws and regulations; adverse decisions in litigation or governmental investigations;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58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About Comcast Corporation</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Comcast Corporation (Nasdaq: CMCSA) is a global media and technology company. From the connectivity and platforms we provide, to the content and experiences we create, our businesses reach hundreds of millions of customers, viewers, and guests worldwide. We deliver world-class broadband, wireless, and video through Xfinity, Comcast Business, and Sky; produce, distribute, and stream leading entertainment, sports, and news through brands including NBC, Telemundo, Universal, Peacock, and Sky; and bring incredible theme parks and attractions to life through Universal Destinations &amp; Experiences. Visit www.comcastcorporation.com for more information.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584" w:right="3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6243320</wp:posOffset>
            </wp:positionH>
            <wp:positionV relativeFrom="page">
              <wp:posOffset>380365</wp:posOffset>
            </wp:positionV>
            <wp:extent cx="1028700"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11480"/>
                    </a:xfrm>
                    <a:prstGeom prst="rect">
                      <a:avLst/>
                    </a:prstGeom>
                    <a:noFill/>
                  </pic:spPr>
                </pic:pic>
              </a:graphicData>
            </a:graphic>
          </wp:anchor>
        </w:drawing>
        <w:t>TABLE 1</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0719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80" w:type="dxa"/>
            <w:vAlign w:val="bottom"/>
          </w:tcPr>
          <w:p>
            <w:pPr>
              <w:spacing w:after="0"/>
              <w:rPr>
                <w:sz w:val="18"/>
                <w:szCs w:val="18"/>
                <w:color w:val="auto"/>
              </w:rPr>
            </w:pPr>
          </w:p>
        </w:tc>
        <w:tc>
          <w:tcPr>
            <w:tcW w:w="222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78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1520" w:type="dxa"/>
            <w:vAlign w:val="bottom"/>
            <w:gridSpan w:val="3"/>
          </w:tcPr>
          <w:p>
            <w:pPr>
              <w:jc w:val="center"/>
              <w:ind w:left="619"/>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18"/>
                <w:szCs w:val="18"/>
                <w:color w:val="auto"/>
              </w:rPr>
            </w:pPr>
          </w:p>
        </w:tc>
      </w:tr>
      <w:tr>
        <w:trPr>
          <w:trHeight w:val="217"/>
        </w:trPr>
        <w:tc>
          <w:tcPr>
            <w:tcW w:w="878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2025</w:t>
            </w:r>
          </w:p>
        </w:tc>
      </w:tr>
      <w:tr>
        <w:trPr>
          <w:trHeight w:val="216"/>
        </w:trPr>
        <w:tc>
          <w:tcPr>
            <w:tcW w:w="878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$31,457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$29,887</w:t>
            </w:r>
          </w:p>
        </w:tc>
      </w:tr>
      <w:tr>
        <w:trPr>
          <w:trHeight w:val="477"/>
        </w:trPr>
        <w:tc>
          <w:tcPr>
            <w:tcW w:w="8780" w:type="dxa"/>
            <w:vAlign w:val="bottom"/>
          </w:tcPr>
          <w:p>
            <w:pPr>
              <w:spacing w:after="0"/>
              <w:rPr>
                <w:sz w:val="20"/>
                <w:szCs w:val="20"/>
                <w:color w:val="auto"/>
              </w:rPr>
            </w:pPr>
            <w:r>
              <w:rPr>
                <w:rFonts w:ascii="Arial" w:cs="Arial" w:eastAsia="Arial" w:hAnsi="Arial"/>
                <w:sz w:val="16"/>
                <w:szCs w:val="16"/>
                <w:color w:val="auto"/>
              </w:rPr>
              <w:t>Costs and expenses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7"/>
        </w:trPr>
        <w:tc>
          <w:tcPr>
            <w:tcW w:w="8780" w:type="dxa"/>
            <w:vAlign w:val="bottom"/>
          </w:tcPr>
          <w:p>
            <w:pPr>
              <w:ind w:left="340"/>
              <w:spacing w:after="0"/>
              <w:rPr>
                <w:sz w:val="20"/>
                <w:szCs w:val="20"/>
                <w:color w:val="auto"/>
              </w:rPr>
            </w:pPr>
            <w:r>
              <w:rPr>
                <w:rFonts w:ascii="Arial" w:cs="Arial" w:eastAsia="Arial" w:hAnsi="Arial"/>
                <w:sz w:val="16"/>
                <w:szCs w:val="16"/>
                <w:color w:val="auto"/>
              </w:rPr>
              <w:t>Programming and production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10,884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8,415</w:t>
            </w:r>
          </w:p>
        </w:tc>
      </w:tr>
      <w:tr>
        <w:trPr>
          <w:trHeight w:val="216"/>
        </w:trPr>
        <w:tc>
          <w:tcPr>
            <w:tcW w:w="8780" w:type="dxa"/>
            <w:vAlign w:val="bottom"/>
          </w:tcPr>
          <w:p>
            <w:pPr>
              <w:ind w:left="340"/>
              <w:spacing w:after="0"/>
              <w:rPr>
                <w:sz w:val="20"/>
                <w:szCs w:val="20"/>
                <w:color w:val="auto"/>
              </w:rPr>
            </w:pPr>
            <w:r>
              <w:rPr>
                <w:rFonts w:ascii="Arial" w:cs="Arial" w:eastAsia="Arial" w:hAnsi="Arial"/>
                <w:sz w:val="16"/>
                <w:szCs w:val="16"/>
                <w:color w:val="auto"/>
              </w:rPr>
              <w:t>Marketing and promotion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2,164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2,071</w:t>
            </w:r>
          </w:p>
        </w:tc>
      </w:tr>
      <w:tr>
        <w:trPr>
          <w:trHeight w:val="216"/>
        </w:trPr>
        <w:tc>
          <w:tcPr>
            <w:tcW w:w="8780" w:type="dxa"/>
            <w:vAlign w:val="bottom"/>
          </w:tcPr>
          <w:p>
            <w:pPr>
              <w:ind w:left="340"/>
              <w:spacing w:after="0"/>
              <w:rPr>
                <w:sz w:val="20"/>
                <w:szCs w:val="20"/>
                <w:color w:val="auto"/>
              </w:rPr>
            </w:pPr>
            <w:r>
              <w:rPr>
                <w:rFonts w:ascii="Arial" w:cs="Arial" w:eastAsia="Arial" w:hAnsi="Arial"/>
                <w:sz w:val="16"/>
                <w:szCs w:val="16"/>
                <w:color w:val="auto"/>
              </w:rPr>
              <w:t>Other operating and administrative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10,408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9,893</w:t>
            </w:r>
          </w:p>
        </w:tc>
      </w:tr>
      <w:tr>
        <w:trPr>
          <w:trHeight w:val="216"/>
        </w:trPr>
        <w:tc>
          <w:tcPr>
            <w:tcW w:w="8780" w:type="dxa"/>
            <w:vAlign w:val="bottom"/>
          </w:tcPr>
          <w:p>
            <w:pPr>
              <w:ind w:left="340"/>
              <w:spacing w:after="0"/>
              <w:rPr>
                <w:sz w:val="20"/>
                <w:szCs w:val="20"/>
                <w:color w:val="auto"/>
              </w:rPr>
            </w:pPr>
            <w:r>
              <w:rPr>
                <w:rFonts w:ascii="Arial" w:cs="Arial" w:eastAsia="Arial" w:hAnsi="Arial"/>
                <w:sz w:val="16"/>
                <w:szCs w:val="16"/>
                <w:color w:val="auto"/>
              </w:rPr>
              <w:t>Depreciation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2,333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2,231</w:t>
            </w:r>
          </w:p>
        </w:tc>
      </w:tr>
      <w:tr>
        <w:trPr>
          <w:trHeight w:val="217"/>
        </w:trPr>
        <w:tc>
          <w:tcPr>
            <w:tcW w:w="8780" w:type="dxa"/>
            <w:vAlign w:val="bottom"/>
          </w:tcPr>
          <w:p>
            <w:pPr>
              <w:ind w:left="340"/>
              <w:spacing w:after="0"/>
              <w:rPr>
                <w:sz w:val="20"/>
                <w:szCs w:val="20"/>
                <w:color w:val="auto"/>
              </w:rPr>
            </w:pPr>
            <w:r>
              <w:rPr>
                <w:rFonts w:ascii="Arial" w:cs="Arial" w:eastAsia="Arial" w:hAnsi="Arial"/>
                <w:sz w:val="16"/>
                <w:szCs w:val="16"/>
                <w:color w:val="auto"/>
              </w:rPr>
              <w:t>Amortization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1,618</w:t>
            </w:r>
          </w:p>
        </w:tc>
      </w:tr>
      <w:tr>
        <w:trPr>
          <w:trHeight w:val="209"/>
        </w:trPr>
        <w:tc>
          <w:tcPr>
            <w:tcW w:w="87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27,321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24,228</w:t>
            </w:r>
          </w:p>
        </w:tc>
      </w:tr>
      <w:tr>
        <w:trPr>
          <w:trHeight w:val="418"/>
        </w:trPr>
        <w:tc>
          <w:tcPr>
            <w:tcW w:w="878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4,135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5,658</w:t>
            </w:r>
          </w:p>
        </w:tc>
      </w:tr>
      <w:tr>
        <w:trPr>
          <w:trHeight w:val="486"/>
        </w:trPr>
        <w:tc>
          <w:tcPr>
            <w:tcW w:w="8780" w:type="dxa"/>
            <w:vAlign w:val="bottom"/>
          </w:tcPr>
          <w:p>
            <w:pPr>
              <w:spacing w:after="0"/>
              <w:rPr>
                <w:sz w:val="20"/>
                <w:szCs w:val="20"/>
                <w:color w:val="auto"/>
              </w:rPr>
            </w:pPr>
            <w:r>
              <w:rPr>
                <w:rFonts w:ascii="Arial" w:cs="Arial" w:eastAsia="Arial" w:hAnsi="Arial"/>
                <w:sz w:val="16"/>
                <w:szCs w:val="16"/>
                <w:color w:val="auto"/>
              </w:rPr>
              <w:t>Interest expense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(1,094)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(1,050)</w:t>
            </w:r>
          </w:p>
        </w:tc>
      </w:tr>
      <w:tr>
        <w:trPr>
          <w:trHeight w:val="478"/>
        </w:trPr>
        <w:tc>
          <w:tcPr>
            <w:tcW w:w="878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7"/>
        </w:trPr>
        <w:tc>
          <w:tcPr>
            <w:tcW w:w="8780" w:type="dxa"/>
            <w:vAlign w:val="bottom"/>
          </w:tcPr>
          <w:p>
            <w:pPr>
              <w:ind w:left="340"/>
              <w:spacing w:after="0"/>
              <w:rPr>
                <w:sz w:val="20"/>
                <w:szCs w:val="20"/>
                <w:color w:val="auto"/>
              </w:rPr>
            </w:pPr>
            <w:r>
              <w:rPr>
                <w:rFonts w:ascii="Arial" w:cs="Arial" w:eastAsia="Arial" w:hAnsi="Arial"/>
                <w:sz w:val="16"/>
                <w:szCs w:val="16"/>
                <w:color w:val="auto"/>
              </w:rPr>
              <w:t>Equity in net income (losses) of investees,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(391)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216"/>
        </w:trPr>
        <w:tc>
          <w:tcPr>
            <w:tcW w:w="8780" w:type="dxa"/>
            <w:vAlign w:val="bottom"/>
          </w:tcPr>
          <w:p>
            <w:pPr>
              <w:ind w:left="340"/>
              <w:spacing w:after="0"/>
              <w:rPr>
                <w:sz w:val="20"/>
                <w:szCs w:val="20"/>
                <w:color w:val="auto"/>
              </w:rPr>
            </w:pPr>
            <w:r>
              <w:rPr>
                <w:rFonts w:ascii="Arial" w:cs="Arial" w:eastAsia="Arial" w:hAnsi="Arial"/>
                <w:sz w:val="16"/>
                <w:szCs w:val="16"/>
                <w:color w:val="auto"/>
              </w:rPr>
              <w:t>Realized and unrealized gains (losses) on equity securities,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7"/>
        </w:trPr>
        <w:tc>
          <w:tcPr>
            <w:tcW w:w="8780" w:type="dxa"/>
            <w:vAlign w:val="bottom"/>
          </w:tcPr>
          <w:p>
            <w:pPr>
              <w:ind w:left="340"/>
              <w:spacing w:after="0"/>
              <w:rPr>
                <w:sz w:val="20"/>
                <w:szCs w:val="20"/>
                <w:color w:val="auto"/>
              </w:rPr>
            </w:pPr>
            <w:r>
              <w:rPr>
                <w:rFonts w:ascii="Arial" w:cs="Arial" w:eastAsia="Arial" w:hAnsi="Arial"/>
                <w:sz w:val="16"/>
                <w:szCs w:val="16"/>
                <w:color w:val="auto"/>
              </w:rPr>
              <w:t>Other income (loss), net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r>
      <w:tr>
        <w:trPr>
          <w:trHeight w:val="209"/>
        </w:trPr>
        <w:tc>
          <w:tcPr>
            <w:tcW w:w="87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(309)</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r>
      <w:tr>
        <w:trPr>
          <w:trHeight w:val="472"/>
        </w:trPr>
        <w:tc>
          <w:tcPr>
            <w:tcW w:w="878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2,733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4,492</w:t>
            </w:r>
          </w:p>
        </w:tc>
      </w:tr>
      <w:tr>
        <w:trPr>
          <w:trHeight w:val="480"/>
        </w:trPr>
        <w:tc>
          <w:tcPr>
            <w:tcW w:w="878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(706)</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w:t>
            </w:r>
          </w:p>
        </w:tc>
      </w:tr>
      <w:tr>
        <w:trPr>
          <w:trHeight w:val="472"/>
        </w:trPr>
        <w:tc>
          <w:tcPr>
            <w:tcW w:w="878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3,296</w:t>
            </w:r>
          </w:p>
        </w:tc>
      </w:tr>
      <w:tr>
        <w:trPr>
          <w:trHeight w:val="486"/>
        </w:trPr>
        <w:tc>
          <w:tcPr>
            <w:tcW w:w="878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64"/>
        </w:trPr>
        <w:tc>
          <w:tcPr>
            <w:tcW w:w="878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r>
      <w:tr>
        <w:trPr>
          <w:trHeight w:val="210"/>
        </w:trPr>
        <w:tc>
          <w:tcPr>
            <w:tcW w:w="8780" w:type="dxa"/>
            <w:vAlign w:val="bottom"/>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$2,174</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$3,375</w:t>
            </w:r>
          </w:p>
        </w:tc>
      </w:tr>
      <w:tr>
        <w:trPr>
          <w:trHeight w:val="20"/>
        </w:trPr>
        <w:tc>
          <w:tcPr>
            <w:tcW w:w="8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601"/>
        </w:trPr>
        <w:tc>
          <w:tcPr>
            <w:tcW w:w="8780" w:type="dxa"/>
            <w:vAlign w:val="bottom"/>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 shareholders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$0.60</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$0.89</w:t>
            </w:r>
          </w:p>
        </w:tc>
      </w:tr>
      <w:tr>
        <w:trPr>
          <w:trHeight w:val="20"/>
        </w:trPr>
        <w:tc>
          <w:tcPr>
            <w:tcW w:w="8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53"/>
        </w:trPr>
        <w:tc>
          <w:tcPr>
            <w:tcW w:w="878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3,617</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3,784</w:t>
            </w:r>
          </w:p>
        </w:tc>
      </w:tr>
      <w:tr>
        <w:trPr>
          <w:trHeight w:val="20"/>
        </w:trPr>
        <w:tc>
          <w:tcPr>
            <w:tcW w:w="8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000"/>
          </w:cols>
          <w:pgMar w:left="340" w:top="736" w:right="55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431800</wp:posOffset>
            </wp:positionV>
            <wp:extent cx="102870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11480"/>
                    </a:xfrm>
                    <a:prstGeom prst="rect">
                      <a:avLst/>
                    </a:prstGeom>
                    <a:noFill/>
                  </pic:spPr>
                </pic:pic>
              </a:graphicData>
            </a:graphic>
          </wp:anchor>
        </w:drawing>
        <w:t>TABLE 2</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32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900" w:type="dxa"/>
            <w:vAlign w:val="bottom"/>
          </w:tcPr>
          <w:p>
            <w:pPr>
              <w:spacing w:after="0"/>
              <w:rPr>
                <w:sz w:val="20"/>
                <w:szCs w:val="20"/>
                <w:color w:val="auto"/>
              </w:rPr>
            </w:pPr>
            <w:r>
              <w:rPr>
                <w:rFonts w:ascii="Arial" w:cs="Arial" w:eastAsia="Arial" w:hAnsi="Arial"/>
                <w:sz w:val="16"/>
                <w:szCs w:val="16"/>
                <w:color w:val="auto"/>
              </w:rPr>
              <w:t>(in millions)</w:t>
            </w:r>
          </w:p>
        </w:tc>
        <w:tc>
          <w:tcPr>
            <w:tcW w:w="158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rPr>
              <w:t>March 31,</w:t>
            </w:r>
          </w:p>
        </w:tc>
        <w:tc>
          <w:tcPr>
            <w:tcW w:w="740" w:type="dxa"/>
            <w:vAlign w:val="bottom"/>
          </w:tcPr>
          <w:p>
            <w:pPr>
              <w:spacing w:after="0"/>
              <w:rPr>
                <w:sz w:val="18"/>
                <w:szCs w:val="18"/>
                <w:color w:val="auto"/>
              </w:rPr>
            </w:pPr>
          </w:p>
        </w:tc>
      </w:tr>
      <w:tr>
        <w:trPr>
          <w:trHeight w:val="217"/>
        </w:trPr>
        <w:tc>
          <w:tcPr>
            <w:tcW w:w="8900" w:type="dxa"/>
            <w:vAlign w:val="bottom"/>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2026</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2025</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$2,027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$3,296</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3,865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3,849</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427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382</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Noncash interest expense (income),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Net (gain) loss on investment activity and other</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263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730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Current and noncurrent receivables,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(1,376)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935</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Film and television costs,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375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1,119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Other operating assets and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(673)</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r>
      <w:tr>
        <w:trPr>
          <w:trHeight w:val="304"/>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6,891</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8,294</w:t>
            </w:r>
          </w:p>
        </w:tc>
      </w:tr>
      <w:tr>
        <w:trPr>
          <w:trHeight w:val="290"/>
        </w:trPr>
        <w:tc>
          <w:tcPr>
            <w:tcW w:w="89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(2,351)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(2,252)</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Cash paid for intangible assets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(639)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(622)</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Construction of Universal Beijing Resort</w:t>
            </w:r>
          </w:p>
        </w:tc>
        <w:tc>
          <w:tcPr>
            <w:tcW w:w="158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sales of businesses and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17"/>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276</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50"/>
        </w:trPr>
        <w:tc>
          <w:tcPr>
            <w:tcW w:w="8900" w:type="dxa"/>
            <w:vAlign w:val="bottom"/>
          </w:tcPr>
          <w:p>
            <w:pPr>
              <w:ind w:left="980"/>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(2,919)</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(2,958)</w:t>
            </w:r>
          </w:p>
        </w:tc>
      </w:tr>
      <w:tr>
        <w:trPr>
          <w:trHeight w:val="290"/>
        </w:trPr>
        <w:tc>
          <w:tcPr>
            <w:tcW w:w="8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borrowings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1,990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and repayments of debt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(3,182)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(636)</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of common stock under repurchase program and employee plans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(1,502)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(2,240)</w:t>
            </w:r>
          </w:p>
        </w:tc>
      </w:tr>
      <w:tr>
        <w:trPr>
          <w:trHeight w:val="212"/>
        </w:trPr>
        <w:tc>
          <w:tcPr>
            <w:tcW w:w="890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(1,248)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(1,224)</w:t>
            </w:r>
          </w:p>
        </w:tc>
      </w:tr>
      <w:tr>
        <w:trPr>
          <w:trHeight w:val="234"/>
        </w:trPr>
        <w:tc>
          <w:tcPr>
            <w:tcW w:w="8900" w:type="dxa"/>
            <w:vAlign w:val="bottom"/>
          </w:tcPr>
          <w:p>
            <w:pPr>
              <w:ind w:left="200"/>
              <w:spacing w:after="0"/>
              <w:rPr>
                <w:sz w:val="20"/>
                <w:szCs w:val="20"/>
                <w:color w:val="auto"/>
              </w:rPr>
            </w:pPr>
            <w:r>
              <w:rPr>
                <w:rFonts w:ascii="Arial" w:cs="Arial" w:eastAsia="Arial" w:hAnsi="Arial"/>
                <w:sz w:val="16"/>
                <w:szCs w:val="16"/>
                <w:color w:val="auto"/>
              </w:rPr>
              <w:t>Cash transferred to Versant,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(750)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(316)</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90"/>
        </w:trPr>
        <w:tc>
          <w:tcPr>
            <w:tcW w:w="8900" w:type="dxa"/>
            <w:vAlign w:val="bottom"/>
          </w:tcPr>
          <w:p>
            <w:pPr>
              <w:ind w:left="980"/>
              <w:spacing w:after="0"/>
              <w:rPr>
                <w:sz w:val="20"/>
                <w:szCs w:val="20"/>
                <w:color w:val="auto"/>
              </w:rPr>
            </w:pPr>
            <w:r>
              <w:rPr>
                <w:rFonts w:ascii="Arial" w:cs="Arial" w:eastAsia="Arial" w:hAnsi="Arial"/>
                <w:sz w:val="16"/>
                <w:szCs w:val="16"/>
                <w:color w:val="auto"/>
              </w:rPr>
              <w:t>Net cash (used in) financing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(5,008)</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(4,075)</w:t>
            </w:r>
          </w:p>
        </w:tc>
      </w:tr>
      <w:tr>
        <w:trPr>
          <w:trHeight w:val="418"/>
        </w:trPr>
        <w:tc>
          <w:tcPr>
            <w:tcW w:w="890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78"/>
        </w:trPr>
        <w:tc>
          <w:tcPr>
            <w:tcW w:w="890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(1,042)</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1,275</w:t>
            </w:r>
          </w:p>
        </w:tc>
      </w:tr>
      <w:tr>
        <w:trPr>
          <w:trHeight w:val="426"/>
        </w:trPr>
        <w:tc>
          <w:tcPr>
            <w:tcW w:w="890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10,559</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7,377</w:t>
            </w: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$9,517</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$8,652</w:t>
            </w:r>
          </w:p>
        </w:tc>
      </w:tr>
      <w:tr>
        <w:trPr>
          <w:trHeight w:val="20"/>
        </w:trPr>
        <w:tc>
          <w:tcPr>
            <w:tcW w:w="8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20"/>
          </w:cols>
          <w:pgMar w:left="340" w:top="777" w:right="33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389255</wp:posOffset>
            </wp:positionV>
            <wp:extent cx="1028700" cy="403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03225"/>
                    </a:xfrm>
                    <a:prstGeom prst="rect">
                      <a:avLst/>
                    </a:prstGeom>
                    <a:noFill/>
                  </pic:spPr>
                </pic:pic>
              </a:graphicData>
            </a:graphic>
          </wp:anchor>
        </w:drawing>
        <w:t>TABLE 3</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Arial" w:cs="Arial" w:eastAsia="Arial" w:hAnsi="Arial"/>
                <w:sz w:val="16"/>
                <w:szCs w:val="16"/>
                <w:color w:val="auto"/>
              </w:rPr>
              <w:t>(in millions)</w:t>
            </w:r>
          </w:p>
        </w:tc>
        <w:tc>
          <w:tcPr>
            <w:tcW w:w="2480" w:type="dxa"/>
            <w:vAlign w:val="bottom"/>
          </w:tcPr>
          <w:p>
            <w:pPr>
              <w:spacing w:after="0"/>
              <w:rPr>
                <w:sz w:val="18"/>
                <w:szCs w:val="18"/>
                <w:color w:val="auto"/>
              </w:rPr>
            </w:pPr>
          </w:p>
        </w:tc>
        <w:tc>
          <w:tcPr>
            <w:tcW w:w="1840" w:type="dxa"/>
            <w:vAlign w:val="bottom"/>
            <w:gridSpan w:val="2"/>
          </w:tcPr>
          <w:p>
            <w:pPr>
              <w:ind w:left="420"/>
              <w:spacing w:after="0"/>
              <w:rPr>
                <w:sz w:val="20"/>
                <w:szCs w:val="20"/>
                <w:color w:val="auto"/>
              </w:rPr>
            </w:pPr>
            <w:r>
              <w:rPr>
                <w:rFonts w:ascii="Arial" w:cs="Arial" w:eastAsia="Arial" w:hAnsi="Arial"/>
                <w:sz w:val="16"/>
                <w:szCs w:val="16"/>
                <w:b w:val="1"/>
                <w:bCs w:val="1"/>
                <w:color w:val="auto"/>
              </w:rPr>
              <w:t>March 31,</w:t>
            </w:r>
          </w:p>
        </w:tc>
        <w:tc>
          <w:tcPr>
            <w:tcW w:w="1600" w:type="dxa"/>
            <w:vAlign w:val="bottom"/>
          </w:tcPr>
          <w:p>
            <w:pPr>
              <w:jc w:val="right"/>
              <w:ind w:right="21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7"/>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408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240" w:type="dxa"/>
            <w:vAlign w:val="bottom"/>
          </w:tcPr>
          <w:p>
            <w:pPr>
              <w:spacing w:after="0"/>
              <w:rPr>
                <w:sz w:val="18"/>
                <w:szCs w:val="18"/>
                <w:color w:val="auto"/>
              </w:rPr>
            </w:pPr>
          </w:p>
        </w:tc>
        <w:tc>
          <w:tcPr>
            <w:tcW w:w="1600" w:type="dxa"/>
            <w:vAlign w:val="bottom"/>
          </w:tcPr>
          <w:p>
            <w:pPr>
              <w:jc w:val="right"/>
              <w:ind w:right="539"/>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02"/>
        </w:trPr>
        <w:tc>
          <w:tcPr>
            <w:tcW w:w="530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5300" w:type="dxa"/>
            <w:vAlign w:val="bottom"/>
          </w:tcPr>
          <w:p>
            <w:pPr>
              <w:spacing w:after="0"/>
              <w:rPr>
                <w:sz w:val="20"/>
                <w:szCs w:val="20"/>
                <w:color w:val="auto"/>
              </w:rPr>
            </w:pPr>
            <w:r>
              <w:rPr>
                <w:rFonts w:ascii="Arial" w:cs="Arial" w:eastAsia="Arial" w:hAnsi="Arial"/>
                <w:sz w:val="16"/>
                <w:szCs w:val="16"/>
                <w:color w:val="auto"/>
              </w:rPr>
              <w:t>Current Assets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$9,468</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9,481</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Receivables,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14,078</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13,869</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Other current assets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5,275</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6,217</w:t>
            </w:r>
          </w:p>
        </w:tc>
        <w:tc>
          <w:tcPr>
            <w:tcW w:w="0" w:type="dxa"/>
            <w:vAlign w:val="bottom"/>
          </w:tcPr>
          <w:p>
            <w:pPr>
              <w:spacing w:after="0"/>
              <w:rPr>
                <w:sz w:val="1"/>
                <w:szCs w:val="1"/>
                <w:color w:val="auto"/>
              </w:rPr>
            </w:pPr>
          </w:p>
        </w:tc>
      </w:tr>
      <w:tr>
        <w:trPr>
          <w:trHeight w:val="209"/>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28,822</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29,567</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6"/>
                <w:szCs w:val="16"/>
                <w:color w:val="auto"/>
              </w:rPr>
              <w:t>Film and television costs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11,047</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12,214</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Investments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7,450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7,952</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65,472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65,680</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Goodwill</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53,374</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61,502</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Franchise rights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59,365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59,365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20,418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22,474</w:t>
            </w:r>
          </w:p>
        </w:tc>
        <w:tc>
          <w:tcPr>
            <w:tcW w:w="0" w:type="dxa"/>
            <w:vAlign w:val="bottom"/>
          </w:tcPr>
          <w:p>
            <w:pPr>
              <w:spacing w:after="0"/>
              <w:rPr>
                <w:sz w:val="1"/>
                <w:szCs w:val="1"/>
                <w:color w:val="auto"/>
              </w:rPr>
            </w:pPr>
          </w:p>
        </w:tc>
      </w:tr>
      <w:tr>
        <w:trPr>
          <w:trHeight w:val="426"/>
        </w:trPr>
        <w:tc>
          <w:tcPr>
            <w:tcW w:w="5300" w:type="dxa"/>
            <w:vAlign w:val="bottom"/>
          </w:tcPr>
          <w:p>
            <w:pPr>
              <w:spacing w:after="0"/>
              <w:rPr>
                <w:sz w:val="20"/>
                <w:szCs w:val="20"/>
                <w:color w:val="auto"/>
              </w:rPr>
            </w:pPr>
            <w:r>
              <w:rPr>
                <w:rFonts w:ascii="Arial" w:cs="Arial" w:eastAsia="Arial" w:hAnsi="Arial"/>
                <w:sz w:val="16"/>
                <w:szCs w:val="16"/>
                <w:color w:val="auto"/>
              </w:rPr>
              <w:t>Other noncurrent assets, net</w:t>
            </w:r>
          </w:p>
        </w:tc>
        <w:tc>
          <w:tcPr>
            <w:tcW w:w="24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14,054</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13,877</w:t>
            </w:r>
          </w:p>
        </w:tc>
        <w:tc>
          <w:tcPr>
            <w:tcW w:w="0" w:type="dxa"/>
            <w:vAlign w:val="bottom"/>
          </w:tcPr>
          <w:p>
            <w:pPr>
              <w:spacing w:after="0"/>
              <w:rPr>
                <w:sz w:val="1"/>
                <w:szCs w:val="1"/>
                <w:color w:val="auto"/>
              </w:rPr>
            </w:pPr>
          </w:p>
        </w:tc>
      </w:tr>
      <w:tr>
        <w:trPr>
          <w:trHeight w:val="453"/>
        </w:trPr>
        <w:tc>
          <w:tcPr>
            <w:tcW w:w="5300" w:type="dxa"/>
            <w:vAlign w:val="bottom"/>
          </w:tcPr>
          <w:p>
            <w:pPr>
              <w:spacing w:after="0"/>
              <w:rPr>
                <w:sz w:val="24"/>
                <w:szCs w:val="24"/>
                <w:color w:val="auto"/>
              </w:rPr>
            </w:pP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$260,002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$272,631</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24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5"/>
        </w:trPr>
        <w:tc>
          <w:tcPr>
            <w:tcW w:w="530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300" w:type="dxa"/>
            <w:vAlign w:val="bottom"/>
          </w:tcPr>
          <w:p>
            <w:pPr>
              <w:spacing w:after="0"/>
              <w:rPr>
                <w:sz w:val="20"/>
                <w:szCs w:val="20"/>
                <w:color w:val="auto"/>
              </w:rPr>
            </w:pPr>
            <w:r>
              <w:rPr>
                <w:rFonts w:ascii="Arial" w:cs="Arial" w:eastAsia="Arial" w:hAnsi="Arial"/>
                <w:sz w:val="16"/>
                <w:szCs w:val="16"/>
                <w:color w:val="auto"/>
              </w:rPr>
              <w:t>Current Liabilities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$11,977</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$11,058</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4,006</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4,097</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11,932</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12,410</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Current portion of debt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5,394</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5,958</w:t>
            </w:r>
          </w:p>
        </w:tc>
        <w:tc>
          <w:tcPr>
            <w:tcW w:w="0" w:type="dxa"/>
            <w:vAlign w:val="bottom"/>
          </w:tcPr>
          <w:p>
            <w:pPr>
              <w:spacing w:after="0"/>
              <w:rPr>
                <w:sz w:val="1"/>
                <w:szCs w:val="1"/>
                <w:color w:val="auto"/>
              </w:rPr>
            </w:pPr>
          </w:p>
        </w:tc>
      </w:tr>
      <w:tr>
        <w:trPr>
          <w:trHeight w:val="210"/>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33,308</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33,524</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6"/>
                <w:szCs w:val="16"/>
                <w:color w:val="auto"/>
              </w:rPr>
              <w:t>Noncurrent portion of debt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89,218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92,979</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Deferred income taxes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28,227</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27,788</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20,708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20,965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424"/>
        </w:trPr>
        <w:tc>
          <w:tcPr>
            <w:tcW w:w="5300" w:type="dxa"/>
            <w:vAlign w:val="bottom"/>
          </w:tcPr>
          <w:p>
            <w:pPr>
              <w:spacing w:after="0"/>
              <w:rPr>
                <w:sz w:val="20"/>
                <w:szCs w:val="20"/>
                <w:color w:val="auto"/>
              </w:rPr>
            </w:pPr>
            <w:r>
              <w:rPr>
                <w:rFonts w:ascii="Arial" w:cs="Arial" w:eastAsia="Arial" w:hAnsi="Arial"/>
                <w:sz w:val="16"/>
                <w:szCs w:val="16"/>
                <w:color w:val="auto"/>
              </w:rPr>
              <w:t>Equity</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Comcast Corporation shareholders' equity</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88,274</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96,903</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61</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0"/>
        </w:trPr>
        <w:tc>
          <w:tcPr>
            <w:tcW w:w="5300" w:type="dxa"/>
            <w:vAlign w:val="bottom"/>
          </w:tcPr>
          <w:p>
            <w:pPr>
              <w:ind w:left="460"/>
              <w:spacing w:after="0"/>
              <w:rPr>
                <w:sz w:val="20"/>
                <w:szCs w:val="20"/>
                <w:color w:val="auto"/>
              </w:rPr>
            </w:pPr>
            <w:r>
              <w:rPr>
                <w:rFonts w:ascii="Arial" w:cs="Arial" w:eastAsia="Arial" w:hAnsi="Arial"/>
                <w:sz w:val="16"/>
                <w:szCs w:val="16"/>
                <w:color w:val="auto"/>
              </w:rPr>
              <w:t>Total equity</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88,335</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97,151</w:t>
            </w:r>
          </w:p>
        </w:tc>
        <w:tc>
          <w:tcPr>
            <w:tcW w:w="0" w:type="dxa"/>
            <w:vAlign w:val="bottom"/>
          </w:tcPr>
          <w:p>
            <w:pPr>
              <w:spacing w:after="0"/>
              <w:rPr>
                <w:sz w:val="1"/>
                <w:szCs w:val="1"/>
                <w:color w:val="auto"/>
              </w:rPr>
            </w:pPr>
          </w:p>
        </w:tc>
      </w:tr>
      <w:tr>
        <w:trPr>
          <w:trHeight w:val="412"/>
        </w:trPr>
        <w:tc>
          <w:tcPr>
            <w:tcW w:w="5300" w:type="dxa"/>
            <w:vAlign w:val="bottom"/>
          </w:tcPr>
          <w:p>
            <w:pPr>
              <w:spacing w:after="0"/>
              <w:rPr>
                <w:sz w:val="24"/>
                <w:szCs w:val="24"/>
                <w:color w:val="auto"/>
              </w:rPr>
            </w:pP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$260,002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$272,631</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2480" w:type="dxa"/>
            <w:vAlign w:val="bottom"/>
            <w:vMerge w:val="restart"/>
          </w:tcPr>
          <w:p>
            <w:pPr>
              <w:jc w:val="right"/>
              <w:ind w:right="2019"/>
              <w:spacing w:after="0"/>
              <w:rPr>
                <w:sz w:val="20"/>
                <w:szCs w:val="20"/>
                <w:color w:val="auto"/>
              </w:rPr>
            </w:pPr>
            <w:r>
              <w:rPr>
                <w:rFonts w:ascii="Arial" w:cs="Arial" w:eastAsia="Arial" w:hAnsi="Arial"/>
                <w:sz w:val="14"/>
                <w:szCs w:val="14"/>
                <w:color w:val="auto"/>
              </w:rPr>
              <w:t>13</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1"/>
        </w:trPr>
        <w:tc>
          <w:tcPr>
            <w:tcW w:w="53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736" w:right="339" w:bottom="1440" w:gutter="0" w:footer="0" w:header="0"/>
        </w:sectPr>
      </w:pPr>
    </w:p>
    <w:bookmarkStart w:id="16" w:name="page17"/>
    <w:bookmarkEnd w:id="16"/>
    <w:p>
      <w:pPr>
        <w:spacing w:after="0"/>
        <w:rPr>
          <w:sz w:val="20"/>
          <w:szCs w:val="20"/>
          <w:color w:val="auto"/>
        </w:rPr>
      </w:pPr>
      <w:r>
        <w:rPr>
          <w:rFonts w:ascii="Arial" w:cs="Arial" w:eastAsia="Arial" w:hAnsi="Arial"/>
          <w:sz w:val="25"/>
          <w:szCs w:val="25"/>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6087110</wp:posOffset>
            </wp:positionH>
            <wp:positionV relativeFrom="paragraph">
              <wp:posOffset>-88900</wp:posOffset>
            </wp:positionV>
            <wp:extent cx="1028700" cy="402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0" cy="402590"/>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80" w:type="dxa"/>
            <w:vAlign w:val="bottom"/>
          </w:tcPr>
          <w:p>
            <w:pPr>
              <w:spacing w:after="0"/>
              <w:rPr>
                <w:sz w:val="16"/>
                <w:szCs w:val="16"/>
                <w:color w:val="auto"/>
              </w:rPr>
            </w:pPr>
          </w:p>
        </w:tc>
        <w:tc>
          <w:tcPr>
            <w:tcW w:w="224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 March</w:t>
            </w:r>
          </w:p>
        </w:tc>
      </w:tr>
      <w:tr>
        <w:trPr>
          <w:trHeight w:val="215"/>
        </w:trPr>
        <w:tc>
          <w:tcPr>
            <w:tcW w:w="8980" w:type="dxa"/>
            <w:vAlign w:val="bottom"/>
          </w:tcPr>
          <w:p>
            <w:pPr>
              <w:spacing w:after="0"/>
              <w:rPr>
                <w:sz w:val="18"/>
                <w:szCs w:val="18"/>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31,</w:t>
            </w:r>
          </w:p>
        </w:tc>
        <w:tc>
          <w:tcPr>
            <w:tcW w:w="860" w:type="dxa"/>
            <w:vAlign w:val="bottom"/>
          </w:tcPr>
          <w:p>
            <w:pPr>
              <w:spacing w:after="0"/>
              <w:rPr>
                <w:sz w:val="18"/>
                <w:szCs w:val="18"/>
                <w:color w:val="auto"/>
              </w:rPr>
            </w:pPr>
          </w:p>
        </w:tc>
      </w:tr>
      <w:tr>
        <w:trPr>
          <w:trHeight w:val="217"/>
        </w:trPr>
        <w:tc>
          <w:tcPr>
            <w:tcW w:w="8980" w:type="dxa"/>
            <w:vAlign w:val="bottom"/>
          </w:tcPr>
          <w:p>
            <w:pPr>
              <w:spacing w:after="0"/>
              <w:rPr>
                <w:sz w:val="20"/>
                <w:szCs w:val="20"/>
                <w:color w:val="auto"/>
              </w:rPr>
            </w:pPr>
            <w:r>
              <w:rPr>
                <w:rFonts w:ascii="Arial" w:cs="Arial" w:eastAsia="Arial" w:hAnsi="Arial"/>
                <w:sz w:val="16"/>
                <w:szCs w:val="16"/>
                <w:color w:val="auto"/>
              </w:rPr>
              <w:t>(in millions)</w:t>
            </w: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2025</w:t>
            </w:r>
          </w:p>
        </w:tc>
      </w:tr>
      <w:tr>
        <w:trPr>
          <w:trHeight w:val="209"/>
        </w:trPr>
        <w:tc>
          <w:tcPr>
            <w:tcW w:w="8980" w:type="dxa"/>
            <w:vAlign w:val="bottom"/>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$2,174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$3,375</w:t>
            </w:r>
          </w:p>
        </w:tc>
      </w:tr>
      <w:tr>
        <w:trPr>
          <w:trHeight w:val="216"/>
        </w:trPr>
        <w:tc>
          <w:tcPr>
            <w:tcW w:w="898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6"/>
        </w:trPr>
        <w:tc>
          <w:tcPr>
            <w:tcW w:w="898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1,196</w:t>
            </w:r>
          </w:p>
        </w:tc>
      </w:tr>
      <w:tr>
        <w:trPr>
          <w:trHeight w:val="216"/>
        </w:trPr>
        <w:tc>
          <w:tcPr>
            <w:tcW w:w="8980" w:type="dxa"/>
            <w:vAlign w:val="bottom"/>
          </w:tcPr>
          <w:p>
            <w:pPr>
              <w:spacing w:after="0"/>
              <w:rPr>
                <w:sz w:val="20"/>
                <w:szCs w:val="20"/>
                <w:color w:val="auto"/>
              </w:rPr>
            </w:pPr>
            <w:r>
              <w:rPr>
                <w:rFonts w:ascii="Arial" w:cs="Arial" w:eastAsia="Arial" w:hAnsi="Arial"/>
                <w:sz w:val="16"/>
                <w:szCs w:val="16"/>
                <w:color w:val="auto"/>
              </w:rPr>
              <w:t>Interest expense</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1,050</w:t>
            </w:r>
          </w:p>
        </w:tc>
      </w:tr>
      <w:tr>
        <w:trPr>
          <w:trHeight w:val="216"/>
        </w:trPr>
        <w:tc>
          <w:tcPr>
            <w:tcW w:w="898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16"/>
        </w:trPr>
        <w:tc>
          <w:tcPr>
            <w:tcW w:w="8980" w:type="dxa"/>
            <w:vAlign w:val="bottom"/>
          </w:tcPr>
          <w:p>
            <w:pPr>
              <w:spacing w:after="0"/>
              <w:rPr>
                <w:sz w:val="20"/>
                <w:szCs w:val="20"/>
                <w:color w:val="auto"/>
              </w:rPr>
            </w:pPr>
            <w:r>
              <w:rPr>
                <w:rFonts w:ascii="Arial" w:cs="Arial" w:eastAsia="Arial" w:hAnsi="Arial"/>
                <w:sz w:val="16"/>
                <w:szCs w:val="16"/>
                <w:color w:val="auto"/>
              </w:rPr>
              <w:t>Depreciation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2,231</w:t>
            </w:r>
          </w:p>
        </w:tc>
      </w:tr>
      <w:tr>
        <w:trPr>
          <w:trHeight w:val="216"/>
        </w:trPr>
        <w:tc>
          <w:tcPr>
            <w:tcW w:w="8980" w:type="dxa"/>
            <w:vAlign w:val="bottom"/>
          </w:tcPr>
          <w:p>
            <w:pPr>
              <w:spacing w:after="0"/>
              <w:rPr>
                <w:sz w:val="20"/>
                <w:szCs w:val="20"/>
                <w:color w:val="auto"/>
              </w:rPr>
            </w:pPr>
            <w:r>
              <w:rPr>
                <w:rFonts w:ascii="Arial" w:cs="Arial" w:eastAsia="Arial" w:hAnsi="Arial"/>
                <w:sz w:val="16"/>
                <w:szCs w:val="16"/>
                <w:color w:val="auto"/>
              </w:rPr>
              <w:t>Amortization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1,533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1,618</w:t>
            </w:r>
          </w:p>
        </w:tc>
      </w:tr>
      <w:tr>
        <w:trPr>
          <w:trHeight w:val="216"/>
        </w:trPr>
        <w:tc>
          <w:tcPr>
            <w:tcW w:w="8980" w:type="dxa"/>
            <w:vAlign w:val="bottom"/>
          </w:tcPr>
          <w:p>
            <w:pPr>
              <w:spacing w:after="0" w:line="216" w:lineRule="exact"/>
              <w:rPr>
                <w:sz w:val="20"/>
                <w:szCs w:val="20"/>
                <w:color w:val="auto"/>
              </w:rPr>
            </w:pPr>
            <w:r>
              <w:rPr>
                <w:rFonts w:ascii="Arial" w:cs="Arial" w:eastAsia="Arial" w:hAnsi="Arial"/>
                <w:sz w:val="16"/>
                <w:szCs w:val="16"/>
                <w:color w:val="auto"/>
              </w:rPr>
              <w:t>Transaction costs</w:t>
            </w:r>
            <w:r>
              <w:rPr>
                <w:rFonts w:ascii="Arial" w:cs="Arial" w:eastAsia="Arial" w:hAnsi="Arial"/>
                <w:sz w:val="21"/>
                <w:szCs w:val="21"/>
                <w:color w:val="auto"/>
                <w:vertAlign w:val="superscript"/>
              </w:rPr>
              <w:t>(1)</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8980" w:type="dxa"/>
            <w:vAlign w:val="bottom"/>
          </w:tcPr>
          <w:p>
            <w:pPr>
              <w:spacing w:after="0" w:line="216" w:lineRule="exact"/>
              <w:rPr>
                <w:sz w:val="20"/>
                <w:szCs w:val="20"/>
                <w:color w:val="auto"/>
              </w:rPr>
            </w:pPr>
            <w:r>
              <w:rPr>
                <w:rFonts w:ascii="Arial" w:cs="Arial" w:eastAsia="Arial" w:hAnsi="Arial"/>
                <w:sz w:val="16"/>
                <w:szCs w:val="16"/>
                <w:color w:val="auto"/>
              </w:rPr>
              <w:t>Transaction-related costs</w:t>
            </w:r>
            <w:r>
              <w:rPr>
                <w:rFonts w:ascii="Arial" w:cs="Arial" w:eastAsia="Arial" w:hAnsi="Arial"/>
                <w:sz w:val="21"/>
                <w:szCs w:val="21"/>
                <w:color w:val="auto"/>
                <w:vertAlign w:val="superscript"/>
              </w:rPr>
              <w:t>(1)</w:t>
            </w:r>
          </w:p>
        </w:tc>
        <w:tc>
          <w:tcPr>
            <w:tcW w:w="138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8980" w:type="dxa"/>
            <w:vAlign w:val="bottom"/>
          </w:tcPr>
          <w:p>
            <w:pPr>
              <w:spacing w:after="0" w:line="217" w:lineRule="exact"/>
              <w:rPr>
                <w:sz w:val="20"/>
                <w:szCs w:val="20"/>
                <w:color w:val="auto"/>
              </w:rPr>
            </w:pPr>
            <w:r>
              <w:rPr>
                <w:rFonts w:ascii="Arial" w:cs="Arial" w:eastAsia="Arial" w:hAnsi="Arial"/>
                <w:sz w:val="16"/>
                <w:szCs w:val="16"/>
                <w:color w:val="auto"/>
              </w:rPr>
              <w:t xml:space="preserve">Other adjustments </w:t>
            </w:r>
            <w:r>
              <w:rPr>
                <w:rFonts w:ascii="Arial" w:cs="Arial" w:eastAsia="Arial" w:hAnsi="Arial"/>
                <w:sz w:val="21"/>
                <w:szCs w:val="21"/>
                <w:color w:val="auto"/>
                <w:vertAlign w:val="superscript"/>
              </w:rPr>
              <w:t>(2)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898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$7,929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$9,532</w:t>
            </w:r>
          </w:p>
        </w:tc>
      </w:tr>
      <w:tr>
        <w:trPr>
          <w:trHeight w:val="21"/>
        </w:trPr>
        <w:tc>
          <w:tcPr>
            <w:tcW w:w="8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60" w:type="dxa"/>
            <w:vAlign w:val="bottom"/>
          </w:tcPr>
          <w:p>
            <w:pPr>
              <w:spacing w:after="0"/>
              <w:rPr>
                <w:sz w:val="16"/>
                <w:szCs w:val="16"/>
                <w:color w:val="auto"/>
              </w:rPr>
            </w:pPr>
          </w:p>
        </w:tc>
        <w:tc>
          <w:tcPr>
            <w:tcW w:w="22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w:t>
            </w:r>
          </w:p>
        </w:tc>
      </w:tr>
      <w:tr>
        <w:trPr>
          <w:trHeight w:val="215"/>
        </w:trPr>
        <w:tc>
          <w:tcPr>
            <w:tcW w:w="8960" w:type="dxa"/>
            <w:vAlign w:val="bottom"/>
          </w:tcPr>
          <w:p>
            <w:pPr>
              <w:spacing w:after="0"/>
              <w:rPr>
                <w:sz w:val="18"/>
                <w:szCs w:val="18"/>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31,</w:t>
            </w:r>
          </w:p>
        </w:tc>
        <w:tc>
          <w:tcPr>
            <w:tcW w:w="860" w:type="dxa"/>
            <w:vAlign w:val="bottom"/>
          </w:tcPr>
          <w:p>
            <w:pPr>
              <w:spacing w:after="0"/>
              <w:rPr>
                <w:sz w:val="18"/>
                <w:szCs w:val="18"/>
                <w:color w:val="auto"/>
              </w:rPr>
            </w:pPr>
          </w:p>
        </w:tc>
      </w:tr>
      <w:tr>
        <w:trPr>
          <w:trHeight w:val="217"/>
        </w:trPr>
        <w:tc>
          <w:tcPr>
            <w:tcW w:w="8960" w:type="dxa"/>
            <w:vAlign w:val="bottom"/>
          </w:tcPr>
          <w:p>
            <w:pPr>
              <w:spacing w:after="0"/>
              <w:rPr>
                <w:sz w:val="20"/>
                <w:szCs w:val="20"/>
                <w:color w:val="auto"/>
              </w:rPr>
            </w:pPr>
            <w:r>
              <w:rPr>
                <w:rFonts w:ascii="Arial" w:cs="Arial" w:eastAsia="Arial" w:hAnsi="Arial"/>
                <w:sz w:val="16"/>
                <w:szCs w:val="16"/>
                <w:color w:val="auto"/>
              </w:rPr>
              <w:t>(in millions)</w:t>
            </w: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2025</w:t>
            </w:r>
          </w:p>
        </w:tc>
      </w:tr>
      <w:tr>
        <w:trPr>
          <w:trHeight w:val="209"/>
        </w:trPr>
        <w:tc>
          <w:tcPr>
            <w:tcW w:w="8960" w:type="dxa"/>
            <w:vAlign w:val="bottom"/>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$6,891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$8,294</w:t>
            </w:r>
          </w:p>
        </w:tc>
      </w:tr>
      <w:tr>
        <w:trPr>
          <w:trHeight w:val="216"/>
        </w:trPr>
        <w:tc>
          <w:tcPr>
            <w:tcW w:w="8960" w:type="dxa"/>
            <w:vAlign w:val="bottom"/>
          </w:tcPr>
          <w:p>
            <w:pPr>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(2,351)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(2,252)</w:t>
            </w:r>
          </w:p>
        </w:tc>
      </w:tr>
      <w:tr>
        <w:trPr>
          <w:trHeight w:val="217"/>
        </w:trPr>
        <w:tc>
          <w:tcPr>
            <w:tcW w:w="8960" w:type="dxa"/>
            <w:vAlign w:val="bottom"/>
          </w:tcPr>
          <w:p>
            <w:pPr>
              <w:spacing w:after="0"/>
              <w:rPr>
                <w:sz w:val="20"/>
                <w:szCs w:val="20"/>
                <w:color w:val="auto"/>
              </w:rPr>
            </w:pPr>
            <w:r>
              <w:rPr>
                <w:rFonts w:ascii="Arial" w:cs="Arial" w:eastAsia="Arial" w:hAnsi="Arial"/>
                <w:sz w:val="16"/>
                <w:szCs w:val="16"/>
                <w:color w:val="auto"/>
              </w:rPr>
              <w:t>Cash paid for capitalized software and other intangible assets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(639)</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w:t>
            </w:r>
          </w:p>
        </w:tc>
      </w:tr>
      <w:tr>
        <w:trPr>
          <w:trHeight w:val="210"/>
        </w:trPr>
        <w:tc>
          <w:tcPr>
            <w:tcW w:w="8960" w:type="dxa"/>
            <w:vAlign w:val="bottom"/>
          </w:tcPr>
          <w:p>
            <w:pPr>
              <w:spacing w:after="0"/>
              <w:rPr>
                <w:sz w:val="20"/>
                <w:szCs w:val="20"/>
                <w:color w:val="auto"/>
              </w:rPr>
            </w:pPr>
            <w:r>
              <w:rPr>
                <w:rFonts w:ascii="Arial" w:cs="Arial" w:eastAsia="Arial" w:hAnsi="Arial"/>
                <w:sz w:val="16"/>
                <w:szCs w:val="16"/>
                <w:b w:val="1"/>
                <w:bCs w:val="1"/>
                <w:color w:val="auto"/>
              </w:rPr>
              <w:t>Free Cash Flow</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$3,901</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$5,421</w:t>
            </w:r>
          </w:p>
        </w:tc>
      </w:tr>
      <w:tr>
        <w:trPr>
          <w:trHeight w:val="20"/>
        </w:trPr>
        <w:tc>
          <w:tcPr>
            <w:tcW w:w="8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left="380" w:right="20" w:hanging="374"/>
        <w:spacing w:after="0" w:line="231" w:lineRule="auto"/>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Transaction costs are incremental costs directly related to effectuating the Separation and primarily include advisory, legal and audit fees, as well as legal entity separation costs. Transaction-related costs are incremental costs incurred related to the Separation, including costs that reflect strategic decisions about how the standalone Versant business will be structured or operated, which may be different than if it remained part of Comcast. Transaction-related costs primarily include certain separation-related employee compensation, severance and retention bonuses; IT separation and implementation costs; and other one-time costs.</w:t>
      </w:r>
    </w:p>
    <w:p>
      <w:pPr>
        <w:spacing w:after="0" w:line="68" w:lineRule="exact"/>
        <w:rPr>
          <w:rFonts w:ascii="Arial" w:cs="Arial" w:eastAsia="Arial" w:hAnsi="Arial"/>
          <w:sz w:val="14"/>
          <w:szCs w:val="14"/>
          <w:color w:val="auto"/>
        </w:rPr>
      </w:pPr>
    </w:p>
    <w:p>
      <w:pPr>
        <w:jc w:val="both"/>
        <w:ind w:left="380" w:right="20" w:hanging="374"/>
        <w:spacing w:after="0" w:line="235" w:lineRule="auto"/>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Amounts represent the impact of certain other events, gains, losses or other charges that are excluded from Adjusted EBITDA. The three months ended March 31, 2026 includes a gain related to a legal settlement, certain share-based compensation expenses and costs related our investment portfolio. The three months ended March 31, 2025 includes certain costs related to our investment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20"/>
          </w:cols>
          <w:pgMar w:left="340" w:top="898" w:right="339" w:bottom="1440" w:gutter="0" w:footer="0" w:header="0"/>
        </w:sectPr>
      </w:pPr>
    </w:p>
    <w:bookmarkStart w:id="17" w:name="page18"/>
    <w:bookmarkEnd w:id="17"/>
    <w:p>
      <w:pPr>
        <w:ind w:left="12"/>
        <w:spacing w:after="0"/>
        <w:rPr>
          <w:sz w:val="20"/>
          <w:szCs w:val="20"/>
          <w:color w:val="auto"/>
        </w:rPr>
      </w:pPr>
      <w:r>
        <w:rPr>
          <w:rFonts w:ascii="Arial" w:cs="Arial" w:eastAsia="Arial" w:hAnsi="Arial"/>
          <w:sz w:val="25"/>
          <w:szCs w:val="25"/>
          <w:b w:val="1"/>
          <w:bCs w:val="1"/>
          <w:color w:val="828282"/>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6094730</wp:posOffset>
            </wp:positionH>
            <wp:positionV relativeFrom="paragraph">
              <wp:posOffset>-140335</wp:posOffset>
            </wp:positionV>
            <wp:extent cx="1028700" cy="411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0" cy="411480"/>
                    </a:xfrm>
                    <a:prstGeom prst="rect">
                      <a:avLst/>
                    </a:prstGeom>
                    <a:noFill/>
                  </pic:spPr>
                </pic:pic>
              </a:graphicData>
            </a:graphic>
          </wp:anchor>
        </w:drawing>
      </w:r>
    </w:p>
    <w:p>
      <w:pPr>
        <w:spacing w:after="0" w:line="265"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828282"/>
        </w:rPr>
        <w:t>Reconciliations of Adjusted Net Income and Adjusted EPS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0" w:lineRule="exact"/>
        <w:rPr>
          <w:sz w:val="20"/>
          <w:szCs w:val="20"/>
          <w:color w:val="auto"/>
        </w:rPr>
      </w:pPr>
    </w:p>
    <w:tbl>
      <w:tblPr>
        <w:tblLayout w:type="fixed"/>
        <w:tblInd w:w="12"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7"/>
          </w:tcPr>
          <w:p>
            <w:pPr>
              <w:jc w:val="center"/>
              <w:ind w:right="460"/>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140" w:type="dxa"/>
            <w:vAlign w:val="bottom"/>
          </w:tcPr>
          <w:p>
            <w:pPr>
              <w:spacing w:after="0"/>
              <w:rPr>
                <w:sz w:val="19"/>
                <w:szCs w:val="19"/>
                <w:color w:val="auto"/>
              </w:rPr>
            </w:pPr>
          </w:p>
        </w:tc>
        <w:tc>
          <w:tcPr>
            <w:tcW w:w="1380" w:type="dxa"/>
            <w:vAlign w:val="bottom"/>
            <w:gridSpan w:val="3"/>
            <w:vMerge w:val="restart"/>
          </w:tcPr>
          <w:p>
            <w:pPr>
              <w:jc w:val="right"/>
              <w:ind w:right="39"/>
              <w:spacing w:after="0"/>
              <w:rPr>
                <w:sz w:val="20"/>
                <w:szCs w:val="20"/>
                <w:color w:val="auto"/>
              </w:rPr>
            </w:pPr>
            <w:r>
              <w:rPr>
                <w:rFonts w:ascii="Arial" w:cs="Arial" w:eastAsia="Arial" w:hAnsi="Arial"/>
                <w:sz w:val="16"/>
                <w:szCs w:val="16"/>
                <w:b w:val="1"/>
                <w:bCs w:val="1"/>
                <w:color w:val="auto"/>
              </w:rPr>
              <w:t>2026</w:t>
            </w:r>
          </w:p>
        </w:tc>
        <w:tc>
          <w:tcPr>
            <w:tcW w:w="1140" w:type="dxa"/>
            <w:vAlign w:val="bottom"/>
            <w:gridSpan w:val="3"/>
          </w:tcPr>
          <w:p>
            <w:pPr>
              <w:jc w:val="center"/>
              <w:ind w:left="99"/>
              <w:spacing w:after="0"/>
              <w:rPr>
                <w:sz w:val="20"/>
                <w:szCs w:val="20"/>
                <w:color w:val="auto"/>
              </w:rPr>
            </w:pPr>
            <w:r>
              <w:rPr>
                <w:rFonts w:ascii="Arial" w:cs="Arial" w:eastAsia="Arial" w:hAnsi="Arial"/>
                <w:sz w:val="16"/>
                <w:szCs w:val="16"/>
                <w:b w:val="1"/>
                <w:bCs w:val="1"/>
                <w:color w:val="auto"/>
              </w:rPr>
              <w:t>March 31,</w:t>
            </w:r>
          </w:p>
        </w:tc>
        <w:tc>
          <w:tcPr>
            <w:tcW w:w="90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2025</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40" w:type="dxa"/>
            <w:vAlign w:val="bottom"/>
            <w:vMerge w:val="restart"/>
          </w:tcPr>
          <w:p>
            <w:pPr>
              <w:spacing w:after="0"/>
              <w:rPr>
                <w:sz w:val="20"/>
                <w:szCs w:val="20"/>
                <w:color w:val="auto"/>
              </w:rPr>
            </w:pPr>
            <w:r>
              <w:rPr>
                <w:rFonts w:ascii="Arial" w:cs="Arial" w:eastAsia="Arial" w:hAnsi="Arial"/>
                <w:sz w:val="16"/>
                <w:szCs w:val="16"/>
                <w:color w:val="auto"/>
              </w:rPr>
              <w:t>(in millions, except per share data)</w:t>
            </w:r>
          </w:p>
        </w:tc>
        <w:tc>
          <w:tcPr>
            <w:tcW w:w="13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140" w:type="dxa"/>
            <w:vAlign w:val="bottom"/>
            <w:vMerge w:val="continue"/>
          </w:tcPr>
          <w:p>
            <w:pPr>
              <w:spacing w:after="0"/>
              <w:rPr>
                <w:sz w:val="16"/>
                <w:szCs w:val="16"/>
                <w:color w:val="auto"/>
              </w:rPr>
            </w:pPr>
          </w:p>
        </w:tc>
        <w:tc>
          <w:tcPr>
            <w:tcW w:w="102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EPS</w:t>
            </w:r>
          </w:p>
        </w:tc>
        <w:tc>
          <w:tcPr>
            <w:tcW w:w="600" w:type="dxa"/>
            <w:vAlign w:val="bottom"/>
            <w:vMerge w:val="restart"/>
          </w:tcPr>
          <w:p>
            <w:pPr>
              <w:jc w:val="right"/>
              <w:ind w:right="2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restart"/>
          </w:tcPr>
          <w:p>
            <w:pPr>
              <w:jc w:val="right"/>
              <w:ind w:right="179"/>
              <w:spacing w:after="0"/>
              <w:rPr>
                <w:sz w:val="20"/>
                <w:szCs w:val="20"/>
                <w:color w:val="auto"/>
              </w:rPr>
            </w:pPr>
            <w:r>
              <w:rPr>
                <w:rFonts w:ascii="Arial" w:cs="Arial" w:eastAsia="Arial" w:hAnsi="Arial"/>
                <w:sz w:val="16"/>
                <w:szCs w:val="16"/>
                <w:color w:val="auto"/>
              </w:rPr>
              <w:t>EPS</w:t>
            </w:r>
          </w:p>
        </w:tc>
        <w:tc>
          <w:tcPr>
            <w:tcW w:w="0" w:type="dxa"/>
            <w:vAlign w:val="bottom"/>
          </w:tcPr>
          <w:p>
            <w:pPr>
              <w:spacing w:after="0"/>
              <w:rPr>
                <w:sz w:val="1"/>
                <w:szCs w:val="1"/>
                <w:color w:val="auto"/>
              </w:rPr>
            </w:pPr>
          </w:p>
        </w:tc>
      </w:tr>
      <w:tr>
        <w:trPr>
          <w:trHeight w:val="218"/>
        </w:trPr>
        <w:tc>
          <w:tcPr>
            <w:tcW w:w="7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140" w:type="dxa"/>
            <w:vAlign w:val="bottom"/>
          </w:tcPr>
          <w:p>
            <w:pPr>
              <w:spacing w:after="0"/>
              <w:rPr>
                <w:sz w:val="20"/>
                <w:szCs w:val="20"/>
                <w:color w:val="auto"/>
              </w:rPr>
            </w:pPr>
            <w:r>
              <w:rPr>
                <w:rFonts w:ascii="Arial" w:cs="Arial" w:eastAsia="Arial" w:hAnsi="Arial"/>
                <w:sz w:val="16"/>
                <w:szCs w:val="16"/>
                <w:b w:val="1"/>
                <w:bCs w:val="1"/>
                <w:color w:val="auto"/>
              </w:rPr>
              <w:t>Net income attributable to Comcast Corporation and diluted earnings per share attributable</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$2,174</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$0.60</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$3,375</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$0.89</w:t>
            </w:r>
          </w:p>
        </w:tc>
        <w:tc>
          <w:tcPr>
            <w:tcW w:w="0" w:type="dxa"/>
            <w:vAlign w:val="bottom"/>
          </w:tcPr>
          <w:p>
            <w:pPr>
              <w:spacing w:after="0"/>
              <w:rPr>
                <w:sz w:val="1"/>
                <w:szCs w:val="1"/>
                <w:color w:val="auto"/>
              </w:rPr>
            </w:pPr>
          </w:p>
        </w:tc>
      </w:tr>
      <w:tr>
        <w:trPr>
          <w:trHeight w:val="217"/>
        </w:trPr>
        <w:tc>
          <w:tcPr>
            <w:tcW w:w="7140" w:type="dxa"/>
            <w:vAlign w:val="bottom"/>
          </w:tcPr>
          <w:p>
            <w:pPr>
              <w:ind w:left="160"/>
              <w:spacing w:after="0"/>
              <w:rPr>
                <w:sz w:val="20"/>
                <w:szCs w:val="20"/>
                <w:color w:val="auto"/>
              </w:rPr>
            </w:pPr>
            <w:r>
              <w:rPr>
                <w:rFonts w:ascii="Arial" w:cs="Arial" w:eastAsia="Arial" w:hAnsi="Arial"/>
                <w:sz w:val="16"/>
                <w:szCs w:val="16"/>
                <w:b w:val="1"/>
                <w:bCs w:val="1"/>
                <w:color w:val="auto"/>
              </w:rPr>
              <w:t>to Comcast Corporation shareholders</w:t>
            </w: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40" w:type="dxa"/>
            <w:vAlign w:val="bottom"/>
          </w:tcPr>
          <w:p>
            <w:pPr>
              <w:spacing w:after="0"/>
              <w:rPr>
                <w:sz w:val="20"/>
                <w:szCs w:val="20"/>
                <w:color w:val="auto"/>
              </w:rPr>
            </w:pPr>
            <w:r>
              <w:rPr>
                <w:rFonts w:ascii="Arial" w:cs="Arial" w:eastAsia="Arial" w:hAnsi="Arial"/>
                <w:sz w:val="16"/>
                <w:szCs w:val="16"/>
                <w:i w:val="1"/>
                <w:iCs w:val="1"/>
                <w:color w:val="auto"/>
              </w:rPr>
              <w:t>Change</w:t>
            </w: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(35.6%)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(32.6%)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7140" w:type="dxa"/>
            <w:vAlign w:val="bottom"/>
          </w:tcPr>
          <w:p>
            <w:pPr>
              <w:spacing w:after="0"/>
              <w:rPr>
                <w:sz w:val="20"/>
                <w:szCs w:val="20"/>
                <w:color w:val="auto"/>
              </w:rPr>
            </w:pPr>
            <w:r>
              <w:rPr>
                <w:rFonts w:ascii="Arial" w:cs="Arial" w:eastAsia="Arial" w:hAnsi="Arial"/>
                <w:sz w:val="16"/>
                <w:szCs w:val="16"/>
                <w:color w:val="auto"/>
              </w:rPr>
              <w:t xml:space="preserve">Amortization of acquisition-related intangible assets </w:t>
            </w:r>
            <w:r>
              <w:rPr>
                <w:rFonts w:ascii="Arial" w:cs="Arial" w:eastAsia="Arial" w:hAnsi="Arial"/>
                <w:sz w:val="21"/>
                <w:szCs w:val="21"/>
                <w:color w:val="auto"/>
                <w:vertAlign w:val="superscript"/>
              </w:rPr>
              <w:t>(1)</w:t>
            </w:r>
          </w:p>
        </w:tc>
        <w:tc>
          <w:tcPr>
            <w:tcW w:w="102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16"/>
        </w:trPr>
        <w:tc>
          <w:tcPr>
            <w:tcW w:w="7140" w:type="dxa"/>
            <w:vAlign w:val="bottom"/>
          </w:tcPr>
          <w:p>
            <w:pPr>
              <w:spacing w:after="0" w:line="216" w:lineRule="exact"/>
              <w:rPr>
                <w:sz w:val="20"/>
                <w:szCs w:val="20"/>
                <w:color w:val="auto"/>
              </w:rPr>
            </w:pPr>
            <w:r>
              <w:rPr>
                <w:rFonts w:ascii="Arial" w:cs="Arial" w:eastAsia="Arial" w:hAnsi="Arial"/>
                <w:sz w:val="16"/>
                <w:szCs w:val="16"/>
                <w:color w:val="auto"/>
              </w:rPr>
              <w:t xml:space="preserve">Investments </w:t>
            </w:r>
            <w:r>
              <w:rPr>
                <w:rFonts w:ascii="Arial" w:cs="Arial" w:eastAsia="Arial" w:hAnsi="Arial"/>
                <w:sz w:val="21"/>
                <w:szCs w:val="21"/>
                <w:color w:val="auto"/>
                <w:vertAlign w:val="superscript"/>
              </w:rPr>
              <w:t>(2)</w:t>
            </w:r>
          </w:p>
        </w:tc>
        <w:tc>
          <w:tcPr>
            <w:tcW w:w="102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5"/>
        </w:trPr>
        <w:tc>
          <w:tcPr>
            <w:tcW w:w="7140" w:type="dxa"/>
            <w:vAlign w:val="bottom"/>
          </w:tcPr>
          <w:p>
            <w:pPr>
              <w:spacing w:after="0"/>
              <w:rPr>
                <w:sz w:val="20"/>
                <w:szCs w:val="20"/>
                <w:color w:val="auto"/>
              </w:rPr>
            </w:pPr>
            <w:r>
              <w:rPr>
                <w:rFonts w:ascii="Arial" w:cs="Arial" w:eastAsia="Arial" w:hAnsi="Arial"/>
                <w:sz w:val="16"/>
                <w:szCs w:val="16"/>
                <w:color w:val="auto"/>
              </w:rPr>
              <w:t>Items affecting period-over-period comparability:</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40" w:type="dxa"/>
            <w:vAlign w:val="bottom"/>
          </w:tcPr>
          <w:p>
            <w:pPr>
              <w:ind w:left="120"/>
              <w:spacing w:after="0" w:line="218" w:lineRule="exact"/>
              <w:rPr>
                <w:sz w:val="20"/>
                <w:szCs w:val="20"/>
                <w:color w:val="auto"/>
              </w:rPr>
            </w:pPr>
            <w:r>
              <w:rPr>
                <w:rFonts w:ascii="Arial" w:cs="Arial" w:eastAsia="Arial" w:hAnsi="Arial"/>
                <w:sz w:val="16"/>
                <w:szCs w:val="16"/>
                <w:color w:val="auto"/>
              </w:rPr>
              <w:t>Long-lived asset impairments</w:t>
            </w:r>
            <w:r>
              <w:rPr>
                <w:rFonts w:ascii="Arial" w:cs="Arial" w:eastAsia="Arial" w:hAnsi="Arial"/>
                <w:sz w:val="21"/>
                <w:szCs w:val="21"/>
                <w:color w:val="auto"/>
                <w:vertAlign w:val="superscript"/>
              </w:rPr>
              <w:t>(3)</w:t>
            </w:r>
          </w:p>
        </w:tc>
        <w:tc>
          <w:tcPr>
            <w:tcW w:w="102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140" w:type="dxa"/>
            <w:vAlign w:val="bottom"/>
          </w:tcPr>
          <w:p>
            <w:pPr>
              <w:ind w:left="120"/>
              <w:spacing w:after="0" w:line="216" w:lineRule="exact"/>
              <w:rPr>
                <w:sz w:val="20"/>
                <w:szCs w:val="20"/>
                <w:color w:val="auto"/>
              </w:rPr>
            </w:pPr>
            <w:r>
              <w:rPr>
                <w:rFonts w:ascii="Arial" w:cs="Arial" w:eastAsia="Arial" w:hAnsi="Arial"/>
                <w:sz w:val="16"/>
                <w:szCs w:val="16"/>
                <w:color w:val="auto"/>
              </w:rPr>
              <w:t>Transaction costs</w:t>
            </w:r>
            <w:r>
              <w:rPr>
                <w:rFonts w:ascii="Arial" w:cs="Arial" w:eastAsia="Arial" w:hAnsi="Arial"/>
                <w:sz w:val="21"/>
                <w:szCs w:val="21"/>
                <w:color w:val="auto"/>
                <w:vertAlign w:val="superscript"/>
              </w:rPr>
              <w:t>(4)</w:t>
            </w:r>
          </w:p>
        </w:tc>
        <w:tc>
          <w:tcPr>
            <w:tcW w:w="102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140" w:type="dxa"/>
            <w:vAlign w:val="bottom"/>
          </w:tcPr>
          <w:p>
            <w:pPr>
              <w:ind w:left="120"/>
              <w:spacing w:after="0" w:line="216" w:lineRule="exact"/>
              <w:rPr>
                <w:sz w:val="20"/>
                <w:szCs w:val="20"/>
                <w:color w:val="auto"/>
              </w:rPr>
            </w:pPr>
            <w:r>
              <w:rPr>
                <w:rFonts w:ascii="Arial" w:cs="Arial" w:eastAsia="Arial" w:hAnsi="Arial"/>
                <w:sz w:val="16"/>
                <w:szCs w:val="16"/>
                <w:color w:val="auto"/>
              </w:rPr>
              <w:t>Transaction-related costs</w:t>
            </w:r>
            <w:r>
              <w:rPr>
                <w:rFonts w:ascii="Arial" w:cs="Arial" w:eastAsia="Arial" w:hAnsi="Arial"/>
                <w:sz w:val="21"/>
                <w:szCs w:val="21"/>
                <w:color w:val="auto"/>
                <w:vertAlign w:val="superscript"/>
              </w:rPr>
              <w:t>(5)</w:t>
            </w:r>
          </w:p>
        </w:tc>
        <w:tc>
          <w:tcPr>
            <w:tcW w:w="1380" w:type="dxa"/>
            <w:vAlign w:val="bottom"/>
            <w:gridSpan w:val="3"/>
          </w:tcPr>
          <w:p>
            <w:pPr>
              <w:jc w:val="right"/>
              <w:ind w:right="539"/>
              <w:spacing w:after="0"/>
              <w:rPr>
                <w:sz w:val="20"/>
                <w:szCs w:val="20"/>
                <w:color w:val="auto"/>
              </w:rPr>
            </w:pPr>
            <w:r>
              <w:rPr>
                <w:rFonts w:ascii="Arial" w:cs="Arial" w:eastAsia="Arial" w:hAnsi="Arial"/>
                <w:sz w:val="16"/>
                <w:szCs w:val="16"/>
                <w:color w:val="auto"/>
              </w:rPr>
              <w:t>—</w:t>
            </w:r>
          </w:p>
        </w:tc>
        <w:tc>
          <w:tcPr>
            <w:tcW w:w="1140" w:type="dxa"/>
            <w:vAlign w:val="bottom"/>
            <w:gridSpan w:val="3"/>
          </w:tcPr>
          <w:p>
            <w:pPr>
              <w:ind w:left="3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140" w:type="dxa"/>
            <w:vAlign w:val="bottom"/>
          </w:tcPr>
          <w:p>
            <w:pPr>
              <w:ind w:left="120"/>
              <w:spacing w:after="0" w:line="216" w:lineRule="exact"/>
              <w:rPr>
                <w:sz w:val="20"/>
                <w:szCs w:val="20"/>
                <w:color w:val="auto"/>
              </w:rPr>
            </w:pPr>
            <w:r>
              <w:rPr>
                <w:rFonts w:ascii="Arial" w:cs="Arial" w:eastAsia="Arial" w:hAnsi="Arial"/>
                <w:sz w:val="16"/>
                <w:szCs w:val="16"/>
                <w:color w:val="auto"/>
              </w:rPr>
              <w:t>Tax benefit related to assets held for sale</w:t>
            </w:r>
            <w:r>
              <w:rPr>
                <w:rFonts w:ascii="Arial" w:cs="Arial" w:eastAsia="Arial" w:hAnsi="Arial"/>
                <w:sz w:val="21"/>
                <w:szCs w:val="21"/>
                <w:color w:val="auto"/>
                <w:vertAlign w:val="superscript"/>
              </w:rPr>
              <w:t>(6)</w:t>
            </w:r>
          </w:p>
        </w:tc>
        <w:tc>
          <w:tcPr>
            <w:tcW w:w="102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1"/>
        </w:trPr>
        <w:tc>
          <w:tcPr>
            <w:tcW w:w="7140" w:type="dxa"/>
            <w:vAlign w:val="bottom"/>
          </w:tcPr>
          <w:p>
            <w:pPr>
              <w:ind w:left="120"/>
              <w:spacing w:after="0"/>
              <w:rPr>
                <w:sz w:val="20"/>
                <w:szCs w:val="20"/>
                <w:color w:val="auto"/>
              </w:rPr>
            </w:pPr>
            <w:r>
              <w:rPr>
                <w:rFonts w:ascii="Arial" w:cs="Arial" w:eastAsia="Arial" w:hAnsi="Arial"/>
                <w:sz w:val="16"/>
                <w:szCs w:val="16"/>
                <w:color w:val="auto"/>
              </w:rPr>
              <w:t>Other adjustments</w:t>
            </w:r>
            <w:r>
              <w:rPr>
                <w:rFonts w:ascii="Arial" w:cs="Arial" w:eastAsia="Arial" w:hAnsi="Arial"/>
                <w:sz w:val="21"/>
                <w:szCs w:val="21"/>
                <w:color w:val="auto"/>
                <w:vertAlign w:val="superscript"/>
              </w:rPr>
              <w:t>(7)</w:t>
            </w:r>
          </w:p>
        </w:tc>
        <w:tc>
          <w:tcPr>
            <w:tcW w:w="102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140" w:type="dxa"/>
            <w:vAlign w:val="bottom"/>
          </w:tcPr>
          <w:p>
            <w:pPr>
              <w:spacing w:after="0"/>
              <w:rPr>
                <w:sz w:val="20"/>
                <w:szCs w:val="20"/>
                <w:color w:val="auto"/>
              </w:rPr>
            </w:pPr>
            <w:r>
              <w:rPr>
                <w:rFonts w:ascii="Arial" w:cs="Arial" w:eastAsia="Arial" w:hAnsi="Arial"/>
                <w:sz w:val="16"/>
                <w:szCs w:val="16"/>
                <w:b w:val="1"/>
                <w:bCs w:val="1"/>
                <w:color w:val="auto"/>
              </w:rPr>
              <w:t>Adjusted Net income and Adjusted EPS</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$2,863</w:t>
            </w:r>
          </w:p>
        </w:tc>
        <w:tc>
          <w:tcPr>
            <w:tcW w:w="10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$0.79</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$4,132</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w:t>
            </w:r>
          </w:p>
        </w:tc>
        <w:tc>
          <w:tcPr>
            <w:tcW w:w="0" w:type="dxa"/>
            <w:vAlign w:val="bottom"/>
          </w:tcPr>
          <w:p>
            <w:pPr>
              <w:spacing w:after="0"/>
              <w:rPr>
                <w:sz w:val="1"/>
                <w:szCs w:val="1"/>
                <w:color w:val="auto"/>
              </w:rPr>
            </w:pPr>
          </w:p>
        </w:tc>
      </w:tr>
      <w:tr>
        <w:trPr>
          <w:trHeight w:val="21"/>
        </w:trPr>
        <w:tc>
          <w:tcPr>
            <w:tcW w:w="7140" w:type="dxa"/>
            <w:vAlign w:val="bottom"/>
            <w:vMerge w:val="restart"/>
          </w:tcPr>
          <w:p>
            <w:pPr>
              <w:spacing w:after="0"/>
              <w:rPr>
                <w:sz w:val="20"/>
                <w:szCs w:val="20"/>
                <w:color w:val="auto"/>
              </w:rPr>
            </w:pPr>
            <w:r>
              <w:rPr>
                <w:rFonts w:ascii="Arial" w:cs="Arial" w:eastAsia="Arial" w:hAnsi="Arial"/>
                <w:sz w:val="16"/>
                <w:szCs w:val="16"/>
                <w:i w:val="1"/>
                <w:iCs w:val="1"/>
                <w:color w:val="auto"/>
              </w:rPr>
              <w:t>Change</w:t>
            </w: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714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(30.7%)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(27.5%)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252" w:right="40" w:hanging="252"/>
        <w:spacing w:after="0" w:line="273" w:lineRule="auto"/>
        <w:tabs>
          <w:tab w:leader="none" w:pos="23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Acquisition-related intangible assets are recognized as a result of the application of Accounting Standards Codification Topic 805,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p>
      <w:pPr>
        <w:spacing w:after="0" w:line="141" w:lineRule="exact"/>
        <w:rPr>
          <w:sz w:val="20"/>
          <w:szCs w:val="20"/>
          <w:color w:val="auto"/>
        </w:rPr>
      </w:pPr>
    </w:p>
    <w:p>
      <w:pPr>
        <w:jc w:val="center"/>
        <w:ind w:left="8840"/>
        <w:spacing w:after="0"/>
        <w:rPr>
          <w:sz w:val="20"/>
          <w:szCs w:val="20"/>
          <w:color w:val="auto"/>
        </w:rPr>
      </w:pPr>
      <w:r>
        <w:rPr>
          <w:rFonts w:ascii="Arial" w:cs="Arial" w:eastAsia="Arial" w:hAnsi="Arial"/>
          <w:sz w:val="14"/>
          <w:szCs w:val="14"/>
          <w:color w:val="auto"/>
        </w:rPr>
        <w:t>Three Months Ended</w:t>
      </w:r>
    </w:p>
    <w:p>
      <w:pPr>
        <w:jc w:val="center"/>
        <w:ind w:left="8840"/>
        <w:spacing w:after="0"/>
        <w:rPr>
          <w:sz w:val="20"/>
          <w:szCs w:val="20"/>
          <w:color w:val="auto"/>
        </w:rPr>
      </w:pPr>
      <w:r>
        <w:rPr>
          <w:rFonts w:ascii="Arial" w:cs="Arial" w:eastAsia="Arial" w:hAnsi="Arial"/>
          <w:sz w:val="14"/>
          <w:szCs w:val="14"/>
          <w:color w:val="auto"/>
        </w:rPr>
        <w:t>March 31,</w:t>
      </w:r>
    </w:p>
    <w:p>
      <w:pPr>
        <w:spacing w:after="0" w:line="28" w:lineRule="exact"/>
        <w:rPr>
          <w:sz w:val="20"/>
          <w:szCs w:val="20"/>
          <w:color w:val="auto"/>
        </w:rPr>
      </w:pPr>
    </w:p>
    <w:tbl>
      <w:tblPr>
        <w:tblLayout w:type="fixed"/>
        <w:tblInd w:w="392" w:type="dxa"/>
        <w:tblCellMar>
          <w:top w:w="0" w:type="dxa"/>
          <w:left w:w="0" w:type="dxa"/>
          <w:bottom w:w="0" w:type="dxa"/>
          <w:right w:w="0" w:type="dxa"/>
        </w:tblCellMar>
      </w:tblPr>
      <w:tr>
        <w:trPr>
          <w:trHeight w:val="192"/>
        </w:trPr>
        <w:tc>
          <w:tcPr>
            <w:tcW w:w="8740" w:type="dxa"/>
            <w:vAlign w:val="bottom"/>
          </w:tcPr>
          <w:p>
            <w:pPr>
              <w:spacing w:after="0"/>
              <w:rPr>
                <w:sz w:val="16"/>
                <w:szCs w:val="16"/>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2026</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2025</w:t>
            </w:r>
          </w:p>
        </w:tc>
      </w:tr>
      <w:tr>
        <w:trPr>
          <w:trHeight w:val="198"/>
        </w:trPr>
        <w:tc>
          <w:tcPr>
            <w:tcW w:w="8740" w:type="dxa"/>
            <w:vAlign w:val="bottom"/>
          </w:tcPr>
          <w:p>
            <w:pPr>
              <w:spacing w:after="0"/>
              <w:rPr>
                <w:sz w:val="20"/>
                <w:szCs w:val="20"/>
                <w:color w:val="auto"/>
              </w:rPr>
            </w:pPr>
            <w:r>
              <w:rPr>
                <w:rFonts w:ascii="Arial" w:cs="Arial" w:eastAsia="Arial" w:hAnsi="Arial"/>
                <w:sz w:val="14"/>
                <w:szCs w:val="14"/>
                <w:color w:val="auto"/>
              </w:rPr>
              <w:t>Amortization of acquisition-related intangible assets before income taxes</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$528</w:t>
            </w:r>
          </w:p>
        </w:tc>
        <w:tc>
          <w:tcPr>
            <w:tcW w:w="220" w:type="dxa"/>
            <w:vAlign w:val="bottom"/>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$789</w:t>
            </w:r>
          </w:p>
        </w:tc>
      </w:tr>
      <w:tr>
        <w:trPr>
          <w:trHeight w:val="200"/>
        </w:trPr>
        <w:tc>
          <w:tcPr>
            <w:tcW w:w="8740" w:type="dxa"/>
            <w:vAlign w:val="bottom"/>
          </w:tcPr>
          <w:p>
            <w:pPr>
              <w:spacing w:after="0"/>
              <w:rPr>
                <w:sz w:val="20"/>
                <w:szCs w:val="20"/>
                <w:color w:val="auto"/>
              </w:rPr>
            </w:pPr>
            <w:r>
              <w:rPr>
                <w:rFonts w:ascii="Arial" w:cs="Arial" w:eastAsia="Arial" w:hAnsi="Arial"/>
                <w:sz w:val="14"/>
                <w:szCs w:val="14"/>
                <w:color w:val="auto"/>
              </w:rPr>
              <w:t>Amortization of acquisition-related intangible assets, net of tax</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$405</w:t>
            </w:r>
          </w:p>
        </w:tc>
        <w:tc>
          <w:tcPr>
            <w:tcW w:w="2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w:t>
            </w:r>
          </w:p>
        </w:tc>
      </w:tr>
      <w:tr>
        <w:trPr>
          <w:trHeight w:val="20"/>
        </w:trPr>
        <w:tc>
          <w:tcPr>
            <w:tcW w:w="8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252" w:right="340" w:hanging="252"/>
        <w:spacing w:after="0" w:line="305" w:lineRule="auto"/>
        <w:tabs>
          <w:tab w:leader="none" w:pos="239"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Adjustments for investments include realized and unrealized (gains) losses on equity securities, net (as stated in Table 1), as well as the equity in net (income) losses of investees, net, for certain equity method investments, including Atairos and Hulu and costs related to our investment portfolio.</w:t>
      </w:r>
    </w:p>
    <w:p>
      <w:pPr>
        <w:spacing w:after="0" w:line="225" w:lineRule="exact"/>
        <w:rPr>
          <w:sz w:val="20"/>
          <w:szCs w:val="20"/>
          <w:color w:val="auto"/>
        </w:rPr>
      </w:pPr>
    </w:p>
    <w:p>
      <w:pPr>
        <w:jc w:val="center"/>
        <w:ind w:left="884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jc w:val="center"/>
        <w:ind w:left="8840"/>
        <w:spacing w:after="0"/>
        <w:rPr>
          <w:sz w:val="20"/>
          <w:szCs w:val="20"/>
          <w:color w:val="auto"/>
        </w:rPr>
      </w:pPr>
      <w:r>
        <w:rPr>
          <w:rFonts w:ascii="Arial" w:cs="Arial" w:eastAsia="Arial" w:hAnsi="Arial"/>
          <w:sz w:val="14"/>
          <w:szCs w:val="14"/>
          <w:color w:val="auto"/>
        </w:rPr>
        <w:t>March 31,</w:t>
      </w:r>
    </w:p>
    <w:p>
      <w:pPr>
        <w:spacing w:after="0" w:line="15" w:lineRule="exact"/>
        <w:rPr>
          <w:sz w:val="20"/>
          <w:szCs w:val="20"/>
          <w:color w:val="auto"/>
        </w:rPr>
      </w:pPr>
    </w:p>
    <w:tbl>
      <w:tblPr>
        <w:tblLayout w:type="fixed"/>
        <w:tblInd w:w="392" w:type="dxa"/>
        <w:tblCellMar>
          <w:top w:w="0" w:type="dxa"/>
          <w:left w:w="0" w:type="dxa"/>
          <w:bottom w:w="0" w:type="dxa"/>
          <w:right w:w="0" w:type="dxa"/>
        </w:tblCellMar>
      </w:tblPr>
      <w:tr>
        <w:trPr>
          <w:trHeight w:val="191"/>
        </w:trPr>
        <w:tc>
          <w:tcPr>
            <w:tcW w:w="8740" w:type="dxa"/>
            <w:vAlign w:val="bottom"/>
          </w:tcPr>
          <w:p>
            <w:pPr>
              <w:spacing w:after="0"/>
              <w:rPr>
                <w:sz w:val="16"/>
                <w:szCs w:val="16"/>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2026</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2025</w:t>
            </w:r>
          </w:p>
        </w:tc>
      </w:tr>
      <w:tr>
        <w:trPr>
          <w:trHeight w:val="194"/>
        </w:trPr>
        <w:tc>
          <w:tcPr>
            <w:tcW w:w="8740" w:type="dxa"/>
            <w:vAlign w:val="bottom"/>
          </w:tcPr>
          <w:p>
            <w:pPr>
              <w:spacing w:after="0"/>
              <w:rPr>
                <w:sz w:val="20"/>
                <w:szCs w:val="20"/>
                <w:color w:val="auto"/>
              </w:rPr>
            </w:pPr>
            <w:r>
              <w:rPr>
                <w:rFonts w:ascii="Arial" w:cs="Arial" w:eastAsia="Arial" w:hAnsi="Arial"/>
                <w:sz w:val="14"/>
                <w:szCs w:val="14"/>
                <w:color w:val="auto"/>
              </w:rPr>
              <w:t>Realized and unrealized (gains) losses on equity securities, net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$24</w:t>
            </w:r>
          </w:p>
        </w:tc>
      </w:tr>
      <w:tr>
        <w:trPr>
          <w:trHeight w:val="204"/>
        </w:trPr>
        <w:tc>
          <w:tcPr>
            <w:tcW w:w="8740" w:type="dxa"/>
            <w:vAlign w:val="bottom"/>
          </w:tcPr>
          <w:p>
            <w:pPr>
              <w:spacing w:after="0"/>
              <w:rPr>
                <w:sz w:val="20"/>
                <w:szCs w:val="20"/>
                <w:color w:val="auto"/>
              </w:rPr>
            </w:pPr>
            <w:r>
              <w:rPr>
                <w:rFonts w:ascii="Arial" w:cs="Arial" w:eastAsia="Arial" w:hAnsi="Arial"/>
                <w:sz w:val="14"/>
                <w:szCs w:val="14"/>
                <w:color w:val="auto"/>
              </w:rPr>
              <w:t>Equity in net (income) losses of investees, net and other</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335</w:t>
            </w:r>
          </w:p>
        </w:tc>
        <w:tc>
          <w:tcPr>
            <w:tcW w:w="220" w:type="dxa"/>
            <w:vAlign w:val="bottom"/>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148</w:t>
            </w:r>
          </w:p>
        </w:tc>
      </w:tr>
      <w:tr>
        <w:trPr>
          <w:trHeight w:val="194"/>
        </w:trPr>
        <w:tc>
          <w:tcPr>
            <w:tcW w:w="8740" w:type="dxa"/>
            <w:vAlign w:val="bottom"/>
          </w:tcPr>
          <w:p>
            <w:pPr>
              <w:spacing w:after="0"/>
              <w:rPr>
                <w:sz w:val="20"/>
                <w:szCs w:val="20"/>
                <w:color w:val="auto"/>
              </w:rPr>
            </w:pPr>
            <w:r>
              <w:rPr>
                <w:rFonts w:ascii="Arial" w:cs="Arial" w:eastAsia="Arial" w:hAnsi="Arial"/>
                <w:sz w:val="14"/>
                <w:szCs w:val="14"/>
                <w:color w:val="auto"/>
              </w:rPr>
              <w:t>Investments before income taxes</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340</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172</w:t>
            </w:r>
          </w:p>
        </w:tc>
      </w:tr>
      <w:tr>
        <w:trPr>
          <w:trHeight w:val="211"/>
        </w:trPr>
        <w:tc>
          <w:tcPr>
            <w:tcW w:w="8740" w:type="dxa"/>
            <w:vAlign w:val="bottom"/>
          </w:tcPr>
          <w:p>
            <w:pPr>
              <w:spacing w:after="0"/>
              <w:rPr>
                <w:sz w:val="20"/>
                <w:szCs w:val="20"/>
                <w:color w:val="auto"/>
              </w:rPr>
            </w:pPr>
            <w:r>
              <w:rPr>
                <w:rFonts w:ascii="Arial" w:cs="Arial" w:eastAsia="Arial" w:hAnsi="Arial"/>
                <w:sz w:val="14"/>
                <w:szCs w:val="14"/>
                <w:color w:val="auto"/>
              </w:rPr>
              <w:t>Investments, net of tax</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$259</w:t>
            </w:r>
          </w:p>
        </w:tc>
        <w:tc>
          <w:tcPr>
            <w:tcW w:w="220" w:type="dxa"/>
            <w:vAlign w:val="bottom"/>
          </w:tcPr>
          <w:p>
            <w:pPr>
              <w:spacing w:after="0"/>
              <w:rPr>
                <w:sz w:val="18"/>
                <w:szCs w:val="18"/>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w:t>
            </w:r>
          </w:p>
        </w:tc>
      </w:tr>
      <w:tr>
        <w:trPr>
          <w:trHeight w:val="20"/>
        </w:trPr>
        <w:tc>
          <w:tcPr>
            <w:tcW w:w="8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232" w:hanging="232"/>
        <w:spacing w:after="0"/>
        <w:tabs>
          <w:tab w:leader="none" w:pos="232" w:val="left"/>
        </w:tabs>
        <w:numPr>
          <w:ilvl w:val="0"/>
          <w:numId w:val="7"/>
        </w:numPr>
        <w:rPr>
          <w:rFonts w:ascii="Arial" w:cs="Arial" w:eastAsia="Arial" w:hAnsi="Arial"/>
          <w:sz w:val="14"/>
          <w:szCs w:val="14"/>
          <w:color w:val="auto"/>
        </w:rPr>
      </w:pPr>
      <w:r>
        <w:rPr>
          <w:rFonts w:ascii="Arial" w:cs="Arial" w:eastAsia="Arial" w:hAnsi="Arial"/>
          <w:sz w:val="14"/>
          <w:szCs w:val="14"/>
          <w:color w:val="auto"/>
        </w:rPr>
        <w:t>1st quarter 2026 net income attributable to Comcast Corporation includes $171 million, $130 million net of tax, of long-lived asset impairments.</w:t>
      </w:r>
    </w:p>
    <w:p>
      <w:pPr>
        <w:spacing w:after="0" w:line="15" w:lineRule="exact"/>
        <w:rPr>
          <w:rFonts w:ascii="Arial" w:cs="Arial" w:eastAsia="Arial" w:hAnsi="Arial"/>
          <w:sz w:val="14"/>
          <w:szCs w:val="14"/>
          <w:color w:val="auto"/>
        </w:rPr>
      </w:pPr>
    </w:p>
    <w:p>
      <w:pPr>
        <w:ind w:left="252" w:right="160" w:hanging="252"/>
        <w:spacing w:after="0" w:line="261" w:lineRule="auto"/>
        <w:tabs>
          <w:tab w:leader="none" w:pos="239" w:val="left"/>
        </w:tabs>
        <w:numPr>
          <w:ilvl w:val="0"/>
          <w:numId w:val="7"/>
        </w:numPr>
        <w:rPr>
          <w:rFonts w:ascii="Arial" w:cs="Arial" w:eastAsia="Arial" w:hAnsi="Arial"/>
          <w:sz w:val="14"/>
          <w:szCs w:val="14"/>
          <w:color w:val="auto"/>
        </w:rPr>
      </w:pPr>
      <w:r>
        <w:rPr>
          <w:rFonts w:ascii="Arial" w:cs="Arial" w:eastAsia="Arial" w:hAnsi="Arial"/>
          <w:sz w:val="14"/>
          <w:szCs w:val="14"/>
          <w:color w:val="auto"/>
        </w:rPr>
        <w:t>1st quarter 2026 net income attributable to Comcast Corporation includes $51 million, $45 million net of tax, of transaction costs related to the separation of Versant. 1st quarter 2025 net income attributable to Comcast Corporation includes $20 million, $17 million, net of tax, of transaction costs related to the separation of Versant. Transaction costs are incremental costs directly related to effectuating the separation and primarily include advisory, legal and audit fees, and legal entity separation costs.</w:t>
      </w:r>
    </w:p>
    <w:p>
      <w:pPr>
        <w:spacing w:after="0" w:line="1" w:lineRule="exact"/>
        <w:rPr>
          <w:rFonts w:ascii="Arial" w:cs="Arial" w:eastAsia="Arial" w:hAnsi="Arial"/>
          <w:sz w:val="14"/>
          <w:szCs w:val="14"/>
          <w:color w:val="auto"/>
        </w:rPr>
      </w:pPr>
    </w:p>
    <w:p>
      <w:pPr>
        <w:ind w:left="252" w:right="40" w:hanging="252"/>
        <w:spacing w:after="0" w:line="256" w:lineRule="auto"/>
        <w:tabs>
          <w:tab w:leader="none" w:pos="239" w:val="left"/>
        </w:tabs>
        <w:numPr>
          <w:ilvl w:val="0"/>
          <w:numId w:val="7"/>
        </w:numPr>
        <w:rPr>
          <w:rFonts w:ascii="Arial" w:cs="Arial" w:eastAsia="Arial" w:hAnsi="Arial"/>
          <w:sz w:val="14"/>
          <w:szCs w:val="14"/>
          <w:color w:val="auto"/>
        </w:rPr>
      </w:pPr>
      <w:r>
        <w:rPr>
          <w:rFonts w:ascii="Arial" w:cs="Arial" w:eastAsia="Arial" w:hAnsi="Arial"/>
          <w:sz w:val="14"/>
          <w:szCs w:val="14"/>
          <w:color w:val="auto"/>
        </w:rPr>
        <w:t>1st quarter 2025 net income attributable to Comcast Corporation includes $2 million, $2 million, net of tax, of transaction-related costs related to the separation of Versant. Transaction-related costs are incremental costs incurred related to the separation, including costs that reflect strategic decisions about how the standalone Versant business will be structured or operated, which may be different than if it remained part of Comcast. Transaction-related costs primarily include certain separation-related employee compensation, severance and retention bonuses; IT separation and implementation costs; and other one-time costs.</w:t>
      </w:r>
    </w:p>
    <w:p>
      <w:pPr>
        <w:spacing w:after="0" w:line="1" w:lineRule="exact"/>
        <w:rPr>
          <w:rFonts w:ascii="Arial" w:cs="Arial" w:eastAsia="Arial" w:hAnsi="Arial"/>
          <w:sz w:val="14"/>
          <w:szCs w:val="14"/>
          <w:color w:val="auto"/>
        </w:rPr>
      </w:pPr>
    </w:p>
    <w:p>
      <w:pPr>
        <w:ind w:left="252" w:right="220" w:hanging="252"/>
        <w:spacing w:after="0" w:line="261" w:lineRule="auto"/>
        <w:tabs>
          <w:tab w:leader="none" w:pos="239" w:val="left"/>
        </w:tabs>
        <w:numPr>
          <w:ilvl w:val="0"/>
          <w:numId w:val="7"/>
        </w:numPr>
        <w:rPr>
          <w:rFonts w:ascii="Arial" w:cs="Arial" w:eastAsia="Arial" w:hAnsi="Arial"/>
          <w:sz w:val="14"/>
          <w:szCs w:val="14"/>
          <w:color w:val="auto"/>
        </w:rPr>
      </w:pPr>
      <w:r>
        <w:rPr>
          <w:rFonts w:ascii="Arial" w:cs="Arial" w:eastAsia="Arial" w:hAnsi="Arial"/>
          <w:sz w:val="14"/>
          <w:szCs w:val="14"/>
          <w:color w:val="auto"/>
        </w:rPr>
        <w:t>1st quarter 2026 net income attributable to Comcast Corporation includes a $57 million income tax benefit related to assets that are classified as held for sale as of March 31, 2026.</w:t>
      </w:r>
    </w:p>
    <w:p>
      <w:pPr>
        <w:ind w:left="252" w:right="200" w:hanging="252"/>
        <w:spacing w:after="0" w:line="264" w:lineRule="auto"/>
        <w:tabs>
          <w:tab w:leader="none" w:pos="239" w:val="left"/>
        </w:tabs>
        <w:numPr>
          <w:ilvl w:val="0"/>
          <w:numId w:val="7"/>
        </w:numPr>
        <w:rPr>
          <w:rFonts w:ascii="Arial" w:cs="Arial" w:eastAsia="Arial" w:hAnsi="Arial"/>
          <w:sz w:val="14"/>
          <w:szCs w:val="14"/>
          <w:color w:val="auto"/>
        </w:rPr>
      </w:pPr>
      <w:r>
        <w:rPr>
          <w:rFonts w:ascii="Arial" w:cs="Arial" w:eastAsia="Arial" w:hAnsi="Arial"/>
          <w:sz w:val="14"/>
          <w:szCs w:val="14"/>
          <w:color w:val="auto"/>
        </w:rPr>
        <w:t>1st quarter 2026 net income attributable to Comcast Corporation includes $123 million, $92 million net of tax, of other adjustments, which includes a gain related to a legal settlement and certain share-based compensation expenses.</w:t>
      </w:r>
    </w:p>
    <w:p>
      <w:pPr>
        <w:sectPr>
          <w:pgSz w:w="11900" w:h="16838" w:orient="portrait"/>
          <w:cols w:equalWidth="0" w:num="1">
            <w:col w:w="11232"/>
          </w:cols>
          <w:pgMar w:left="328" w:top="8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8"/>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32"/>
          </w:cols>
          <w:pgMar w:left="328" w:top="858"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6114415</wp:posOffset>
            </wp:positionH>
            <wp:positionV relativeFrom="page">
              <wp:posOffset>612140</wp:posOffset>
            </wp:positionV>
            <wp:extent cx="1217295" cy="4800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80060"/>
                    </a:xfrm>
                    <a:prstGeom prst="rect">
                      <a:avLst/>
                    </a:prstGeom>
                    <a:noFill/>
                  </pic:spPr>
                </pic:pic>
              </a:graphicData>
            </a:graphic>
          </wp:anchor>
        </w:drawing>
        <w:t>TABLE 6</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828282"/>
        </w:rPr>
        <w:t>Reconciliation of Constant Currency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16"/>
                <w:szCs w:val="16"/>
                <w:color w:val="auto"/>
              </w:rPr>
            </w:pPr>
          </w:p>
        </w:tc>
        <w:tc>
          <w:tcPr>
            <w:tcW w:w="2580" w:type="dxa"/>
            <w:vAlign w:val="bottom"/>
            <w:gridSpan w:val="5"/>
          </w:tcPr>
          <w:p>
            <w:pPr>
              <w:jc w:val="center"/>
              <w:ind w:left="859"/>
              <w:spacing w:after="0"/>
              <w:rPr>
                <w:sz w:val="20"/>
                <w:szCs w:val="20"/>
                <w:color w:val="auto"/>
              </w:rPr>
            </w:pPr>
            <w:r>
              <w:rPr>
                <w:rFonts w:ascii="Arial" w:cs="Arial" w:eastAsia="Arial" w:hAnsi="Arial"/>
                <w:sz w:val="16"/>
                <w:szCs w:val="16"/>
                <w:b w:val="1"/>
                <w:bCs w:val="1"/>
                <w:color w:val="auto"/>
              </w:rPr>
              <w:t>Three Months Ended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March 31, 2025</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center"/>
              <w:ind w:right="320"/>
              <w:spacing w:after="0" w:line="163" w:lineRule="exact"/>
              <w:rPr>
                <w:sz w:val="20"/>
                <w:szCs w:val="20"/>
                <w:color w:val="auto"/>
              </w:rPr>
            </w:pPr>
            <w:r>
              <w:rPr>
                <w:rFonts w:ascii="Arial" w:cs="Arial" w:eastAsia="Arial" w:hAnsi="Arial"/>
                <w:sz w:val="16"/>
                <w:szCs w:val="16"/>
                <w:color w:val="auto"/>
              </w:rPr>
              <w:t>Effects of</w:t>
            </w:r>
          </w:p>
        </w:tc>
        <w:tc>
          <w:tcPr>
            <w:tcW w:w="940" w:type="dxa"/>
            <w:vAlign w:val="bottom"/>
          </w:tcPr>
          <w:p>
            <w:pPr>
              <w:jc w:val="right"/>
              <w:ind w:right="159"/>
              <w:spacing w:after="0" w:line="163" w:lineRule="exact"/>
              <w:rPr>
                <w:sz w:val="20"/>
                <w:szCs w:val="20"/>
                <w:color w:val="auto"/>
              </w:rPr>
            </w:pPr>
            <w:r>
              <w:rPr>
                <w:rFonts w:ascii="Arial" w:cs="Arial" w:eastAsia="Arial" w:hAnsi="Arial"/>
                <w:sz w:val="16"/>
                <w:szCs w:val="16"/>
                <w:color w:val="auto"/>
              </w:rPr>
              <w:t>Constant</w:t>
            </w:r>
          </w:p>
        </w:tc>
        <w:tc>
          <w:tcPr>
            <w:tcW w:w="0" w:type="dxa"/>
            <w:vAlign w:val="bottom"/>
          </w:tcPr>
          <w:p>
            <w:pPr>
              <w:spacing w:after="0"/>
              <w:rPr>
                <w:sz w:val="1"/>
                <w:szCs w:val="1"/>
                <w:color w:val="auto"/>
              </w:rPr>
            </w:pPr>
          </w:p>
        </w:tc>
      </w:tr>
      <w:tr>
        <w:trPr>
          <w:trHeight w:val="162"/>
        </w:trPr>
        <w:tc>
          <w:tcPr>
            <w:tcW w:w="770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As Reported</w:t>
            </w:r>
          </w:p>
        </w:tc>
        <w:tc>
          <w:tcPr>
            <w:tcW w:w="120" w:type="dxa"/>
            <w:vAlign w:val="bottom"/>
          </w:tcPr>
          <w:p>
            <w:pPr>
              <w:spacing w:after="0"/>
              <w:rPr>
                <w:sz w:val="14"/>
                <w:szCs w:val="14"/>
                <w:color w:val="auto"/>
              </w:rPr>
            </w:pPr>
          </w:p>
        </w:tc>
        <w:tc>
          <w:tcPr>
            <w:tcW w:w="1320" w:type="dxa"/>
            <w:vAlign w:val="bottom"/>
            <w:gridSpan w:val="3"/>
          </w:tcPr>
          <w:p>
            <w:pPr>
              <w:jc w:val="center"/>
              <w:ind w:right="320"/>
              <w:spacing w:after="0" w:line="162" w:lineRule="exact"/>
              <w:rPr>
                <w:sz w:val="20"/>
                <w:szCs w:val="20"/>
                <w:color w:val="auto"/>
              </w:rPr>
            </w:pPr>
            <w:r>
              <w:rPr>
                <w:rFonts w:ascii="Arial" w:cs="Arial" w:eastAsia="Arial" w:hAnsi="Arial"/>
                <w:sz w:val="16"/>
                <w:szCs w:val="16"/>
                <w:color w:val="auto"/>
              </w:rPr>
              <w:t>Foreign</w:t>
            </w:r>
          </w:p>
        </w:tc>
        <w:tc>
          <w:tcPr>
            <w:tcW w:w="940" w:type="dxa"/>
            <w:vAlign w:val="bottom"/>
          </w:tcPr>
          <w:p>
            <w:pPr>
              <w:jc w:val="right"/>
              <w:ind w:right="159"/>
              <w:spacing w:after="0" w:line="162" w:lineRule="exact"/>
              <w:rPr>
                <w:sz w:val="20"/>
                <w:szCs w:val="20"/>
                <w:color w:val="auto"/>
              </w:rPr>
            </w:pPr>
            <w:r>
              <w:rPr>
                <w:rFonts w:ascii="Arial" w:cs="Arial" w:eastAsia="Arial" w:hAnsi="Arial"/>
                <w:sz w:val="16"/>
                <w:szCs w:val="16"/>
                <w:color w:val="auto"/>
              </w:rPr>
              <w:t>Currency</w:t>
            </w:r>
          </w:p>
        </w:tc>
        <w:tc>
          <w:tcPr>
            <w:tcW w:w="0" w:type="dxa"/>
            <w:vAlign w:val="bottom"/>
          </w:tcPr>
          <w:p>
            <w:pPr>
              <w:spacing w:after="0"/>
              <w:rPr>
                <w:sz w:val="1"/>
                <w:szCs w:val="1"/>
                <w:color w:val="auto"/>
              </w:rPr>
            </w:pPr>
          </w:p>
        </w:tc>
      </w:tr>
      <w:tr>
        <w:trPr>
          <w:trHeight w:val="215"/>
        </w:trPr>
        <w:tc>
          <w:tcPr>
            <w:tcW w:w="77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6"/>
                <w:szCs w:val="16"/>
                <w:color w:val="auto"/>
              </w:rPr>
              <w:t>Currency</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Amounts</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b w:val="1"/>
                <w:bCs w:val="1"/>
                <w:color w:val="auto"/>
              </w:rPr>
              <w:t>Reconciliation of Connectivity &amp; Platforms Constant Currency</w:t>
            </w: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7700" w:type="dxa"/>
            <w:vAlign w:val="bottom"/>
          </w:tcPr>
          <w:p>
            <w:pPr>
              <w:spacing w:after="0"/>
              <w:rPr>
                <w:sz w:val="20"/>
                <w:szCs w:val="20"/>
                <w:color w:val="auto"/>
              </w:rPr>
            </w:pPr>
            <w:r>
              <w:rPr>
                <w:rFonts w:ascii="Arial" w:cs="Arial" w:eastAsia="Arial" w:hAnsi="Arial"/>
                <w:sz w:val="16"/>
                <w:szCs w:val="16"/>
                <w:b w:val="1"/>
                <w:bCs w:val="1"/>
                <w:color w:val="auto"/>
              </w:rPr>
              <w:t>Connectivity &amp; Platforms Revenue</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70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140" w:type="dxa"/>
            <w:vAlign w:val="bottom"/>
          </w:tcPr>
          <w:p>
            <w:pPr>
              <w:jc w:val="right"/>
              <w:spacing w:after="0"/>
              <w:rPr>
                <w:sz w:val="20"/>
                <w:szCs w:val="20"/>
                <w:color w:val="auto"/>
              </w:rPr>
            </w:pPr>
            <w:r>
              <w:rPr>
                <w:rFonts w:ascii="Arial" w:cs="Arial" w:eastAsia="Arial" w:hAnsi="Arial"/>
                <w:sz w:val="16"/>
                <w:szCs w:val="16"/>
                <w:color w:val="auto"/>
              </w:rPr>
              <w:t>$17,665</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$17,966</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140" w:type="dxa"/>
            <w:vAlign w:val="bottom"/>
          </w:tcPr>
          <w:p>
            <w:pPr>
              <w:jc w:val="right"/>
              <w:spacing w:after="0"/>
              <w:rPr>
                <w:sz w:val="20"/>
                <w:szCs w:val="20"/>
                <w:color w:val="auto"/>
              </w:rPr>
            </w:pPr>
            <w:r>
              <w:rPr>
                <w:rFonts w:ascii="Arial" w:cs="Arial" w:eastAsia="Arial" w:hAnsi="Arial"/>
                <w:sz w:val="16"/>
                <w:szCs w:val="16"/>
                <w:color w:val="auto"/>
              </w:rPr>
              <w:t>2,496</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2,497</w:t>
            </w:r>
          </w:p>
        </w:tc>
        <w:tc>
          <w:tcPr>
            <w:tcW w:w="0" w:type="dxa"/>
            <w:vAlign w:val="bottom"/>
          </w:tcPr>
          <w:p>
            <w:pPr>
              <w:spacing w:after="0"/>
              <w:rPr>
                <w:sz w:val="1"/>
                <w:szCs w:val="1"/>
                <w:color w:val="auto"/>
              </w:rPr>
            </w:pPr>
          </w:p>
        </w:tc>
      </w:tr>
      <w:tr>
        <w:trPr>
          <w:trHeight w:val="218"/>
        </w:trPr>
        <w:tc>
          <w:tcPr>
            <w:tcW w:w="770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Revenue</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$20,161</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$20,464</w:t>
            </w:r>
          </w:p>
        </w:tc>
        <w:tc>
          <w:tcPr>
            <w:tcW w:w="0" w:type="dxa"/>
            <w:vAlign w:val="bottom"/>
          </w:tcPr>
          <w:p>
            <w:pPr>
              <w:spacing w:after="0"/>
              <w:rPr>
                <w:sz w:val="1"/>
                <w:szCs w:val="1"/>
                <w:color w:val="auto"/>
              </w:rPr>
            </w:pPr>
          </w:p>
        </w:tc>
      </w:tr>
      <w:tr>
        <w:trPr>
          <w:trHeight w:val="357"/>
        </w:trPr>
        <w:tc>
          <w:tcPr>
            <w:tcW w:w="7700" w:type="dxa"/>
            <w:vAlign w:val="bottom"/>
          </w:tcPr>
          <w:p>
            <w:pPr>
              <w:spacing w:after="0"/>
              <w:rPr>
                <w:sz w:val="20"/>
                <w:szCs w:val="20"/>
                <w:color w:val="auto"/>
              </w:rPr>
            </w:pPr>
            <w:r>
              <w:rPr>
                <w:rFonts w:ascii="Arial" w:cs="Arial" w:eastAsia="Arial" w:hAnsi="Arial"/>
                <w:sz w:val="16"/>
                <w:szCs w:val="16"/>
                <w:b w:val="1"/>
                <w:bCs w:val="1"/>
                <w:color w:val="auto"/>
              </w:rPr>
              <w:t>Connectivity and Platforms Adjusted EBITDA</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70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140" w:type="dxa"/>
            <w:vAlign w:val="bottom"/>
          </w:tcPr>
          <w:p>
            <w:pPr>
              <w:jc w:val="right"/>
              <w:spacing w:after="0"/>
              <w:rPr>
                <w:sz w:val="20"/>
                <w:szCs w:val="20"/>
                <w:color w:val="auto"/>
              </w:rPr>
            </w:pPr>
            <w:r>
              <w:rPr>
                <w:rFonts w:ascii="Arial" w:cs="Arial" w:eastAsia="Arial" w:hAnsi="Arial"/>
                <w:sz w:val="16"/>
                <w:szCs w:val="16"/>
                <w:color w:val="auto"/>
              </w:rPr>
              <w:t>$6,842</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$6,879</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140" w:type="dxa"/>
            <w:vAlign w:val="bottom"/>
          </w:tcPr>
          <w:p>
            <w:pPr>
              <w:jc w:val="right"/>
              <w:spacing w:after="0"/>
              <w:rPr>
                <w:sz w:val="20"/>
                <w:szCs w:val="20"/>
                <w:color w:val="auto"/>
              </w:rPr>
            </w:pPr>
            <w:r>
              <w:rPr>
                <w:rFonts w:ascii="Arial" w:cs="Arial" w:eastAsia="Arial" w:hAnsi="Arial"/>
                <w:sz w:val="16"/>
                <w:szCs w:val="16"/>
                <w:color w:val="auto"/>
              </w:rPr>
              <w:t>1,422</w:t>
            </w:r>
          </w:p>
        </w:tc>
        <w:tc>
          <w:tcPr>
            <w:tcW w:w="120" w:type="dxa"/>
            <w:vAlign w:val="bottom"/>
          </w:tcPr>
          <w:p>
            <w:pPr>
              <w:spacing w:after="0"/>
              <w:rPr>
                <w:sz w:val="18"/>
                <w:szCs w:val="18"/>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1,422</w:t>
            </w:r>
          </w:p>
        </w:tc>
        <w:tc>
          <w:tcPr>
            <w:tcW w:w="0" w:type="dxa"/>
            <w:vAlign w:val="bottom"/>
          </w:tcPr>
          <w:p>
            <w:pPr>
              <w:spacing w:after="0"/>
              <w:rPr>
                <w:sz w:val="1"/>
                <w:szCs w:val="1"/>
                <w:color w:val="auto"/>
              </w:rPr>
            </w:pPr>
          </w:p>
        </w:tc>
      </w:tr>
      <w:tr>
        <w:trPr>
          <w:trHeight w:val="218"/>
        </w:trPr>
        <w:tc>
          <w:tcPr>
            <w:tcW w:w="770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Adjusted EBITDA</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$8,264</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$8,301</w:t>
            </w:r>
          </w:p>
        </w:tc>
        <w:tc>
          <w:tcPr>
            <w:tcW w:w="0" w:type="dxa"/>
            <w:vAlign w:val="bottom"/>
          </w:tcPr>
          <w:p>
            <w:pPr>
              <w:spacing w:after="0"/>
              <w:rPr>
                <w:sz w:val="1"/>
                <w:szCs w:val="1"/>
                <w:color w:val="auto"/>
              </w:rPr>
            </w:pPr>
          </w:p>
        </w:tc>
      </w:tr>
      <w:tr>
        <w:trPr>
          <w:trHeight w:val="357"/>
        </w:trPr>
        <w:tc>
          <w:tcPr>
            <w:tcW w:w="7700" w:type="dxa"/>
            <w:vAlign w:val="bottom"/>
          </w:tcPr>
          <w:p>
            <w:pPr>
              <w:spacing w:after="0"/>
              <w:rPr>
                <w:sz w:val="20"/>
                <w:szCs w:val="20"/>
                <w:color w:val="auto"/>
              </w:rPr>
            </w:pPr>
            <w:r>
              <w:rPr>
                <w:rFonts w:ascii="Arial" w:cs="Arial" w:eastAsia="Arial" w:hAnsi="Arial"/>
                <w:sz w:val="16"/>
                <w:szCs w:val="16"/>
                <w:b w:val="1"/>
                <w:bCs w:val="1"/>
                <w:color w:val="auto"/>
              </w:rPr>
              <w:t>Connectivity &amp; Platforms Adjusted EBITDA Margin</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70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140" w:type="dxa"/>
            <w:vAlign w:val="bottom"/>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6"/>
                <w:szCs w:val="16"/>
                <w:color w:val="auto"/>
              </w:rPr>
              <w:t>(40) bps</w:t>
            </w:r>
          </w:p>
        </w:tc>
        <w:tc>
          <w:tcPr>
            <w:tcW w:w="940" w:type="dxa"/>
            <w:vAlign w:val="bottom"/>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140" w:type="dxa"/>
            <w:vAlign w:val="bottom"/>
          </w:tcPr>
          <w:p>
            <w:pPr>
              <w:jc w:val="right"/>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6"/>
                <w:szCs w:val="16"/>
                <w:color w:val="auto"/>
              </w:rPr>
              <w:t>(10) bps</w:t>
            </w:r>
          </w:p>
        </w:tc>
        <w:tc>
          <w:tcPr>
            <w:tcW w:w="940" w:type="dxa"/>
            <w:vAlign w:val="bottom"/>
          </w:tcPr>
          <w:p>
            <w:pPr>
              <w:jc w:val="right"/>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18"/>
        </w:trPr>
        <w:tc>
          <w:tcPr>
            <w:tcW w:w="770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Adjusted EBITDA Margin</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41.0%</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 bps</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40.6%</w:t>
            </w:r>
          </w:p>
        </w:tc>
        <w:tc>
          <w:tcPr>
            <w:tcW w:w="0" w:type="dxa"/>
            <w:vAlign w:val="bottom"/>
          </w:tcPr>
          <w:p>
            <w:pPr>
              <w:spacing w:after="0"/>
              <w:rPr>
                <w:sz w:val="1"/>
                <w:szCs w:val="1"/>
                <w:color w:val="auto"/>
              </w:rPr>
            </w:pPr>
          </w:p>
        </w:tc>
      </w:tr>
      <w:tr>
        <w:trPr>
          <w:trHeight w:val="439"/>
        </w:trPr>
        <w:tc>
          <w:tcPr>
            <w:tcW w:w="7700" w:type="dxa"/>
            <w:vAlign w:val="bottom"/>
          </w:tcPr>
          <w:p>
            <w:pPr>
              <w:spacing w:after="0"/>
              <w:rPr>
                <w:sz w:val="24"/>
                <w:szCs w:val="24"/>
                <w:color w:val="auto"/>
              </w:rPr>
            </w:pPr>
          </w:p>
        </w:tc>
        <w:tc>
          <w:tcPr>
            <w:tcW w:w="2580" w:type="dxa"/>
            <w:vAlign w:val="bottom"/>
            <w:gridSpan w:val="5"/>
          </w:tcPr>
          <w:p>
            <w:pPr>
              <w:jc w:val="center"/>
              <w:ind w:left="859"/>
              <w:spacing w:after="0"/>
              <w:rPr>
                <w:sz w:val="20"/>
                <w:szCs w:val="20"/>
                <w:color w:val="auto"/>
              </w:rPr>
            </w:pPr>
            <w:r>
              <w:rPr>
                <w:rFonts w:ascii="Arial" w:cs="Arial" w:eastAsia="Arial" w:hAnsi="Arial"/>
                <w:sz w:val="16"/>
                <w:szCs w:val="16"/>
                <w:b w:val="1"/>
                <w:bCs w:val="1"/>
                <w:color w:val="auto"/>
              </w:rPr>
              <w:t>Three Months Ended</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March 31, 2025</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center"/>
              <w:ind w:right="320"/>
              <w:spacing w:after="0" w:line="163" w:lineRule="exact"/>
              <w:rPr>
                <w:sz w:val="20"/>
                <w:szCs w:val="20"/>
                <w:color w:val="auto"/>
              </w:rPr>
            </w:pPr>
            <w:r>
              <w:rPr>
                <w:rFonts w:ascii="Arial" w:cs="Arial" w:eastAsia="Arial" w:hAnsi="Arial"/>
                <w:sz w:val="16"/>
                <w:szCs w:val="16"/>
                <w:color w:val="auto"/>
              </w:rPr>
              <w:t>Effects of</w:t>
            </w:r>
          </w:p>
        </w:tc>
        <w:tc>
          <w:tcPr>
            <w:tcW w:w="940" w:type="dxa"/>
            <w:vAlign w:val="bottom"/>
          </w:tcPr>
          <w:p>
            <w:pPr>
              <w:jc w:val="right"/>
              <w:ind w:right="159"/>
              <w:spacing w:after="0" w:line="163" w:lineRule="exact"/>
              <w:rPr>
                <w:sz w:val="20"/>
                <w:szCs w:val="20"/>
                <w:color w:val="auto"/>
              </w:rPr>
            </w:pPr>
            <w:r>
              <w:rPr>
                <w:rFonts w:ascii="Arial" w:cs="Arial" w:eastAsia="Arial" w:hAnsi="Arial"/>
                <w:sz w:val="16"/>
                <w:szCs w:val="16"/>
                <w:color w:val="auto"/>
              </w:rPr>
              <w:t>Constant</w:t>
            </w:r>
          </w:p>
        </w:tc>
        <w:tc>
          <w:tcPr>
            <w:tcW w:w="0" w:type="dxa"/>
            <w:vAlign w:val="bottom"/>
          </w:tcPr>
          <w:p>
            <w:pPr>
              <w:spacing w:after="0"/>
              <w:rPr>
                <w:sz w:val="1"/>
                <w:szCs w:val="1"/>
                <w:color w:val="auto"/>
              </w:rPr>
            </w:pPr>
          </w:p>
        </w:tc>
      </w:tr>
      <w:tr>
        <w:trPr>
          <w:trHeight w:val="162"/>
        </w:trPr>
        <w:tc>
          <w:tcPr>
            <w:tcW w:w="770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As Reported</w:t>
            </w:r>
          </w:p>
        </w:tc>
        <w:tc>
          <w:tcPr>
            <w:tcW w:w="120" w:type="dxa"/>
            <w:vAlign w:val="bottom"/>
          </w:tcPr>
          <w:p>
            <w:pPr>
              <w:spacing w:after="0"/>
              <w:rPr>
                <w:sz w:val="14"/>
                <w:szCs w:val="14"/>
                <w:color w:val="auto"/>
              </w:rPr>
            </w:pPr>
          </w:p>
        </w:tc>
        <w:tc>
          <w:tcPr>
            <w:tcW w:w="1320" w:type="dxa"/>
            <w:vAlign w:val="bottom"/>
            <w:gridSpan w:val="3"/>
          </w:tcPr>
          <w:p>
            <w:pPr>
              <w:jc w:val="center"/>
              <w:ind w:right="320"/>
              <w:spacing w:after="0" w:line="162" w:lineRule="exact"/>
              <w:rPr>
                <w:sz w:val="20"/>
                <w:szCs w:val="20"/>
                <w:color w:val="auto"/>
              </w:rPr>
            </w:pPr>
            <w:r>
              <w:rPr>
                <w:rFonts w:ascii="Arial" w:cs="Arial" w:eastAsia="Arial" w:hAnsi="Arial"/>
                <w:sz w:val="16"/>
                <w:szCs w:val="16"/>
                <w:color w:val="auto"/>
              </w:rPr>
              <w:t>Foreign</w:t>
            </w:r>
          </w:p>
        </w:tc>
        <w:tc>
          <w:tcPr>
            <w:tcW w:w="940" w:type="dxa"/>
            <w:vAlign w:val="bottom"/>
          </w:tcPr>
          <w:p>
            <w:pPr>
              <w:jc w:val="right"/>
              <w:ind w:right="159"/>
              <w:spacing w:after="0" w:line="162" w:lineRule="exact"/>
              <w:rPr>
                <w:sz w:val="20"/>
                <w:szCs w:val="20"/>
                <w:color w:val="auto"/>
              </w:rPr>
            </w:pPr>
            <w:r>
              <w:rPr>
                <w:rFonts w:ascii="Arial" w:cs="Arial" w:eastAsia="Arial" w:hAnsi="Arial"/>
                <w:sz w:val="16"/>
                <w:szCs w:val="16"/>
                <w:color w:val="auto"/>
              </w:rPr>
              <w:t>Currency</w:t>
            </w:r>
          </w:p>
        </w:tc>
        <w:tc>
          <w:tcPr>
            <w:tcW w:w="0" w:type="dxa"/>
            <w:vAlign w:val="bottom"/>
          </w:tcPr>
          <w:p>
            <w:pPr>
              <w:spacing w:after="0"/>
              <w:rPr>
                <w:sz w:val="1"/>
                <w:szCs w:val="1"/>
                <w:color w:val="auto"/>
              </w:rPr>
            </w:pPr>
          </w:p>
        </w:tc>
      </w:tr>
      <w:tr>
        <w:trPr>
          <w:trHeight w:val="215"/>
        </w:trPr>
        <w:tc>
          <w:tcPr>
            <w:tcW w:w="77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6"/>
                <w:szCs w:val="16"/>
                <w:color w:val="auto"/>
              </w:rPr>
              <w:t>Currency</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Amounts</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b w:val="1"/>
                <w:bCs w:val="1"/>
                <w:color w:val="auto"/>
              </w:rPr>
              <w:t>Reconciliation of Residential Connectivity &amp; Platforms Constant Currency</w:t>
            </w: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770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700" w:type="dxa"/>
            <w:vAlign w:val="bottom"/>
          </w:tcPr>
          <w:p>
            <w:pPr>
              <w:ind w:left="440"/>
              <w:spacing w:after="0"/>
              <w:rPr>
                <w:sz w:val="20"/>
                <w:szCs w:val="20"/>
                <w:color w:val="auto"/>
              </w:rPr>
            </w:pPr>
            <w:r>
              <w:rPr>
                <w:rFonts w:ascii="Arial" w:cs="Arial" w:eastAsia="Arial" w:hAnsi="Arial"/>
                <w:sz w:val="16"/>
                <w:szCs w:val="16"/>
                <w:color w:val="auto"/>
              </w:rPr>
              <w:t>Domestic broadband</w:t>
            </w:r>
          </w:p>
        </w:tc>
        <w:tc>
          <w:tcPr>
            <w:tcW w:w="1140" w:type="dxa"/>
            <w:vAlign w:val="bottom"/>
          </w:tcPr>
          <w:p>
            <w:pPr>
              <w:jc w:val="right"/>
              <w:spacing w:after="0"/>
              <w:rPr>
                <w:sz w:val="20"/>
                <w:szCs w:val="20"/>
                <w:color w:val="auto"/>
              </w:rPr>
            </w:pPr>
            <w:r>
              <w:rPr>
                <w:rFonts w:ascii="Arial" w:cs="Arial" w:eastAsia="Arial" w:hAnsi="Arial"/>
                <w:sz w:val="16"/>
                <w:szCs w:val="16"/>
                <w:color w:val="auto"/>
              </w:rPr>
              <w:t>$6,679</w:t>
            </w:r>
          </w:p>
        </w:tc>
        <w:tc>
          <w:tcPr>
            <w:tcW w:w="120" w:type="dxa"/>
            <w:vAlign w:val="bottom"/>
          </w:tcPr>
          <w:p>
            <w:pPr>
              <w:spacing w:after="0"/>
              <w:rPr>
                <w:sz w:val="18"/>
                <w:szCs w:val="18"/>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$6,679</w:t>
            </w: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6"/>
                <w:szCs w:val="16"/>
                <w:color w:val="auto"/>
              </w:rPr>
              <w:t>Domestic wireless service</w:t>
            </w:r>
          </w:p>
        </w:tc>
        <w:tc>
          <w:tcPr>
            <w:tcW w:w="1140" w:type="dxa"/>
            <w:vAlign w:val="bottom"/>
          </w:tcPr>
          <w:p>
            <w:pPr>
              <w:jc w:val="right"/>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18"/>
                <w:szCs w:val="18"/>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10"/>
        </w:trPr>
        <w:tc>
          <w:tcPr>
            <w:tcW w:w="7700" w:type="dxa"/>
            <w:vAlign w:val="bottom"/>
          </w:tcPr>
          <w:p>
            <w:pPr>
              <w:ind w:left="340"/>
              <w:spacing w:after="0"/>
              <w:rPr>
                <w:sz w:val="20"/>
                <w:szCs w:val="20"/>
                <w:color w:val="auto"/>
              </w:rPr>
            </w:pPr>
            <w:r>
              <w:rPr>
                <w:rFonts w:ascii="Arial" w:cs="Arial" w:eastAsia="Arial" w:hAnsi="Arial"/>
                <w:sz w:val="16"/>
                <w:szCs w:val="16"/>
                <w:color w:val="auto"/>
              </w:rPr>
              <w:t>Domestic convergence revenue</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7,529</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7,529</w:t>
            </w:r>
          </w:p>
        </w:tc>
        <w:tc>
          <w:tcPr>
            <w:tcW w:w="0" w:type="dxa"/>
            <w:vAlign w:val="bottom"/>
          </w:tcPr>
          <w:p>
            <w:pPr>
              <w:spacing w:after="0"/>
              <w:rPr>
                <w:sz w:val="1"/>
                <w:szCs w:val="1"/>
                <w:color w:val="auto"/>
              </w:rPr>
            </w:pPr>
          </w:p>
        </w:tc>
      </w:tr>
      <w:tr>
        <w:trPr>
          <w:trHeight w:val="215"/>
        </w:trPr>
        <w:tc>
          <w:tcPr>
            <w:tcW w:w="7700" w:type="dxa"/>
            <w:vAlign w:val="bottom"/>
          </w:tcPr>
          <w:p>
            <w:pPr>
              <w:ind w:left="340"/>
              <w:spacing w:after="0"/>
              <w:rPr>
                <w:sz w:val="20"/>
                <w:szCs w:val="20"/>
                <w:color w:val="auto"/>
              </w:rPr>
            </w:pPr>
            <w:r>
              <w:rPr>
                <w:rFonts w:ascii="Arial" w:cs="Arial" w:eastAsia="Arial" w:hAnsi="Arial"/>
                <w:sz w:val="16"/>
                <w:szCs w:val="16"/>
                <w:color w:val="auto"/>
              </w:rPr>
              <w:t>Domestic wireless equipment</w:t>
            </w:r>
          </w:p>
        </w:tc>
        <w:tc>
          <w:tcPr>
            <w:tcW w:w="1140" w:type="dxa"/>
            <w:vAlign w:val="bottom"/>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18"/>
                <w:szCs w:val="18"/>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16"/>
        </w:trPr>
        <w:tc>
          <w:tcPr>
            <w:tcW w:w="7700" w:type="dxa"/>
            <w:vAlign w:val="bottom"/>
          </w:tcPr>
          <w:p>
            <w:pPr>
              <w:ind w:left="340"/>
              <w:spacing w:after="0"/>
              <w:rPr>
                <w:sz w:val="20"/>
                <w:szCs w:val="20"/>
                <w:color w:val="auto"/>
              </w:rPr>
            </w:pPr>
            <w:r>
              <w:rPr>
                <w:rFonts w:ascii="Arial" w:cs="Arial" w:eastAsia="Arial" w:hAnsi="Arial"/>
                <w:sz w:val="16"/>
                <w:szCs w:val="16"/>
                <w:color w:val="auto"/>
              </w:rPr>
              <w:t>International connectivity</w:t>
            </w:r>
          </w:p>
        </w:tc>
        <w:tc>
          <w:tcPr>
            <w:tcW w:w="1140" w:type="dxa"/>
            <w:vAlign w:val="bottom"/>
          </w:tcPr>
          <w:p>
            <w:pPr>
              <w:jc w:val="right"/>
              <w:spacing w:after="0"/>
              <w:rPr>
                <w:sz w:val="20"/>
                <w:szCs w:val="20"/>
                <w:color w:val="auto"/>
              </w:rPr>
            </w:pPr>
            <w:r>
              <w:rPr>
                <w:rFonts w:ascii="Arial" w:cs="Arial" w:eastAsia="Arial" w:hAnsi="Arial"/>
                <w:sz w:val="16"/>
                <w:szCs w:val="16"/>
                <w:color w:val="auto"/>
              </w:rPr>
              <w:t>1,132</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211"/>
        </w:trPr>
        <w:tc>
          <w:tcPr>
            <w:tcW w:w="7700" w:type="dxa"/>
            <w:vAlign w:val="bottom"/>
          </w:tcPr>
          <w:p>
            <w:pPr>
              <w:ind w:left="220"/>
              <w:spacing w:after="0"/>
              <w:rPr>
                <w:sz w:val="20"/>
                <w:szCs w:val="20"/>
                <w:color w:val="auto"/>
              </w:rPr>
            </w:pPr>
            <w:r>
              <w:rPr>
                <w:rFonts w:ascii="Arial" w:cs="Arial" w:eastAsia="Arial" w:hAnsi="Arial"/>
                <w:sz w:val="16"/>
                <w:szCs w:val="16"/>
                <w:color w:val="auto"/>
              </w:rPr>
              <w:t>Total residential connectivity</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$8,933</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$9,017</w:t>
            </w:r>
          </w:p>
        </w:tc>
        <w:tc>
          <w:tcPr>
            <w:tcW w:w="0" w:type="dxa"/>
            <w:vAlign w:val="bottom"/>
          </w:tcPr>
          <w:p>
            <w:pPr>
              <w:spacing w:after="0"/>
              <w:rPr>
                <w:sz w:val="1"/>
                <w:szCs w:val="1"/>
                <w:color w:val="auto"/>
              </w:rPr>
            </w:pPr>
          </w:p>
        </w:tc>
      </w:tr>
      <w:tr>
        <w:trPr>
          <w:trHeight w:val="215"/>
        </w:trPr>
        <w:tc>
          <w:tcPr>
            <w:tcW w:w="7700" w:type="dxa"/>
            <w:vAlign w:val="bottom"/>
          </w:tcPr>
          <w:p>
            <w:pPr>
              <w:ind w:left="220"/>
              <w:spacing w:after="0"/>
              <w:rPr>
                <w:sz w:val="20"/>
                <w:szCs w:val="20"/>
                <w:color w:val="auto"/>
              </w:rPr>
            </w:pPr>
            <w:r>
              <w:rPr>
                <w:rFonts w:ascii="Arial" w:cs="Arial" w:eastAsia="Arial" w:hAnsi="Arial"/>
                <w:sz w:val="16"/>
                <w:szCs w:val="16"/>
                <w:color w:val="auto"/>
              </w:rPr>
              <w:t>Video</w:t>
            </w:r>
          </w:p>
        </w:tc>
        <w:tc>
          <w:tcPr>
            <w:tcW w:w="1140" w:type="dxa"/>
            <w:vAlign w:val="bottom"/>
          </w:tcPr>
          <w:p>
            <w:pPr>
              <w:jc w:val="right"/>
              <w:spacing w:after="0"/>
              <w:rPr>
                <w:sz w:val="20"/>
                <w:szCs w:val="20"/>
                <w:color w:val="auto"/>
              </w:rPr>
            </w:pPr>
            <w:r>
              <w:rPr>
                <w:rFonts w:ascii="Arial" w:cs="Arial" w:eastAsia="Arial" w:hAnsi="Arial"/>
                <w:sz w:val="16"/>
                <w:szCs w:val="16"/>
                <w:color w:val="auto"/>
              </w:rPr>
              <w:t>6,600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6,769</w:t>
            </w: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6"/>
                <w:szCs w:val="16"/>
                <w:color w:val="auto"/>
              </w:rPr>
              <w:t>Advertising</w:t>
            </w:r>
          </w:p>
        </w:tc>
        <w:tc>
          <w:tcPr>
            <w:tcW w:w="1140" w:type="dxa"/>
            <w:vAlign w:val="bottom"/>
          </w:tcPr>
          <w:p>
            <w:pPr>
              <w:jc w:val="right"/>
              <w:spacing w:after="0"/>
              <w:rPr>
                <w:sz w:val="20"/>
                <w:szCs w:val="20"/>
                <w:color w:val="auto"/>
              </w:rPr>
            </w:pPr>
            <w:r>
              <w:rPr>
                <w:rFonts w:ascii="Arial" w:cs="Arial" w:eastAsia="Arial" w:hAnsi="Arial"/>
                <w:sz w:val="16"/>
                <w:szCs w:val="16"/>
                <w:color w:val="auto"/>
              </w:rPr>
              <w:t>899</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6"/>
                <w:szCs w:val="16"/>
                <w:color w:val="auto"/>
              </w:rPr>
              <w:t>Other</w:t>
            </w:r>
          </w:p>
        </w:tc>
        <w:tc>
          <w:tcPr>
            <w:tcW w:w="1140" w:type="dxa"/>
            <w:vAlign w:val="bottom"/>
          </w:tcPr>
          <w:p>
            <w:pPr>
              <w:jc w:val="right"/>
              <w:spacing w:after="0"/>
              <w:rPr>
                <w:sz w:val="20"/>
                <w:szCs w:val="20"/>
                <w:color w:val="auto"/>
              </w:rPr>
            </w:pPr>
            <w:r>
              <w:rPr>
                <w:rFonts w:ascii="Arial" w:cs="Arial" w:eastAsia="Arial" w:hAnsi="Arial"/>
                <w:sz w:val="16"/>
                <w:szCs w:val="16"/>
                <w:color w:val="auto"/>
              </w:rPr>
              <w:t>1,233</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1,256</w:t>
            </w:r>
          </w:p>
        </w:tc>
        <w:tc>
          <w:tcPr>
            <w:tcW w:w="0" w:type="dxa"/>
            <w:vAlign w:val="bottom"/>
          </w:tcPr>
          <w:p>
            <w:pPr>
              <w:spacing w:after="0"/>
              <w:rPr>
                <w:sz w:val="1"/>
                <w:szCs w:val="1"/>
                <w:color w:val="auto"/>
              </w:rPr>
            </w:pPr>
          </w:p>
        </w:tc>
      </w:tr>
      <w:tr>
        <w:trPr>
          <w:trHeight w:val="218"/>
        </w:trPr>
        <w:tc>
          <w:tcPr>
            <w:tcW w:w="770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$17,665</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$17,966</w:t>
            </w:r>
          </w:p>
        </w:tc>
        <w:tc>
          <w:tcPr>
            <w:tcW w:w="0" w:type="dxa"/>
            <w:vAlign w:val="bottom"/>
          </w:tcPr>
          <w:p>
            <w:pPr>
              <w:spacing w:after="0"/>
              <w:rPr>
                <w:sz w:val="1"/>
                <w:szCs w:val="1"/>
                <w:color w:val="auto"/>
              </w:rPr>
            </w:pPr>
          </w:p>
        </w:tc>
      </w:tr>
      <w:tr>
        <w:trPr>
          <w:trHeight w:val="357"/>
        </w:trPr>
        <w:tc>
          <w:tcPr>
            <w:tcW w:w="770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700" w:type="dxa"/>
            <w:vAlign w:val="bottom"/>
          </w:tcPr>
          <w:p>
            <w:pPr>
              <w:ind w:left="220"/>
              <w:spacing w:after="0"/>
              <w:rPr>
                <w:sz w:val="20"/>
                <w:szCs w:val="20"/>
                <w:color w:val="auto"/>
              </w:rPr>
            </w:pPr>
            <w:r>
              <w:rPr>
                <w:rFonts w:ascii="Arial" w:cs="Arial" w:eastAsia="Arial" w:hAnsi="Arial"/>
                <w:sz w:val="16"/>
                <w:szCs w:val="16"/>
                <w:color w:val="auto"/>
              </w:rPr>
              <w:t>Programming</w:t>
            </w:r>
          </w:p>
        </w:tc>
        <w:tc>
          <w:tcPr>
            <w:tcW w:w="1140" w:type="dxa"/>
            <w:vAlign w:val="bottom"/>
          </w:tcPr>
          <w:p>
            <w:pPr>
              <w:jc w:val="right"/>
              <w:spacing w:after="0"/>
              <w:rPr>
                <w:sz w:val="20"/>
                <w:szCs w:val="20"/>
                <w:color w:val="auto"/>
              </w:rPr>
            </w:pPr>
            <w:r>
              <w:rPr>
                <w:rFonts w:ascii="Arial" w:cs="Arial" w:eastAsia="Arial" w:hAnsi="Arial"/>
                <w:sz w:val="16"/>
                <w:szCs w:val="16"/>
                <w:color w:val="auto"/>
              </w:rPr>
              <w:t>$4,107</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$4,217</w:t>
            </w: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6"/>
                <w:szCs w:val="16"/>
                <w:color w:val="auto"/>
              </w:rPr>
              <w:t>Non-Programming</w:t>
            </w:r>
          </w:p>
        </w:tc>
        <w:tc>
          <w:tcPr>
            <w:tcW w:w="1140" w:type="dxa"/>
            <w:vAlign w:val="bottom"/>
          </w:tcPr>
          <w:p>
            <w:pPr>
              <w:jc w:val="right"/>
              <w:spacing w:after="0"/>
              <w:rPr>
                <w:sz w:val="20"/>
                <w:szCs w:val="20"/>
                <w:color w:val="auto"/>
              </w:rPr>
            </w:pPr>
            <w:r>
              <w:rPr>
                <w:rFonts w:ascii="Arial" w:cs="Arial" w:eastAsia="Arial" w:hAnsi="Arial"/>
                <w:sz w:val="16"/>
                <w:szCs w:val="16"/>
                <w:color w:val="auto"/>
              </w:rPr>
              <w:t>6,716</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6,870</w:t>
            </w:r>
          </w:p>
        </w:tc>
        <w:tc>
          <w:tcPr>
            <w:tcW w:w="0" w:type="dxa"/>
            <w:vAlign w:val="bottom"/>
          </w:tcPr>
          <w:p>
            <w:pPr>
              <w:spacing w:after="0"/>
              <w:rPr>
                <w:sz w:val="1"/>
                <w:szCs w:val="1"/>
                <w:color w:val="auto"/>
              </w:rPr>
            </w:pPr>
          </w:p>
        </w:tc>
      </w:tr>
      <w:tr>
        <w:trPr>
          <w:trHeight w:val="218"/>
        </w:trPr>
        <w:tc>
          <w:tcPr>
            <w:tcW w:w="7700" w:type="dxa"/>
            <w:vAlign w:val="bottom"/>
          </w:tcPr>
          <w:p>
            <w:pPr>
              <w:spacing w:after="0"/>
              <w:rPr>
                <w:sz w:val="20"/>
                <w:szCs w:val="20"/>
                <w:color w:val="auto"/>
              </w:rPr>
            </w:pPr>
            <w:r>
              <w:rPr>
                <w:rFonts w:ascii="Arial" w:cs="Arial" w:eastAsia="Arial" w:hAnsi="Arial"/>
                <w:sz w:val="16"/>
                <w:szCs w:val="16"/>
                <w:b w:val="1"/>
                <w:bCs w:val="1"/>
                <w:color w:val="auto"/>
              </w:rPr>
              <w:t>Total Operating Expenses</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$10,823</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$11,087</w:t>
            </w:r>
          </w:p>
        </w:tc>
        <w:tc>
          <w:tcPr>
            <w:tcW w:w="0" w:type="dxa"/>
            <w:vAlign w:val="bottom"/>
          </w:tcPr>
          <w:p>
            <w:pPr>
              <w:spacing w:after="0"/>
              <w:rPr>
                <w:sz w:val="1"/>
                <w:szCs w:val="1"/>
                <w:color w:val="auto"/>
              </w:rPr>
            </w:pPr>
          </w:p>
        </w:tc>
      </w:tr>
      <w:tr>
        <w:trPr>
          <w:trHeight w:val="357"/>
        </w:trPr>
        <w:tc>
          <w:tcPr>
            <w:tcW w:w="770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$6,842</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$37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$6,879</w:t>
            </w:r>
          </w:p>
        </w:tc>
        <w:tc>
          <w:tcPr>
            <w:tcW w:w="0" w:type="dxa"/>
            <w:vAlign w:val="bottom"/>
          </w:tcPr>
          <w:p>
            <w:pPr>
              <w:spacing w:after="0"/>
              <w:rPr>
                <w:sz w:val="1"/>
                <w:szCs w:val="1"/>
                <w:color w:val="auto"/>
              </w:rPr>
            </w:pPr>
          </w:p>
        </w:tc>
      </w:tr>
      <w:tr>
        <w:trPr>
          <w:trHeight w:val="223"/>
        </w:trPr>
        <w:tc>
          <w:tcPr>
            <w:tcW w:w="7700" w:type="dxa"/>
            <w:vAlign w:val="bottom"/>
          </w:tcPr>
          <w:p>
            <w:pPr>
              <w:ind w:left="220"/>
              <w:spacing w:after="0"/>
              <w:rPr>
                <w:sz w:val="20"/>
                <w:szCs w:val="20"/>
                <w:color w:val="auto"/>
              </w:rPr>
            </w:pPr>
            <w:r>
              <w:rPr>
                <w:rFonts w:ascii="Arial" w:cs="Arial" w:eastAsia="Arial" w:hAnsi="Arial"/>
                <w:sz w:val="16"/>
                <w:szCs w:val="16"/>
                <w:i w:val="1"/>
                <w:iCs w:val="1"/>
                <w:color w:val="auto"/>
              </w:rPr>
              <w:t>Adjusted EBITDA Margin</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38.7%</w:t>
            </w:r>
          </w:p>
        </w:tc>
        <w:tc>
          <w:tcPr>
            <w:tcW w:w="120" w:type="dxa"/>
            <w:vAlign w:val="bottom"/>
          </w:tcPr>
          <w:p>
            <w:pPr>
              <w:spacing w:after="0"/>
              <w:rPr>
                <w:sz w:val="19"/>
                <w:szCs w:val="19"/>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(40) bps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20"/>
          </w:cols>
          <w:pgMar w:left="340" w:top="1006"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5"/>
          <w:szCs w:val="25"/>
          <w:b w:val="1"/>
          <w:bCs w:val="1"/>
          <w:color w:val="828282"/>
        </w:rPr>
        <w:t>TABLE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64135</wp:posOffset>
            </wp:positionV>
            <wp:extent cx="1028700" cy="411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0" cy="41148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828282"/>
        </w:rPr>
        <w:t>Reconciliation of Media Revenue Excluding Olympics and Super Bowl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062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3180" w:type="dxa"/>
            <w:vAlign w:val="bottom"/>
            <w:gridSpan w:val="5"/>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8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8040" w:type="dxa"/>
            <w:vAlign w:val="bottom"/>
          </w:tcPr>
          <w:p>
            <w:pPr>
              <w:spacing w:after="0"/>
              <w:rPr>
                <w:sz w:val="20"/>
                <w:szCs w:val="20"/>
                <w:color w:val="auto"/>
              </w:rPr>
            </w:pPr>
            <w:r>
              <w:rPr>
                <w:rFonts w:ascii="Arial" w:cs="Arial" w:eastAsia="Arial" w:hAnsi="Arial"/>
                <w:sz w:val="16"/>
                <w:szCs w:val="16"/>
                <w:color w:val="auto"/>
              </w:rPr>
              <w:t>(in millions)</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r>
      <w:tr>
        <w:trPr>
          <w:trHeight w:val="310"/>
        </w:trPr>
        <w:tc>
          <w:tcPr>
            <w:tcW w:w="8040" w:type="dxa"/>
            <w:vAlign w:val="bottom"/>
          </w:tcPr>
          <w:p>
            <w:pPr>
              <w:spacing w:after="0"/>
              <w:rPr>
                <w:sz w:val="20"/>
                <w:szCs w:val="20"/>
                <w:color w:val="auto"/>
              </w:rPr>
            </w:pPr>
            <w:r>
              <w:rPr>
                <w:rFonts w:ascii="Arial" w:cs="Arial" w:eastAsia="Arial" w:hAnsi="Arial"/>
                <w:sz w:val="16"/>
                <w:szCs w:val="16"/>
                <w:color w:val="auto"/>
              </w:rPr>
              <w:t>Revenue</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$7,280</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$4,527</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60.8%</w:t>
            </w:r>
          </w:p>
        </w:tc>
      </w:tr>
      <w:tr>
        <w:trPr>
          <w:trHeight w:val="270"/>
        </w:trPr>
        <w:tc>
          <w:tcPr>
            <w:tcW w:w="8040" w:type="dxa"/>
            <w:vAlign w:val="bottom"/>
          </w:tcPr>
          <w:p>
            <w:pPr>
              <w:spacing w:after="0"/>
              <w:rPr>
                <w:sz w:val="20"/>
                <w:szCs w:val="20"/>
                <w:color w:val="auto"/>
              </w:rPr>
            </w:pPr>
            <w:r>
              <w:rPr>
                <w:rFonts w:ascii="Arial" w:cs="Arial" w:eastAsia="Arial" w:hAnsi="Arial"/>
                <w:sz w:val="16"/>
                <w:szCs w:val="16"/>
                <w:color w:val="auto"/>
              </w:rPr>
              <w:t>Milan Cortina Olympics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1,420</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64"/>
        </w:trPr>
        <w:tc>
          <w:tcPr>
            <w:tcW w:w="8040" w:type="dxa"/>
            <w:vAlign w:val="bottom"/>
          </w:tcPr>
          <w:p>
            <w:pPr>
              <w:spacing w:after="0"/>
              <w:rPr>
                <w:sz w:val="20"/>
                <w:szCs w:val="20"/>
                <w:color w:val="auto"/>
              </w:rPr>
            </w:pPr>
            <w:r>
              <w:rPr>
                <w:rFonts w:ascii="Arial" w:cs="Arial" w:eastAsia="Arial" w:hAnsi="Arial"/>
                <w:sz w:val="16"/>
                <w:szCs w:val="16"/>
                <w:color w:val="auto"/>
              </w:rPr>
              <w:t>2026 Super Bowl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758</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8040" w:type="dxa"/>
            <w:vAlign w:val="bottom"/>
          </w:tcPr>
          <w:p>
            <w:pPr>
              <w:spacing w:after="0"/>
              <w:rPr>
                <w:sz w:val="20"/>
                <w:szCs w:val="20"/>
                <w:color w:val="auto"/>
              </w:rPr>
            </w:pPr>
            <w:r>
              <w:rPr>
                <w:rFonts w:ascii="Arial" w:cs="Arial" w:eastAsia="Arial" w:hAnsi="Arial"/>
                <w:sz w:val="16"/>
                <w:szCs w:val="16"/>
                <w:color w:val="auto"/>
              </w:rPr>
              <w:t>Revenue excluding Olympics and Super Bowl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$5,102</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$4,527</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12.7%</w:t>
            </w:r>
          </w:p>
        </w:tc>
      </w:tr>
      <w:tr>
        <w:trPr>
          <w:trHeight w:val="21"/>
        </w:trPr>
        <w:tc>
          <w:tcPr>
            <w:tcW w:w="8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828282"/>
        </w:rPr>
        <w:t>Reconciliation of Media Domestic Advertising Revenue Excluding Olympics and Super Bowl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3180" w:type="dxa"/>
            <w:vAlign w:val="bottom"/>
            <w:gridSpan w:val="5"/>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5"/>
        </w:trPr>
        <w:tc>
          <w:tcPr>
            <w:tcW w:w="8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left="59"/>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10"/>
        </w:trPr>
        <w:tc>
          <w:tcPr>
            <w:tcW w:w="8060" w:type="dxa"/>
            <w:vAlign w:val="bottom"/>
          </w:tcPr>
          <w:p>
            <w:pPr>
              <w:ind w:left="20"/>
              <w:spacing w:after="0"/>
              <w:rPr>
                <w:sz w:val="20"/>
                <w:szCs w:val="20"/>
                <w:color w:val="auto"/>
              </w:rPr>
            </w:pPr>
            <w:r>
              <w:rPr>
                <w:rFonts w:ascii="Arial" w:cs="Arial" w:eastAsia="Arial" w:hAnsi="Arial"/>
                <w:sz w:val="16"/>
                <w:szCs w:val="16"/>
                <w:color w:val="auto"/>
              </w:rPr>
              <w:t>Revenue</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$3,453</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$1,468</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135.3%</w:t>
            </w:r>
          </w:p>
        </w:tc>
        <w:tc>
          <w:tcPr>
            <w:tcW w:w="0" w:type="dxa"/>
            <w:vAlign w:val="bottom"/>
          </w:tcPr>
          <w:p>
            <w:pPr>
              <w:spacing w:after="0"/>
              <w:rPr>
                <w:sz w:val="1"/>
                <w:szCs w:val="1"/>
                <w:color w:val="auto"/>
              </w:rPr>
            </w:pPr>
          </w:p>
        </w:tc>
      </w:tr>
      <w:tr>
        <w:trPr>
          <w:trHeight w:val="270"/>
        </w:trPr>
        <w:tc>
          <w:tcPr>
            <w:tcW w:w="8060" w:type="dxa"/>
            <w:vAlign w:val="bottom"/>
          </w:tcPr>
          <w:p>
            <w:pPr>
              <w:ind w:left="20"/>
              <w:spacing w:after="0"/>
              <w:rPr>
                <w:sz w:val="20"/>
                <w:szCs w:val="20"/>
                <w:color w:val="auto"/>
              </w:rPr>
            </w:pPr>
            <w:r>
              <w:rPr>
                <w:rFonts w:ascii="Arial" w:cs="Arial" w:eastAsia="Arial" w:hAnsi="Arial"/>
                <w:sz w:val="16"/>
                <w:szCs w:val="16"/>
                <w:color w:val="auto"/>
              </w:rPr>
              <w:t>Milan Cortina Olympics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1,159</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060" w:type="dxa"/>
            <w:vAlign w:val="bottom"/>
          </w:tcPr>
          <w:p>
            <w:pPr>
              <w:ind w:left="20"/>
              <w:spacing w:after="0"/>
              <w:rPr>
                <w:sz w:val="20"/>
                <w:szCs w:val="20"/>
                <w:color w:val="auto"/>
              </w:rPr>
            </w:pPr>
            <w:r>
              <w:rPr>
                <w:rFonts w:ascii="Arial" w:cs="Arial" w:eastAsia="Arial" w:hAnsi="Arial"/>
                <w:sz w:val="16"/>
                <w:szCs w:val="16"/>
                <w:color w:val="auto"/>
              </w:rPr>
              <w:t>2026 Super Bowl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758</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20"/>
              <w:spacing w:after="0"/>
              <w:rPr>
                <w:sz w:val="20"/>
                <w:szCs w:val="20"/>
                <w:color w:val="auto"/>
              </w:rPr>
            </w:pPr>
            <w:r>
              <w:rPr>
                <w:rFonts w:ascii="Arial" w:cs="Arial" w:eastAsia="Arial" w:hAnsi="Arial"/>
                <w:sz w:val="16"/>
                <w:szCs w:val="16"/>
                <w:color w:val="auto"/>
              </w:rPr>
              <w:t>Revenue excluding Olympics and Super Bowl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$1,536</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
        </w:trPr>
        <w:tc>
          <w:tcPr>
            <w:tcW w:w="8060" w:type="dxa"/>
            <w:vAlign w:val="bottom"/>
            <w:vMerge w:val="restart"/>
          </w:tcPr>
          <w:p>
            <w:pPr>
              <w:ind w:left="20"/>
              <w:spacing w:after="0" w:line="250"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06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60" w:type="dxa"/>
            <w:vAlign w:val="bottom"/>
            <w:tcBorders>
              <w:bottom w:val="single" w:sz="8" w:color="004EA8"/>
            </w:tcBorders>
          </w:tcPr>
          <w:p>
            <w:pPr>
              <w:ind w:left="20"/>
              <w:spacing w:after="0"/>
              <w:rPr>
                <w:sz w:val="20"/>
                <w:szCs w:val="20"/>
                <w:color w:val="auto"/>
              </w:rPr>
            </w:pPr>
            <w:r>
              <w:rPr>
                <w:rFonts w:ascii="Arial" w:cs="Arial" w:eastAsia="Arial" w:hAnsi="Arial"/>
                <w:sz w:val="19"/>
                <w:szCs w:val="19"/>
                <w:b w:val="1"/>
                <w:bCs w:val="1"/>
                <w:color w:val="828282"/>
              </w:rPr>
              <w:t>Reconciliation of Media Domestic Distribution Revenue Excluding Olympics (Unaudited)</w:t>
            </w:r>
          </w:p>
        </w:tc>
        <w:tc>
          <w:tcPr>
            <w:tcW w:w="940" w:type="dxa"/>
            <w:vAlign w:val="bottom"/>
            <w:tcBorders>
              <w:bottom w:val="single" w:sz="8" w:color="004EA8"/>
            </w:tcBorders>
          </w:tcPr>
          <w:p>
            <w:pPr>
              <w:spacing w:after="0"/>
              <w:rPr>
                <w:sz w:val="21"/>
                <w:szCs w:val="21"/>
                <w:color w:val="auto"/>
              </w:rPr>
            </w:pPr>
          </w:p>
        </w:tc>
        <w:tc>
          <w:tcPr>
            <w:tcW w:w="100" w:type="dxa"/>
            <w:vAlign w:val="bottom"/>
            <w:tcBorders>
              <w:bottom w:val="single" w:sz="8" w:color="004EA8"/>
            </w:tcBorders>
          </w:tcPr>
          <w:p>
            <w:pPr>
              <w:spacing w:after="0"/>
              <w:rPr>
                <w:sz w:val="21"/>
                <w:szCs w:val="21"/>
                <w:color w:val="auto"/>
              </w:rPr>
            </w:pPr>
          </w:p>
        </w:tc>
        <w:tc>
          <w:tcPr>
            <w:tcW w:w="960" w:type="dxa"/>
            <w:vAlign w:val="bottom"/>
            <w:tcBorders>
              <w:bottom w:val="single" w:sz="8" w:color="004EA8"/>
            </w:tcBorders>
          </w:tcPr>
          <w:p>
            <w:pPr>
              <w:spacing w:after="0"/>
              <w:rPr>
                <w:sz w:val="21"/>
                <w:szCs w:val="21"/>
                <w:color w:val="auto"/>
              </w:rPr>
            </w:pPr>
          </w:p>
        </w:tc>
        <w:tc>
          <w:tcPr>
            <w:tcW w:w="100" w:type="dxa"/>
            <w:vAlign w:val="bottom"/>
            <w:tcBorders>
              <w:bottom w:val="single" w:sz="8" w:color="004EA8"/>
            </w:tcBorders>
          </w:tcPr>
          <w:p>
            <w:pPr>
              <w:spacing w:after="0"/>
              <w:rPr>
                <w:sz w:val="21"/>
                <w:szCs w:val="21"/>
                <w:color w:val="auto"/>
              </w:rPr>
            </w:pPr>
          </w:p>
        </w:tc>
        <w:tc>
          <w:tcPr>
            <w:tcW w:w="1080" w:type="dxa"/>
            <w:vAlign w:val="bottom"/>
            <w:tcBorders>
              <w:bottom w:val="single" w:sz="8" w:color="004EA8"/>
            </w:tcBorders>
          </w:tcPr>
          <w:p>
            <w:pPr>
              <w:spacing w:after="0"/>
              <w:rPr>
                <w:sz w:val="21"/>
                <w:szCs w:val="21"/>
                <w:color w:val="auto"/>
              </w:rPr>
            </w:pPr>
          </w:p>
        </w:tc>
        <w:tc>
          <w:tcPr>
            <w:tcW w:w="0" w:type="dxa"/>
            <w:vAlign w:val="bottom"/>
          </w:tcPr>
          <w:p>
            <w:pPr>
              <w:spacing w:after="0"/>
              <w:rPr>
                <w:sz w:val="1"/>
                <w:szCs w:val="1"/>
                <w:color w:val="auto"/>
              </w:rPr>
            </w:pPr>
          </w:p>
        </w:tc>
      </w:tr>
      <w:tr>
        <w:trPr>
          <w:trHeight w:val="533"/>
        </w:trPr>
        <w:tc>
          <w:tcPr>
            <w:tcW w:w="8060" w:type="dxa"/>
            <w:vAlign w:val="bottom"/>
          </w:tcPr>
          <w:p>
            <w:pPr>
              <w:spacing w:after="0"/>
              <w:rPr>
                <w:sz w:val="24"/>
                <w:szCs w:val="24"/>
                <w:color w:val="auto"/>
              </w:rPr>
            </w:pPr>
          </w:p>
        </w:tc>
        <w:tc>
          <w:tcPr>
            <w:tcW w:w="3180" w:type="dxa"/>
            <w:vAlign w:val="bottom"/>
            <w:gridSpan w:val="5"/>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5"/>
        </w:trPr>
        <w:tc>
          <w:tcPr>
            <w:tcW w:w="8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left="59"/>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458"/>
        </w:trPr>
        <w:tc>
          <w:tcPr>
            <w:tcW w:w="8060" w:type="dxa"/>
            <w:vAlign w:val="bottom"/>
          </w:tcPr>
          <w:p>
            <w:pPr>
              <w:ind w:left="20"/>
              <w:spacing w:after="0"/>
              <w:rPr>
                <w:sz w:val="20"/>
                <w:szCs w:val="20"/>
                <w:color w:val="auto"/>
              </w:rPr>
            </w:pPr>
            <w:r>
              <w:rPr>
                <w:rFonts w:ascii="Arial" w:cs="Arial" w:eastAsia="Arial" w:hAnsi="Arial"/>
                <w:sz w:val="16"/>
                <w:szCs w:val="16"/>
                <w:color w:val="auto"/>
              </w:rPr>
              <w:t>Revenue</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$2,283</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$1,667</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64"/>
        </w:trPr>
        <w:tc>
          <w:tcPr>
            <w:tcW w:w="8060" w:type="dxa"/>
            <w:vAlign w:val="bottom"/>
          </w:tcPr>
          <w:p>
            <w:pPr>
              <w:ind w:left="20"/>
              <w:spacing w:after="0"/>
              <w:rPr>
                <w:sz w:val="20"/>
                <w:szCs w:val="20"/>
                <w:color w:val="auto"/>
              </w:rPr>
            </w:pPr>
            <w:r>
              <w:rPr>
                <w:rFonts w:ascii="Arial" w:cs="Arial" w:eastAsia="Arial" w:hAnsi="Arial"/>
                <w:sz w:val="16"/>
                <w:szCs w:val="16"/>
                <w:color w:val="auto"/>
              </w:rPr>
              <w:t>Milan Cortina Olympics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262</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20"/>
              <w:spacing w:after="0"/>
              <w:rPr>
                <w:sz w:val="20"/>
                <w:szCs w:val="20"/>
                <w:color w:val="auto"/>
              </w:rPr>
            </w:pPr>
            <w:r>
              <w:rPr>
                <w:rFonts w:ascii="Arial" w:cs="Arial" w:eastAsia="Arial" w:hAnsi="Arial"/>
                <w:sz w:val="16"/>
                <w:szCs w:val="16"/>
                <w:color w:val="auto"/>
              </w:rPr>
              <w:t>Revenue excluding Olympics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$1,667</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806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979"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5"/>
          <w:szCs w:val="25"/>
          <w:b w:val="1"/>
          <w:bCs w:val="1"/>
          <w:color w:val="828282"/>
        </w:rPr>
        <w:t>TABLE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64135</wp:posOffset>
            </wp:positionV>
            <wp:extent cx="1028700" cy="411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0" cy="41148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828282"/>
        </w:rPr>
        <w:t>Reconciliation of Pro Forma Consolidated Revenue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062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302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r>
      <w:tr>
        <w:trPr>
          <w:trHeight w:val="215"/>
        </w:trPr>
        <w:tc>
          <w:tcPr>
            <w:tcW w:w="7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7"/>
        </w:trPr>
        <w:tc>
          <w:tcPr>
            <w:tcW w:w="7980" w:type="dxa"/>
            <w:vAlign w:val="bottom"/>
          </w:tcPr>
          <w:p>
            <w:pPr>
              <w:spacing w:after="0"/>
              <w:rPr>
                <w:sz w:val="20"/>
                <w:szCs w:val="20"/>
                <w:color w:val="auto"/>
              </w:rPr>
            </w:pPr>
            <w:r>
              <w:rPr>
                <w:rFonts w:ascii="Arial" w:cs="Arial" w:eastAsia="Arial" w:hAnsi="Arial"/>
                <w:sz w:val="16"/>
                <w:szCs w:val="16"/>
                <w:color w:val="auto"/>
              </w:rPr>
              <w:t>(in millions)</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220" w:type="dxa"/>
            <w:vAlign w:val="bottom"/>
            <w:tcBorders>
              <w:bottom w:val="single" w:sz="8" w:color="auto"/>
            </w:tcBorders>
          </w:tcPr>
          <w:p>
            <w:pPr>
              <w:spacing w:after="0"/>
              <w:rPr>
                <w:sz w:val="18"/>
                <w:szCs w:val="18"/>
                <w:color w:val="auto"/>
              </w:rPr>
            </w:pPr>
          </w:p>
        </w:tc>
      </w:tr>
      <w:tr>
        <w:trPr>
          <w:trHeight w:val="310"/>
        </w:trPr>
        <w:tc>
          <w:tcPr>
            <w:tcW w:w="7980" w:type="dxa"/>
            <w:vAlign w:val="bottom"/>
          </w:tcPr>
          <w:p>
            <w:pPr>
              <w:spacing w:after="0"/>
              <w:rPr>
                <w:sz w:val="20"/>
                <w:szCs w:val="20"/>
                <w:color w:val="auto"/>
              </w:rPr>
            </w:pPr>
            <w:r>
              <w:rPr>
                <w:rFonts w:ascii="Arial" w:cs="Arial" w:eastAsia="Arial" w:hAnsi="Arial"/>
                <w:sz w:val="16"/>
                <w:szCs w:val="16"/>
                <w:color w:val="auto"/>
              </w:rPr>
              <w:t>Consolidated Revenue</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$31,457</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$29,887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7980" w:type="dxa"/>
            <w:vAlign w:val="bottom"/>
          </w:tcPr>
          <w:p>
            <w:pPr>
              <w:spacing w:after="0"/>
              <w:rPr>
                <w:sz w:val="20"/>
                <w:szCs w:val="20"/>
                <w:color w:val="auto"/>
              </w:rPr>
            </w:pPr>
            <w:r>
              <w:rPr>
                <w:rFonts w:ascii="Arial" w:cs="Arial" w:eastAsia="Arial" w:hAnsi="Arial"/>
                <w:sz w:val="16"/>
                <w:szCs w:val="16"/>
                <w:color w:val="auto"/>
              </w:rPr>
              <w:t>Less: Versant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1,769</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64"/>
        </w:trPr>
        <w:tc>
          <w:tcPr>
            <w:tcW w:w="7980" w:type="dxa"/>
            <w:vAlign w:val="bottom"/>
          </w:tcPr>
          <w:p>
            <w:pPr>
              <w:spacing w:after="0"/>
              <w:rPr>
                <w:sz w:val="20"/>
                <w:szCs w:val="20"/>
                <w:color w:val="auto"/>
              </w:rPr>
            </w:pPr>
            <w:r>
              <w:rPr>
                <w:rFonts w:ascii="Arial" w:cs="Arial" w:eastAsia="Arial" w:hAnsi="Arial"/>
                <w:sz w:val="16"/>
                <w:szCs w:val="16"/>
                <w:color w:val="auto"/>
              </w:rPr>
              <w:t>Less: Eliminations</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0"/>
        </w:trPr>
        <w:tc>
          <w:tcPr>
            <w:tcW w:w="7980" w:type="dxa"/>
            <w:vAlign w:val="bottom"/>
          </w:tcPr>
          <w:p>
            <w:pPr>
              <w:spacing w:after="0"/>
              <w:rPr>
                <w:sz w:val="20"/>
                <w:szCs w:val="20"/>
                <w:color w:val="auto"/>
              </w:rPr>
            </w:pPr>
            <w:r>
              <w:rPr>
                <w:rFonts w:ascii="Arial" w:cs="Arial" w:eastAsia="Arial" w:hAnsi="Arial"/>
                <w:sz w:val="16"/>
                <w:szCs w:val="16"/>
                <w:color w:val="auto"/>
              </w:rPr>
              <w:t>Pro Forma Consolidated Revenue</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$31,457</w:t>
            </w:r>
          </w:p>
        </w:tc>
        <w:tc>
          <w:tcPr>
            <w:tcW w:w="12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$28,369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7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828282"/>
        </w:rPr>
        <w:t>Reconciliation of Pro Forma Consolidated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3240" w:type="dxa"/>
            <w:vAlign w:val="bottom"/>
            <w:gridSpan w:val="5"/>
          </w:tcPr>
          <w:p>
            <w:pPr>
              <w:jc w:val="right"/>
              <w:ind w:right="739"/>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7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7980" w:type="dxa"/>
            <w:vAlign w:val="bottom"/>
          </w:tcPr>
          <w:p>
            <w:pPr>
              <w:spacing w:after="0"/>
              <w:rPr>
                <w:sz w:val="20"/>
                <w:szCs w:val="20"/>
                <w:color w:val="auto"/>
              </w:rPr>
            </w:pPr>
            <w:r>
              <w:rPr>
                <w:rFonts w:ascii="Arial" w:cs="Arial" w:eastAsia="Arial" w:hAnsi="Arial"/>
                <w:sz w:val="16"/>
                <w:szCs w:val="16"/>
                <w:color w:val="auto"/>
              </w:rPr>
              <w:t>(in millions)</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r>
      <w:tr>
        <w:trPr>
          <w:trHeight w:val="303"/>
        </w:trPr>
        <w:tc>
          <w:tcPr>
            <w:tcW w:w="7980" w:type="dxa"/>
            <w:vAlign w:val="bottom"/>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$2,174</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$3,375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(147)</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706</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6"/>
                <w:szCs w:val="16"/>
                <w:color w:val="auto"/>
              </w:rPr>
              <w:t>Interest expense</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1,094</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309</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6"/>
                <w:szCs w:val="16"/>
                <w:color w:val="auto"/>
              </w:rPr>
              <w:t>Depreciation</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2,333</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2,231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6"/>
        </w:trPr>
        <w:tc>
          <w:tcPr>
            <w:tcW w:w="7980" w:type="dxa"/>
            <w:vAlign w:val="bottom"/>
          </w:tcPr>
          <w:p>
            <w:pPr>
              <w:spacing w:after="0"/>
              <w:rPr>
                <w:sz w:val="20"/>
                <w:szCs w:val="20"/>
                <w:color w:val="auto"/>
              </w:rPr>
            </w:pPr>
            <w:r>
              <w:rPr>
                <w:rFonts w:ascii="Arial" w:cs="Arial" w:eastAsia="Arial" w:hAnsi="Arial"/>
                <w:sz w:val="16"/>
                <w:szCs w:val="16"/>
                <w:color w:val="auto"/>
              </w:rPr>
              <w:t>Amortization</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1,533</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1,618</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7980" w:type="dxa"/>
            <w:vAlign w:val="bottom"/>
          </w:tcPr>
          <w:p>
            <w:pPr>
              <w:spacing w:after="0" w:line="216" w:lineRule="exact"/>
              <w:rPr>
                <w:sz w:val="20"/>
                <w:szCs w:val="20"/>
                <w:color w:val="auto"/>
              </w:rPr>
            </w:pPr>
            <w:r>
              <w:rPr>
                <w:rFonts w:ascii="Arial" w:cs="Arial" w:eastAsia="Arial" w:hAnsi="Arial"/>
                <w:sz w:val="16"/>
                <w:szCs w:val="16"/>
                <w:color w:val="auto"/>
              </w:rPr>
              <w:t>Transaction costs</w:t>
            </w:r>
            <w:r>
              <w:rPr>
                <w:rFonts w:ascii="Arial" w:cs="Arial" w:eastAsia="Arial" w:hAnsi="Arial"/>
                <w:sz w:val="21"/>
                <w:szCs w:val="21"/>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51</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980" w:type="dxa"/>
            <w:vAlign w:val="bottom"/>
          </w:tcPr>
          <w:p>
            <w:pPr>
              <w:spacing w:after="0" w:line="216" w:lineRule="exact"/>
              <w:rPr>
                <w:sz w:val="20"/>
                <w:szCs w:val="20"/>
                <w:color w:val="auto"/>
              </w:rPr>
            </w:pPr>
            <w:r>
              <w:rPr>
                <w:rFonts w:ascii="Arial" w:cs="Arial" w:eastAsia="Arial" w:hAnsi="Arial"/>
                <w:sz w:val="16"/>
                <w:szCs w:val="16"/>
                <w:color w:val="auto"/>
              </w:rPr>
              <w:t>Transaction-related costs</w:t>
            </w:r>
            <w:r>
              <w:rPr>
                <w:rFonts w:ascii="Arial" w:cs="Arial" w:eastAsia="Arial" w:hAnsi="Arial"/>
                <w:sz w:val="21"/>
                <w:szCs w:val="21"/>
                <w:color w:val="auto"/>
                <w:vertAlign w:val="superscript"/>
              </w:rPr>
              <w:t>(1)</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7"/>
        </w:trPr>
        <w:tc>
          <w:tcPr>
            <w:tcW w:w="7980" w:type="dxa"/>
            <w:vAlign w:val="bottom"/>
          </w:tcPr>
          <w:p>
            <w:pPr>
              <w:spacing w:after="0" w:line="227" w:lineRule="exact"/>
              <w:rPr>
                <w:sz w:val="20"/>
                <w:szCs w:val="20"/>
                <w:color w:val="auto"/>
              </w:rPr>
            </w:pPr>
            <w:r>
              <w:rPr>
                <w:rFonts w:ascii="Arial" w:cs="Arial" w:eastAsia="Arial" w:hAnsi="Arial"/>
                <w:sz w:val="16"/>
                <w:szCs w:val="16"/>
                <w:color w:val="auto"/>
              </w:rPr>
              <w:t xml:space="preserve">Other adjustments </w:t>
            </w:r>
            <w:r>
              <w:rPr>
                <w:rFonts w:ascii="Arial" w:cs="Arial" w:eastAsia="Arial" w:hAnsi="Arial"/>
                <w:sz w:val="21"/>
                <w:szCs w:val="21"/>
                <w:color w:val="auto"/>
                <w:vertAlign w:val="superscript"/>
              </w:rPr>
              <w:t>(2)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798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$7,929</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$9,532</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(16.8%)</w:t>
            </w:r>
          </w:p>
        </w:tc>
      </w:tr>
      <w:tr>
        <w:trPr>
          <w:trHeight w:val="20"/>
        </w:trPr>
        <w:tc>
          <w:tcPr>
            <w:tcW w:w="7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3"/>
        </w:trPr>
        <w:tc>
          <w:tcPr>
            <w:tcW w:w="7980" w:type="dxa"/>
            <w:vAlign w:val="bottom"/>
          </w:tcPr>
          <w:p>
            <w:pPr>
              <w:spacing w:after="0"/>
              <w:rPr>
                <w:sz w:val="20"/>
                <w:szCs w:val="20"/>
                <w:color w:val="auto"/>
              </w:rPr>
            </w:pPr>
            <w:r>
              <w:rPr>
                <w:rFonts w:ascii="Arial" w:cs="Arial" w:eastAsia="Arial" w:hAnsi="Arial"/>
                <w:sz w:val="16"/>
                <w:szCs w:val="16"/>
                <w:color w:val="auto"/>
              </w:rPr>
              <w:t>Less: Versant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834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4"/>
        </w:trPr>
        <w:tc>
          <w:tcPr>
            <w:tcW w:w="7980" w:type="dxa"/>
            <w:vAlign w:val="bottom"/>
          </w:tcPr>
          <w:p>
            <w:pPr>
              <w:spacing w:after="0"/>
              <w:rPr>
                <w:sz w:val="20"/>
                <w:szCs w:val="20"/>
                <w:color w:val="auto"/>
              </w:rPr>
            </w:pPr>
            <w:r>
              <w:rPr>
                <w:rFonts w:ascii="Arial" w:cs="Arial" w:eastAsia="Arial" w:hAnsi="Arial"/>
                <w:sz w:val="16"/>
                <w:szCs w:val="16"/>
                <w:color w:val="auto"/>
              </w:rPr>
              <w:t>Less: Eliminations</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0"/>
        </w:trPr>
        <w:tc>
          <w:tcPr>
            <w:tcW w:w="7980" w:type="dxa"/>
            <w:vAlign w:val="bottom"/>
          </w:tcPr>
          <w:p>
            <w:pPr>
              <w:spacing w:after="0"/>
              <w:rPr>
                <w:sz w:val="20"/>
                <w:szCs w:val="20"/>
                <w:color w:val="auto"/>
              </w:rPr>
            </w:pPr>
            <w:r>
              <w:rPr>
                <w:rFonts w:ascii="Arial" w:cs="Arial" w:eastAsia="Arial" w:hAnsi="Arial"/>
                <w:sz w:val="16"/>
                <w:szCs w:val="16"/>
                <w:b w:val="1"/>
                <w:bCs w:val="1"/>
                <w:color w:val="auto"/>
              </w:rPr>
              <w:t>Pro Forma Consolidated Adjusted EBITDA</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$7,929</w:t>
            </w:r>
          </w:p>
        </w:tc>
        <w:tc>
          <w:tcPr>
            <w:tcW w:w="12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$8,692</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(8.8) %</w:t>
            </w:r>
          </w:p>
        </w:tc>
      </w:tr>
      <w:tr>
        <w:trPr>
          <w:trHeight w:val="20"/>
        </w:trPr>
        <w:tc>
          <w:tcPr>
            <w:tcW w:w="7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260" w:right="180" w:hanging="252"/>
        <w:spacing w:after="0" w:line="276" w:lineRule="auto"/>
        <w:tabs>
          <w:tab w:leader="none" w:pos="247" w:val="left"/>
        </w:tabs>
        <w:numPr>
          <w:ilvl w:val="0"/>
          <w:numId w:val="8"/>
        </w:numPr>
        <w:rPr>
          <w:rFonts w:ascii="Arial" w:cs="Arial" w:eastAsia="Arial" w:hAnsi="Arial"/>
          <w:sz w:val="14"/>
          <w:szCs w:val="14"/>
          <w:color w:val="auto"/>
        </w:rPr>
      </w:pPr>
      <w:r>
        <w:rPr>
          <w:rFonts w:ascii="Arial" w:cs="Arial" w:eastAsia="Arial" w:hAnsi="Arial"/>
          <w:sz w:val="14"/>
          <w:szCs w:val="14"/>
          <w:color w:val="auto"/>
        </w:rPr>
        <w:t>Transaction costs are incremental costs directly related to effectuating the Separation and primarily include advisory, legal and audit fees, as well as legal entity separation costs. Transaction-related costs are incremental costs incurred related to the Separation, including costs that reflect strategic decisions about how the standalone Versant business will be structured or operated, which may be different than if it remained part of Comcast. Transaction-related costs primarily include certain separation-related employee compensation, severance and retention bonuses; IT separation and implementation costs; and other one-time costs.</w:t>
      </w:r>
    </w:p>
    <w:p>
      <w:pPr>
        <w:spacing w:after="0" w:line="69" w:lineRule="exact"/>
        <w:rPr>
          <w:rFonts w:ascii="Arial" w:cs="Arial" w:eastAsia="Arial" w:hAnsi="Arial"/>
          <w:sz w:val="14"/>
          <w:szCs w:val="14"/>
          <w:color w:val="auto"/>
        </w:rPr>
      </w:pPr>
    </w:p>
    <w:p>
      <w:pPr>
        <w:jc w:val="both"/>
        <w:ind w:left="260" w:right="280" w:hanging="252"/>
        <w:spacing w:after="0" w:line="273" w:lineRule="auto"/>
        <w:tabs>
          <w:tab w:leader="none" w:pos="247"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represent the impact of certain other events, gains, losses or other charges that are excluded from Adjusted EBITDA. The three months ended March 31, 2026 includes a gain related to a legal settlement, certain share-based compensation expenses and costs related our investment portfolio. The three months ended March 31, 2025 includes certain costs related to our investment portfolio.</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979"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6"/>
          <w:szCs w:val="16"/>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3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99"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Net Income and Adjusted EPS</w:t>
      </w:r>
    </w:p>
    <w:p>
      <w:pPr>
        <w:spacing w:after="0" w:line="30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xml:space="preserve">, as well as certain investments accounted for under ASC 323, </w:t>
      </w:r>
      <w:r>
        <w:rPr>
          <w:rFonts w:ascii="Arial" w:cs="Arial" w:eastAsia="Arial" w:hAnsi="Arial"/>
          <w:sz w:val="16"/>
          <w:szCs w:val="16"/>
          <w:i w:val="1"/>
          <w:iCs w:val="1"/>
          <w:color w:val="auto"/>
        </w:rPr>
        <w:t>Investments-Equity Method and Joint</w:t>
      </w:r>
      <w:r>
        <w:rPr>
          <w:rFonts w:ascii="Arial" w:cs="Arial" w:eastAsia="Arial" w:hAnsi="Arial"/>
          <w:sz w:val="16"/>
          <w:szCs w:val="16"/>
          <w:color w:val="auto"/>
        </w:rPr>
        <w:t xml:space="preserve"> Ventures.</w:t>
      </w:r>
    </w:p>
    <w:p>
      <w:pPr>
        <w:sectPr>
          <w:pgSz w:w="11900" w:h="16838" w:orient="portrait"/>
          <w:cols w:equalWidth="0" w:num="1">
            <w:col w:w="11240"/>
          </w:cols>
          <w:pgMar w:left="320" w:top="93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30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20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Statements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Statements of Cash Flows and are therefore excluded from capital expenditures and cash paid for intangible assets for Free Cash Flow.</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allow the evaluation of their underlying performance.</w:t>
      </w:r>
    </w:p>
    <w:p>
      <w:pPr>
        <w:spacing w:after="0" w:line="20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6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 Related to the Separation of Versant</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Pro forma information presented related to the separation of Versant Media Group, Inc. (“Versant”), which was completed on January 2, 2026, resulting in Versant becoming an independent, publicly traded company (the “Separation”), are non-GAAP financial measures. The pro forma financial measures are presented as if the Separation had occurred on January 1, 2024. We believe this pro forma information is useful to investors as it enhances comparability of financial information between periods and provides useful information for assessing trends in our ongoing operations. The pro forma information is primarily based on historical results of operations and includes pro forma adjustments in accordance with Article 11 of Regulation S-X that are directly attributable to the Separation, including adjustments related to the commercial services agreement for the sale and use of Versant’s advertising and promotional inventory. This pro forma information is not necessarily indicative of future results.</w:t>
      </w:r>
    </w:p>
    <w:sectPr>
      <w:pgSz w:w="11900" w:h="16838" w:orient="portrait"/>
      <w:cols w:equalWidth="0" w:num="1">
        <w:col w:w="11240"/>
      </w:cols>
      <w:pgMar w:left="320" w:top="14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3"/>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2026-04-23T06:11:08Z</dcterms:created>
  <dcterms:modified xsi:type="dcterms:W3CDTF">2026-04-23T06:11:08Z</dcterms:modified>
</cp:coreProperties>
</file>