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5320" w:type="dxa"/>
            <w:vAlign w:val="bottom"/>
          </w:tcPr>
          <w:p>
            <w:pPr>
              <w:jc w:val="center"/>
              <w:ind w:right="237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20" w:type="dxa"/>
            <w:vAlign w:val="bottom"/>
          </w:tcPr>
          <w:p>
            <w:pPr>
              <w:spacing w:after="0"/>
              <w:rPr>
                <w:sz w:val="16"/>
                <w:szCs w:val="16"/>
                <w:color w:val="auto"/>
              </w:rPr>
            </w:pPr>
          </w:p>
        </w:tc>
        <w:tc>
          <w:tcPr>
            <w:tcW w:w="532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340"/>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5320" w:type="dxa"/>
            <w:vAlign w:val="bottom"/>
          </w:tcPr>
          <w:p>
            <w:pPr>
              <w:jc w:val="center"/>
              <w:ind w:left="313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5320" w:type="dxa"/>
            <w:vAlign w:val="bottom"/>
          </w:tcPr>
          <w:p>
            <w:pPr>
              <w:jc w:val="center"/>
              <w:ind w:left="31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3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One Comcast Center</w:t>
            </w:r>
          </w:p>
        </w:tc>
        <w:tc>
          <w:tcPr>
            <w:tcW w:w="5320" w:type="dxa"/>
            <w:vAlign w:val="bottom"/>
          </w:tcPr>
          <w:p>
            <w:pPr>
              <w:spacing w:after="0"/>
              <w:rPr>
                <w:sz w:val="24"/>
                <w:szCs w:val="24"/>
                <w:color w:val="auto"/>
              </w:rPr>
            </w:pPr>
          </w:p>
        </w:tc>
      </w:tr>
      <w:tr>
        <w:trPr>
          <w:trHeight w:val="212"/>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5320" w:type="dxa"/>
            <w:vAlign w:val="bottom"/>
          </w:tcPr>
          <w:p>
            <w:pPr>
              <w:jc w:val="center"/>
              <w:ind w:left="313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20" w:type="dxa"/>
            <w:vAlign w:val="bottom"/>
          </w:tcPr>
          <w:p>
            <w:pPr>
              <w:jc w:val="center"/>
              <w:ind w:left="3139"/>
              <w:spacing w:after="0"/>
              <w:rPr>
                <w:sz w:val="20"/>
                <w:szCs w:val="20"/>
                <w:color w:val="auto"/>
              </w:rPr>
            </w:pPr>
            <w:r>
              <w:rPr>
                <w:rFonts w:ascii="Arial" w:cs="Arial" w:eastAsia="Arial" w:hAnsi="Arial"/>
                <w:sz w:val="14"/>
                <w:szCs w:val="14"/>
                <w:b w:val="1"/>
                <w:bCs w:val="1"/>
                <w:color w:val="auto"/>
                <w:w w:val="95"/>
              </w:rPr>
              <w:t>(Zip Code)</w:t>
            </w:r>
          </w:p>
        </w:tc>
      </w:tr>
    </w:tbl>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177800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right="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2.0% Exchangeable Subordinated Debentures</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due 2029</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9.455% Guaranteed Notes due 2022</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On February 20, 2020 Comcast Corporation (“Comcast”) consummated the issuance and sale of, €800,000,000 aggregate principal amount of its 0.250% Notes due 2027, €1,400,000,000 aggregate principal amount of its 0.750% Notes due 2032 and €800,000,000 aggregate principal amount of its</w:t>
      </w:r>
    </w:p>
    <w:p>
      <w:pPr>
        <w:ind w:right="20"/>
        <w:spacing w:after="0" w:line="268" w:lineRule="auto"/>
        <w:rPr>
          <w:sz w:val="20"/>
          <w:szCs w:val="20"/>
          <w:color w:val="auto"/>
        </w:rPr>
      </w:pPr>
      <w:r>
        <w:rPr>
          <w:rFonts w:ascii="Arial" w:cs="Arial" w:eastAsia="Arial" w:hAnsi="Arial"/>
          <w:sz w:val="17"/>
          <w:szCs w:val="17"/>
          <w:color w:val="auto"/>
        </w:rPr>
        <w:t>1.250% Notes due 2040 (collectively, the “Euro Notes”), £600,000,000 aggregate principal amount of its 1.500% Notes due 2029, and £800,000,000 aggregate principal amount of its 1.875% Notes due 2036 (collectively, the “Sterling Notes”) pursuant to an underwriting agreement dated February 5, 2020 among Comcast, the Guarantors (defined below) and the underwriters named therein. The Euro Notes and Sterling Notes are collectively referred to as the “Notes.”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84"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February 5, 2020.</w:t>
      </w:r>
    </w:p>
    <w:p>
      <w:pPr>
        <w:spacing w:after="0" w:line="18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7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7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578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Form of Officers’ Certificate setting forth the terms of the Notes</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Opinion of Elizabeth Wideman, Esq.</w:t>
              </w:r>
            </w:hyperlink>
          </w:p>
        </w:tc>
        <w:tc>
          <w:tcPr>
            <w:tcW w:w="1980" w:type="dxa"/>
            <w:vAlign w:val="bottom"/>
            <w:tcBorders>
              <w:top w:val="single" w:sz="8" w:color="0000EE"/>
            </w:tcBorders>
            <w:gridSpan w:val="3"/>
          </w:tcPr>
          <w:p>
            <w:pPr>
              <w:spacing w:after="0"/>
              <w:rPr>
                <w:sz w:val="24"/>
                <w:szCs w:val="24"/>
                <w:color w:val="auto"/>
              </w:rPr>
            </w:pPr>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4"/>
                <w:szCs w:val="24"/>
                <w:color w:val="auto"/>
              </w:rPr>
            </w:pPr>
          </w:p>
        </w:tc>
        <w:tc>
          <w:tcPr>
            <w:tcW w:w="29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Opinion of Davis Polk &amp; Wardwell LLP</w:t>
              </w:r>
            </w:hyperlink>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45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Consent of Elizabeth Wideman, Esq. (contained in Exhibit 5.1)</w:t>
              </w:r>
            </w:hyperlink>
          </w:p>
        </w:tc>
        <w:tc>
          <w:tcPr>
            <w:tcW w:w="1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48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Consent of Davis Polk &amp; Wardwell LLP (contained in Exhibit 5.2)</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ind w:right="99"/>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5780" w:type="dxa"/>
            <w:vAlign w:val="bottom"/>
            <w:gridSpan w:val="8"/>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20"/>
          </w:cols>
          <w:pgMar w:left="440" w:top="297"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ectPr>
          <w:pgSz w:w="11900" w:h="16838" w:orient="portrait"/>
          <w:cols w:equalWidth="0" w:num="1">
            <w:col w:w="10940"/>
          </w:cols>
          <w:pgMar w:left="440" w:top="29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20, 2020</w:t>
      </w:r>
    </w:p>
    <w:p>
      <w:pPr>
        <w:spacing w:after="0" w:line="225" w:lineRule="exact"/>
        <w:rPr>
          <w:sz w:val="20"/>
          <w:szCs w:val="20"/>
          <w:color w:val="auto"/>
        </w:rPr>
      </w:pPr>
    </w:p>
    <w:p>
      <w:pPr>
        <w:ind w:right="20" w:firstLine="992"/>
        <w:spacing w:after="0" w:line="270"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€800,000,000 aggregate principal amount of its 0.250% Notes due 2027 (the “</w:t>
      </w:r>
      <w:r>
        <w:rPr>
          <w:rFonts w:ascii="Arial" w:cs="Arial" w:eastAsia="Arial" w:hAnsi="Arial"/>
          <w:sz w:val="17"/>
          <w:szCs w:val="17"/>
          <w:b w:val="1"/>
          <w:bCs w:val="1"/>
          <w:color w:val="auto"/>
        </w:rPr>
        <w:t>2027 Euro Notes</w:t>
      </w:r>
      <w:r>
        <w:rPr>
          <w:rFonts w:ascii="Arial" w:cs="Arial" w:eastAsia="Arial" w:hAnsi="Arial"/>
          <w:sz w:val="17"/>
          <w:szCs w:val="17"/>
          <w:color w:val="auto"/>
        </w:rPr>
        <w:t>”), €1,400,000,000 aggregate principal amount of its 0.750% Notes due 2032 (the “</w:t>
      </w:r>
      <w:r>
        <w:rPr>
          <w:rFonts w:ascii="Arial" w:cs="Arial" w:eastAsia="Arial" w:hAnsi="Arial"/>
          <w:sz w:val="17"/>
          <w:szCs w:val="17"/>
          <w:b w:val="1"/>
          <w:bCs w:val="1"/>
          <w:color w:val="auto"/>
        </w:rPr>
        <w:t>2032 Euro Notes</w:t>
      </w:r>
      <w:r>
        <w:rPr>
          <w:rFonts w:ascii="Arial" w:cs="Arial" w:eastAsia="Arial" w:hAnsi="Arial"/>
          <w:sz w:val="17"/>
          <w:szCs w:val="17"/>
          <w:color w:val="auto"/>
        </w:rPr>
        <w:t>”), €800,000,000 aggregate principal amount of its 1.250% Notes due 2040 (the “</w:t>
      </w:r>
      <w:r>
        <w:rPr>
          <w:rFonts w:ascii="Arial" w:cs="Arial" w:eastAsia="Arial" w:hAnsi="Arial"/>
          <w:sz w:val="17"/>
          <w:szCs w:val="17"/>
          <w:b w:val="1"/>
          <w:bCs w:val="1"/>
          <w:color w:val="auto"/>
        </w:rPr>
        <w:t>2040 Euro Notes</w:t>
      </w:r>
      <w:r>
        <w:rPr>
          <w:rFonts w:ascii="Arial" w:cs="Arial" w:eastAsia="Arial" w:hAnsi="Arial"/>
          <w:sz w:val="17"/>
          <w:szCs w:val="17"/>
          <w:color w:val="auto"/>
        </w:rPr>
        <w:t>,” and together with the 2027 Euro Notes and the 2032 Euro Notes, the “</w:t>
      </w:r>
      <w:r>
        <w:rPr>
          <w:rFonts w:ascii="Arial" w:cs="Arial" w:eastAsia="Arial" w:hAnsi="Arial"/>
          <w:sz w:val="17"/>
          <w:szCs w:val="17"/>
          <w:b w:val="1"/>
          <w:bCs w:val="1"/>
          <w:color w:val="auto"/>
        </w:rPr>
        <w:t>Euro</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£600,000,000 aggregate principal amount of its 1.500% Notes due 2029 (the “</w:t>
      </w:r>
      <w:r>
        <w:rPr>
          <w:rFonts w:ascii="Arial" w:cs="Arial" w:eastAsia="Arial" w:hAnsi="Arial"/>
          <w:sz w:val="17"/>
          <w:szCs w:val="17"/>
          <w:b w:val="1"/>
          <w:bCs w:val="1"/>
          <w:color w:val="auto"/>
        </w:rPr>
        <w:t>2029 Sterling Notes</w:t>
      </w:r>
      <w:r>
        <w:rPr>
          <w:rFonts w:ascii="Arial" w:cs="Arial" w:eastAsia="Arial" w:hAnsi="Arial"/>
          <w:sz w:val="17"/>
          <w:szCs w:val="17"/>
          <w:color w:val="auto"/>
        </w:rPr>
        <w:t>”) and £800,000,000 aggregate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its 1.875% Notes due 2036 (the “</w:t>
      </w:r>
      <w:r>
        <w:rPr>
          <w:rFonts w:ascii="Arial" w:cs="Arial" w:eastAsia="Arial" w:hAnsi="Arial"/>
          <w:sz w:val="17"/>
          <w:szCs w:val="17"/>
          <w:b w:val="1"/>
          <w:bCs w:val="1"/>
          <w:color w:val="auto"/>
        </w:rPr>
        <w:t>2036 Sterling Notes</w:t>
      </w:r>
      <w:r>
        <w:rPr>
          <w:rFonts w:ascii="Arial" w:cs="Arial" w:eastAsia="Arial" w:hAnsi="Arial"/>
          <w:sz w:val="17"/>
          <w:szCs w:val="17"/>
          <w:color w:val="auto"/>
        </w:rPr>
        <w:t>” and together with the 2029 Sterling Notes, the “</w:t>
      </w:r>
      <w:r>
        <w:rPr>
          <w:rFonts w:ascii="Arial" w:cs="Arial" w:eastAsia="Arial" w:hAnsi="Arial"/>
          <w:sz w:val="17"/>
          <w:szCs w:val="17"/>
          <w:b w:val="1"/>
          <w:bCs w:val="1"/>
          <w:color w:val="auto"/>
        </w:rPr>
        <w:t>Sterling Notes</w:t>
      </w:r>
      <w:r>
        <w:rPr>
          <w:rFonts w:ascii="Arial" w:cs="Arial" w:eastAsia="Arial" w:hAnsi="Arial"/>
          <w:sz w:val="17"/>
          <w:szCs w:val="17"/>
          <w:color w:val="auto"/>
        </w:rPr>
        <w:t>”). The Euro Notes and Sterling Notes are herein referred to as the “</w:t>
      </w:r>
      <w:r>
        <w:rPr>
          <w:rFonts w:ascii="Arial" w:cs="Arial" w:eastAsia="Arial" w:hAnsi="Arial"/>
          <w:sz w:val="17"/>
          <w:szCs w:val="17"/>
          <w:b w:val="1"/>
          <w:bCs w:val="1"/>
          <w:color w:val="auto"/>
        </w:rPr>
        <w:t>Notes</w:t>
      </w:r>
      <w:r>
        <w:rPr>
          <w:rFonts w:ascii="Arial" w:cs="Arial" w:eastAsia="Arial" w:hAnsi="Arial"/>
          <w:sz w:val="17"/>
          <w:szCs w:val="17"/>
          <w:color w:val="auto"/>
        </w:rPr>
        <w:t>”). The terms of the Notes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 due 2027</w:t>
            </w: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80"/>
        </w:trPr>
        <w:tc>
          <w:tcPr>
            <w:tcW w:w="36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rPr>
              <w:t>0.250% Notes due 2027</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rPr>
              <w:t>€800,000,000</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rPr>
              <w:t>May 20, 2027</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0.250%</w:t>
            </w:r>
          </w:p>
        </w:tc>
        <w:tc>
          <w:tcPr>
            <w:tcW w:w="4580" w:type="dxa"/>
            <w:vAlign w:val="bottom"/>
          </w:tcPr>
          <w:p>
            <w:pPr>
              <w:spacing w:after="0"/>
              <w:rPr>
                <w:sz w:val="24"/>
                <w:szCs w:val="24"/>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93"/>
              </w:rPr>
              <w:t>The Company will have the right at its option to redeem the 2027 Euro Notes in whole or in</w:t>
            </w:r>
          </w:p>
        </w:tc>
      </w:tr>
      <w:tr>
        <w:trPr>
          <w:trHeight w:val="216"/>
        </w:trPr>
        <w:tc>
          <w:tcPr>
            <w:tcW w:w="3600" w:type="dxa"/>
            <w:vAlign w:val="bottom"/>
          </w:tcPr>
          <w:p>
            <w:pPr>
              <w:spacing w:after="0"/>
              <w:rPr>
                <w:sz w:val="18"/>
                <w:szCs w:val="18"/>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92"/>
              </w:rPr>
              <w:t>part, at any time or from time to time prior to their maturity, on at least 15 days, but not more</w:t>
            </w:r>
          </w:p>
        </w:tc>
      </w:tr>
      <w:tr>
        <w:trPr>
          <w:trHeight w:val="216"/>
        </w:trPr>
        <w:tc>
          <w:tcPr>
            <w:tcW w:w="3600" w:type="dxa"/>
            <w:vAlign w:val="bottom"/>
          </w:tcPr>
          <w:p>
            <w:pPr>
              <w:spacing w:after="0"/>
              <w:rPr>
                <w:sz w:val="18"/>
                <w:szCs w:val="18"/>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91"/>
              </w:rPr>
              <w:t>than 30 days, prior notice delivered electronically or mailed to the registered address of each</w:t>
            </w:r>
          </w:p>
        </w:tc>
      </w:tr>
      <w:tr>
        <w:trPr>
          <w:trHeight w:val="216"/>
        </w:trPr>
        <w:tc>
          <w:tcPr>
            <w:tcW w:w="3600" w:type="dxa"/>
            <w:vAlign w:val="bottom"/>
          </w:tcPr>
          <w:p>
            <w:pPr>
              <w:spacing w:after="0"/>
              <w:rPr>
                <w:sz w:val="18"/>
                <w:szCs w:val="18"/>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89"/>
              </w:rPr>
              <w:t>holder of the 2027 Euro Notes, at the Redemption Price. The Redemption Price means (a) any</w:t>
            </w:r>
          </w:p>
        </w:tc>
      </w:tr>
      <w:tr>
        <w:trPr>
          <w:trHeight w:val="212"/>
        </w:trPr>
        <w:tc>
          <w:tcPr>
            <w:tcW w:w="3600" w:type="dxa"/>
            <w:vAlign w:val="bottom"/>
          </w:tcPr>
          <w:p>
            <w:pPr>
              <w:spacing w:after="0"/>
              <w:rPr>
                <w:sz w:val="18"/>
                <w:szCs w:val="18"/>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95"/>
              </w:rPr>
              <w:t>time prior to March 20, 2027 (two (2) months prior to the maturity of the 2027 Euro Notes)</w:t>
            </w:r>
          </w:p>
        </w:tc>
      </w:tr>
      <w:tr>
        <w:trPr>
          <w:trHeight w:val="220"/>
        </w:trPr>
        <w:tc>
          <w:tcPr>
            <w:tcW w:w="3600" w:type="dxa"/>
            <w:vAlign w:val="bottom"/>
          </w:tcPr>
          <w:p>
            <w:pPr>
              <w:spacing w:after="0"/>
              <w:rPr>
                <w:sz w:val="19"/>
                <w:szCs w:val="19"/>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color w:val="auto"/>
                <w:w w:val="94"/>
              </w:rPr>
              <w:t>2027 Par Call Date</w:t>
            </w:r>
            <w:r>
              <w:rPr>
                <w:rFonts w:ascii="Arial" w:cs="Arial" w:eastAsia="Arial" w:hAnsi="Arial"/>
                <w:sz w:val="18"/>
                <w:szCs w:val="18"/>
                <w:color w:val="auto"/>
                <w:w w:val="94"/>
              </w:rPr>
              <w:t>”), the Redemption Price is the greater of (i) 100% of the principal</w:t>
            </w:r>
          </w:p>
        </w:tc>
      </w:tr>
      <w:tr>
        <w:trPr>
          <w:trHeight w:val="230"/>
        </w:trPr>
        <w:tc>
          <w:tcPr>
            <w:tcW w:w="3600" w:type="dxa"/>
            <w:vAlign w:val="bottom"/>
          </w:tcPr>
          <w:p>
            <w:pPr>
              <w:spacing w:after="0"/>
              <w:rPr>
                <w:sz w:val="20"/>
                <w:szCs w:val="20"/>
                <w:color w:val="auto"/>
              </w:rPr>
            </w:pPr>
          </w:p>
        </w:tc>
        <w:tc>
          <w:tcPr>
            <w:tcW w:w="7380" w:type="dxa"/>
            <w:vAlign w:val="bottom"/>
            <w:gridSpan w:val="3"/>
          </w:tcPr>
          <w:p>
            <w:pPr>
              <w:ind w:left="600"/>
              <w:spacing w:after="0"/>
              <w:rPr>
                <w:sz w:val="20"/>
                <w:szCs w:val="20"/>
                <w:color w:val="auto"/>
              </w:rPr>
            </w:pPr>
            <w:r>
              <w:rPr>
                <w:rFonts w:ascii="Arial" w:cs="Arial" w:eastAsia="Arial" w:hAnsi="Arial"/>
                <w:sz w:val="18"/>
                <w:szCs w:val="18"/>
                <w:color w:val="auto"/>
              </w:rPr>
              <w:t>amount of the 2027 Euro Notes, and (ii) the sum of the present values of the</w:t>
            </w:r>
          </w:p>
        </w:tc>
      </w:tr>
      <w:tr>
        <w:trPr>
          <w:trHeight w:val="365"/>
        </w:trPr>
        <w:tc>
          <w:tcPr>
            <w:tcW w:w="3600" w:type="dxa"/>
            <w:vAlign w:val="bottom"/>
          </w:tcPr>
          <w:p>
            <w:pPr>
              <w:spacing w:after="0"/>
              <w:rPr>
                <w:sz w:val="24"/>
                <w:szCs w:val="24"/>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rPr>
              <w:t>1</w:t>
            </w:r>
          </w:p>
        </w:tc>
        <w:tc>
          <w:tcPr>
            <w:tcW w:w="458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principal amount of such notes and the scheduled payments of interest thereon (exclusive of</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interest accrued to the date of redemption) from the redemption date to the 2027 Par Call</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8"/>
              </w:rPr>
              <w:t>Date, in each case discounted to the redemption date on an actual (ACTUAL/ACTUAL</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(ICMA)), as defined in the rulebook of the International Capital Market Association, basis at a</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4"/>
              </w:rPr>
              <w:t>rate equal to the applicable Bund Rate plus 15 basis points and (b) any time on or after the</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2027 Par Call Date, 100% of the principal amount of such notes; plus, in each case, accrued</w:t>
            </w:r>
          </w:p>
        </w:tc>
      </w:tr>
      <w:tr>
        <w:trPr>
          <w:trHeight w:val="230"/>
        </w:trPr>
        <w:tc>
          <w:tcPr>
            <w:tcW w:w="2880" w:type="dxa"/>
            <w:vAlign w:val="bottom"/>
          </w:tcPr>
          <w:p>
            <w:pPr>
              <w:spacing w:after="0"/>
              <w:rPr>
                <w:sz w:val="20"/>
                <w:szCs w:val="20"/>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and unpaid interest thereon to the date of redemption.</w:t>
            </w:r>
          </w:p>
        </w:tc>
      </w:tr>
      <w:tr>
        <w:trPr>
          <w:trHeight w:val="310"/>
        </w:trPr>
        <w:tc>
          <w:tcPr>
            <w:tcW w:w="28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0"/>
              </w:rPr>
              <w:t>The 2027 Euro Notes need not be issued at the same time and the series may be reopened for</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issuance of an unlimited principal amount of additional 2027 Euro Notes under this series.</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Additional 2027 Euro Notes of this series may be consolidated with, and form a single series</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4"/>
              </w:rPr>
              <w:t>with, 2027 Euro Notes then outstanding, including for purposes of determining whether the</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1"/>
              </w:rPr>
              <w:t>required percentage of the holders of record has given approval or consent to an amendment</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6"/>
              </w:rPr>
              <w:t>or waiver or joined in directing the Trustee to take certain actions on behalf of all holders;</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4"/>
              </w:rPr>
              <w:t>provided that if such additional 2027 Euro Notes are not fungible with the 2027 Euro Notes</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3"/>
              </w:rPr>
              <w:t>then outstanding for U.S. federal income tax purposes, such additional 2027 Euro Notes will</w:t>
            </w:r>
          </w:p>
        </w:tc>
      </w:tr>
      <w:tr>
        <w:trPr>
          <w:trHeight w:val="230"/>
        </w:trPr>
        <w:tc>
          <w:tcPr>
            <w:tcW w:w="2880" w:type="dxa"/>
            <w:vAlign w:val="bottom"/>
          </w:tcPr>
          <w:p>
            <w:pPr>
              <w:spacing w:after="0"/>
              <w:rPr>
                <w:sz w:val="20"/>
                <w:szCs w:val="20"/>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have one or more separate ISIN numbers.</w:t>
            </w:r>
          </w:p>
        </w:tc>
      </w:tr>
      <w:tr>
        <w:trPr>
          <w:trHeight w:val="324"/>
        </w:trPr>
        <w:tc>
          <w:tcPr>
            <w:tcW w:w="28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None</w:t>
            </w:r>
          </w:p>
        </w:tc>
      </w:tr>
      <w:tr>
        <w:trPr>
          <w:trHeight w:val="324"/>
        </w:trPr>
        <w:tc>
          <w:tcPr>
            <w:tcW w:w="28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None</w:t>
            </w:r>
          </w:p>
        </w:tc>
      </w:tr>
      <w:tr>
        <w:trPr>
          <w:trHeight w:val="306"/>
        </w:trPr>
        <w:tc>
          <w:tcPr>
            <w:tcW w:w="28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The terms of the 2027 Euro Notes shall include such other terms as are set forth in the Form</w:t>
            </w:r>
          </w:p>
        </w:tc>
      </w:tr>
      <w:tr>
        <w:trPr>
          <w:trHeight w:val="194"/>
        </w:trPr>
        <w:tc>
          <w:tcPr>
            <w:tcW w:w="2880" w:type="dxa"/>
            <w:vAlign w:val="bottom"/>
          </w:tcPr>
          <w:p>
            <w:pPr>
              <w:spacing w:after="0"/>
              <w:rPr>
                <w:sz w:val="16"/>
                <w:szCs w:val="16"/>
                <w:color w:val="auto"/>
              </w:rPr>
            </w:pPr>
          </w:p>
        </w:tc>
        <w:tc>
          <w:tcPr>
            <w:tcW w:w="8140" w:type="dxa"/>
            <w:vAlign w:val="bottom"/>
            <w:gridSpan w:val="3"/>
          </w:tcPr>
          <w:p>
            <w:pPr>
              <w:ind w:left="1320"/>
              <w:spacing w:after="0" w:line="194" w:lineRule="exact"/>
              <w:rPr>
                <w:sz w:val="20"/>
                <w:szCs w:val="20"/>
                <w:color w:val="auto"/>
              </w:rPr>
            </w:pPr>
            <w:r>
              <w:rPr>
                <w:rFonts w:ascii="Arial" w:cs="Arial" w:eastAsia="Arial" w:hAnsi="Arial"/>
                <w:sz w:val="18"/>
                <w:szCs w:val="18"/>
                <w:color w:val="auto"/>
              </w:rPr>
              <w:t xml:space="preserve">of 0.250% Notes due 2027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385"/>
        </w:trPr>
        <w:tc>
          <w:tcPr>
            <w:tcW w:w="2880" w:type="dxa"/>
            <w:vAlign w:val="bottom"/>
          </w:tcPr>
          <w:p>
            <w:pPr>
              <w:spacing w:after="0"/>
              <w:rPr>
                <w:sz w:val="24"/>
                <w:szCs w:val="24"/>
                <w:color w:val="auto"/>
              </w:rPr>
            </w:pPr>
          </w:p>
        </w:tc>
        <w:tc>
          <w:tcPr>
            <w:tcW w:w="4620" w:type="dxa"/>
            <w:vAlign w:val="bottom"/>
          </w:tcPr>
          <w:p>
            <w:pPr>
              <w:ind w:left="2580"/>
              <w:spacing w:after="0"/>
              <w:rPr>
                <w:sz w:val="20"/>
                <w:szCs w:val="20"/>
                <w:color w:val="auto"/>
              </w:rPr>
            </w:pPr>
            <w:r>
              <w:rPr>
                <w:rFonts w:ascii="Arial" w:cs="Arial" w:eastAsia="Arial" w:hAnsi="Arial"/>
                <w:sz w:val="18"/>
                <w:szCs w:val="18"/>
                <w:color w:val="auto"/>
              </w:rPr>
              <w:t>2</w:t>
            </w:r>
          </w:p>
        </w:tc>
        <w:tc>
          <w:tcPr>
            <w:tcW w:w="76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 due 2032</w:t>
            </w: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53"/>
        </w:trPr>
        <w:tc>
          <w:tcPr>
            <w:tcW w:w="36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0.750% Notes due 2032</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€1,400,000,000</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February 20, 2032</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0.750%</w:t>
            </w:r>
          </w:p>
        </w:tc>
        <w:tc>
          <w:tcPr>
            <w:tcW w:w="4620" w:type="dxa"/>
            <w:vAlign w:val="bottom"/>
          </w:tcPr>
          <w:p>
            <w:pPr>
              <w:spacing w:after="0"/>
              <w:rPr>
                <w:sz w:val="24"/>
                <w:szCs w:val="24"/>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The Company will have the right at its option to redeem the 2032 Euro Notes in whole or in</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part, at any time or from time to time prior to their maturity, on at least 15 days, but not more</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than 30 days, prior notice delivered electronically or mailed to the registered address of each</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0"/>
              </w:rPr>
              <w:t>holder of the 2032 Euro Notes, at the Redemption Price. The Redemption Price means (a) any</w:t>
            </w:r>
          </w:p>
        </w:tc>
      </w:tr>
      <w:tr>
        <w:trPr>
          <w:trHeight w:val="212"/>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7"/>
              </w:rPr>
              <w:t>time prior to November 20, 2031 (three (3) months prior to the maturity of the 2032 Euro</w:t>
            </w:r>
          </w:p>
        </w:tc>
      </w:tr>
      <w:tr>
        <w:trPr>
          <w:trHeight w:val="220"/>
        </w:trPr>
        <w:tc>
          <w:tcPr>
            <w:tcW w:w="3600" w:type="dxa"/>
            <w:vAlign w:val="bottom"/>
          </w:tcPr>
          <w:p>
            <w:pPr>
              <w:spacing w:after="0"/>
              <w:rPr>
                <w:sz w:val="19"/>
                <w:szCs w:val="19"/>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6"/>
              </w:rPr>
              <w:t>Notes) (the “</w:t>
            </w:r>
            <w:r>
              <w:rPr>
                <w:rFonts w:ascii="Arial" w:cs="Arial" w:eastAsia="Arial" w:hAnsi="Arial"/>
                <w:sz w:val="18"/>
                <w:szCs w:val="18"/>
                <w:b w:val="1"/>
                <w:bCs w:val="1"/>
                <w:color w:val="auto"/>
                <w:w w:val="96"/>
              </w:rPr>
              <w:t>2032 Par Call Date</w:t>
            </w:r>
            <w:r>
              <w:rPr>
                <w:rFonts w:ascii="Arial" w:cs="Arial" w:eastAsia="Arial" w:hAnsi="Arial"/>
                <w:sz w:val="18"/>
                <w:szCs w:val="18"/>
                <w:color w:val="auto"/>
                <w:w w:val="96"/>
              </w:rPr>
              <w:t>”), the Redemption Price is the greater of (i) 100% of the</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principal amount of the 2032 Euro Notes, and (ii) the sum of the present values of the</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principal amount of such notes and the scheduled payments of interest thereon (exclusive of</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5"/>
              </w:rPr>
              <w:t>interest accrued to the date of redemption) from the redemption date to the 2032 Par Call</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8"/>
              </w:rPr>
              <w:t>Date, in each case discounted to the redemption date on an actual (ACTUAL/ACTUAL</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(ICMA)), as defined in the rulebook of the International Capital Market Association, basis at a</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rate equal to the applicable Bund Rate plus 20 basis points and (b) any time on or after the</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2032 Par Call Date, 100% of the principal amount of such notes; plus, in each case, accrued</w:t>
            </w:r>
          </w:p>
        </w:tc>
      </w:tr>
      <w:tr>
        <w:trPr>
          <w:trHeight w:val="230"/>
        </w:trPr>
        <w:tc>
          <w:tcPr>
            <w:tcW w:w="3600" w:type="dxa"/>
            <w:vAlign w:val="bottom"/>
          </w:tcPr>
          <w:p>
            <w:pPr>
              <w:spacing w:after="0"/>
              <w:rPr>
                <w:sz w:val="20"/>
                <w:szCs w:val="20"/>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and unpaid interest thereon to the date of redemption.</w:t>
            </w: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0"/>
              </w:rPr>
              <w:t>The 2032 Euro Notes need not be issued at the same time and the series may be reopened for</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5"/>
              </w:rPr>
              <w:t>issuance of an unlimited principal amount of additional 2032 Euro Notes under this series.</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Additional 2032 Euro Notes of this series may be consolidated with, and form a single series</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with, 2032 Euro Notes then outstanding, including for purposes of determining whether the</w:t>
            </w:r>
          </w:p>
        </w:tc>
      </w:tr>
      <w:tr>
        <w:trPr>
          <w:trHeight w:val="230"/>
        </w:trPr>
        <w:tc>
          <w:tcPr>
            <w:tcW w:w="3600" w:type="dxa"/>
            <w:vAlign w:val="bottom"/>
          </w:tcPr>
          <w:p>
            <w:pPr>
              <w:spacing w:after="0"/>
              <w:rPr>
                <w:sz w:val="20"/>
                <w:szCs w:val="20"/>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required percentage of the holders of record has given approval or consent to an</w:t>
            </w:r>
          </w:p>
        </w:tc>
      </w:tr>
      <w:tr>
        <w:trPr>
          <w:trHeight w:val="365"/>
        </w:trPr>
        <w:tc>
          <w:tcPr>
            <w:tcW w:w="3600" w:type="dxa"/>
            <w:vAlign w:val="bottom"/>
          </w:tcPr>
          <w:p>
            <w:pPr>
              <w:spacing w:after="0"/>
              <w:rPr>
                <w:sz w:val="24"/>
                <w:szCs w:val="24"/>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rPr>
              <w:t>3</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473"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 of all</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2"/>
              </w:rPr>
              <w:t>holders; provided that if such additional 2032 Euro Notes are not fungible with the 2032 Euro</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0"/>
              </w:rPr>
              <w:t>Notes then outstanding for U.S. federal income tax purposes, such additional 2032 Euro Notes</w:t>
            </w:r>
          </w:p>
        </w:tc>
      </w:tr>
      <w:tr>
        <w:trPr>
          <w:trHeight w:val="230"/>
        </w:trPr>
        <w:tc>
          <w:tcPr>
            <w:tcW w:w="3600" w:type="dxa"/>
            <w:vAlign w:val="bottom"/>
          </w:tcPr>
          <w:p>
            <w:pPr>
              <w:spacing w:after="0"/>
              <w:rPr>
                <w:sz w:val="20"/>
                <w:szCs w:val="20"/>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will have one or more separate ISIN numbers.</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None</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None</w:t>
            </w:r>
          </w:p>
        </w:tc>
      </w:tr>
      <w:tr>
        <w:trPr>
          <w:trHeight w:val="306"/>
        </w:trPr>
        <w:tc>
          <w:tcPr>
            <w:tcW w:w="36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2"/>
              </w:rPr>
              <w:t>The terms of the 2032 Euro Notes shall include such other terms as are set forth in the Form</w:t>
            </w:r>
          </w:p>
        </w:tc>
      </w:tr>
      <w:tr>
        <w:trPr>
          <w:trHeight w:val="194"/>
        </w:trPr>
        <w:tc>
          <w:tcPr>
            <w:tcW w:w="3600" w:type="dxa"/>
            <w:vAlign w:val="bottom"/>
          </w:tcPr>
          <w:p>
            <w:pPr>
              <w:spacing w:after="0"/>
              <w:rPr>
                <w:sz w:val="16"/>
                <w:szCs w:val="16"/>
                <w:color w:val="auto"/>
              </w:rPr>
            </w:pPr>
          </w:p>
        </w:tc>
        <w:tc>
          <w:tcPr>
            <w:tcW w:w="7400" w:type="dxa"/>
            <w:vAlign w:val="bottom"/>
            <w:gridSpan w:val="5"/>
          </w:tcPr>
          <w:p>
            <w:pPr>
              <w:ind w:left="600"/>
              <w:spacing w:after="0" w:line="194" w:lineRule="exact"/>
              <w:rPr>
                <w:sz w:val="20"/>
                <w:szCs w:val="20"/>
                <w:color w:val="auto"/>
              </w:rPr>
            </w:pPr>
            <w:r>
              <w:rPr>
                <w:rFonts w:ascii="Arial" w:cs="Arial" w:eastAsia="Arial" w:hAnsi="Arial"/>
                <w:sz w:val="18"/>
                <w:szCs w:val="18"/>
                <w:color w:val="auto"/>
              </w:rPr>
              <w:t xml:space="preserve">of 0.750% Notes due 2032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628"/>
        </w:trPr>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 due 2040</w:t>
            </w:r>
          </w:p>
        </w:tc>
        <w:tc>
          <w:tcPr>
            <w:tcW w:w="5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r>
      <w:tr>
        <w:trPr>
          <w:trHeight w:val="453"/>
        </w:trPr>
        <w:tc>
          <w:tcPr>
            <w:tcW w:w="36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1.250% Notes due 2040</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€800,000,000</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February 20, 2040</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1.250%</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3"/>
              </w:rPr>
              <w:t>The Company will have the right at its option to redeem the 2040 Euro Notes in whole or in</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2"/>
              </w:rPr>
              <w:t>part, at any time or from time to time prior to their maturity, on at least 15 days, but not more</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2"/>
              </w:rPr>
              <w:t>than 30 days, prior notice delivered electronically or mailed to the registered address of each</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0"/>
              </w:rPr>
              <w:t>holder of the 2040 Euro Notes, at the Redemption Price. The Redemption Price means (a) any</w:t>
            </w:r>
          </w:p>
        </w:tc>
      </w:tr>
      <w:tr>
        <w:trPr>
          <w:trHeight w:val="212"/>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5"/>
              </w:rPr>
              <w:t>time prior to August 20, 2039 (six (6) months prior to the maturity of the 2040 Euro Notes)</w:t>
            </w:r>
          </w:p>
        </w:tc>
      </w:tr>
      <w:tr>
        <w:trPr>
          <w:trHeight w:val="220"/>
        </w:trPr>
        <w:tc>
          <w:tcPr>
            <w:tcW w:w="3600" w:type="dxa"/>
            <w:vAlign w:val="bottom"/>
          </w:tcPr>
          <w:p>
            <w:pPr>
              <w:spacing w:after="0"/>
              <w:rPr>
                <w:sz w:val="19"/>
                <w:szCs w:val="19"/>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color w:val="auto"/>
                <w:w w:val="94"/>
              </w:rPr>
              <w:t>2040 Par Call Date</w:t>
            </w:r>
            <w:r>
              <w:rPr>
                <w:rFonts w:ascii="Arial" w:cs="Arial" w:eastAsia="Arial" w:hAnsi="Arial"/>
                <w:sz w:val="18"/>
                <w:szCs w:val="18"/>
                <w:color w:val="auto"/>
                <w:w w:val="94"/>
              </w:rPr>
              <w:t>”), the Redemption Price is the greater of (i) 100% of the principal</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1"/>
              </w:rPr>
              <w:t>amount of the 2040 Euro Notes, and (ii) the sum of the present values of the principal amount</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0"/>
              </w:rPr>
              <w:t>of such notes and the scheduled payments of interest thereon (exclusive of interest accrued to</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5"/>
              </w:rPr>
              <w:t>the date of redemption) from the redemption date to the 2040 Par Call Date, in each case</w:t>
            </w:r>
          </w:p>
        </w:tc>
      </w:tr>
      <w:tr>
        <w:trPr>
          <w:trHeight w:val="216"/>
        </w:trPr>
        <w:tc>
          <w:tcPr>
            <w:tcW w:w="3600" w:type="dxa"/>
            <w:vAlign w:val="bottom"/>
          </w:tcPr>
          <w:p>
            <w:pPr>
              <w:spacing w:after="0"/>
              <w:rPr>
                <w:sz w:val="18"/>
                <w:szCs w:val="18"/>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w w:val="95"/>
              </w:rPr>
              <w:t>discounted to the redemption date on an actual (ACTUAL/ACTUAL (ICMA)), as defined in</w:t>
            </w:r>
          </w:p>
        </w:tc>
      </w:tr>
      <w:tr>
        <w:trPr>
          <w:trHeight w:val="230"/>
        </w:trPr>
        <w:tc>
          <w:tcPr>
            <w:tcW w:w="3600" w:type="dxa"/>
            <w:vAlign w:val="bottom"/>
          </w:tcPr>
          <w:p>
            <w:pPr>
              <w:spacing w:after="0"/>
              <w:rPr>
                <w:sz w:val="20"/>
                <w:szCs w:val="20"/>
                <w:color w:val="auto"/>
              </w:rPr>
            </w:pPr>
          </w:p>
        </w:tc>
        <w:tc>
          <w:tcPr>
            <w:tcW w:w="7400" w:type="dxa"/>
            <w:vAlign w:val="bottom"/>
            <w:gridSpan w:val="5"/>
          </w:tcPr>
          <w:p>
            <w:pPr>
              <w:ind w:left="600"/>
              <w:spacing w:after="0"/>
              <w:rPr>
                <w:sz w:val="20"/>
                <w:szCs w:val="20"/>
                <w:color w:val="auto"/>
              </w:rPr>
            </w:pPr>
            <w:r>
              <w:rPr>
                <w:rFonts w:ascii="Arial" w:cs="Arial" w:eastAsia="Arial" w:hAnsi="Arial"/>
                <w:sz w:val="18"/>
                <w:szCs w:val="18"/>
                <w:color w:val="auto"/>
              </w:rPr>
              <w:t>the rulebook of the International Capital Market</w:t>
            </w:r>
          </w:p>
        </w:tc>
      </w:tr>
      <w:tr>
        <w:trPr>
          <w:trHeight w:val="365"/>
        </w:trPr>
        <w:tc>
          <w:tcPr>
            <w:tcW w:w="3600" w:type="dxa"/>
            <w:vAlign w:val="bottom"/>
          </w:tcPr>
          <w:p>
            <w:pPr>
              <w:spacing w:after="0"/>
              <w:rPr>
                <w:sz w:val="24"/>
                <w:szCs w:val="24"/>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89"/>
              </w:rPr>
              <w:t>Association, basis at a rate equal to the applicable Bund Rate plus 25 basis points and (b) any</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1"/>
              </w:rPr>
              <w:t>time on or after the 2040 Par Call Date, 100% of the principal amount of such notes; plus, in</w:t>
            </w:r>
          </w:p>
        </w:tc>
      </w:tr>
      <w:tr>
        <w:trPr>
          <w:trHeight w:val="230"/>
        </w:trPr>
        <w:tc>
          <w:tcPr>
            <w:tcW w:w="3600" w:type="dxa"/>
            <w:vAlign w:val="bottom"/>
          </w:tcPr>
          <w:p>
            <w:pPr>
              <w:spacing w:after="0"/>
              <w:rPr>
                <w:sz w:val="20"/>
                <w:szCs w:val="20"/>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each case, accrued and unpaid interest thereon to the date of redemption.</w:t>
            </w: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88"/>
              </w:rPr>
              <w:t>The 2040 Euro Notes need not be issued at the same time and the series may be reopened for</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3"/>
              </w:rPr>
              <w:t>issuance of an unlimited principal amount of additional 2040 Euro Notes under this series.</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1"/>
              </w:rPr>
              <w:t>Additional 2040 Euro Notes of this series may be consolidated with, and form a single series</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3"/>
              </w:rPr>
              <w:t>with, 2040 Euro Notes then outstanding, including for purposes of determining whether the</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4"/>
              </w:rPr>
              <w:t>or waiver or joined in directing the Trustee to take certain actions on behalf of all holders;</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3"/>
              </w:rPr>
              <w:t>provided that if such additional 2040 Euro Notes are not fungible with the 2040 Euro Notes</w:t>
            </w:r>
          </w:p>
        </w:tc>
      </w:tr>
      <w:tr>
        <w:trPr>
          <w:trHeight w:val="216"/>
        </w:trPr>
        <w:tc>
          <w:tcPr>
            <w:tcW w:w="3600" w:type="dxa"/>
            <w:vAlign w:val="bottom"/>
          </w:tcPr>
          <w:p>
            <w:pPr>
              <w:spacing w:after="0"/>
              <w:rPr>
                <w:sz w:val="18"/>
                <w:szCs w:val="18"/>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1"/>
              </w:rPr>
              <w:t>then outstanding for U.S. federal income tax purposes, such additional 2040 Euro Notes will</w:t>
            </w:r>
          </w:p>
        </w:tc>
      </w:tr>
      <w:tr>
        <w:trPr>
          <w:trHeight w:val="230"/>
        </w:trPr>
        <w:tc>
          <w:tcPr>
            <w:tcW w:w="3600" w:type="dxa"/>
            <w:vAlign w:val="bottom"/>
          </w:tcPr>
          <w:p>
            <w:pPr>
              <w:spacing w:after="0"/>
              <w:rPr>
                <w:sz w:val="20"/>
                <w:szCs w:val="20"/>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have one or more separate ISIN numbers.</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None</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None</w:t>
            </w:r>
          </w:p>
        </w:tc>
      </w:tr>
      <w:tr>
        <w:trPr>
          <w:trHeight w:val="306"/>
        </w:trPr>
        <w:tc>
          <w:tcPr>
            <w:tcW w:w="36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1"/>
              </w:rPr>
              <w:t>The terms of the 2040 Euro Notes shall include such other terms as are set forth in the Form</w:t>
            </w:r>
          </w:p>
        </w:tc>
      </w:tr>
      <w:tr>
        <w:trPr>
          <w:trHeight w:val="194"/>
        </w:trPr>
        <w:tc>
          <w:tcPr>
            <w:tcW w:w="3600" w:type="dxa"/>
            <w:vAlign w:val="bottom"/>
          </w:tcPr>
          <w:p>
            <w:pPr>
              <w:spacing w:after="0"/>
              <w:rPr>
                <w:sz w:val="16"/>
                <w:szCs w:val="16"/>
                <w:color w:val="auto"/>
              </w:rPr>
            </w:pPr>
          </w:p>
        </w:tc>
        <w:tc>
          <w:tcPr>
            <w:tcW w:w="7320" w:type="dxa"/>
            <w:vAlign w:val="bottom"/>
            <w:gridSpan w:val="5"/>
          </w:tcPr>
          <w:p>
            <w:pPr>
              <w:ind w:left="600"/>
              <w:spacing w:after="0" w:line="194" w:lineRule="exact"/>
              <w:rPr>
                <w:sz w:val="20"/>
                <w:szCs w:val="20"/>
                <w:color w:val="auto"/>
              </w:rPr>
            </w:pPr>
            <w:r>
              <w:rPr>
                <w:rFonts w:ascii="Arial" w:cs="Arial" w:eastAsia="Arial" w:hAnsi="Arial"/>
                <w:sz w:val="18"/>
                <w:szCs w:val="18"/>
                <w:color w:val="auto"/>
              </w:rPr>
              <w:t xml:space="preserve">of 1.250% Notes due 2040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628"/>
        </w:trPr>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 due 2029</w:t>
            </w:r>
          </w:p>
        </w:tc>
        <w:tc>
          <w:tcPr>
            <w:tcW w:w="76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r>
      <w:tr>
        <w:trPr>
          <w:trHeight w:val="453"/>
        </w:trPr>
        <w:tc>
          <w:tcPr>
            <w:tcW w:w="36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1.500% Notes due 2029</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£600,000,000</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February 20, 2029</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1.500%</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w w:val="92"/>
              </w:rPr>
              <w:t>The Company will have the right at its option to redeem the 2029 Sterling Notes in whole or</w:t>
            </w:r>
          </w:p>
        </w:tc>
      </w:tr>
      <w:tr>
        <w:trPr>
          <w:trHeight w:val="230"/>
        </w:trPr>
        <w:tc>
          <w:tcPr>
            <w:tcW w:w="3600" w:type="dxa"/>
            <w:vAlign w:val="bottom"/>
          </w:tcPr>
          <w:p>
            <w:pPr>
              <w:spacing w:after="0"/>
              <w:rPr>
                <w:sz w:val="20"/>
                <w:szCs w:val="20"/>
                <w:color w:val="auto"/>
              </w:rPr>
            </w:pPr>
          </w:p>
        </w:tc>
        <w:tc>
          <w:tcPr>
            <w:tcW w:w="7320" w:type="dxa"/>
            <w:vAlign w:val="bottom"/>
            <w:gridSpan w:val="5"/>
          </w:tcPr>
          <w:p>
            <w:pPr>
              <w:ind w:left="600"/>
              <w:spacing w:after="0"/>
              <w:rPr>
                <w:sz w:val="20"/>
                <w:szCs w:val="20"/>
                <w:color w:val="auto"/>
              </w:rPr>
            </w:pPr>
            <w:r>
              <w:rPr>
                <w:rFonts w:ascii="Arial" w:cs="Arial" w:eastAsia="Arial" w:hAnsi="Arial"/>
                <w:sz w:val="18"/>
                <w:szCs w:val="18"/>
                <w:color w:val="auto"/>
              </w:rPr>
              <w:t>in part, at any time or from time to time prior to their</w:t>
            </w:r>
          </w:p>
        </w:tc>
      </w:tr>
      <w:tr>
        <w:trPr>
          <w:trHeight w:val="365"/>
        </w:trPr>
        <w:tc>
          <w:tcPr>
            <w:tcW w:w="3600" w:type="dxa"/>
            <w:vAlign w:val="bottom"/>
          </w:tcPr>
          <w:p>
            <w:pPr>
              <w:spacing w:after="0"/>
              <w:rPr>
                <w:sz w:val="24"/>
                <w:szCs w:val="24"/>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3"/>
              </w:rPr>
              <w:t>maturity, on at least 15 days, but not more than 30 days, prior notice delivered electronically</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or mailed to the registered address of each holder of the 2029 Sterling Notes, at the</w:t>
            </w:r>
          </w:p>
        </w:tc>
      </w:tr>
      <w:tr>
        <w:trPr>
          <w:trHeight w:val="212"/>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Redemption Price. The Redemption Price means (a) any time prior to November 20, 2028</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(three (3) months prior to the maturity of the 2029 Sterling Notes) (the “</w:t>
            </w:r>
            <w:r>
              <w:rPr>
                <w:rFonts w:ascii="Arial" w:cs="Arial" w:eastAsia="Arial" w:hAnsi="Arial"/>
                <w:sz w:val="18"/>
                <w:szCs w:val="18"/>
                <w:b w:val="1"/>
                <w:bCs w:val="1"/>
                <w:color w:val="auto"/>
              </w:rPr>
              <w:t>2029 Par Call</w:t>
            </w:r>
          </w:p>
        </w:tc>
      </w:tr>
      <w:tr>
        <w:trPr>
          <w:trHeight w:val="220"/>
        </w:trPr>
        <w:tc>
          <w:tcPr>
            <w:tcW w:w="2880" w:type="dxa"/>
            <w:vAlign w:val="bottom"/>
          </w:tcPr>
          <w:p>
            <w:pPr>
              <w:spacing w:after="0"/>
              <w:rPr>
                <w:sz w:val="19"/>
                <w:szCs w:val="19"/>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b w:val="1"/>
                <w:bCs w:val="1"/>
                <w:color w:val="auto"/>
                <w:w w:val="94"/>
              </w:rPr>
              <w:t>Date</w:t>
            </w:r>
            <w:r>
              <w:rPr>
                <w:rFonts w:ascii="Arial" w:cs="Arial" w:eastAsia="Arial" w:hAnsi="Arial"/>
                <w:sz w:val="18"/>
                <w:szCs w:val="18"/>
                <w:color w:val="auto"/>
                <w:w w:val="94"/>
              </w:rPr>
              <w:t>”), the Redemption Price is the greater of (i) 100% of the principal amount of the 2029</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0"/>
              </w:rPr>
              <w:t>Sterling Notes, and (ii) the sum of the present values of the principal amount of such notes and</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8"/>
              </w:rPr>
              <w:t>the scheduled payments of interest thereon (exclusive of interest accrued to the date of</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redemption) from the redemption date to the 2029 Par Call Date, in each case discounted to</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3"/>
              </w:rPr>
              <w:t>the redemption date on an actual (ACTUAL/ACTUAL (ICMA)), as defined in the rulebook of</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3"/>
              </w:rPr>
              <w:t>the International Capital Market Association, basis at a rate equal to the applicable Gilt Rate</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1"/>
              </w:rPr>
              <w:t>plus 15 basis points and (b) any time on or after the 2029 Par Call Date, 100% of the principal</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2"/>
              </w:rPr>
              <w:t>amount of such notes; plus, in each case, accrued and unpaid interest thereon to the date of</w:t>
            </w:r>
          </w:p>
        </w:tc>
      </w:tr>
      <w:tr>
        <w:trPr>
          <w:trHeight w:val="230"/>
        </w:trPr>
        <w:tc>
          <w:tcPr>
            <w:tcW w:w="2880" w:type="dxa"/>
            <w:vAlign w:val="bottom"/>
          </w:tcPr>
          <w:p>
            <w:pPr>
              <w:spacing w:after="0"/>
              <w:rPr>
                <w:sz w:val="20"/>
                <w:szCs w:val="20"/>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redemption.</w:t>
            </w:r>
          </w:p>
        </w:tc>
      </w:tr>
      <w:tr>
        <w:trPr>
          <w:trHeight w:val="310"/>
        </w:trPr>
        <w:tc>
          <w:tcPr>
            <w:tcW w:w="28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0"/>
              </w:rPr>
              <w:t>The 2029 Sterling Notes need not be issued at the same time and the series may be reopened</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6"/>
              </w:rPr>
              <w:t>for issuance of an unlimited principal amount of additional 2029 Sterling Notes under this</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series. Additional 2029 Sterling Notes of this series may be consolidated with, and form a</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single series with, 2029 Sterling Notes then outstanding, including for purposes of</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3"/>
              </w:rPr>
              <w:t>determining whether the required percentage of the holders of record has given approval or</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0"/>
              </w:rPr>
              <w:t>consent to an amendment or waiver or joined in directing the Trustee to take certain actions on</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6"/>
              </w:rPr>
              <w:t>behalf of all holders; provided that if such additional 2029 Sterling Notes are not fungible</w:t>
            </w:r>
          </w:p>
        </w:tc>
      </w:tr>
      <w:tr>
        <w:trPr>
          <w:trHeight w:val="216"/>
        </w:trPr>
        <w:tc>
          <w:tcPr>
            <w:tcW w:w="2880" w:type="dxa"/>
            <w:vAlign w:val="bottom"/>
          </w:tcPr>
          <w:p>
            <w:pPr>
              <w:spacing w:after="0"/>
              <w:rPr>
                <w:sz w:val="18"/>
                <w:szCs w:val="18"/>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with the 2029 Sterling Notes then outstanding for U.S. federal income tax purposes, such</w:t>
            </w:r>
          </w:p>
        </w:tc>
      </w:tr>
      <w:tr>
        <w:trPr>
          <w:trHeight w:val="230"/>
        </w:trPr>
        <w:tc>
          <w:tcPr>
            <w:tcW w:w="2880" w:type="dxa"/>
            <w:vAlign w:val="bottom"/>
          </w:tcPr>
          <w:p>
            <w:pPr>
              <w:spacing w:after="0"/>
              <w:rPr>
                <w:sz w:val="20"/>
                <w:szCs w:val="20"/>
                <w:color w:val="auto"/>
              </w:rPr>
            </w:pP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additional 2029 Sterling Notes will have one or more separate ISIN numbers.</w:t>
            </w:r>
          </w:p>
        </w:tc>
      </w:tr>
      <w:tr>
        <w:trPr>
          <w:trHeight w:val="324"/>
        </w:trPr>
        <w:tc>
          <w:tcPr>
            <w:tcW w:w="28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None</w:t>
            </w:r>
          </w:p>
        </w:tc>
      </w:tr>
      <w:tr>
        <w:trPr>
          <w:trHeight w:val="324"/>
        </w:trPr>
        <w:tc>
          <w:tcPr>
            <w:tcW w:w="28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rPr>
              <w:t>None</w:t>
            </w:r>
          </w:p>
        </w:tc>
      </w:tr>
      <w:tr>
        <w:trPr>
          <w:trHeight w:val="306"/>
        </w:trPr>
        <w:tc>
          <w:tcPr>
            <w:tcW w:w="28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140" w:type="dxa"/>
            <w:vAlign w:val="bottom"/>
            <w:gridSpan w:val="3"/>
          </w:tcPr>
          <w:p>
            <w:pPr>
              <w:ind w:left="1320"/>
              <w:spacing w:after="0"/>
              <w:rPr>
                <w:sz w:val="20"/>
                <w:szCs w:val="20"/>
                <w:color w:val="auto"/>
              </w:rPr>
            </w:pPr>
            <w:r>
              <w:rPr>
                <w:rFonts w:ascii="Arial" w:cs="Arial" w:eastAsia="Arial" w:hAnsi="Arial"/>
                <w:sz w:val="18"/>
                <w:szCs w:val="18"/>
                <w:color w:val="auto"/>
                <w:w w:val="95"/>
              </w:rPr>
              <w:t>The terms of the 2029 Sterling Notes shall include such other terms as are set forth in the</w:t>
            </w:r>
          </w:p>
        </w:tc>
      </w:tr>
      <w:tr>
        <w:trPr>
          <w:trHeight w:val="194"/>
        </w:trPr>
        <w:tc>
          <w:tcPr>
            <w:tcW w:w="2880" w:type="dxa"/>
            <w:vAlign w:val="bottom"/>
          </w:tcPr>
          <w:p>
            <w:pPr>
              <w:spacing w:after="0"/>
              <w:rPr>
                <w:sz w:val="16"/>
                <w:szCs w:val="16"/>
                <w:color w:val="auto"/>
              </w:rPr>
            </w:pPr>
          </w:p>
        </w:tc>
        <w:tc>
          <w:tcPr>
            <w:tcW w:w="8140" w:type="dxa"/>
            <w:vAlign w:val="bottom"/>
            <w:gridSpan w:val="3"/>
          </w:tcPr>
          <w:p>
            <w:pPr>
              <w:ind w:left="1320"/>
              <w:spacing w:after="0" w:line="194" w:lineRule="exact"/>
              <w:rPr>
                <w:sz w:val="20"/>
                <w:szCs w:val="20"/>
                <w:color w:val="auto"/>
              </w:rPr>
            </w:pPr>
            <w:r>
              <w:rPr>
                <w:rFonts w:ascii="Arial" w:cs="Arial" w:eastAsia="Arial" w:hAnsi="Arial"/>
                <w:sz w:val="18"/>
                <w:szCs w:val="18"/>
                <w:color w:val="auto"/>
              </w:rPr>
              <w:t xml:space="preserve">Form of 1.500% Notes due 2029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385"/>
        </w:trPr>
        <w:tc>
          <w:tcPr>
            <w:tcW w:w="2880" w:type="dxa"/>
            <w:vAlign w:val="bottom"/>
          </w:tcPr>
          <w:p>
            <w:pPr>
              <w:spacing w:after="0"/>
              <w:rPr>
                <w:sz w:val="24"/>
                <w:szCs w:val="24"/>
                <w:color w:val="auto"/>
              </w:rPr>
            </w:pPr>
          </w:p>
        </w:tc>
        <w:tc>
          <w:tcPr>
            <w:tcW w:w="5060" w:type="dxa"/>
            <w:vAlign w:val="bottom"/>
          </w:tcPr>
          <w:p>
            <w:pPr>
              <w:ind w:left="2580"/>
              <w:spacing w:after="0"/>
              <w:rPr>
                <w:sz w:val="20"/>
                <w:szCs w:val="20"/>
                <w:color w:val="auto"/>
              </w:rPr>
            </w:pPr>
            <w:r>
              <w:rPr>
                <w:rFonts w:ascii="Arial" w:cs="Arial" w:eastAsia="Arial" w:hAnsi="Arial"/>
                <w:sz w:val="18"/>
                <w:szCs w:val="18"/>
                <w:color w:val="auto"/>
              </w:rPr>
              <w:t>6</w:t>
            </w:r>
          </w:p>
        </w:tc>
        <w:tc>
          <w:tcPr>
            <w:tcW w:w="74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 due 2036</w:t>
            </w:r>
          </w:p>
        </w:tc>
      </w:tr>
      <w:tr>
        <w:trPr>
          <w:trHeight w:val="20"/>
        </w:trPr>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53"/>
        </w:trPr>
        <w:tc>
          <w:tcPr>
            <w:tcW w:w="36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1.875% Notes due 2036</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£800,000,000</w:t>
            </w:r>
          </w:p>
        </w:tc>
        <w:tc>
          <w:tcPr>
            <w:tcW w:w="4620" w:type="dxa"/>
            <w:vAlign w:val="bottom"/>
          </w:tcPr>
          <w:p>
            <w:pPr>
              <w:spacing w:after="0"/>
              <w:rPr>
                <w:sz w:val="24"/>
                <w:szCs w:val="24"/>
                <w:color w:val="auto"/>
              </w:rPr>
            </w:pP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February 20, 2036</w:t>
            </w:r>
          </w:p>
        </w:tc>
      </w:tr>
      <w:tr>
        <w:trPr>
          <w:trHeight w:val="324"/>
        </w:trPr>
        <w:tc>
          <w:tcPr>
            <w:tcW w:w="36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00" w:type="dxa"/>
            <w:vAlign w:val="bottom"/>
            <w:gridSpan w:val="2"/>
          </w:tcPr>
          <w:p>
            <w:pPr>
              <w:ind w:left="600"/>
              <w:spacing w:after="0"/>
              <w:rPr>
                <w:sz w:val="20"/>
                <w:szCs w:val="20"/>
                <w:color w:val="auto"/>
              </w:rPr>
            </w:pPr>
            <w:r>
              <w:rPr>
                <w:rFonts w:ascii="Arial" w:cs="Arial" w:eastAsia="Arial" w:hAnsi="Arial"/>
                <w:sz w:val="18"/>
                <w:szCs w:val="18"/>
                <w:color w:val="auto"/>
              </w:rPr>
              <w:t>1.875%</w:t>
            </w:r>
          </w:p>
        </w:tc>
        <w:tc>
          <w:tcPr>
            <w:tcW w:w="4620" w:type="dxa"/>
            <w:vAlign w:val="bottom"/>
          </w:tcPr>
          <w:p>
            <w:pPr>
              <w:spacing w:after="0"/>
              <w:rPr>
                <w:sz w:val="24"/>
                <w:szCs w:val="24"/>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3"/>
              </w:rPr>
              <w:t>The Company will have the right at its option to redeem the 2036 Sterling Notes in whole or</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6"/>
              </w:rPr>
              <w:t>in part, at any time or from time to time prior to their maturity, on at least 15 days, but not</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more than 30 days, prior notice delivered electronically or mailed to the registered address of</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89"/>
              </w:rPr>
              <w:t>each holder of the 2036 Sterling Notes, at the Redemption Price. The Redemption Price means</w:t>
            </w:r>
          </w:p>
        </w:tc>
      </w:tr>
      <w:tr>
        <w:trPr>
          <w:trHeight w:val="212"/>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(a) any time prior to November 20, 2035 (three (3) months prior to the maturity of the 2036</w:t>
            </w:r>
          </w:p>
        </w:tc>
      </w:tr>
      <w:tr>
        <w:trPr>
          <w:trHeight w:val="220"/>
        </w:trPr>
        <w:tc>
          <w:tcPr>
            <w:tcW w:w="3600" w:type="dxa"/>
            <w:vAlign w:val="bottom"/>
          </w:tcPr>
          <w:p>
            <w:pPr>
              <w:spacing w:after="0"/>
              <w:rPr>
                <w:sz w:val="19"/>
                <w:szCs w:val="19"/>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Sterling Notes) (the “</w:t>
            </w:r>
            <w:r>
              <w:rPr>
                <w:rFonts w:ascii="Arial" w:cs="Arial" w:eastAsia="Arial" w:hAnsi="Arial"/>
                <w:sz w:val="18"/>
                <w:szCs w:val="18"/>
                <w:b w:val="1"/>
                <w:bCs w:val="1"/>
                <w:color w:val="auto"/>
                <w:w w:val="94"/>
              </w:rPr>
              <w:t>2036 Par Call Date</w:t>
            </w:r>
            <w:r>
              <w:rPr>
                <w:rFonts w:ascii="Arial" w:cs="Arial" w:eastAsia="Arial" w:hAnsi="Arial"/>
                <w:sz w:val="18"/>
                <w:szCs w:val="18"/>
                <w:color w:val="auto"/>
                <w:w w:val="94"/>
              </w:rPr>
              <w:t>”), the Redemption Price is the greater of (i) 100%</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4"/>
              </w:rPr>
              <w:t>of the principal amount of the 2036 Sterling Notes, and (ii) the sum of the present values of</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1"/>
              </w:rPr>
              <w:t>the principal amount of such notes and the scheduled payments of interest thereon (exclusive</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3"/>
              </w:rPr>
              <w:t>of interest accrued to the date of redemption) from the redemption date to the 2036 Par Call</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8"/>
              </w:rPr>
              <w:t>Date, in each case discounted to the redemption date on an actual (ACTUAL/ACTUAL</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2"/>
              </w:rPr>
              <w:t>(ICMA)), as defined in the rulebook of the International Capital Market Association, basis at a</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0"/>
              </w:rPr>
              <w:t>rate equal to the applicable Gilt Rate plus 15 basis points and (b) any time on or after the 2036</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3"/>
              </w:rPr>
              <w:t>Par Call Date, 100% of the principal amount of such notes; plus, in each case, accrued and</w:t>
            </w:r>
          </w:p>
        </w:tc>
      </w:tr>
      <w:tr>
        <w:trPr>
          <w:trHeight w:val="230"/>
        </w:trPr>
        <w:tc>
          <w:tcPr>
            <w:tcW w:w="3600" w:type="dxa"/>
            <w:vAlign w:val="bottom"/>
          </w:tcPr>
          <w:p>
            <w:pPr>
              <w:spacing w:after="0"/>
              <w:rPr>
                <w:sz w:val="20"/>
                <w:szCs w:val="20"/>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unpaid interest thereon to the date of redemption.</w:t>
            </w:r>
          </w:p>
        </w:tc>
      </w:tr>
      <w:tr>
        <w:trPr>
          <w:trHeight w:val="310"/>
        </w:trPr>
        <w:tc>
          <w:tcPr>
            <w:tcW w:w="36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0"/>
              </w:rPr>
              <w:t>The 2036 Sterling Notes need not be issued at the same time and the series may be reopened</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6"/>
              </w:rPr>
              <w:t>for issuance of an unlimited principal amount of additional 2036 Sterling Notes under this</w:t>
            </w:r>
          </w:p>
        </w:tc>
      </w:tr>
      <w:tr>
        <w:trPr>
          <w:trHeight w:val="216"/>
        </w:trPr>
        <w:tc>
          <w:tcPr>
            <w:tcW w:w="3600" w:type="dxa"/>
            <w:vAlign w:val="bottom"/>
          </w:tcPr>
          <w:p>
            <w:pPr>
              <w:spacing w:after="0"/>
              <w:rPr>
                <w:sz w:val="18"/>
                <w:szCs w:val="18"/>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w w:val="95"/>
              </w:rPr>
              <w:t>series. Additional 2036 Sterling Notes of this series may be consolidated with, and form a</w:t>
            </w:r>
          </w:p>
        </w:tc>
      </w:tr>
      <w:tr>
        <w:trPr>
          <w:trHeight w:val="230"/>
        </w:trPr>
        <w:tc>
          <w:tcPr>
            <w:tcW w:w="3600" w:type="dxa"/>
            <w:vAlign w:val="bottom"/>
          </w:tcPr>
          <w:p>
            <w:pPr>
              <w:spacing w:after="0"/>
              <w:rPr>
                <w:sz w:val="20"/>
                <w:szCs w:val="20"/>
                <w:color w:val="auto"/>
              </w:rPr>
            </w:pPr>
          </w:p>
        </w:tc>
        <w:tc>
          <w:tcPr>
            <w:tcW w:w="7420" w:type="dxa"/>
            <w:vAlign w:val="bottom"/>
            <w:gridSpan w:val="3"/>
          </w:tcPr>
          <w:p>
            <w:pPr>
              <w:ind w:left="600"/>
              <w:spacing w:after="0"/>
              <w:rPr>
                <w:sz w:val="20"/>
                <w:szCs w:val="20"/>
                <w:color w:val="auto"/>
              </w:rPr>
            </w:pPr>
            <w:r>
              <w:rPr>
                <w:rFonts w:ascii="Arial" w:cs="Arial" w:eastAsia="Arial" w:hAnsi="Arial"/>
                <w:sz w:val="18"/>
                <w:szCs w:val="18"/>
                <w:color w:val="auto"/>
              </w:rPr>
              <w:t>single series with, 2036 Sterling Notes then outstanding, including for</w:t>
            </w:r>
          </w:p>
        </w:tc>
      </w:tr>
      <w:tr>
        <w:trPr>
          <w:trHeight w:val="365"/>
        </w:trPr>
        <w:tc>
          <w:tcPr>
            <w:tcW w:w="3600" w:type="dxa"/>
            <w:vAlign w:val="bottom"/>
          </w:tcPr>
          <w:p>
            <w:pPr>
              <w:spacing w:after="0"/>
              <w:rPr>
                <w:sz w:val="24"/>
                <w:szCs w:val="24"/>
                <w:color w:val="auto"/>
              </w:rPr>
            </w:pPr>
          </w:p>
        </w:tc>
        <w:tc>
          <w:tcPr>
            <w:tcW w:w="2800" w:type="dxa"/>
            <w:vAlign w:val="bottom"/>
            <w:gridSpan w:val="2"/>
          </w:tcPr>
          <w:p>
            <w:pPr>
              <w:ind w:left="1860"/>
              <w:spacing w:after="0"/>
              <w:rPr>
                <w:sz w:val="20"/>
                <w:szCs w:val="20"/>
                <w:color w:val="auto"/>
              </w:rPr>
            </w:pPr>
            <w:r>
              <w:rPr>
                <w:rFonts w:ascii="Arial" w:cs="Arial" w:eastAsia="Arial" w:hAnsi="Arial"/>
                <w:sz w:val="18"/>
                <w:szCs w:val="18"/>
                <w:color w:val="auto"/>
              </w:rPr>
              <w:t>7</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473"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1"/>
              </w:rPr>
              <w:t>purposes of determining whether the required percentage of the holders of record has given</w:t>
            </w:r>
          </w:p>
        </w:tc>
      </w:tr>
      <w:tr>
        <w:trPr>
          <w:trHeight w:val="216"/>
        </w:trPr>
        <w:tc>
          <w:tcPr>
            <w:tcW w:w="2660" w:type="dxa"/>
            <w:vAlign w:val="bottom"/>
          </w:tcPr>
          <w:p>
            <w:pPr>
              <w:spacing w:after="0"/>
              <w:rPr>
                <w:sz w:val="18"/>
                <w:szCs w:val="18"/>
                <w:color w:val="auto"/>
              </w:rPr>
            </w:pP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4"/>
              </w:rPr>
              <w:t>approval or consent to an amendment or waiver or joined in directing the Trustee to take</w:t>
            </w:r>
          </w:p>
        </w:tc>
      </w:tr>
      <w:tr>
        <w:trPr>
          <w:trHeight w:val="216"/>
        </w:trPr>
        <w:tc>
          <w:tcPr>
            <w:tcW w:w="2660" w:type="dxa"/>
            <w:vAlign w:val="bottom"/>
          </w:tcPr>
          <w:p>
            <w:pPr>
              <w:spacing w:after="0"/>
              <w:rPr>
                <w:sz w:val="18"/>
                <w:szCs w:val="18"/>
                <w:color w:val="auto"/>
              </w:rPr>
            </w:pP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2"/>
              </w:rPr>
              <w:t>certain actions on behalf of all holders; provided that if such additional 2036 Sterling Notes</w:t>
            </w:r>
          </w:p>
        </w:tc>
      </w:tr>
      <w:tr>
        <w:trPr>
          <w:trHeight w:val="216"/>
        </w:trPr>
        <w:tc>
          <w:tcPr>
            <w:tcW w:w="2660" w:type="dxa"/>
            <w:vAlign w:val="bottom"/>
          </w:tcPr>
          <w:p>
            <w:pPr>
              <w:spacing w:after="0"/>
              <w:rPr>
                <w:sz w:val="18"/>
                <w:szCs w:val="18"/>
                <w:color w:val="auto"/>
              </w:rPr>
            </w:pP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3"/>
              </w:rPr>
              <w:t>are not fungible with the 2036 Sterling Notes then outstanding for U.S. federal income tax</w:t>
            </w:r>
          </w:p>
        </w:tc>
      </w:tr>
      <w:tr>
        <w:trPr>
          <w:trHeight w:val="230"/>
        </w:trPr>
        <w:tc>
          <w:tcPr>
            <w:tcW w:w="2660" w:type="dxa"/>
            <w:vAlign w:val="bottom"/>
          </w:tcPr>
          <w:p>
            <w:pPr>
              <w:spacing w:after="0"/>
              <w:rPr>
                <w:sz w:val="20"/>
                <w:szCs w:val="20"/>
                <w:color w:val="auto"/>
              </w:rPr>
            </w:pP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0"/>
              </w:rPr>
              <w:t>purposes, such additional 2036 Sterling Notes will have one or more separate ISIN numbers.</w:t>
            </w:r>
          </w:p>
        </w:tc>
      </w:tr>
      <w:tr>
        <w:trPr>
          <w:trHeight w:val="324"/>
        </w:trPr>
        <w:tc>
          <w:tcPr>
            <w:tcW w:w="26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rPr>
              <w:t>None</w:t>
            </w:r>
          </w:p>
        </w:tc>
      </w:tr>
      <w:tr>
        <w:trPr>
          <w:trHeight w:val="324"/>
        </w:trPr>
        <w:tc>
          <w:tcPr>
            <w:tcW w:w="26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rPr>
              <w:t>None</w:t>
            </w:r>
          </w:p>
        </w:tc>
      </w:tr>
      <w:tr>
        <w:trPr>
          <w:trHeight w:val="306"/>
        </w:trPr>
        <w:tc>
          <w:tcPr>
            <w:tcW w:w="26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220" w:type="dxa"/>
            <w:vAlign w:val="bottom"/>
            <w:gridSpan w:val="3"/>
          </w:tcPr>
          <w:p>
            <w:pPr>
              <w:ind w:left="1540"/>
              <w:spacing w:after="0"/>
              <w:rPr>
                <w:sz w:val="20"/>
                <w:szCs w:val="20"/>
                <w:color w:val="auto"/>
              </w:rPr>
            </w:pPr>
            <w:r>
              <w:rPr>
                <w:rFonts w:ascii="Arial" w:cs="Arial" w:eastAsia="Arial" w:hAnsi="Arial"/>
                <w:sz w:val="18"/>
                <w:szCs w:val="18"/>
                <w:color w:val="auto"/>
                <w:w w:val="93"/>
              </w:rPr>
              <w:t>The terms of the 2036 Sterling Notes shall include such other terms as are set forth in the</w:t>
            </w:r>
          </w:p>
        </w:tc>
      </w:tr>
      <w:tr>
        <w:trPr>
          <w:trHeight w:val="194"/>
        </w:trPr>
        <w:tc>
          <w:tcPr>
            <w:tcW w:w="2660" w:type="dxa"/>
            <w:vAlign w:val="bottom"/>
          </w:tcPr>
          <w:p>
            <w:pPr>
              <w:spacing w:after="0"/>
              <w:rPr>
                <w:sz w:val="16"/>
                <w:szCs w:val="16"/>
                <w:color w:val="auto"/>
              </w:rPr>
            </w:pPr>
          </w:p>
        </w:tc>
        <w:tc>
          <w:tcPr>
            <w:tcW w:w="8220" w:type="dxa"/>
            <w:vAlign w:val="bottom"/>
            <w:gridSpan w:val="3"/>
          </w:tcPr>
          <w:p>
            <w:pPr>
              <w:ind w:left="1540"/>
              <w:spacing w:after="0" w:line="194" w:lineRule="exact"/>
              <w:rPr>
                <w:sz w:val="20"/>
                <w:szCs w:val="20"/>
                <w:color w:val="auto"/>
              </w:rPr>
            </w:pPr>
            <w:r>
              <w:rPr>
                <w:rFonts w:ascii="Arial" w:cs="Arial" w:eastAsia="Arial" w:hAnsi="Arial"/>
                <w:sz w:val="18"/>
                <w:szCs w:val="18"/>
                <w:color w:val="auto"/>
              </w:rPr>
              <w:t xml:space="preserve">Form of 1.875% Notes due 2036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w:t>
            </w:r>
          </w:p>
        </w:tc>
      </w:tr>
      <w:tr>
        <w:trPr>
          <w:trHeight w:val="20"/>
        </w:trPr>
        <w:tc>
          <w:tcPr>
            <w:tcW w:w="26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Vice President, Senior Deputy General Counsel and</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40"/>
          </w:cols>
          <w:pgMar w:left="1440" w:top="274" w:right="519" w:bottom="1440" w:gutter="0" w:footer="0" w:header="0"/>
        </w:sectPr>
      </w:pPr>
    </w:p>
    <w:bookmarkStart w:id="12" w:name="page13"/>
    <w:bookmarkEnd w:id="12"/>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4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0.250% Notes due 2027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XS2114852218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€800,000,000</w:t>
      </w:r>
    </w:p>
    <w:p>
      <w:pPr>
        <w:spacing w:after="0" w:line="207" w:lineRule="exact"/>
        <w:rPr>
          <w:sz w:val="20"/>
          <w:szCs w:val="20"/>
          <w:color w:val="auto"/>
        </w:rPr>
      </w:pPr>
    </w:p>
    <w:p>
      <w:pPr>
        <w:ind w:right="100" w:firstLine="992"/>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€800,000,000 (Eight Hundred Million Euros) on May 20, 2027.</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Payment Date: May 20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20,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Record Date: May 5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0" w:right="439" w:bottom="1440" w:gutter="0" w:footer="0" w:header="0"/>
        </w:sectPr>
      </w:pPr>
    </w:p>
    <w:bookmarkStart w:id="14" w:name="page15"/>
    <w:bookmarkEnd w:id="14"/>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15" w:name="page16"/>
    <w:bookmarkEnd w:id="15"/>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019"/>
          </w:cols>
          <w:pgMar w:left="440" w:top="274"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0.250% Notes due 2027</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firstLine="992"/>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February 20, 2020. The Issuer will pay interest annually in arrears on the Interest Payment Date, commencing May 20, 2020.</w:t>
      </w:r>
    </w:p>
    <w:p>
      <w:pPr>
        <w:spacing w:after="0" w:line="146"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February 20, 2020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7" w:lineRule="exact"/>
        <w:rPr>
          <w:sz w:val="20"/>
          <w:szCs w:val="20"/>
          <w:color w:val="auto"/>
        </w:rPr>
      </w:pPr>
    </w:p>
    <w:p>
      <w:pPr>
        <w:ind w:right="20" w:firstLine="992"/>
        <w:spacing w:after="0" w:line="28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62"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Issuance in Euro.</w:t>
      </w:r>
    </w:p>
    <w:p>
      <w:pPr>
        <w:spacing w:after="0" w:line="117"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17" w:name="page18"/>
    <w:bookmarkEnd w:id="17"/>
    <w:p>
      <w:pPr>
        <w:ind w:right="460" w:firstLine="992"/>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274"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6"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0" w:right="459" w:bottom="1440" w:gutter="0" w:footer="0" w:header="0"/>
        </w:sectPr>
      </w:pPr>
    </w:p>
    <w:bookmarkStart w:id="18" w:name="page19"/>
    <w:bookmarkEnd w:id="18"/>
    <w:p>
      <w:pPr>
        <w:ind w:left="100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r>
        <w:rPr>
          <w:sz w:val="20"/>
          <w:szCs w:val="20"/>
          <w:color w:val="auto"/>
        </w:rPr>
        <w:tab/>
      </w:r>
      <w:r>
        <w:rPr>
          <w:rFonts w:ascii="Arial" w:cs="Arial" w:eastAsia="Arial" w:hAnsi="Arial"/>
          <w:sz w:val="15"/>
          <w:szCs w:val="15"/>
          <w:color w:val="auto"/>
        </w:rPr>
        <w:t>Indenture.</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90"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ind w:right="140" w:firstLine="992"/>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0"/>
          </w:cols>
          <w:pgMar w:left="440" w:top="274" w:right="439" w:bottom="1440" w:gutter="0" w:footer="0" w:header="0"/>
        </w:sectPr>
      </w:pPr>
    </w:p>
    <w:bookmarkStart w:id="19" w:name="page20"/>
    <w:bookmarkEnd w:id="19"/>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5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right="20" w:firstLine="992"/>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March 20, 2027 (two (2) months prior to the maturity of the Securities) (the “</w:t>
      </w:r>
      <w:r>
        <w:rPr>
          <w:rFonts w:ascii="Arial" w:cs="Arial" w:eastAsia="Arial" w:hAnsi="Arial"/>
          <w:sz w:val="17"/>
          <w:szCs w:val="17"/>
          <w:b w:val="1"/>
          <w:bCs w:val="1"/>
          <w:color w:val="auto"/>
        </w:rPr>
        <w:t>Par Call</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15 basis points and (b) if the Securities are redeemed on or after the Par Call Date, 100% of the principal amount of such Securities; plus, in each case, accrued and unpaid interest thereon to the date of redemption.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20" w:name="page21"/>
    <w:bookmarkEnd w:id="20"/>
    <w:p>
      <w:pPr>
        <w:ind w:right="80" w:firstLine="99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8"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the Issuer.</w:t>
      </w:r>
    </w:p>
    <w:p>
      <w:pPr>
        <w:spacing w:after="0" w:line="28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jc w:val="both"/>
        <w:ind w:right="100" w:firstLine="992"/>
        <w:spacing w:after="0" w:line="291"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February 5, 2020,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20"/>
          </w:cols>
          <w:pgMar w:left="440" w:top="270" w:right="439" w:bottom="1440" w:gutter="0" w:footer="0" w:header="0"/>
        </w:sectPr>
      </w:pPr>
    </w:p>
    <w:bookmarkStart w:id="21" w:name="page22"/>
    <w:bookmarkEnd w:id="21"/>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right="100" w:firstLine="992"/>
        <w:spacing w:after="0" w:line="297"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6"/>
          <w:szCs w:val="16"/>
          <w:b w:val="1"/>
          <w:bCs w:val="1"/>
          <w:color w:val="auto"/>
        </w:rPr>
        <w:t>Tax</w:t>
      </w:r>
      <w:r>
        <w:rPr>
          <w:rFonts w:ascii="Arial" w:cs="Arial" w:eastAsia="Arial" w:hAnsi="Arial"/>
          <w:sz w:val="16"/>
          <w:szCs w:val="16"/>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64" w:lineRule="exact"/>
        <w:rPr>
          <w:sz w:val="20"/>
          <w:szCs w:val="20"/>
          <w:color w:val="auto"/>
        </w:rPr>
      </w:pPr>
    </w:p>
    <w:p>
      <w:pPr>
        <w:ind w:left="980" w:right="60" w:hanging="54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2" w:lineRule="exact"/>
        <w:rPr>
          <w:rFonts w:ascii="Arial" w:cs="Arial" w:eastAsia="Arial" w:hAnsi="Arial"/>
          <w:sz w:val="18"/>
          <w:szCs w:val="18"/>
          <w:color w:val="auto"/>
        </w:rPr>
      </w:pPr>
    </w:p>
    <w:p>
      <w:pPr>
        <w:ind w:left="1420" w:right="220" w:hanging="430"/>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jc w:val="both"/>
        <w:ind w:left="1420" w:right="200" w:hanging="430"/>
        <w:spacing w:after="0" w:line="264"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jc w:val="both"/>
        <w:ind w:left="1420" w:hanging="430"/>
        <w:spacing w:after="0" w:line="264"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2" w:lineRule="exact"/>
        <w:rPr>
          <w:rFonts w:ascii="Arial" w:cs="Arial" w:eastAsia="Arial" w:hAnsi="Arial"/>
          <w:sz w:val="18"/>
          <w:szCs w:val="18"/>
          <w:color w:val="auto"/>
        </w:rPr>
      </w:pPr>
    </w:p>
    <w:p>
      <w:pPr>
        <w:ind w:left="1420" w:right="300" w:hanging="430"/>
        <w:spacing w:after="0" w:line="313" w:lineRule="auto"/>
        <w:tabs>
          <w:tab w:leader="none" w:pos="1420" w:val="left"/>
        </w:tabs>
        <w:numPr>
          <w:ilvl w:val="1"/>
          <w:numId w:val="2"/>
        </w:numPr>
        <w:rPr>
          <w:rFonts w:ascii="Arial" w:cs="Arial" w:eastAsia="Arial" w:hAnsi="Arial"/>
          <w:sz w:val="17"/>
          <w:szCs w:val="17"/>
          <w:color w:val="auto"/>
        </w:rPr>
      </w:pPr>
      <w:r>
        <w:rPr>
          <w:rFonts w:ascii="Arial" w:cs="Arial" w:eastAsia="Arial" w:hAnsi="Arial"/>
          <w:sz w:val="17"/>
          <w:szCs w:val="17"/>
          <w:color w:val="auto"/>
        </w:rPr>
        <w:t>being or having been a “</w:t>
      </w:r>
      <w:r>
        <w:rPr>
          <w:rFonts w:ascii="Arial" w:cs="Arial" w:eastAsia="Arial" w:hAnsi="Arial"/>
          <w:sz w:val="17"/>
          <w:szCs w:val="17"/>
          <w:b w:val="1"/>
          <w:bCs w:val="1"/>
          <w:color w:val="auto"/>
        </w:rPr>
        <w:t>10-percent shareholder</w:t>
      </w:r>
      <w:r>
        <w:rPr>
          <w:rFonts w:ascii="Arial" w:cs="Arial" w:eastAsia="Arial" w:hAnsi="Arial"/>
          <w:sz w:val="17"/>
          <w:szCs w:val="17"/>
          <w:color w:val="auto"/>
        </w:rPr>
        <w:t>” of the Issuer or the applicable guarantor as defined in Section 871(h)(3) of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or any successor provision; or</w:t>
      </w:r>
    </w:p>
    <w:p>
      <w:pPr>
        <w:spacing w:after="0" w:line="47" w:lineRule="exact"/>
        <w:rPr>
          <w:rFonts w:ascii="Arial" w:cs="Arial" w:eastAsia="Arial" w:hAnsi="Arial"/>
          <w:sz w:val="17"/>
          <w:szCs w:val="17"/>
          <w:color w:val="auto"/>
        </w:rPr>
      </w:pPr>
    </w:p>
    <w:p>
      <w:pPr>
        <w:ind w:left="1420" w:right="120" w:hanging="430"/>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75" w:lineRule="exact"/>
        <w:rPr>
          <w:rFonts w:ascii="Arial" w:cs="Arial" w:eastAsia="Arial" w:hAnsi="Arial"/>
          <w:sz w:val="18"/>
          <w:szCs w:val="18"/>
          <w:color w:val="auto"/>
        </w:rPr>
      </w:pPr>
    </w:p>
    <w:p>
      <w:pPr>
        <w:ind w:left="980" w:right="40" w:hanging="544"/>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77" w:lineRule="exact"/>
        <w:rPr>
          <w:rFonts w:ascii="Arial" w:cs="Arial" w:eastAsia="Arial" w:hAnsi="Arial"/>
          <w:sz w:val="17"/>
          <w:szCs w:val="17"/>
          <w:color w:val="auto"/>
        </w:rPr>
      </w:pPr>
    </w:p>
    <w:p>
      <w:pPr>
        <w:ind w:left="980" w:right="80" w:hanging="54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22" w:name="page23"/>
    <w:bookmarkEnd w:id="22"/>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Tax that is imposed otherwise than by withholding by the Issuer or a an applicable withholding agent from the payment;</w:t>
      </w:r>
    </w:p>
    <w:p>
      <w:pPr>
        <w:spacing w:after="0" w:line="130"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75"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6" w:lineRule="exact"/>
        <w:rPr>
          <w:rFonts w:ascii="Arial" w:cs="Arial" w:eastAsia="Arial" w:hAnsi="Arial"/>
          <w:sz w:val="18"/>
          <w:szCs w:val="18"/>
          <w:color w:val="auto"/>
        </w:rPr>
      </w:pPr>
    </w:p>
    <w:p>
      <w:pPr>
        <w:ind w:left="980" w:right="580" w:hanging="54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59" w:lineRule="exact"/>
        <w:rPr>
          <w:rFonts w:ascii="Arial" w:cs="Arial" w:eastAsia="Arial" w:hAnsi="Arial"/>
          <w:sz w:val="16"/>
          <w:szCs w:val="16"/>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100" w:firstLine="992"/>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16. Defaults and Remedies.</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274" w:right="459" w:bottom="1440" w:gutter="0" w:footer="0" w:header="0"/>
        </w:sectPr>
      </w:pPr>
    </w:p>
    <w:bookmarkStart w:id="23" w:name="page24"/>
    <w:bookmarkEnd w:id="2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17. Trustee Dealings with Issuer.</w:t>
      </w:r>
    </w:p>
    <w:p>
      <w:pPr>
        <w:spacing w:after="0" w:line="117"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18. No Recourse Against Others.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 Authentication.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 Abbreviations and Defined Terms.</w:t>
      </w:r>
    </w:p>
    <w:p>
      <w:pPr>
        <w:spacing w:after="0" w:line="117"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21. ISIN Numbers.</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20"/>
          </w:cols>
          <w:pgMar w:left="440"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9019"/>
          </w:cols>
          <w:pgMar w:left="1440" w:top="274" w:right="1440"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jc w:val="center"/>
              <w:ind w:right="256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80" w:type="dxa"/>
            <w:vAlign w:val="bottom"/>
            <w:gridSpan w:val="7"/>
          </w:tcPr>
          <w:p>
            <w:pPr>
              <w:jc w:val="center"/>
              <w:ind w:right="258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4"/>
          </w:tcPr>
          <w:p>
            <w:pPr>
              <w:spacing w:after="0"/>
              <w:rPr>
                <w:sz w:val="20"/>
                <w:szCs w:val="20"/>
                <w:color w:val="auto"/>
              </w:rPr>
            </w:pPr>
            <w:r>
              <w:rPr>
                <w:rFonts w:ascii="Arial" w:cs="Arial" w:eastAsia="Arial" w:hAnsi="Arial"/>
                <w:sz w:val="18"/>
                <w:szCs w:val="18"/>
                <w:color w:val="auto"/>
                <w:w w:val="93"/>
              </w:rPr>
              <w:t>and irrevocably appoint</w:t>
            </w: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18"/>
                <w:szCs w:val="18"/>
                <w:color w:val="auto"/>
                <w:w w:val="92"/>
              </w:rPr>
              <w:t>agent to transfer this Security on the books of the Issuer. The agent may</w:t>
            </w:r>
          </w:p>
        </w:tc>
      </w:tr>
      <w:tr>
        <w:trPr>
          <w:trHeight w:val="237"/>
        </w:trPr>
        <w:tc>
          <w:tcPr>
            <w:tcW w:w="2560" w:type="dxa"/>
            <w:vAlign w:val="bottom"/>
            <w:gridSpan w:val="5"/>
          </w:tcPr>
          <w:p>
            <w:pPr>
              <w:spacing w:after="0"/>
              <w:rPr>
                <w:sz w:val="20"/>
                <w:szCs w:val="20"/>
                <w:color w:val="auto"/>
              </w:rPr>
            </w:pPr>
            <w:r>
              <w:rPr>
                <w:rFonts w:ascii="Arial" w:cs="Arial" w:eastAsia="Arial" w:hAnsi="Arial"/>
                <w:sz w:val="18"/>
                <w:szCs w:val="18"/>
                <w:color w:val="auto"/>
                <w:w w:val="98"/>
              </w:rPr>
              <w:t>substitute another to act for him.</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9"/>
        </w:trPr>
        <w:tc>
          <w:tcPr>
            <w:tcW w:w="520" w:type="dxa"/>
            <w:vAlign w:val="bottom"/>
            <w:gridSpan w:val="2"/>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114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Signed:</w:t>
            </w:r>
          </w:p>
        </w:tc>
        <w:tc>
          <w:tcPr>
            <w:tcW w:w="3460" w:type="dxa"/>
            <w:vAlign w:val="bottom"/>
            <w:tcBorders>
              <w:bottom w:val="single" w:sz="8" w:color="auto"/>
            </w:tcBorders>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00" w:type="dxa"/>
            <w:vAlign w:val="bottom"/>
            <w:gridSpan w:val="2"/>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Security)</w:t>
            </w:r>
          </w:p>
        </w:tc>
      </w:tr>
      <w:tr>
        <w:trPr>
          <w:trHeight w:val="459"/>
        </w:trPr>
        <w:tc>
          <w:tcPr>
            <w:tcW w:w="2560" w:type="dxa"/>
            <w:vAlign w:val="bottom"/>
            <w:gridSpan w:val="5"/>
          </w:tcPr>
          <w:p>
            <w:pPr>
              <w:spacing w:after="0"/>
              <w:rPr>
                <w:sz w:val="20"/>
                <w:szCs w:val="20"/>
                <w:color w:val="auto"/>
              </w:rPr>
            </w:pPr>
            <w:r>
              <w:rPr>
                <w:rFonts w:ascii="Arial" w:cs="Arial" w:eastAsia="Arial" w:hAnsi="Arial"/>
                <w:sz w:val="18"/>
                <w:szCs w:val="18"/>
                <w:color w:val="auto"/>
              </w:rPr>
              <w:t>Signature Guarantee:</w:t>
            </w:r>
          </w:p>
        </w:tc>
        <w:tc>
          <w:tcPr>
            <w:tcW w:w="16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w w:val="98"/>
              </w:rPr>
              <w:t>Participant in a recognized Signature Guarantee Medallion Program (or other signature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ind w:left="164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20" w:type="dxa"/>
            <w:vAlign w:val="bottom"/>
            <w:gridSpan w:val="6"/>
          </w:tcPr>
          <w:p>
            <w:pPr>
              <w:jc w:val="center"/>
              <w:ind w:right="4240"/>
              <w:spacing w:after="0"/>
              <w:rPr>
                <w:sz w:val="20"/>
                <w:szCs w:val="20"/>
                <w:color w:val="auto"/>
              </w:rPr>
            </w:pPr>
            <w:r>
              <w:rPr>
                <w:rFonts w:ascii="Arial" w:cs="Arial" w:eastAsia="Arial" w:hAnsi="Arial"/>
                <w:sz w:val="18"/>
                <w:szCs w:val="18"/>
                <w:color w:val="auto"/>
                <w:w w:val="99"/>
              </w:rPr>
              <w:t>A-14</w:t>
            </w:r>
          </w:p>
        </w:tc>
      </w:tr>
    </w:tbl>
    <w:p>
      <w:pPr>
        <w:sectPr>
          <w:pgSz w:w="11900" w:h="16838" w:orient="portrait"/>
          <w:cols w:equalWidth="0" w:num="1">
            <w:col w:w="11040"/>
          </w:cols>
          <w:pgMar w:left="440" w:top="274" w:right="419" w:bottom="1440" w:gutter="0" w:footer="0" w:header="0"/>
        </w:sectPr>
      </w:pPr>
    </w:p>
    <w:bookmarkStart w:id="26" w:name="page27"/>
    <w:bookmarkEnd w:id="26"/>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4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0.750% Notes due 2032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XS2114852564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€1,400,000,000</w:t>
      </w:r>
    </w:p>
    <w:p>
      <w:pPr>
        <w:spacing w:after="0" w:line="207" w:lineRule="exact"/>
        <w:rPr>
          <w:sz w:val="20"/>
          <w:szCs w:val="20"/>
          <w:color w:val="auto"/>
        </w:rPr>
      </w:pPr>
    </w:p>
    <w:p>
      <w:pPr>
        <w:ind w:right="100" w:firstLine="992"/>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€1,400,000,000 (One Billion Four Hundred Million Euros) on February 20, 2032.</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Payment Date: February 20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20,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Record Date: February 5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0" w:right="439" w:bottom="1440" w:gutter="0" w:footer="0" w:header="0"/>
        </w:sectPr>
      </w:pPr>
    </w:p>
    <w:bookmarkStart w:id="28" w:name="page29"/>
    <w:bookmarkEnd w:id="28"/>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29" w:name="page30"/>
    <w:bookmarkEnd w:id="29"/>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19"/>
          </w:cols>
          <w:pgMar w:left="440" w:top="274"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0.750% Notes due 2032</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firstLine="992"/>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February 20, 2020. The Issuer will pay interest annually in arrears on the Interest Payment Date, commencing February 20, 2021.</w:t>
      </w:r>
    </w:p>
    <w:p>
      <w:pPr>
        <w:spacing w:after="0" w:line="146"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February 20, 2020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7" w:lineRule="exact"/>
        <w:rPr>
          <w:sz w:val="20"/>
          <w:szCs w:val="20"/>
          <w:color w:val="auto"/>
        </w:rPr>
      </w:pPr>
    </w:p>
    <w:p>
      <w:pPr>
        <w:ind w:right="20" w:firstLine="992"/>
        <w:spacing w:after="0" w:line="28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62"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Issuance in Euro.</w:t>
      </w:r>
    </w:p>
    <w:p>
      <w:pPr>
        <w:spacing w:after="0" w:line="117"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80"/>
          </w:cols>
          <w:pgMar w:left="440" w:top="274" w:right="479" w:bottom="1440" w:gutter="0" w:footer="0" w:header="0"/>
        </w:sectPr>
      </w:pPr>
    </w:p>
    <w:bookmarkStart w:id="31" w:name="page32"/>
    <w:bookmarkEnd w:id="31"/>
    <w:p>
      <w:pPr>
        <w:ind w:right="460" w:firstLine="992"/>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274"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6"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00"/>
          </w:cols>
          <w:pgMar w:left="440" w:top="270" w:right="459" w:bottom="1440" w:gutter="0" w:footer="0" w:header="0"/>
        </w:sectPr>
      </w:pPr>
    </w:p>
    <w:bookmarkStart w:id="32" w:name="page33"/>
    <w:bookmarkEnd w:id="32"/>
    <w:p>
      <w:pPr>
        <w:ind w:left="100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r>
        <w:rPr>
          <w:sz w:val="20"/>
          <w:szCs w:val="20"/>
          <w:color w:val="auto"/>
        </w:rPr>
        <w:tab/>
      </w:r>
      <w:r>
        <w:rPr>
          <w:rFonts w:ascii="Arial" w:cs="Arial" w:eastAsia="Arial" w:hAnsi="Arial"/>
          <w:sz w:val="15"/>
          <w:szCs w:val="15"/>
          <w:color w:val="auto"/>
        </w:rPr>
        <w:t>Indenture.</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90"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ind w:right="140" w:firstLine="992"/>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20"/>
          </w:cols>
          <w:pgMar w:left="440" w:top="274" w:right="439" w:bottom="1440" w:gutter="0" w:footer="0" w:header="0"/>
        </w:sectPr>
      </w:pPr>
    </w:p>
    <w:bookmarkStart w:id="33" w:name="page34"/>
    <w:bookmarkEnd w:id="33"/>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5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firstLine="992"/>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(a) at any time prior to November 20, 2031 (three (3) months prior to the maturity of the Securities) (the “</w:t>
      </w:r>
      <w:r>
        <w:rPr>
          <w:rFonts w:ascii="Arial" w:cs="Arial" w:eastAsia="Arial" w:hAnsi="Arial"/>
          <w:sz w:val="17"/>
          <w:szCs w:val="17"/>
          <w:b w:val="1"/>
          <w:bCs w:val="1"/>
          <w:color w:val="auto"/>
        </w:rPr>
        <w:t>Par</w:t>
      </w:r>
      <w:r>
        <w:rPr>
          <w:rFonts w:ascii="Arial" w:cs="Arial" w:eastAsia="Arial" w:hAnsi="Arial"/>
          <w:sz w:val="17"/>
          <w:szCs w:val="17"/>
          <w:color w:val="auto"/>
        </w:rPr>
        <w:t xml:space="preserve"> </w:t>
      </w:r>
      <w:r>
        <w:rPr>
          <w:rFonts w:ascii="Arial" w:cs="Arial" w:eastAsia="Arial" w:hAnsi="Arial"/>
          <w:sz w:val="17"/>
          <w:szCs w:val="17"/>
          <w:b w:val="1"/>
          <w:bCs w:val="1"/>
          <w:color w:val="auto"/>
        </w:rPr>
        <w:t>Call 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20 basis points and (b) if the Securities are redeemed on or after the Par Call Date, 100% of the principal amount of such Securities; plus, in each case, accrued and unpaid interest thereon to the date of redemption.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00"/>
          </w:cols>
          <w:pgMar w:left="440" w:top="274" w:right="459" w:bottom="1440" w:gutter="0" w:footer="0" w:header="0"/>
        </w:sectPr>
      </w:pPr>
    </w:p>
    <w:bookmarkStart w:id="34" w:name="page35"/>
    <w:bookmarkEnd w:id="34"/>
    <w:p>
      <w:pPr>
        <w:ind w:right="80" w:firstLine="99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8"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the Issuer.</w:t>
      </w:r>
    </w:p>
    <w:p>
      <w:pPr>
        <w:spacing w:after="0" w:line="28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jc w:val="both"/>
        <w:ind w:right="100" w:firstLine="992"/>
        <w:spacing w:after="0" w:line="291"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February 5, 2020,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20"/>
          </w:cols>
          <w:pgMar w:left="440" w:top="270" w:right="439" w:bottom="1440" w:gutter="0" w:footer="0" w:header="0"/>
        </w:sectPr>
      </w:pPr>
    </w:p>
    <w:bookmarkStart w:id="35" w:name="page36"/>
    <w:bookmarkEnd w:id="35"/>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right="100" w:firstLine="992"/>
        <w:spacing w:after="0" w:line="297"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6"/>
          <w:szCs w:val="16"/>
          <w:b w:val="1"/>
          <w:bCs w:val="1"/>
          <w:color w:val="auto"/>
        </w:rPr>
        <w:t>Tax</w:t>
      </w:r>
      <w:r>
        <w:rPr>
          <w:rFonts w:ascii="Arial" w:cs="Arial" w:eastAsia="Arial" w:hAnsi="Arial"/>
          <w:sz w:val="16"/>
          <w:szCs w:val="16"/>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64" w:lineRule="exact"/>
        <w:rPr>
          <w:sz w:val="20"/>
          <w:szCs w:val="20"/>
          <w:color w:val="auto"/>
        </w:rPr>
      </w:pPr>
    </w:p>
    <w:p>
      <w:pPr>
        <w:ind w:left="980" w:right="60" w:hanging="54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2" w:lineRule="exact"/>
        <w:rPr>
          <w:rFonts w:ascii="Arial" w:cs="Arial" w:eastAsia="Arial" w:hAnsi="Arial"/>
          <w:sz w:val="18"/>
          <w:szCs w:val="18"/>
          <w:color w:val="auto"/>
        </w:rPr>
      </w:pPr>
    </w:p>
    <w:p>
      <w:pPr>
        <w:ind w:left="1420" w:right="220" w:hanging="430"/>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jc w:val="both"/>
        <w:ind w:left="1420" w:right="200" w:hanging="430"/>
        <w:spacing w:after="0" w:line="264"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jc w:val="both"/>
        <w:ind w:left="1420" w:hanging="430"/>
        <w:spacing w:after="0" w:line="264"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2" w:lineRule="exact"/>
        <w:rPr>
          <w:rFonts w:ascii="Arial" w:cs="Arial" w:eastAsia="Arial" w:hAnsi="Arial"/>
          <w:sz w:val="18"/>
          <w:szCs w:val="18"/>
          <w:color w:val="auto"/>
        </w:rPr>
      </w:pPr>
    </w:p>
    <w:p>
      <w:pPr>
        <w:ind w:left="1420" w:right="300" w:hanging="430"/>
        <w:spacing w:after="0" w:line="313" w:lineRule="auto"/>
        <w:tabs>
          <w:tab w:leader="none" w:pos="1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being or having been a “</w:t>
      </w:r>
      <w:r>
        <w:rPr>
          <w:rFonts w:ascii="Arial" w:cs="Arial" w:eastAsia="Arial" w:hAnsi="Arial"/>
          <w:sz w:val="17"/>
          <w:szCs w:val="17"/>
          <w:b w:val="1"/>
          <w:bCs w:val="1"/>
          <w:color w:val="auto"/>
        </w:rPr>
        <w:t>10-percent shareholder</w:t>
      </w:r>
      <w:r>
        <w:rPr>
          <w:rFonts w:ascii="Arial" w:cs="Arial" w:eastAsia="Arial" w:hAnsi="Arial"/>
          <w:sz w:val="17"/>
          <w:szCs w:val="17"/>
          <w:color w:val="auto"/>
        </w:rPr>
        <w:t>” of the Issuer or the applicable guarantor as defined in Section 871(h)(3) of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or any successor provision; or</w:t>
      </w:r>
    </w:p>
    <w:p>
      <w:pPr>
        <w:spacing w:after="0" w:line="47" w:lineRule="exact"/>
        <w:rPr>
          <w:rFonts w:ascii="Arial" w:cs="Arial" w:eastAsia="Arial" w:hAnsi="Arial"/>
          <w:sz w:val="17"/>
          <w:szCs w:val="17"/>
          <w:color w:val="auto"/>
        </w:rPr>
      </w:pPr>
    </w:p>
    <w:p>
      <w:pPr>
        <w:ind w:left="1420" w:right="120" w:hanging="430"/>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75" w:lineRule="exact"/>
        <w:rPr>
          <w:rFonts w:ascii="Arial" w:cs="Arial" w:eastAsia="Arial" w:hAnsi="Arial"/>
          <w:sz w:val="18"/>
          <w:szCs w:val="18"/>
          <w:color w:val="auto"/>
        </w:rPr>
      </w:pPr>
    </w:p>
    <w:p>
      <w:pPr>
        <w:ind w:left="980" w:right="40" w:hanging="544"/>
        <w:spacing w:after="0" w:line="27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77" w:lineRule="exact"/>
        <w:rPr>
          <w:rFonts w:ascii="Arial" w:cs="Arial" w:eastAsia="Arial" w:hAnsi="Arial"/>
          <w:sz w:val="17"/>
          <w:szCs w:val="17"/>
          <w:color w:val="auto"/>
        </w:rPr>
      </w:pPr>
    </w:p>
    <w:p>
      <w:pPr>
        <w:ind w:left="980" w:right="80" w:hanging="54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00"/>
          </w:cols>
          <w:pgMar w:left="440" w:top="274" w:right="459" w:bottom="1440" w:gutter="0" w:footer="0" w:header="0"/>
        </w:sectPr>
      </w:pPr>
    </w:p>
    <w:bookmarkStart w:id="36" w:name="page37"/>
    <w:bookmarkEnd w:id="36"/>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Tax that is imposed otherwise than by withholding by the Issuer or a an applicable withholding agent from the payment;</w:t>
      </w:r>
    </w:p>
    <w:p>
      <w:pPr>
        <w:spacing w:after="0" w:line="130"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75"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6" w:lineRule="exact"/>
        <w:rPr>
          <w:rFonts w:ascii="Arial" w:cs="Arial" w:eastAsia="Arial" w:hAnsi="Arial"/>
          <w:sz w:val="18"/>
          <w:szCs w:val="18"/>
          <w:color w:val="auto"/>
        </w:rPr>
      </w:pPr>
    </w:p>
    <w:p>
      <w:pPr>
        <w:ind w:left="980" w:right="580" w:hanging="544"/>
        <w:spacing w:after="0" w:line="30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59" w:lineRule="exact"/>
        <w:rPr>
          <w:rFonts w:ascii="Arial" w:cs="Arial" w:eastAsia="Arial" w:hAnsi="Arial"/>
          <w:sz w:val="16"/>
          <w:szCs w:val="16"/>
          <w:color w:val="auto"/>
        </w:rPr>
      </w:pPr>
    </w:p>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100" w:firstLine="992"/>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5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00"/>
          </w:cols>
          <w:pgMar w:left="440" w:top="274" w:right="459" w:bottom="1440" w:gutter="0" w:footer="0" w:header="0"/>
        </w:sectPr>
      </w:pPr>
    </w:p>
    <w:bookmarkStart w:id="37" w:name="page38"/>
    <w:bookmarkEnd w:id="3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Trustee Dealings with Issuer.</w:t>
      </w:r>
    </w:p>
    <w:p>
      <w:pPr>
        <w:spacing w:after="0" w:line="117"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7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 Recourse Against Others.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ISIN Numbers.</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20"/>
          </w:cols>
          <w:pgMar w:left="440" w:top="274" w:right="439" w:bottom="1440" w:gutter="0" w:footer="0" w:header="0"/>
        </w:sectPr>
      </w:pPr>
    </w:p>
    <w:bookmarkStart w:id="38" w:name="page39"/>
    <w:bookmarkEnd w:id="38"/>
    <w:p>
      <w:pPr>
        <w:spacing w:after="0"/>
        <w:tabs>
          <w:tab w:leader="none" w:pos="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9019"/>
          </w:cols>
          <w:pgMar w:left="1440" w:top="274" w:right="1440"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jc w:val="center"/>
              <w:ind w:right="256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jc w:val="center"/>
              <w:ind w:right="258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4"/>
          </w:tcPr>
          <w:p>
            <w:pPr>
              <w:spacing w:after="0"/>
              <w:rPr>
                <w:sz w:val="20"/>
                <w:szCs w:val="20"/>
                <w:color w:val="auto"/>
              </w:rPr>
            </w:pPr>
            <w:r>
              <w:rPr>
                <w:rFonts w:ascii="Arial" w:cs="Arial" w:eastAsia="Arial" w:hAnsi="Arial"/>
                <w:sz w:val="18"/>
                <w:szCs w:val="18"/>
                <w:color w:val="auto"/>
                <w:w w:val="93"/>
              </w:rPr>
              <w:t>and irrevocably appoint</w:t>
            </w: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40" w:type="dxa"/>
            <w:vAlign w:val="bottom"/>
            <w:gridSpan w:val="4"/>
          </w:tcPr>
          <w:p>
            <w:pPr>
              <w:ind w:left="60"/>
              <w:spacing w:after="0"/>
              <w:rPr>
                <w:sz w:val="20"/>
                <w:szCs w:val="20"/>
                <w:color w:val="auto"/>
              </w:rPr>
            </w:pPr>
            <w:r>
              <w:rPr>
                <w:rFonts w:ascii="Arial" w:cs="Arial" w:eastAsia="Arial" w:hAnsi="Arial"/>
                <w:sz w:val="18"/>
                <w:szCs w:val="18"/>
                <w:color w:val="auto"/>
                <w:w w:val="89"/>
              </w:rPr>
              <w:t>agent to transfer this Security on the books of the Issuer. The agent may</w:t>
            </w:r>
          </w:p>
        </w:tc>
      </w:tr>
      <w:tr>
        <w:trPr>
          <w:trHeight w:val="237"/>
        </w:trPr>
        <w:tc>
          <w:tcPr>
            <w:tcW w:w="2560" w:type="dxa"/>
            <w:vAlign w:val="bottom"/>
            <w:gridSpan w:val="5"/>
          </w:tcPr>
          <w:p>
            <w:pPr>
              <w:spacing w:after="0"/>
              <w:rPr>
                <w:sz w:val="20"/>
                <w:szCs w:val="20"/>
                <w:color w:val="auto"/>
              </w:rPr>
            </w:pPr>
            <w:r>
              <w:rPr>
                <w:rFonts w:ascii="Arial" w:cs="Arial" w:eastAsia="Arial" w:hAnsi="Arial"/>
                <w:sz w:val="18"/>
                <w:szCs w:val="18"/>
                <w:color w:val="auto"/>
                <w:w w:val="98"/>
              </w:rPr>
              <w:t>substitute another to act for him.</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9"/>
        </w:trPr>
        <w:tc>
          <w:tcPr>
            <w:tcW w:w="520" w:type="dxa"/>
            <w:vAlign w:val="bottom"/>
            <w:gridSpan w:val="2"/>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114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Signed:</w:t>
            </w:r>
          </w:p>
        </w:tc>
        <w:tc>
          <w:tcPr>
            <w:tcW w:w="3460" w:type="dxa"/>
            <w:vAlign w:val="bottom"/>
            <w:tcBorders>
              <w:bottom w:val="single" w:sz="8" w:color="auto"/>
            </w:tcBorders>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00" w:type="dxa"/>
            <w:vAlign w:val="bottom"/>
            <w:gridSpan w:val="2"/>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Security)</w:t>
            </w:r>
          </w:p>
        </w:tc>
      </w:tr>
      <w:tr>
        <w:trPr>
          <w:trHeight w:val="459"/>
        </w:trPr>
        <w:tc>
          <w:tcPr>
            <w:tcW w:w="2560" w:type="dxa"/>
            <w:vAlign w:val="bottom"/>
            <w:gridSpan w:val="5"/>
          </w:tcPr>
          <w:p>
            <w:pPr>
              <w:spacing w:after="0"/>
              <w:rPr>
                <w:sz w:val="20"/>
                <w:szCs w:val="20"/>
                <w:color w:val="auto"/>
              </w:rPr>
            </w:pPr>
            <w:r>
              <w:rPr>
                <w:rFonts w:ascii="Arial" w:cs="Arial" w:eastAsia="Arial" w:hAnsi="Arial"/>
                <w:sz w:val="18"/>
                <w:szCs w:val="18"/>
                <w:color w:val="auto"/>
              </w:rPr>
              <w:t>Signature Guarantee:</w:t>
            </w:r>
          </w:p>
        </w:tc>
        <w:tc>
          <w:tcPr>
            <w:tcW w:w="16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w w:val="98"/>
              </w:rPr>
              <w:t>Participant in a recognized Signature Guarantee Medallion Program (or other signature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ind w:left="164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20" w:type="dxa"/>
            <w:vAlign w:val="bottom"/>
            <w:gridSpan w:val="6"/>
          </w:tcPr>
          <w:p>
            <w:pPr>
              <w:jc w:val="center"/>
              <w:ind w:right="4220"/>
              <w:spacing w:after="0"/>
              <w:rPr>
                <w:sz w:val="20"/>
                <w:szCs w:val="20"/>
                <w:color w:val="auto"/>
              </w:rPr>
            </w:pPr>
            <w:r>
              <w:rPr>
                <w:rFonts w:ascii="Arial" w:cs="Arial" w:eastAsia="Arial" w:hAnsi="Arial"/>
                <w:sz w:val="18"/>
                <w:szCs w:val="18"/>
                <w:color w:val="auto"/>
                <w:w w:val="94"/>
              </w:rPr>
              <w:t>B-14</w:t>
            </w:r>
          </w:p>
        </w:tc>
      </w:tr>
    </w:tbl>
    <w:p>
      <w:pPr>
        <w:sectPr>
          <w:pgSz w:w="11900" w:h="16838" w:orient="portrait"/>
          <w:cols w:equalWidth="0" w:num="1">
            <w:col w:w="11040"/>
          </w:cols>
          <w:pgMar w:left="440" w:top="274" w:right="419" w:bottom="1440" w:gutter="0" w:footer="0" w:header="0"/>
        </w:sectPr>
      </w:pPr>
    </w:p>
    <w:bookmarkStart w:id="40" w:name="page41"/>
    <w:bookmarkEnd w:id="40"/>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4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 Notes due 2040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XS2114852721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€800,000,000</w:t>
      </w:r>
    </w:p>
    <w:p>
      <w:pPr>
        <w:spacing w:after="0" w:line="207" w:lineRule="exact"/>
        <w:rPr>
          <w:sz w:val="20"/>
          <w:szCs w:val="20"/>
          <w:color w:val="auto"/>
        </w:rPr>
      </w:pPr>
    </w:p>
    <w:p>
      <w:pPr>
        <w:ind w:right="100" w:firstLine="992"/>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€800,000,000 (Eight Hundred Million Euros) on February 20, 2040.</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Payment Date: February 20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20,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Record Date: February 5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20"/>
          </w:cols>
          <w:pgMar w:left="440" w:top="270" w:right="439" w:bottom="1440" w:gutter="0" w:footer="0" w:header="0"/>
        </w:sectPr>
      </w:pPr>
    </w:p>
    <w:bookmarkStart w:id="42" w:name="page43"/>
    <w:bookmarkEnd w:id="42"/>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-1905</wp:posOffset>
            </wp:positionV>
            <wp:extent cx="24269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20"/>
          </w:cols>
          <w:pgMar w:left="440" w:top="274" w:right="439" w:bottom="1440" w:gutter="0" w:footer="0" w:header="0"/>
        </w:sectPr>
      </w:pPr>
    </w:p>
    <w:bookmarkStart w:id="43" w:name="page44"/>
    <w:bookmarkEnd w:id="4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019"/>
          </w:cols>
          <w:pgMar w:left="440" w:top="274" w:right="1440"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1.250% Notes due 2040</w:t>
      </w:r>
    </w:p>
    <w:p>
      <w:pPr>
        <w:spacing w:after="0" w:line="22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221" w:lineRule="exact"/>
        <w:rPr>
          <w:sz w:val="20"/>
          <w:szCs w:val="20"/>
          <w:color w:val="auto"/>
        </w:rPr>
      </w:pPr>
    </w:p>
    <w:p>
      <w:pPr>
        <w:jc w:val="both"/>
        <w:ind w:firstLine="992"/>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February 20, 2020. The Issuer will pay interest annually in arrears on the Interest Payment Date, commencing February 20, 2021.</w:t>
      </w:r>
    </w:p>
    <w:p>
      <w:pPr>
        <w:spacing w:after="0" w:line="146"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February 20, 2020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7" w:lineRule="exact"/>
        <w:rPr>
          <w:sz w:val="20"/>
          <w:szCs w:val="20"/>
          <w:color w:val="auto"/>
        </w:rPr>
      </w:pPr>
    </w:p>
    <w:p>
      <w:pPr>
        <w:ind w:right="20" w:firstLine="992"/>
        <w:spacing w:after="0" w:line="28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62"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Issuance in Euro.</w:t>
      </w:r>
    </w:p>
    <w:p>
      <w:pPr>
        <w:spacing w:after="0" w:line="117"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80"/>
          </w:cols>
          <w:pgMar w:left="440" w:top="274" w:right="479" w:bottom="1440" w:gutter="0" w:footer="0" w:header="0"/>
        </w:sectPr>
      </w:pPr>
    </w:p>
    <w:bookmarkStart w:id="45" w:name="page46"/>
    <w:bookmarkEnd w:id="45"/>
    <w:p>
      <w:pPr>
        <w:ind w:right="480" w:firstLine="992"/>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274"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right="200" w:firstLine="992"/>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6"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20" w:firstLine="992"/>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Indenture.</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020"/>
          </w:cols>
          <w:pgMar w:left="440" w:top="270" w:right="439" w:bottom="1440" w:gutter="0" w:footer="0" w:header="0"/>
        </w:sectPr>
      </w:pPr>
    </w:p>
    <w:bookmarkStart w:id="46" w:name="page47"/>
    <w:bookmarkEnd w:id="46"/>
    <w:p>
      <w:pPr>
        <w:ind w:left="100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ind w:right="120" w:firstLine="992"/>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5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00"/>
          </w:cols>
          <w:pgMar w:left="440" w:top="274" w:right="459" w:bottom="1440" w:gutter="0" w:footer="0" w:header="0"/>
        </w:sectPr>
      </w:pPr>
    </w:p>
    <w:bookmarkStart w:id="47" w:name="page48"/>
    <w:bookmarkEnd w:id="47"/>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any requirements of the Commission in connection with the qualification of the Indenture under the TIA, or make any other change that does not adversely affect the rights of any Holder of a Security.</w:t>
      </w:r>
    </w:p>
    <w:p>
      <w:pPr>
        <w:spacing w:after="0" w:line="27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80" w:firstLine="992"/>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right="60" w:firstLine="992"/>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August 20, 2039 (six (6) months prior to the maturity of the Securities) (the “</w:t>
      </w:r>
      <w:r>
        <w:rPr>
          <w:rFonts w:ascii="Arial" w:cs="Arial" w:eastAsia="Arial" w:hAnsi="Arial"/>
          <w:sz w:val="17"/>
          <w:szCs w:val="17"/>
          <w:b w:val="1"/>
          <w:bCs w:val="1"/>
          <w:color w:val="auto"/>
        </w:rPr>
        <w:t>Par Call</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25 basis points and (b) if the Securities are redeemed on or after the Par Call Date, 100% of the principal amount of such Securities; plus, in each case, accrued and unpaid interest thereon to the date of redemption.</w:t>
      </w:r>
    </w:p>
    <w:p>
      <w:pPr>
        <w:spacing w:after="0" w:line="174" w:lineRule="exact"/>
        <w:rPr>
          <w:sz w:val="20"/>
          <w:szCs w:val="20"/>
          <w:color w:val="auto"/>
        </w:rPr>
      </w:pPr>
    </w:p>
    <w:p>
      <w:pPr>
        <w:ind w:right="80" w:firstLine="992"/>
        <w:spacing w:after="0" w:line="25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8"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020"/>
          </w:cols>
          <w:pgMar w:left="440" w:top="274" w:right="439" w:bottom="1440" w:gutter="0" w:footer="0" w:header="0"/>
        </w:sectPr>
      </w:pPr>
    </w:p>
    <w:bookmarkStart w:id="48" w:name="page49"/>
    <w:bookmarkEnd w:id="48"/>
    <w:p>
      <w:pPr>
        <w:ind w:right="140" w:firstLine="992"/>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the Issuer.</w:t>
      </w:r>
    </w:p>
    <w:p>
      <w:pPr>
        <w:spacing w:after="0" w:line="28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jc w:val="both"/>
        <w:ind w:right="80" w:firstLine="992"/>
        <w:spacing w:after="0" w:line="291"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February 5, 2020,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27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right="100" w:firstLine="992"/>
        <w:spacing w:after="0" w:line="297"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6"/>
          <w:szCs w:val="16"/>
          <w:b w:val="1"/>
          <w:bCs w:val="1"/>
          <w:color w:val="auto"/>
        </w:rPr>
        <w:t>Tax</w:t>
      </w:r>
      <w:r>
        <w:rPr>
          <w:rFonts w:ascii="Arial" w:cs="Arial" w:eastAsia="Arial" w:hAnsi="Arial"/>
          <w:sz w:val="16"/>
          <w:szCs w:val="16"/>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64" w:lineRule="exact"/>
        <w:rPr>
          <w:sz w:val="20"/>
          <w:szCs w:val="20"/>
          <w:color w:val="auto"/>
        </w:rPr>
      </w:pPr>
    </w:p>
    <w:p>
      <w:pPr>
        <w:ind w:left="980" w:right="60" w:hanging="54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2" w:lineRule="exact"/>
        <w:rPr>
          <w:rFonts w:ascii="Arial" w:cs="Arial" w:eastAsia="Arial" w:hAnsi="Arial"/>
          <w:sz w:val="18"/>
          <w:szCs w:val="18"/>
          <w:color w:val="auto"/>
        </w:rPr>
      </w:pPr>
    </w:p>
    <w:p>
      <w:pPr>
        <w:ind w:left="1420" w:right="220" w:hanging="430"/>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jc w:val="both"/>
        <w:ind w:left="1420" w:right="200" w:hanging="430"/>
        <w:spacing w:after="0" w:line="264"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20" w:hanging="430"/>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000"/>
          </w:cols>
          <w:pgMar w:left="440" w:top="270" w:right="459" w:bottom="1440" w:gutter="0" w:footer="0" w:header="0"/>
        </w:sectPr>
      </w:pPr>
    </w:p>
    <w:bookmarkStart w:id="49" w:name="page50"/>
    <w:bookmarkEnd w:id="49"/>
    <w:p>
      <w:pPr>
        <w:ind w:left="100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tax purposes, a foreign-tax exempt organization, or a corporation that has accumulated earnings to avoid U.S. federal income tax;</w:t>
      </w:r>
    </w:p>
    <w:p>
      <w:pPr>
        <w:spacing w:after="0" w:line="72" w:lineRule="exact"/>
        <w:rPr>
          <w:sz w:val="20"/>
          <w:szCs w:val="20"/>
          <w:color w:val="auto"/>
        </w:rPr>
      </w:pPr>
    </w:p>
    <w:p>
      <w:pPr>
        <w:ind w:left="984" w:right="300" w:hanging="430"/>
        <w:spacing w:after="0" w:line="313" w:lineRule="auto"/>
        <w:tabs>
          <w:tab w:leader="none" w:pos="984"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w:t>
      </w:r>
      <w:r>
        <w:rPr>
          <w:rFonts w:ascii="Arial" w:cs="Arial" w:eastAsia="Arial" w:hAnsi="Arial"/>
          <w:sz w:val="17"/>
          <w:szCs w:val="17"/>
          <w:b w:val="1"/>
          <w:bCs w:val="1"/>
          <w:color w:val="auto"/>
        </w:rPr>
        <w:t>10-percent shareholder</w:t>
      </w:r>
      <w:r>
        <w:rPr>
          <w:rFonts w:ascii="Arial" w:cs="Arial" w:eastAsia="Arial" w:hAnsi="Arial"/>
          <w:sz w:val="17"/>
          <w:szCs w:val="17"/>
          <w:color w:val="auto"/>
        </w:rPr>
        <w:t>” of the Issuer or the applicable guarantor as defined in Section 871(h)(3) of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or any successor provision; or</w:t>
      </w:r>
    </w:p>
    <w:p>
      <w:pPr>
        <w:spacing w:after="0" w:line="47" w:lineRule="exact"/>
        <w:rPr>
          <w:rFonts w:ascii="Arial" w:cs="Arial" w:eastAsia="Arial" w:hAnsi="Arial"/>
          <w:sz w:val="17"/>
          <w:szCs w:val="17"/>
          <w:color w:val="auto"/>
        </w:rPr>
      </w:pPr>
    </w:p>
    <w:p>
      <w:pPr>
        <w:ind w:left="984" w:right="120" w:hanging="430"/>
        <w:spacing w:after="0" w:line="277" w:lineRule="auto"/>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75" w:lineRule="exact"/>
        <w:rPr>
          <w:rFonts w:ascii="Arial" w:cs="Arial" w:eastAsia="Arial" w:hAnsi="Arial"/>
          <w:sz w:val="18"/>
          <w:szCs w:val="18"/>
          <w:color w:val="auto"/>
        </w:rPr>
      </w:pPr>
    </w:p>
    <w:p>
      <w:pPr>
        <w:ind w:left="544" w:right="40" w:hanging="544"/>
        <w:spacing w:after="0" w:line="276" w:lineRule="auto"/>
        <w:tabs>
          <w:tab w:leader="none" w:pos="5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77" w:lineRule="exact"/>
        <w:rPr>
          <w:rFonts w:ascii="Arial" w:cs="Arial" w:eastAsia="Arial" w:hAnsi="Arial"/>
          <w:sz w:val="17"/>
          <w:szCs w:val="17"/>
          <w:color w:val="auto"/>
        </w:rPr>
      </w:pPr>
    </w:p>
    <w:p>
      <w:pPr>
        <w:ind w:left="544" w:right="80" w:hanging="544"/>
        <w:spacing w:after="0" w:line="257"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the Issuer or a an applicable withholding agent from the payment;</w:t>
      </w:r>
    </w:p>
    <w:p>
      <w:pPr>
        <w:spacing w:after="0" w:line="130" w:lineRule="exact"/>
        <w:rPr>
          <w:rFonts w:ascii="Arial" w:cs="Arial" w:eastAsia="Arial" w:hAnsi="Arial"/>
          <w:sz w:val="18"/>
          <w:szCs w:val="18"/>
          <w:color w:val="auto"/>
        </w:rPr>
      </w:pPr>
    </w:p>
    <w:p>
      <w:pPr>
        <w:ind w:left="544" w:right="160" w:hanging="544"/>
        <w:spacing w:after="0" w:line="277"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544" w:right="140" w:hanging="544"/>
        <w:spacing w:after="0" w:line="277"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75" w:lineRule="exact"/>
        <w:rPr>
          <w:rFonts w:ascii="Arial" w:cs="Arial" w:eastAsia="Arial" w:hAnsi="Arial"/>
          <w:sz w:val="18"/>
          <w:szCs w:val="18"/>
          <w:color w:val="auto"/>
        </w:rPr>
      </w:pPr>
    </w:p>
    <w:p>
      <w:pPr>
        <w:ind w:left="544" w:right="40" w:hanging="544"/>
        <w:spacing w:after="0" w:line="264"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564"/>
          </w:cols>
          <w:pgMar w:left="876" w:top="274" w:right="459" w:bottom="1440" w:gutter="0" w:footer="0" w:header="0"/>
        </w:sectPr>
      </w:pPr>
    </w:p>
    <w:bookmarkStart w:id="50" w:name="page51"/>
    <w:bookmarkEnd w:id="50"/>
    <w:p>
      <w:pPr>
        <w:ind w:left="980" w:right="40" w:hanging="54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6" w:lineRule="exact"/>
        <w:rPr>
          <w:rFonts w:ascii="Arial" w:cs="Arial" w:eastAsia="Arial" w:hAnsi="Arial"/>
          <w:sz w:val="18"/>
          <w:szCs w:val="18"/>
          <w:color w:val="auto"/>
        </w:rPr>
      </w:pPr>
    </w:p>
    <w:p>
      <w:pPr>
        <w:ind w:left="980" w:right="580" w:hanging="544"/>
        <w:spacing w:after="0" w:line="30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59" w:lineRule="exact"/>
        <w:rPr>
          <w:rFonts w:ascii="Arial" w:cs="Arial" w:eastAsia="Arial" w:hAnsi="Arial"/>
          <w:sz w:val="16"/>
          <w:szCs w:val="16"/>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100" w:firstLine="992"/>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5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7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Trustee Dealings with Issuer.</w:t>
      </w:r>
    </w:p>
    <w:p>
      <w:pPr>
        <w:spacing w:after="0" w:line="117"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000"/>
          </w:cols>
          <w:pgMar w:left="440" w:top="274" w:right="459" w:bottom="1440" w:gutter="0" w:footer="0" w:header="0"/>
        </w:sectPr>
      </w:pPr>
    </w:p>
    <w:bookmarkStart w:id="51" w:name="page52"/>
    <w:bookmarkEnd w:id="51"/>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w:t>
      </w:r>
      <w:r>
        <w:rPr>
          <w:sz w:val="20"/>
          <w:szCs w:val="20"/>
          <w:color w:val="auto"/>
        </w:rPr>
        <w:tab/>
      </w:r>
      <w:r>
        <w:rPr>
          <w:rFonts w:ascii="Arial" w:cs="Arial" w:eastAsia="Arial" w:hAnsi="Arial"/>
          <w:sz w:val="16"/>
          <w:szCs w:val="16"/>
          <w:color w:val="auto"/>
        </w:rPr>
        <w:t>No Recourse Against Others.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ISIN Numbers.</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7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020"/>
          </w:cols>
          <w:pgMar w:left="440" w:top="274" w:right="4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7"/>
          </w:tcPr>
          <w:p>
            <w:pPr>
              <w:jc w:val="center"/>
              <w:ind w:right="256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7"/>
          </w:tcPr>
          <w:p>
            <w:pPr>
              <w:jc w:val="center"/>
              <w:ind w:right="258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20" w:type="dxa"/>
            <w:vAlign w:val="bottom"/>
            <w:gridSpan w:val="4"/>
          </w:tcPr>
          <w:p>
            <w:pPr>
              <w:spacing w:after="0"/>
              <w:rPr>
                <w:sz w:val="20"/>
                <w:szCs w:val="20"/>
                <w:color w:val="auto"/>
              </w:rPr>
            </w:pPr>
            <w:r>
              <w:rPr>
                <w:rFonts w:ascii="Arial" w:cs="Arial" w:eastAsia="Arial" w:hAnsi="Arial"/>
                <w:sz w:val="18"/>
                <w:szCs w:val="18"/>
                <w:color w:val="auto"/>
                <w:w w:val="91"/>
              </w:rPr>
              <w:t>and irrevocably appoint</w:t>
            </w:r>
          </w:p>
        </w:tc>
        <w:tc>
          <w:tcPr>
            <w:tcW w:w="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w w:val="93"/>
              </w:rPr>
              <w:t>agent to transfer this Security on the books of the Issuer. The agent may</w:t>
            </w:r>
          </w:p>
        </w:tc>
      </w:tr>
      <w:tr>
        <w:trPr>
          <w:trHeight w:val="237"/>
        </w:trPr>
        <w:tc>
          <w:tcPr>
            <w:tcW w:w="2560" w:type="dxa"/>
            <w:vAlign w:val="bottom"/>
            <w:gridSpan w:val="5"/>
          </w:tcPr>
          <w:p>
            <w:pPr>
              <w:spacing w:after="0"/>
              <w:rPr>
                <w:sz w:val="20"/>
                <w:szCs w:val="20"/>
                <w:color w:val="auto"/>
              </w:rPr>
            </w:pPr>
            <w:r>
              <w:rPr>
                <w:rFonts w:ascii="Arial" w:cs="Arial" w:eastAsia="Arial" w:hAnsi="Arial"/>
                <w:sz w:val="18"/>
                <w:szCs w:val="18"/>
                <w:color w:val="auto"/>
                <w:w w:val="98"/>
              </w:rPr>
              <w:t>substitute another to act for him.</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9"/>
        </w:trPr>
        <w:tc>
          <w:tcPr>
            <w:tcW w:w="520" w:type="dxa"/>
            <w:vAlign w:val="bottom"/>
            <w:gridSpan w:val="2"/>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114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Signed:</w:t>
            </w:r>
          </w:p>
        </w:tc>
        <w:tc>
          <w:tcPr>
            <w:tcW w:w="3460" w:type="dxa"/>
            <w:vAlign w:val="bottom"/>
            <w:tcBorders>
              <w:bottom w:val="single" w:sz="8" w:color="auto"/>
            </w:tcBorders>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00" w:type="dxa"/>
            <w:vAlign w:val="bottom"/>
            <w:gridSpan w:val="2"/>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Security)</w:t>
            </w:r>
          </w:p>
        </w:tc>
      </w:tr>
      <w:tr>
        <w:trPr>
          <w:trHeight w:val="459"/>
        </w:trPr>
        <w:tc>
          <w:tcPr>
            <w:tcW w:w="2560" w:type="dxa"/>
            <w:vAlign w:val="bottom"/>
            <w:gridSpan w:val="5"/>
          </w:tcPr>
          <w:p>
            <w:pPr>
              <w:spacing w:after="0"/>
              <w:rPr>
                <w:sz w:val="20"/>
                <w:szCs w:val="20"/>
                <w:color w:val="auto"/>
              </w:rPr>
            </w:pPr>
            <w:r>
              <w:rPr>
                <w:rFonts w:ascii="Arial" w:cs="Arial" w:eastAsia="Arial" w:hAnsi="Arial"/>
                <w:sz w:val="18"/>
                <w:szCs w:val="18"/>
                <w:color w:val="auto"/>
              </w:rPr>
              <w:t>Signature Guarantee:</w:t>
            </w:r>
          </w:p>
        </w:tc>
        <w:tc>
          <w:tcPr>
            <w:tcW w:w="16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w w:val="98"/>
              </w:rPr>
              <w:t>Participant in a recognized Signature Guarantee Medallion Program (or other signature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7"/>
          </w:tcPr>
          <w:p>
            <w:pPr>
              <w:ind w:left="164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20" w:type="dxa"/>
            <w:vAlign w:val="bottom"/>
            <w:gridSpan w:val="6"/>
          </w:tcPr>
          <w:p>
            <w:pPr>
              <w:jc w:val="center"/>
              <w:ind w:right="4220"/>
              <w:spacing w:after="0"/>
              <w:rPr>
                <w:sz w:val="20"/>
                <w:szCs w:val="20"/>
                <w:color w:val="auto"/>
              </w:rPr>
            </w:pPr>
            <w:r>
              <w:rPr>
                <w:rFonts w:ascii="Arial" w:cs="Arial" w:eastAsia="Arial" w:hAnsi="Arial"/>
                <w:sz w:val="18"/>
                <w:szCs w:val="18"/>
                <w:color w:val="auto"/>
                <w:w w:val="92"/>
              </w:rPr>
              <w:t>C-13</w:t>
            </w:r>
          </w:p>
        </w:tc>
      </w:tr>
    </w:tbl>
    <w:p>
      <w:pPr>
        <w:sectPr>
          <w:pgSz w:w="11900" w:h="16838" w:orient="portrait"/>
          <w:cols w:equalWidth="0" w:num="1">
            <w:col w:w="11040"/>
          </w:cols>
          <w:pgMar w:left="440" w:top="274" w:right="419" w:bottom="1440" w:gutter="0" w:footer="0" w:header="0"/>
        </w:sectPr>
      </w:pPr>
    </w:p>
    <w:bookmarkStart w:id="53" w:name="page54"/>
    <w:bookmarkEnd w:id="53"/>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33"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 Notes due 2029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XS2114853299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£600,000,000</w:t>
      </w:r>
    </w:p>
    <w:p>
      <w:pPr>
        <w:spacing w:after="0" w:line="207" w:lineRule="exact"/>
        <w:rPr>
          <w:sz w:val="20"/>
          <w:szCs w:val="20"/>
          <w:color w:val="auto"/>
        </w:rPr>
      </w:pPr>
    </w:p>
    <w:p>
      <w:pPr>
        <w:ind w:right="100" w:firstLine="992"/>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£600,000,000 (Six Hundred Million Sterling) on February 20, 2029.</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Payment Date: February 20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20,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Record Date: February 5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20"/>
          </w:cols>
          <w:pgMar w:left="440" w:top="270" w:right="439" w:bottom="1440" w:gutter="0" w:footer="0" w:header="0"/>
        </w:sectPr>
      </w:pPr>
    </w:p>
    <w:bookmarkStart w:id="55" w:name="page56"/>
    <w:bookmarkEnd w:id="55"/>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440" w:top="274" w:right="439" w:bottom="1440" w:gutter="0" w:footer="0" w:header="0"/>
        </w:sectPr>
      </w:pPr>
    </w:p>
    <w:bookmarkStart w:id="56" w:name="page57"/>
    <w:bookmarkEnd w:id="56"/>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019"/>
          </w:cols>
          <w:pgMar w:left="440" w:top="274" w:right="1440"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1.500% Notes due 2029</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firstLine="992"/>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February 20, 2020. The Issuer will pay interest annually in arrears on the Interest Payment Date, commencing February 20, 2021.</w:t>
      </w:r>
    </w:p>
    <w:p>
      <w:pPr>
        <w:spacing w:after="0" w:line="146"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February 20, 2020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7" w:lineRule="exact"/>
        <w:rPr>
          <w:sz w:val="20"/>
          <w:szCs w:val="20"/>
          <w:color w:val="auto"/>
        </w:rPr>
      </w:pPr>
    </w:p>
    <w:p>
      <w:pPr>
        <w:ind w:right="40" w:firstLine="992"/>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or London are authorized or obligated by law, regulation or executive order to close.</w:t>
      </w:r>
    </w:p>
    <w:p>
      <w:pPr>
        <w:spacing w:after="0" w:line="166"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Issuance in Sterling.</w:t>
      </w:r>
    </w:p>
    <w:p>
      <w:pPr>
        <w:spacing w:after="0" w:line="117"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color w:val="auto"/>
        </w:rPr>
        <w:t>Principal, premium, if any, and interest payments will be payable in Sterling. If Sterling is unavailable to the Issuer due to the imposition of exchange controls or other circumstances beyond the Issuer’s control, then all payments will be made in U.S. dollars until Sterling is again available to the Issuer. The amount payable on any date in Sterling will be converted into U.S. dollars at the Market Exchange Rate (as defined below) or, if such Market Exchange Rate is not then available, on the basis of the most recently available market exchange rate for Sterling. Any payment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0980"/>
          </w:cols>
          <w:pgMar w:left="440" w:top="274" w:right="479" w:bottom="1440" w:gutter="0" w:footer="0" w:header="0"/>
        </w:sectPr>
      </w:pPr>
    </w:p>
    <w:bookmarkStart w:id="58" w:name="page59"/>
    <w:bookmarkEnd w:id="58"/>
    <w:p>
      <w:pPr>
        <w:ind w:right="240" w:firstLine="992"/>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Sterling as certified for customs purposes (or, if not so certified, as otherwise determined) by the Federal Reserve Bank of New York.</w:t>
      </w:r>
    </w:p>
    <w:p>
      <w:pPr>
        <w:spacing w:after="0" w:line="274"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6"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000"/>
          </w:cols>
          <w:pgMar w:left="440" w:top="270" w:right="459" w:bottom="1440" w:gutter="0" w:footer="0" w:header="0"/>
        </w:sectPr>
      </w:pPr>
    </w:p>
    <w:bookmarkStart w:id="59" w:name="page60"/>
    <w:bookmarkEnd w:id="59"/>
    <w:p>
      <w:pPr>
        <w:ind w:left="100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r>
        <w:rPr>
          <w:sz w:val="20"/>
          <w:szCs w:val="20"/>
          <w:color w:val="auto"/>
        </w:rPr>
        <w:tab/>
      </w:r>
      <w:r>
        <w:rPr>
          <w:rFonts w:ascii="Arial" w:cs="Arial" w:eastAsia="Arial" w:hAnsi="Arial"/>
          <w:sz w:val="15"/>
          <w:szCs w:val="15"/>
          <w:color w:val="auto"/>
        </w:rPr>
        <w:t>Indenture.</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90"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1"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ind w:right="140" w:firstLine="992"/>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020"/>
          </w:cols>
          <w:pgMar w:left="440" w:top="274" w:right="439" w:bottom="1440" w:gutter="0" w:footer="0" w:header="0"/>
        </w:sectPr>
      </w:pPr>
    </w:p>
    <w:bookmarkStart w:id="60" w:name="page61"/>
    <w:bookmarkEnd w:id="60"/>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5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firstLine="992"/>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November 20, 2028 (three (3) months prior to the maturity of the Securities) (the “</w:t>
      </w:r>
      <w:r>
        <w:rPr>
          <w:rFonts w:ascii="Arial" w:cs="Arial" w:eastAsia="Arial" w:hAnsi="Arial"/>
          <w:sz w:val="17"/>
          <w:szCs w:val="17"/>
          <w:b w:val="1"/>
          <w:bCs w:val="1"/>
          <w:color w:val="auto"/>
        </w:rPr>
        <w:t>Par</w:t>
      </w:r>
      <w:r>
        <w:rPr>
          <w:rFonts w:ascii="Arial" w:cs="Arial" w:eastAsia="Arial" w:hAnsi="Arial"/>
          <w:sz w:val="17"/>
          <w:szCs w:val="17"/>
          <w:color w:val="auto"/>
        </w:rPr>
        <w:t xml:space="preserve"> </w:t>
      </w:r>
      <w:r>
        <w:rPr>
          <w:rFonts w:ascii="Arial" w:cs="Arial" w:eastAsia="Arial" w:hAnsi="Arial"/>
          <w:sz w:val="17"/>
          <w:szCs w:val="17"/>
          <w:b w:val="1"/>
          <w:bCs w:val="1"/>
          <w:color w:val="auto"/>
        </w:rPr>
        <w:t>Call 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15 basis points and (b) if the Securities are redeemed on or after the Par Call Date, 100% of the principal amount of such Securities; plus, in each case, accrued and unpaid interest thereon to the date of redemption.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000"/>
          </w:cols>
          <w:pgMar w:left="440" w:top="274" w:right="459" w:bottom="1440" w:gutter="0" w:footer="0" w:header="0"/>
        </w:sectPr>
      </w:pPr>
    </w:p>
    <w:bookmarkStart w:id="61" w:name="page62"/>
    <w:bookmarkEnd w:id="61"/>
    <w:p>
      <w:pPr>
        <w:ind w:right="80" w:firstLine="99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United Kingdom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88"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the Issuer.</w:t>
      </w:r>
    </w:p>
    <w:p>
      <w:pPr>
        <w:spacing w:after="0" w:line="28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jc w:val="both"/>
        <w:ind w:right="100" w:firstLine="992"/>
        <w:spacing w:after="0" w:line="291"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February 5, 2020,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020"/>
          </w:cols>
          <w:pgMar w:left="440" w:top="270" w:right="439" w:bottom="1440" w:gutter="0" w:footer="0" w:header="0"/>
        </w:sectPr>
      </w:pPr>
    </w:p>
    <w:bookmarkStart w:id="62" w:name="page63"/>
    <w:bookmarkEnd w:id="62"/>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right="100" w:firstLine="992"/>
        <w:spacing w:after="0" w:line="297"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6"/>
          <w:szCs w:val="16"/>
          <w:b w:val="1"/>
          <w:bCs w:val="1"/>
          <w:color w:val="auto"/>
        </w:rPr>
        <w:t>Tax</w:t>
      </w:r>
      <w:r>
        <w:rPr>
          <w:rFonts w:ascii="Arial" w:cs="Arial" w:eastAsia="Arial" w:hAnsi="Arial"/>
          <w:sz w:val="16"/>
          <w:szCs w:val="16"/>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64" w:lineRule="exact"/>
        <w:rPr>
          <w:sz w:val="20"/>
          <w:szCs w:val="20"/>
          <w:color w:val="auto"/>
        </w:rPr>
      </w:pPr>
    </w:p>
    <w:p>
      <w:pPr>
        <w:ind w:left="980" w:right="60" w:hanging="54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2" w:lineRule="exact"/>
        <w:rPr>
          <w:rFonts w:ascii="Arial" w:cs="Arial" w:eastAsia="Arial" w:hAnsi="Arial"/>
          <w:sz w:val="18"/>
          <w:szCs w:val="18"/>
          <w:color w:val="auto"/>
        </w:rPr>
      </w:pPr>
    </w:p>
    <w:p>
      <w:pPr>
        <w:ind w:left="1420" w:right="220" w:hanging="430"/>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jc w:val="both"/>
        <w:ind w:left="1420" w:right="200" w:hanging="430"/>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jc w:val="both"/>
        <w:ind w:left="1420" w:hanging="430"/>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2" w:lineRule="exact"/>
        <w:rPr>
          <w:rFonts w:ascii="Arial" w:cs="Arial" w:eastAsia="Arial" w:hAnsi="Arial"/>
          <w:sz w:val="18"/>
          <w:szCs w:val="18"/>
          <w:color w:val="auto"/>
        </w:rPr>
      </w:pPr>
    </w:p>
    <w:p>
      <w:pPr>
        <w:ind w:left="1420" w:right="300" w:hanging="430"/>
        <w:spacing w:after="0" w:line="313" w:lineRule="auto"/>
        <w:tabs>
          <w:tab w:leader="none" w:pos="14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being or having been a “</w:t>
      </w:r>
      <w:r>
        <w:rPr>
          <w:rFonts w:ascii="Arial" w:cs="Arial" w:eastAsia="Arial" w:hAnsi="Arial"/>
          <w:sz w:val="17"/>
          <w:szCs w:val="17"/>
          <w:b w:val="1"/>
          <w:bCs w:val="1"/>
          <w:color w:val="auto"/>
        </w:rPr>
        <w:t>10-percent shareholder</w:t>
      </w:r>
      <w:r>
        <w:rPr>
          <w:rFonts w:ascii="Arial" w:cs="Arial" w:eastAsia="Arial" w:hAnsi="Arial"/>
          <w:sz w:val="17"/>
          <w:szCs w:val="17"/>
          <w:color w:val="auto"/>
        </w:rPr>
        <w:t>” of the Issuer or the applicable guarantor as defined in Section 871(h)(3) of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or any successor provision; or</w:t>
      </w:r>
    </w:p>
    <w:p>
      <w:pPr>
        <w:spacing w:after="0" w:line="47" w:lineRule="exact"/>
        <w:rPr>
          <w:rFonts w:ascii="Arial" w:cs="Arial" w:eastAsia="Arial" w:hAnsi="Arial"/>
          <w:sz w:val="17"/>
          <w:szCs w:val="17"/>
          <w:color w:val="auto"/>
        </w:rPr>
      </w:pPr>
    </w:p>
    <w:p>
      <w:pPr>
        <w:ind w:left="1420" w:right="120" w:hanging="430"/>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75" w:lineRule="exact"/>
        <w:rPr>
          <w:rFonts w:ascii="Arial" w:cs="Arial" w:eastAsia="Arial" w:hAnsi="Arial"/>
          <w:sz w:val="18"/>
          <w:szCs w:val="18"/>
          <w:color w:val="auto"/>
        </w:rPr>
      </w:pPr>
    </w:p>
    <w:p>
      <w:pPr>
        <w:ind w:left="980" w:right="40" w:hanging="544"/>
        <w:spacing w:after="0" w:line="27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77" w:lineRule="exact"/>
        <w:rPr>
          <w:rFonts w:ascii="Arial" w:cs="Arial" w:eastAsia="Arial" w:hAnsi="Arial"/>
          <w:sz w:val="17"/>
          <w:szCs w:val="17"/>
          <w:color w:val="auto"/>
        </w:rPr>
      </w:pPr>
    </w:p>
    <w:p>
      <w:pPr>
        <w:ind w:left="980" w:right="80" w:hanging="544"/>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000"/>
          </w:cols>
          <w:pgMar w:left="440" w:top="274" w:right="459" w:bottom="1440" w:gutter="0" w:footer="0" w:header="0"/>
        </w:sectPr>
      </w:pPr>
    </w:p>
    <w:bookmarkStart w:id="63" w:name="page64"/>
    <w:bookmarkEnd w:id="63"/>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Tax that is imposed otherwise than by withholding by the Issuer or a an applicable withholding agent from the payment;</w:t>
      </w:r>
    </w:p>
    <w:p>
      <w:pPr>
        <w:spacing w:after="0" w:line="130"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75"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6" w:lineRule="exact"/>
        <w:rPr>
          <w:rFonts w:ascii="Arial" w:cs="Arial" w:eastAsia="Arial" w:hAnsi="Arial"/>
          <w:sz w:val="18"/>
          <w:szCs w:val="18"/>
          <w:color w:val="auto"/>
        </w:rPr>
      </w:pPr>
    </w:p>
    <w:p>
      <w:pPr>
        <w:ind w:left="980" w:right="580" w:hanging="544"/>
        <w:spacing w:after="0" w:line="30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59" w:lineRule="exact"/>
        <w:rPr>
          <w:rFonts w:ascii="Arial" w:cs="Arial" w:eastAsia="Arial" w:hAnsi="Arial"/>
          <w:sz w:val="16"/>
          <w:szCs w:val="16"/>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100" w:firstLine="992"/>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5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000"/>
          </w:cols>
          <w:pgMar w:left="440" w:top="274" w:right="459" w:bottom="1440" w:gutter="0" w:footer="0" w:header="0"/>
        </w:sectPr>
      </w:pPr>
    </w:p>
    <w:bookmarkStart w:id="64" w:name="page65"/>
    <w:bookmarkEnd w:id="6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Trustee Dealings with Issuer.</w:t>
      </w:r>
    </w:p>
    <w:p>
      <w:pPr>
        <w:spacing w:after="0" w:line="117"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7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 Recourse Against Others.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ISIN Numbers.</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020"/>
          </w:cols>
          <w:pgMar w:left="440" w:top="274" w:right="439" w:bottom="1440" w:gutter="0" w:footer="0" w:header="0"/>
        </w:sectPr>
      </w:pPr>
    </w:p>
    <w:bookmarkStart w:id="65" w:name="page66"/>
    <w:bookmarkEnd w:id="65"/>
    <w:p>
      <w:pPr>
        <w:spacing w:after="0"/>
        <w:tabs>
          <w:tab w:leader="none" w:pos="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9019"/>
          </w:cols>
          <w:pgMar w:left="1440" w:top="274" w:right="1440"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jc w:val="center"/>
              <w:ind w:right="256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jc w:val="center"/>
              <w:ind w:right="258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4"/>
          </w:tcPr>
          <w:p>
            <w:pPr>
              <w:spacing w:after="0"/>
              <w:rPr>
                <w:sz w:val="20"/>
                <w:szCs w:val="20"/>
                <w:color w:val="auto"/>
              </w:rPr>
            </w:pPr>
            <w:r>
              <w:rPr>
                <w:rFonts w:ascii="Arial" w:cs="Arial" w:eastAsia="Arial" w:hAnsi="Arial"/>
                <w:sz w:val="18"/>
                <w:szCs w:val="18"/>
                <w:color w:val="auto"/>
                <w:w w:val="93"/>
              </w:rPr>
              <w:t>and irrevocably appoint</w:t>
            </w:r>
          </w:p>
        </w:tc>
        <w:tc>
          <w:tcPr>
            <w:tcW w:w="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18"/>
                <w:szCs w:val="18"/>
                <w:color w:val="auto"/>
                <w:w w:val="92"/>
              </w:rPr>
              <w:t>agent to transfer this Security on the books of the Issuer. The agent may</w:t>
            </w:r>
          </w:p>
        </w:tc>
      </w:tr>
      <w:tr>
        <w:trPr>
          <w:trHeight w:val="237"/>
        </w:trPr>
        <w:tc>
          <w:tcPr>
            <w:tcW w:w="2560" w:type="dxa"/>
            <w:vAlign w:val="bottom"/>
            <w:gridSpan w:val="5"/>
          </w:tcPr>
          <w:p>
            <w:pPr>
              <w:spacing w:after="0"/>
              <w:rPr>
                <w:sz w:val="20"/>
                <w:szCs w:val="20"/>
                <w:color w:val="auto"/>
              </w:rPr>
            </w:pPr>
            <w:r>
              <w:rPr>
                <w:rFonts w:ascii="Arial" w:cs="Arial" w:eastAsia="Arial" w:hAnsi="Arial"/>
                <w:sz w:val="18"/>
                <w:szCs w:val="18"/>
                <w:color w:val="auto"/>
                <w:w w:val="98"/>
              </w:rPr>
              <w:t>substitute another to act for him.</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9"/>
        </w:trPr>
        <w:tc>
          <w:tcPr>
            <w:tcW w:w="520" w:type="dxa"/>
            <w:vAlign w:val="bottom"/>
            <w:gridSpan w:val="2"/>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114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Signed:</w:t>
            </w:r>
          </w:p>
        </w:tc>
        <w:tc>
          <w:tcPr>
            <w:tcW w:w="3460" w:type="dxa"/>
            <w:vAlign w:val="bottom"/>
            <w:tcBorders>
              <w:bottom w:val="single" w:sz="8" w:color="auto"/>
            </w:tcBorders>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00" w:type="dxa"/>
            <w:vAlign w:val="bottom"/>
            <w:gridSpan w:val="2"/>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Security)</w:t>
            </w:r>
          </w:p>
        </w:tc>
      </w:tr>
      <w:tr>
        <w:trPr>
          <w:trHeight w:val="459"/>
        </w:trPr>
        <w:tc>
          <w:tcPr>
            <w:tcW w:w="2560" w:type="dxa"/>
            <w:vAlign w:val="bottom"/>
            <w:gridSpan w:val="5"/>
          </w:tcPr>
          <w:p>
            <w:pPr>
              <w:spacing w:after="0"/>
              <w:rPr>
                <w:sz w:val="20"/>
                <w:szCs w:val="20"/>
                <w:color w:val="auto"/>
              </w:rPr>
            </w:pPr>
            <w:r>
              <w:rPr>
                <w:rFonts w:ascii="Arial" w:cs="Arial" w:eastAsia="Arial" w:hAnsi="Arial"/>
                <w:sz w:val="18"/>
                <w:szCs w:val="18"/>
                <w:color w:val="auto"/>
              </w:rPr>
              <w:t>Signature Guarantee:</w:t>
            </w:r>
          </w:p>
        </w:tc>
        <w:tc>
          <w:tcPr>
            <w:tcW w:w="16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w w:val="98"/>
              </w:rPr>
              <w:t>Participant in a recognized Signature Guarantee Medallion Program (or other signature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80" w:type="dxa"/>
            <w:vAlign w:val="bottom"/>
            <w:gridSpan w:val="7"/>
          </w:tcPr>
          <w:p>
            <w:pPr>
              <w:ind w:left="164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20" w:type="dxa"/>
            <w:vAlign w:val="bottom"/>
            <w:gridSpan w:val="6"/>
          </w:tcPr>
          <w:p>
            <w:pPr>
              <w:jc w:val="center"/>
              <w:ind w:right="4240"/>
              <w:spacing w:after="0"/>
              <w:rPr>
                <w:sz w:val="20"/>
                <w:szCs w:val="20"/>
                <w:color w:val="auto"/>
              </w:rPr>
            </w:pPr>
            <w:r>
              <w:rPr>
                <w:rFonts w:ascii="Arial" w:cs="Arial" w:eastAsia="Arial" w:hAnsi="Arial"/>
                <w:sz w:val="18"/>
                <w:szCs w:val="18"/>
                <w:color w:val="auto"/>
                <w:w w:val="97"/>
              </w:rPr>
              <w:t>D-14</w:t>
            </w:r>
          </w:p>
        </w:tc>
      </w:tr>
    </w:tbl>
    <w:p>
      <w:pPr>
        <w:sectPr>
          <w:pgSz w:w="11900" w:h="16838" w:orient="portrait"/>
          <w:cols w:equalWidth="0" w:num="1">
            <w:col w:w="11040"/>
          </w:cols>
          <w:pgMar w:left="440" w:top="274" w:right="419" w:bottom="1440" w:gutter="0" w:footer="0" w:header="0"/>
        </w:sectPr>
      </w:pPr>
    </w:p>
    <w:bookmarkStart w:id="67" w:name="page68"/>
    <w:bookmarkEnd w:id="67"/>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4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020"/>
          </w:cols>
          <w:pgMar w:left="440" w:top="270" w:right="4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1.875% Notes due 2036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XS2114853455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£800,000,000</w:t>
      </w:r>
    </w:p>
    <w:p>
      <w:pPr>
        <w:spacing w:after="0" w:line="207" w:lineRule="exact"/>
        <w:rPr>
          <w:sz w:val="20"/>
          <w:szCs w:val="20"/>
          <w:color w:val="auto"/>
        </w:rPr>
      </w:pPr>
    </w:p>
    <w:p>
      <w:pPr>
        <w:ind w:right="100" w:firstLine="992"/>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£800,000,000 (Eight Hundred Million Sterling) on February 20, 2036.</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Payment Date: February 20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20,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Interest Record Date: February 5 (the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this 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020"/>
          </w:cols>
          <w:pgMar w:left="440" w:top="270" w:right="439" w:bottom="1440" w:gutter="0" w:footer="0" w:header="0"/>
        </w:sectPr>
      </w:pPr>
    </w:p>
    <w:bookmarkStart w:id="69" w:name="page70"/>
    <w:bookmarkEnd w:id="69"/>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Assistant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020"/>
          </w:cols>
          <w:pgMar w:left="440" w:top="274" w:right="439" w:bottom="1440" w:gutter="0" w:footer="0" w:header="0"/>
        </w:sectPr>
      </w:pPr>
    </w:p>
    <w:bookmarkStart w:id="70" w:name="page71"/>
    <w:bookmarkEnd w:id="70"/>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0019"/>
          </w:cols>
          <w:pgMar w:left="440" w:top="274" w:right="1440"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1.875% Notes due 2036</w:t>
      </w:r>
    </w:p>
    <w:p>
      <w:pPr>
        <w:spacing w:after="0" w:line="22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firstLine="992"/>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February 20, 2020. The Issuer will pay interest annually in arrears on the Interest Payment Date, commencing February 20, 2021.</w:t>
      </w:r>
    </w:p>
    <w:p>
      <w:pPr>
        <w:spacing w:after="0" w:line="146"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February 20, 2020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7" w:lineRule="exact"/>
        <w:rPr>
          <w:sz w:val="20"/>
          <w:szCs w:val="20"/>
          <w:color w:val="auto"/>
        </w:rPr>
      </w:pPr>
    </w:p>
    <w:p>
      <w:pPr>
        <w:ind w:right="40" w:firstLine="992"/>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or London are authorized or obligated by law, regulation or executive order to close.</w:t>
      </w:r>
    </w:p>
    <w:p>
      <w:pPr>
        <w:spacing w:after="0" w:line="166"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Issuance in Sterling.</w:t>
      </w:r>
    </w:p>
    <w:p>
      <w:pPr>
        <w:spacing w:after="0" w:line="117"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color w:val="auto"/>
        </w:rPr>
        <w:t>Principal, premium, if any, and interest payments will be payable in Sterling. If Sterling is unavailable to the Issuer due to the imposition of exchange controls or other circumstances beyond the Issuer’s control, then all payments will be made in U.S. dollars until Sterling is again available to the Issuer. The amount payable on any date in Sterling will be converted into U.S. dollars at the Market Exchange Rate (as defined below) or, if such Market Exchange Rate is not then available, on the basis of the most recently available market exchange rate for Sterling. Any payment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74" w:lineRule="exact"/>
        <w:rPr>
          <w:sz w:val="20"/>
          <w:szCs w:val="20"/>
          <w:color w:val="auto"/>
        </w:rPr>
      </w:pPr>
    </w:p>
    <w:p>
      <w:pPr>
        <w:ind w:right="220" w:firstLine="992"/>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Market Exchange Rate</w:t>
      </w:r>
      <w:r>
        <w:rPr>
          <w:rFonts w:ascii="Arial" w:cs="Arial" w:eastAsia="Arial" w:hAnsi="Arial"/>
          <w:sz w:val="18"/>
          <w:szCs w:val="18"/>
          <w:color w:val="auto"/>
        </w:rPr>
        <w:t>” means the noon buying rate in The City of New York for cable transfers of Sterling as certified for customs purposes (or, if not so certified, as otherwise determined) by the Federal Reserve Bank of New York.</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0980"/>
          </w:cols>
          <w:pgMar w:left="440" w:top="274" w:right="479" w:bottom="1440" w:gutter="0" w:footer="0" w:header="0"/>
        </w:sectPr>
      </w:pPr>
    </w:p>
    <w:bookmarkStart w:id="72" w:name="page73"/>
    <w:bookmarkEnd w:id="72"/>
    <w:p>
      <w:pPr>
        <w:ind w:left="100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sz w:val="20"/>
          <w:szCs w:val="20"/>
          <w:color w:val="auto"/>
        </w:rPr>
        <w:tab/>
      </w:r>
      <w:r>
        <w:rPr>
          <w:rFonts w:ascii="Arial" w:cs="Arial" w:eastAsia="Arial" w:hAnsi="Arial"/>
          <w:sz w:val="16"/>
          <w:szCs w:val="16"/>
          <w:color w:val="auto"/>
        </w:rPr>
        <w:t>Method of Payment.</w:t>
      </w:r>
    </w:p>
    <w:p>
      <w:pPr>
        <w:spacing w:after="0" w:line="117" w:lineRule="exact"/>
        <w:rPr>
          <w:sz w:val="20"/>
          <w:szCs w:val="20"/>
          <w:color w:val="auto"/>
        </w:rPr>
      </w:pPr>
    </w:p>
    <w:p>
      <w:pPr>
        <w:ind w:right="200" w:firstLine="992"/>
        <w:spacing w:after="0" w:line="259"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87"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6"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Paying Agent.</w:t>
      </w:r>
    </w:p>
    <w:p>
      <w:pPr>
        <w:spacing w:after="0" w:line="117" w:lineRule="exact"/>
        <w:rPr>
          <w:sz w:val="20"/>
          <w:szCs w:val="20"/>
          <w:color w:val="auto"/>
        </w:rPr>
      </w:pPr>
    </w:p>
    <w:p>
      <w:pPr>
        <w:ind w:right="420" w:firstLine="992"/>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27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Indenture.</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90"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Guarantees.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020"/>
          </w:cols>
          <w:pgMar w:left="440" w:top="274" w:right="439" w:bottom="1440" w:gutter="0" w:footer="0" w:header="0"/>
        </w:sectPr>
      </w:pPr>
    </w:p>
    <w:bookmarkStart w:id="73" w:name="page74"/>
    <w:bookmarkEnd w:id="73"/>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289"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Persons Deemed Owners.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33"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Unclaimed Funds.</w:t>
      </w:r>
    </w:p>
    <w:p>
      <w:pPr>
        <w:spacing w:after="0" w:line="117" w:lineRule="exact"/>
        <w:rPr>
          <w:sz w:val="20"/>
          <w:szCs w:val="20"/>
          <w:color w:val="auto"/>
        </w:rPr>
      </w:pPr>
    </w:p>
    <w:p>
      <w:pPr>
        <w:jc w:val="both"/>
        <w:ind w:right="120" w:firstLine="992"/>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Legal Defeasance and Covenant Defeasance.</w:t>
      </w:r>
    </w:p>
    <w:p>
      <w:pPr>
        <w:spacing w:after="0" w:line="11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55"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86"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Restrictive Covenants.</w:t>
      </w:r>
    </w:p>
    <w:p>
      <w:pPr>
        <w:spacing w:after="0" w:line="117"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5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Optional Redemption.</w:t>
      </w:r>
    </w:p>
    <w:p>
      <w:pPr>
        <w:spacing w:after="0" w:line="117"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000"/>
          </w:cols>
          <w:pgMar w:left="440" w:top="274" w:right="459" w:bottom="1440" w:gutter="0" w:footer="0" w:header="0"/>
        </w:sectPr>
      </w:pPr>
    </w:p>
    <w:bookmarkStart w:id="74" w:name="page75"/>
    <w:bookmarkEnd w:id="74"/>
    <w:p>
      <w:pPr>
        <w:ind w:right="20" w:firstLine="992"/>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November 20, 2035 (three (3) months prior to the maturity of the Securities) (the “</w:t>
      </w:r>
      <w:r>
        <w:rPr>
          <w:rFonts w:ascii="Arial" w:cs="Arial" w:eastAsia="Arial" w:hAnsi="Arial"/>
          <w:sz w:val="17"/>
          <w:szCs w:val="17"/>
          <w:b w:val="1"/>
          <w:bCs w:val="1"/>
          <w:color w:val="auto"/>
        </w:rPr>
        <w:t>Par</w:t>
      </w:r>
      <w:r>
        <w:rPr>
          <w:rFonts w:ascii="Arial" w:cs="Arial" w:eastAsia="Arial" w:hAnsi="Arial"/>
          <w:sz w:val="17"/>
          <w:szCs w:val="17"/>
          <w:color w:val="auto"/>
        </w:rPr>
        <w:t xml:space="preserve"> </w:t>
      </w:r>
      <w:r>
        <w:rPr>
          <w:rFonts w:ascii="Arial" w:cs="Arial" w:eastAsia="Arial" w:hAnsi="Arial"/>
          <w:sz w:val="17"/>
          <w:szCs w:val="17"/>
          <w:b w:val="1"/>
          <w:bCs w:val="1"/>
          <w:color w:val="auto"/>
        </w:rPr>
        <w:t>Call 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an actual (ACTUAL/ACTUAL (ICMA)) basis at a rate equal to the applicable comparable government bond rate plus 15 basis points and (b) if the Securities are redeemed on or after the Par Call Date, 100% of the principal amount of such Securities; plus, in each case, accrued and unpaid interest thereon to the date of redemption.</w:t>
      </w:r>
    </w:p>
    <w:p>
      <w:pPr>
        <w:spacing w:after="0" w:line="174" w:lineRule="exact"/>
        <w:rPr>
          <w:sz w:val="20"/>
          <w:szCs w:val="20"/>
          <w:color w:val="auto"/>
        </w:rPr>
      </w:pPr>
    </w:p>
    <w:p>
      <w:pPr>
        <w:ind w:right="80" w:firstLine="992"/>
        <w:spacing w:after="0" w:line="25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Issuer, a United Kingdom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88"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the Issuer.</w:t>
      </w:r>
    </w:p>
    <w:p>
      <w:pPr>
        <w:spacing w:after="0" w:line="28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Redemption for Tax Reasons.</w:t>
      </w:r>
    </w:p>
    <w:p>
      <w:pPr>
        <w:spacing w:after="0" w:line="117" w:lineRule="exact"/>
        <w:rPr>
          <w:sz w:val="20"/>
          <w:szCs w:val="20"/>
          <w:color w:val="auto"/>
        </w:rPr>
      </w:pPr>
    </w:p>
    <w:p>
      <w:pPr>
        <w:jc w:val="both"/>
        <w:ind w:right="100" w:firstLine="992"/>
        <w:spacing w:after="0" w:line="291"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February 5, 2020,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020"/>
          </w:cols>
          <w:pgMar w:left="440" w:top="270" w:right="439" w:bottom="1440" w:gutter="0" w:footer="0" w:header="0"/>
        </w:sectPr>
      </w:pPr>
    </w:p>
    <w:bookmarkStart w:id="75" w:name="page76"/>
    <w:bookmarkEnd w:id="75"/>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Payment of Additional Amounts.</w:t>
      </w:r>
    </w:p>
    <w:p>
      <w:pPr>
        <w:spacing w:after="0" w:line="117" w:lineRule="exact"/>
        <w:rPr>
          <w:sz w:val="20"/>
          <w:szCs w:val="20"/>
          <w:color w:val="auto"/>
        </w:rPr>
      </w:pPr>
    </w:p>
    <w:p>
      <w:pPr>
        <w:ind w:right="100" w:firstLine="992"/>
        <w:spacing w:after="0" w:line="297"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Arial" w:cs="Arial" w:eastAsia="Arial" w:hAnsi="Arial"/>
          <w:sz w:val="16"/>
          <w:szCs w:val="16"/>
          <w:b w:val="1"/>
          <w:bCs w:val="1"/>
          <w:color w:val="auto"/>
        </w:rPr>
        <w:t>Tax</w:t>
      </w:r>
      <w:r>
        <w:rPr>
          <w:rFonts w:ascii="Arial" w:cs="Arial" w:eastAsia="Arial" w:hAnsi="Arial"/>
          <w:sz w:val="16"/>
          <w:szCs w:val="16"/>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64" w:lineRule="exact"/>
        <w:rPr>
          <w:sz w:val="20"/>
          <w:szCs w:val="20"/>
          <w:color w:val="auto"/>
        </w:rPr>
      </w:pPr>
    </w:p>
    <w:p>
      <w:pPr>
        <w:ind w:left="980" w:right="60" w:hanging="54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2" w:lineRule="exact"/>
        <w:rPr>
          <w:rFonts w:ascii="Arial" w:cs="Arial" w:eastAsia="Arial" w:hAnsi="Arial"/>
          <w:sz w:val="18"/>
          <w:szCs w:val="18"/>
          <w:color w:val="auto"/>
        </w:rPr>
      </w:pPr>
    </w:p>
    <w:p>
      <w:pPr>
        <w:ind w:left="1420" w:right="220" w:hanging="430"/>
        <w:spacing w:after="0" w:line="277"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jc w:val="both"/>
        <w:ind w:left="1420" w:right="200" w:hanging="430"/>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jc w:val="both"/>
        <w:ind w:left="1420" w:hanging="430"/>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2" w:lineRule="exact"/>
        <w:rPr>
          <w:rFonts w:ascii="Arial" w:cs="Arial" w:eastAsia="Arial" w:hAnsi="Arial"/>
          <w:sz w:val="18"/>
          <w:szCs w:val="18"/>
          <w:color w:val="auto"/>
        </w:rPr>
      </w:pPr>
    </w:p>
    <w:p>
      <w:pPr>
        <w:ind w:left="1420" w:right="300" w:hanging="430"/>
        <w:spacing w:after="0" w:line="313"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being or having been a “</w:t>
      </w:r>
      <w:r>
        <w:rPr>
          <w:rFonts w:ascii="Arial" w:cs="Arial" w:eastAsia="Arial" w:hAnsi="Arial"/>
          <w:sz w:val="17"/>
          <w:szCs w:val="17"/>
          <w:b w:val="1"/>
          <w:bCs w:val="1"/>
          <w:color w:val="auto"/>
        </w:rPr>
        <w:t>10-percent shareholder</w:t>
      </w:r>
      <w:r>
        <w:rPr>
          <w:rFonts w:ascii="Arial" w:cs="Arial" w:eastAsia="Arial" w:hAnsi="Arial"/>
          <w:sz w:val="17"/>
          <w:szCs w:val="17"/>
          <w:color w:val="auto"/>
        </w:rPr>
        <w:t>” of the Issuer or the applicable guarantor as defined in Section 871(h)(3) of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or any successor provision; or</w:t>
      </w:r>
    </w:p>
    <w:p>
      <w:pPr>
        <w:spacing w:after="0" w:line="47" w:lineRule="exact"/>
        <w:rPr>
          <w:rFonts w:ascii="Arial" w:cs="Arial" w:eastAsia="Arial" w:hAnsi="Arial"/>
          <w:sz w:val="17"/>
          <w:szCs w:val="17"/>
          <w:color w:val="auto"/>
        </w:rPr>
      </w:pPr>
    </w:p>
    <w:p>
      <w:pPr>
        <w:ind w:left="1420" w:right="120" w:hanging="430"/>
        <w:spacing w:after="0" w:line="277"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75" w:lineRule="exact"/>
        <w:rPr>
          <w:rFonts w:ascii="Arial" w:cs="Arial" w:eastAsia="Arial" w:hAnsi="Arial"/>
          <w:sz w:val="18"/>
          <w:szCs w:val="18"/>
          <w:color w:val="auto"/>
        </w:rPr>
      </w:pPr>
    </w:p>
    <w:p>
      <w:pPr>
        <w:ind w:left="980" w:right="40" w:hanging="544"/>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77" w:lineRule="exact"/>
        <w:rPr>
          <w:rFonts w:ascii="Arial" w:cs="Arial" w:eastAsia="Arial" w:hAnsi="Arial"/>
          <w:sz w:val="17"/>
          <w:szCs w:val="17"/>
          <w:color w:val="auto"/>
        </w:rPr>
      </w:pPr>
    </w:p>
    <w:p>
      <w:pPr>
        <w:ind w:left="980" w:right="80" w:hanging="54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pacing w:after="0" w:line="93" w:lineRule="exact"/>
        <w:rPr>
          <w:rFonts w:ascii="Arial" w:cs="Arial" w:eastAsia="Arial" w:hAnsi="Arial"/>
          <w:sz w:val="18"/>
          <w:szCs w:val="18"/>
          <w:color w:val="auto"/>
        </w:rPr>
      </w:pPr>
    </w:p>
    <w:p>
      <w:pPr>
        <w:ind w:left="980" w:hanging="54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the Issuer or a an applicable withholding agent from the payment;</w:t>
      </w:r>
    </w:p>
    <w:p>
      <w:pPr>
        <w:spacing w:after="0" w:line="130"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000"/>
          </w:cols>
          <w:pgMar w:left="440" w:top="274" w:right="459" w:bottom="1440" w:gutter="0" w:footer="0" w:header="0"/>
        </w:sectPr>
      </w:pPr>
    </w:p>
    <w:bookmarkStart w:id="76" w:name="page77"/>
    <w:bookmarkEnd w:id="76"/>
    <w:p>
      <w:pPr>
        <w:ind w:left="980" w:hanging="54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75"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6" w:lineRule="exact"/>
        <w:rPr>
          <w:rFonts w:ascii="Arial" w:cs="Arial" w:eastAsia="Arial" w:hAnsi="Arial"/>
          <w:sz w:val="18"/>
          <w:szCs w:val="18"/>
          <w:color w:val="auto"/>
        </w:rPr>
      </w:pPr>
    </w:p>
    <w:p>
      <w:pPr>
        <w:ind w:left="980" w:right="580" w:hanging="544"/>
        <w:spacing w:after="0" w:line="30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59" w:lineRule="exact"/>
        <w:rPr>
          <w:rFonts w:ascii="Arial" w:cs="Arial" w:eastAsia="Arial" w:hAnsi="Arial"/>
          <w:sz w:val="16"/>
          <w:szCs w:val="16"/>
          <w:color w:val="auto"/>
        </w:rPr>
      </w:pPr>
    </w:p>
    <w:p>
      <w:pPr>
        <w:ind w:left="980" w:hanging="54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any combination of items (a)-(j) above.</w:t>
      </w:r>
    </w:p>
    <w:p>
      <w:pPr>
        <w:spacing w:after="0" w:line="221" w:lineRule="exact"/>
        <w:rPr>
          <w:sz w:val="20"/>
          <w:szCs w:val="20"/>
          <w:color w:val="auto"/>
        </w:rPr>
      </w:pPr>
    </w:p>
    <w:p>
      <w:pPr>
        <w:ind w:right="100" w:firstLine="992"/>
        <w:spacing w:after="0" w:line="314" w:lineRule="auto"/>
        <w:rPr>
          <w:sz w:val="20"/>
          <w:szCs w:val="20"/>
          <w:color w:val="auto"/>
        </w:rPr>
      </w:pPr>
      <w:r>
        <w:rPr>
          <w:rFonts w:ascii="Arial" w:cs="Arial" w:eastAsia="Arial" w:hAnsi="Arial"/>
          <w:sz w:val="16"/>
          <w:szCs w:val="16"/>
          <w:color w:val="auto"/>
        </w:rPr>
        <w:t>As used in this Section 15, “</w:t>
      </w:r>
      <w:r>
        <w:rPr>
          <w:rFonts w:ascii="Arial" w:cs="Arial" w:eastAsia="Arial" w:hAnsi="Arial"/>
          <w:sz w:val="16"/>
          <w:szCs w:val="16"/>
          <w:b w:val="1"/>
          <w:bCs w:val="1"/>
          <w:color w:val="auto"/>
        </w:rPr>
        <w:t>United States person</w:t>
      </w:r>
      <w:r>
        <w:rPr>
          <w:rFonts w:ascii="Arial" w:cs="Arial" w:eastAsia="Arial" w:hAnsi="Arial"/>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5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000"/>
          </w:cols>
          <w:pgMar w:left="440" w:top="274" w:right="459" w:bottom="1440" w:gutter="0" w:footer="0" w:header="0"/>
        </w:sectPr>
      </w:pPr>
    </w:p>
    <w:bookmarkStart w:id="77" w:name="page78"/>
    <w:bookmarkEnd w:id="77"/>
    <w:p>
      <w:pPr>
        <w:ind w:left="100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Trustee Dealings with Issuer.</w:t>
      </w:r>
    </w:p>
    <w:p>
      <w:pPr>
        <w:spacing w:after="0" w:line="117"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7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 Recourse Against Others.</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9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33"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ISIN Numbers.</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74"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020"/>
          </w:cols>
          <w:pgMar w:left="440" w:top="274" w:right="4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spacing w:after="0"/>
              <w:rPr>
                <w:sz w:val="20"/>
                <w:szCs w:val="20"/>
                <w:color w:val="auto"/>
              </w:rPr>
            </w:pPr>
            <w:r>
              <w:rPr>
                <w:rFonts w:ascii="Arial" w:cs="Arial" w:eastAsia="Arial" w:hAnsi="Arial"/>
                <w:sz w:val="18"/>
                <w:szCs w:val="18"/>
                <w:color w:val="auto"/>
                <w:w w:val="93"/>
              </w:rPr>
              <w:t>and irrevocably appoint</w:t>
            </w:r>
          </w:p>
        </w:tc>
        <w:tc>
          <w:tcPr>
            <w:tcW w:w="1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w w:val="92"/>
              </w:rPr>
              <w:t>agent to transfer this Security on the books of the Issuer. The agent</w:t>
            </w:r>
          </w:p>
        </w:tc>
      </w:tr>
      <w:tr>
        <w:trPr>
          <w:trHeight w:val="237"/>
        </w:trPr>
        <w:tc>
          <w:tcPr>
            <w:tcW w:w="3460" w:type="dxa"/>
            <w:vAlign w:val="bottom"/>
            <w:gridSpan w:val="4"/>
          </w:tcPr>
          <w:p>
            <w:pPr>
              <w:spacing w:after="0"/>
              <w:rPr>
                <w:sz w:val="20"/>
                <w:szCs w:val="20"/>
                <w:color w:val="auto"/>
              </w:rPr>
            </w:pPr>
            <w:r>
              <w:rPr>
                <w:rFonts w:ascii="Arial" w:cs="Arial" w:eastAsia="Arial" w:hAnsi="Arial"/>
                <w:sz w:val="18"/>
                <w:szCs w:val="18"/>
                <w:color w:val="auto"/>
              </w:rPr>
              <w:t>may substitute another to act for him.</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9"/>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900" w:type="dxa"/>
            <w:vAlign w:val="bottom"/>
            <w:tcBorders>
              <w:bottom w:val="single" w:sz="8" w:color="auto"/>
            </w:tcBorders>
          </w:tcPr>
          <w:p>
            <w:pPr>
              <w:spacing w:after="0"/>
              <w:rPr>
                <w:sz w:val="24"/>
                <w:szCs w:val="24"/>
                <w:color w:val="auto"/>
              </w:rPr>
            </w:pPr>
          </w:p>
        </w:tc>
        <w:tc>
          <w:tcPr>
            <w:tcW w:w="20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88"/>
              </w:rPr>
              <w:t>Signed:</w:t>
            </w:r>
          </w:p>
        </w:tc>
        <w:tc>
          <w:tcPr>
            <w:tcW w:w="3460" w:type="dxa"/>
            <w:vAlign w:val="bottom"/>
            <w:tcBorders>
              <w:bottom w:val="single" w:sz="8" w:color="auto"/>
            </w:tcBorders>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00" w:type="dxa"/>
            <w:vAlign w:val="bottom"/>
            <w:gridSpan w:val="2"/>
          </w:tcPr>
          <w:p>
            <w:pPr>
              <w:spacing w:after="0"/>
              <w:rPr>
                <w:sz w:val="17"/>
                <w:szCs w:val="17"/>
                <w:color w:val="auto"/>
              </w:rPr>
            </w:pP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(Signed exactly as name appears on the other side of this</w:t>
            </w:r>
          </w:p>
        </w:tc>
      </w:tr>
      <w:tr>
        <w:trPr>
          <w:trHeight w:val="230"/>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3"/>
          </w:tcPr>
          <w:p>
            <w:pPr>
              <w:ind w:left="240"/>
              <w:spacing w:after="0"/>
              <w:rPr>
                <w:sz w:val="20"/>
                <w:szCs w:val="20"/>
                <w:color w:val="auto"/>
              </w:rPr>
            </w:pPr>
            <w:r>
              <w:rPr>
                <w:rFonts w:ascii="Arial" w:cs="Arial" w:eastAsia="Arial" w:hAnsi="Arial"/>
                <w:sz w:val="18"/>
                <w:szCs w:val="18"/>
                <w:color w:val="auto"/>
              </w:rPr>
              <w:t>Security)</w:t>
            </w:r>
          </w:p>
        </w:tc>
      </w:tr>
      <w:tr>
        <w:trPr>
          <w:trHeight w:val="459"/>
        </w:trPr>
        <w:tc>
          <w:tcPr>
            <w:tcW w:w="3460" w:type="dxa"/>
            <w:vAlign w:val="bottom"/>
            <w:gridSpan w:val="4"/>
          </w:tcPr>
          <w:p>
            <w:pPr>
              <w:spacing w:after="0"/>
              <w:rPr>
                <w:sz w:val="20"/>
                <w:szCs w:val="20"/>
                <w:color w:val="auto"/>
              </w:rPr>
            </w:pPr>
            <w:r>
              <w:rPr>
                <w:rFonts w:ascii="Arial" w:cs="Arial" w:eastAsia="Arial" w:hAnsi="Arial"/>
                <w:sz w:val="18"/>
                <w:szCs w:val="18"/>
                <w:color w:val="auto"/>
              </w:rPr>
              <w:t>Signature Guarantee:</w:t>
            </w:r>
          </w:p>
        </w:tc>
        <w:tc>
          <w:tcPr>
            <w:tcW w:w="7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gridSpan w:val="6"/>
          </w:tcPr>
          <w:p>
            <w:pPr>
              <w:spacing w:after="0"/>
              <w:rPr>
                <w:sz w:val="20"/>
                <w:szCs w:val="20"/>
                <w:color w:val="auto"/>
              </w:rPr>
            </w:pPr>
            <w:r>
              <w:rPr>
                <w:rFonts w:ascii="Arial" w:cs="Arial" w:eastAsia="Arial" w:hAnsi="Arial"/>
                <w:sz w:val="18"/>
                <w:szCs w:val="18"/>
                <w:color w:val="auto"/>
                <w:w w:val="98"/>
              </w:rPr>
              <w:t>Participant in a recognized Signature Guarantee Medallion Program (or other signature</w:t>
            </w:r>
          </w:p>
        </w:tc>
      </w:tr>
      <w:tr>
        <w:trPr>
          <w:trHeight w:val="230"/>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580" w:type="dxa"/>
            <w:vAlign w:val="bottom"/>
            <w:gridSpan w:val="7"/>
          </w:tcPr>
          <w:p>
            <w:pPr>
              <w:ind w:left="740"/>
              <w:spacing w:after="0"/>
              <w:rPr>
                <w:sz w:val="20"/>
                <w:szCs w:val="20"/>
                <w:color w:val="auto"/>
              </w:rPr>
            </w:pPr>
            <w:r>
              <w:rPr>
                <w:rFonts w:ascii="Arial" w:cs="Arial" w:eastAsia="Arial" w:hAnsi="Arial"/>
                <w:sz w:val="18"/>
                <w:szCs w:val="18"/>
                <w:color w:val="auto"/>
              </w:rPr>
              <w:t>guarantor program reasonably acceptable to the Trustee)</w:t>
            </w:r>
          </w:p>
        </w:tc>
      </w:tr>
      <w:tr>
        <w:trPr>
          <w:trHeight w:val="365"/>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20" w:type="dxa"/>
            <w:vAlign w:val="bottom"/>
            <w:gridSpan w:val="6"/>
          </w:tcPr>
          <w:p>
            <w:pPr>
              <w:ind w:left="1120"/>
              <w:spacing w:after="0"/>
              <w:rPr>
                <w:sz w:val="20"/>
                <w:szCs w:val="20"/>
                <w:color w:val="auto"/>
              </w:rPr>
            </w:pPr>
            <w:r>
              <w:rPr>
                <w:rFonts w:ascii="Arial" w:cs="Arial" w:eastAsia="Arial" w:hAnsi="Arial"/>
                <w:sz w:val="18"/>
                <w:szCs w:val="18"/>
                <w:color w:val="auto"/>
              </w:rPr>
              <w:t>E-12</w:t>
            </w:r>
          </w:p>
        </w:tc>
      </w:tr>
    </w:tbl>
    <w:p>
      <w:pPr>
        <w:sectPr>
          <w:pgSz w:w="11900" w:h="16838" w:orient="portrait"/>
          <w:cols w:equalWidth="0" w:num="1">
            <w:col w:w="11040"/>
          </w:cols>
          <w:pgMar w:left="440" w:top="274" w:right="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am Vice President, Senior Deputy General Counsel and Assistant Secretary of Comcast Corporation,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5,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the several underwriters named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of €800,000,000 aggregate principal amount of its 0.250% Notes due 2027 (the </w:t>
      </w:r>
      <w:r>
        <w:rPr>
          <w:rFonts w:ascii="Arial" w:cs="Arial" w:eastAsia="Arial" w:hAnsi="Arial"/>
          <w:sz w:val="16"/>
          <w:szCs w:val="16"/>
          <w:b w:val="1"/>
          <w:bCs w:val="1"/>
          <w:color w:val="auto"/>
        </w:rPr>
        <w:t>“2027 Euro Notes”</w:t>
      </w:r>
      <w:r>
        <w:rPr>
          <w:rFonts w:ascii="Arial" w:cs="Arial" w:eastAsia="Arial" w:hAnsi="Arial"/>
          <w:sz w:val="16"/>
          <w:szCs w:val="16"/>
          <w:color w:val="auto"/>
        </w:rPr>
        <w:t>), €1,400,000,000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principal amount of its 0.750% Notes due 2032 (the </w:t>
      </w:r>
      <w:r>
        <w:rPr>
          <w:rFonts w:ascii="Arial" w:cs="Arial" w:eastAsia="Arial" w:hAnsi="Arial"/>
          <w:sz w:val="16"/>
          <w:szCs w:val="16"/>
          <w:b w:val="1"/>
          <w:bCs w:val="1"/>
          <w:color w:val="auto"/>
        </w:rPr>
        <w:t>“2032 Euro Notes”</w:t>
      </w:r>
      <w:r>
        <w:rPr>
          <w:rFonts w:ascii="Arial" w:cs="Arial" w:eastAsia="Arial" w:hAnsi="Arial"/>
          <w:sz w:val="16"/>
          <w:szCs w:val="16"/>
          <w:color w:val="auto"/>
        </w:rPr>
        <w:t>), €800,000,000 aggregate principal amount of its 1.250% Notes due 2040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“2040 Euro Notes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together with the 2027 Euro Notes and the 2032 Euro Notes, the</w:t>
      </w:r>
      <w:r>
        <w:rPr>
          <w:rFonts w:ascii="Arial" w:cs="Arial" w:eastAsia="Arial" w:hAnsi="Arial"/>
          <w:sz w:val="16"/>
          <w:szCs w:val="16"/>
          <w:b w:val="1"/>
          <w:bCs w:val="1"/>
          <w:color w:val="auto"/>
        </w:rPr>
        <w:t xml:space="preserve"> “Euro Notes”</w:t>
      </w:r>
      <w:r>
        <w:rPr>
          <w:rFonts w:ascii="Arial" w:cs="Arial" w:eastAsia="Arial" w:hAnsi="Arial"/>
          <w:sz w:val="16"/>
          <w:szCs w:val="16"/>
          <w:color w:val="auto"/>
        </w:rPr>
        <w:t>), £600,000,000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its 1.500% Notes due 2029 (the </w:t>
      </w:r>
      <w:r>
        <w:rPr>
          <w:rFonts w:ascii="Arial" w:cs="Arial" w:eastAsia="Arial" w:hAnsi="Arial"/>
          <w:sz w:val="17"/>
          <w:szCs w:val="17"/>
          <w:b w:val="1"/>
          <w:bCs w:val="1"/>
          <w:color w:val="auto"/>
        </w:rPr>
        <w:t>“2029 Sterling Notes”</w:t>
      </w:r>
      <w:r>
        <w:rPr>
          <w:rFonts w:ascii="Arial" w:cs="Arial" w:eastAsia="Arial" w:hAnsi="Arial"/>
          <w:sz w:val="17"/>
          <w:szCs w:val="17"/>
          <w:color w:val="auto"/>
        </w:rPr>
        <w:t xml:space="preserve">) and £800,000,000 aggregate principal amount of its 1.875% Notes due 2036 (the </w:t>
      </w:r>
      <w:r>
        <w:rPr>
          <w:rFonts w:ascii="Arial" w:cs="Arial" w:eastAsia="Arial" w:hAnsi="Arial"/>
          <w:sz w:val="17"/>
          <w:szCs w:val="17"/>
          <w:b w:val="1"/>
          <w:bCs w:val="1"/>
          <w:color w:val="auto"/>
        </w:rPr>
        <w:t>“2036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Sterling Notes” </w:t>
      </w:r>
      <w:r>
        <w:rPr>
          <w:rFonts w:ascii="Arial" w:cs="Arial" w:eastAsia="Arial" w:hAnsi="Arial"/>
          <w:sz w:val="17"/>
          <w:szCs w:val="17"/>
          <w:color w:val="auto"/>
        </w:rPr>
        <w:t>and together with the 2029 Sterling Notes, the “Sterling Notes”). The Euro Notes and Sterling Notes are herein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Notes are to be issued pursuant to the provisions of the Indenture dated as of September 18, 2013, as amended by the First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Bank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on an unsecured and unsubordinated basis by the Guarantors.</w:t>
      </w:r>
    </w:p>
    <w:p>
      <w:pPr>
        <w:spacing w:after="0" w:line="211"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760" w:hanging="31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760" w:hanging="31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ectPr>
          <w:pgSz w:w="11900" w:h="16838" w:orient="portrait"/>
          <w:cols w:equalWidth="0" w:num="1">
            <w:col w:w="11020"/>
          </w:cols>
          <w:pgMar w:left="440" w:top="121" w:right="439" w:bottom="1440" w:gutter="0" w:footer="0" w:header="0"/>
        </w:sectPr>
      </w:pPr>
    </w:p>
    <w:bookmarkStart w:id="80" w:name="page81"/>
    <w:bookmarkEnd w:id="80"/>
    <w:p>
      <w:pPr>
        <w:spacing w:after="0"/>
        <w:tabs>
          <w:tab w:leader="none" w:pos="5680" w:val="left"/>
          <w:tab w:leader="none" w:pos="9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20, 2020</w:t>
      </w:r>
    </w:p>
    <w:p>
      <w:pPr>
        <w:spacing w:after="0" w:line="15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Elizabeth Wideman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Elizabeth Wideman</w:t>
      </w:r>
    </w:p>
    <w:p>
      <w:pPr>
        <w:sectPr>
          <w:pgSz w:w="11900" w:h="16838" w:orient="portrait"/>
          <w:cols w:equalWidth="0" w:num="1">
            <w:col w:w="11020"/>
          </w:cols>
          <w:pgMar w:left="440" w:top="274" w:right="439" w:bottom="1440" w:gutter="0" w:footer="0" w:header="0"/>
        </w:sectPr>
      </w:pPr>
    </w:p>
    <w:bookmarkStart w:id="81" w:name="page82"/>
    <w:bookmarkEnd w:id="81"/>
    <w:p>
      <w:pPr>
        <w:ind w:left="101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14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1337945" cy="266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3794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700" w:space="340"/>
            <w:col w:w="980"/>
          </w:cols>
          <w:pgMar w:left="44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520" w:type="dxa"/>
            <w:vAlign w:val="bottom"/>
          </w:tcPr>
          <w:p>
            <w:pPr>
              <w:ind w:left="240"/>
              <w:spacing w:after="0"/>
              <w:rPr>
                <w:sz w:val="20"/>
                <w:szCs w:val="20"/>
                <w:color w:val="auto"/>
              </w:rPr>
            </w:pPr>
            <w:r>
              <w:rPr>
                <w:rFonts w:ascii="Arial" w:cs="Arial" w:eastAsia="Arial" w:hAnsi="Arial"/>
                <w:sz w:val="18"/>
                <w:szCs w:val="18"/>
                <w:color w:val="auto"/>
                <w:w w:val="93"/>
              </w:rPr>
              <w:t>212 450 4000 tel</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450 Lexington Avenue</w:t>
            </w:r>
          </w:p>
        </w:tc>
        <w:tc>
          <w:tcPr>
            <w:tcW w:w="1520" w:type="dxa"/>
            <w:vAlign w:val="bottom"/>
          </w:tcPr>
          <w:p>
            <w:pPr>
              <w:ind w:left="240"/>
              <w:spacing w:after="0"/>
              <w:rPr>
                <w:sz w:val="20"/>
                <w:szCs w:val="20"/>
                <w:color w:val="auto"/>
              </w:rPr>
            </w:pPr>
            <w:r>
              <w:rPr>
                <w:rFonts w:ascii="Arial" w:cs="Arial" w:eastAsia="Arial" w:hAnsi="Arial"/>
                <w:sz w:val="18"/>
                <w:szCs w:val="18"/>
                <w:color w:val="auto"/>
                <w:w w:val="90"/>
              </w:rPr>
              <w:t>212 701 5800 fax</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New York, NY 10017</w:t>
            </w:r>
          </w:p>
        </w:tc>
        <w:tc>
          <w:tcPr>
            <w:tcW w:w="152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guarantors listed in Schedule I hereto (the “</w:t>
      </w:r>
      <w:r>
        <w:rPr>
          <w:rFonts w:ascii="Arial" w:cs="Arial" w:eastAsia="Arial" w:hAnsi="Arial"/>
          <w:sz w:val="16"/>
          <w:szCs w:val="16"/>
          <w:b w:val="1"/>
          <w:bCs w:val="1"/>
          <w:color w:val="auto"/>
        </w:rPr>
        <w:t>Guarantors</w:t>
      </w:r>
      <w:r>
        <w:rPr>
          <w:rFonts w:ascii="Arial" w:cs="Arial" w:eastAsia="Arial" w:hAnsi="Arial"/>
          <w:sz w:val="16"/>
          <w:szCs w:val="16"/>
          <w:color w:val="auto"/>
        </w:rPr>
        <w:t>”), have filed with the Securities and Exchange Commission a Registration Statement on Form S-3 (File No. 333-232941)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certain securities, including €800,000,000 aggregate principal amount of its 0.250% Notes due 2027 (the </w:t>
      </w:r>
      <w:r>
        <w:rPr>
          <w:rFonts w:ascii="Arial" w:cs="Arial" w:eastAsia="Arial" w:hAnsi="Arial"/>
          <w:sz w:val="16"/>
          <w:szCs w:val="16"/>
          <w:b w:val="1"/>
          <w:bCs w:val="1"/>
          <w:color w:val="auto"/>
        </w:rPr>
        <w:t>“2027 Euro Notes”</w:t>
      </w:r>
      <w:r>
        <w:rPr>
          <w:rFonts w:ascii="Arial" w:cs="Arial" w:eastAsia="Arial" w:hAnsi="Arial"/>
          <w:sz w:val="16"/>
          <w:szCs w:val="16"/>
          <w:color w:val="auto"/>
        </w:rPr>
        <w:t xml:space="preserve">), €1,400,000,000 aggregate principal amount of its 0.750% Notes due 2032 (the </w:t>
      </w:r>
      <w:r>
        <w:rPr>
          <w:rFonts w:ascii="Arial" w:cs="Arial" w:eastAsia="Arial" w:hAnsi="Arial"/>
          <w:sz w:val="16"/>
          <w:szCs w:val="16"/>
          <w:b w:val="1"/>
          <w:bCs w:val="1"/>
          <w:color w:val="auto"/>
        </w:rPr>
        <w:t>“2032</w:t>
      </w:r>
      <w:r>
        <w:rPr>
          <w:rFonts w:ascii="Arial" w:cs="Arial" w:eastAsia="Arial" w:hAnsi="Arial"/>
          <w:sz w:val="16"/>
          <w:szCs w:val="16"/>
          <w:color w:val="auto"/>
        </w:rPr>
        <w:t xml:space="preserve"> </w:t>
      </w:r>
      <w:r>
        <w:rPr>
          <w:rFonts w:ascii="Arial" w:cs="Arial" w:eastAsia="Arial" w:hAnsi="Arial"/>
          <w:sz w:val="16"/>
          <w:szCs w:val="16"/>
          <w:b w:val="1"/>
          <w:bCs w:val="1"/>
          <w:color w:val="auto"/>
        </w:rPr>
        <w:t>Euro Notes”</w:t>
      </w:r>
      <w:r>
        <w:rPr>
          <w:rFonts w:ascii="Arial" w:cs="Arial" w:eastAsia="Arial" w:hAnsi="Arial"/>
          <w:sz w:val="16"/>
          <w:szCs w:val="16"/>
          <w:color w:val="auto"/>
        </w:rPr>
        <w:t>), €800,000,000 aggregate principal amount of its 1.250% Notes due 2040 (the</w:t>
      </w:r>
      <w:r>
        <w:rPr>
          <w:rFonts w:ascii="Arial" w:cs="Arial" w:eastAsia="Arial" w:hAnsi="Arial"/>
          <w:sz w:val="16"/>
          <w:szCs w:val="16"/>
          <w:b w:val="1"/>
          <w:bCs w:val="1"/>
          <w:color w:val="auto"/>
        </w:rPr>
        <w:t xml:space="preserve"> “2040 Euro Notes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together with the 2027 Euro Notes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2032 Euro Notes, the </w:t>
      </w:r>
      <w:r>
        <w:rPr>
          <w:rFonts w:ascii="Arial" w:cs="Arial" w:eastAsia="Arial" w:hAnsi="Arial"/>
          <w:sz w:val="16"/>
          <w:szCs w:val="16"/>
          <w:b w:val="1"/>
          <w:bCs w:val="1"/>
          <w:color w:val="auto"/>
        </w:rPr>
        <w:t>“Euro Notes”</w:t>
      </w:r>
      <w:r>
        <w:rPr>
          <w:rFonts w:ascii="Arial" w:cs="Arial" w:eastAsia="Arial" w:hAnsi="Arial"/>
          <w:sz w:val="16"/>
          <w:szCs w:val="16"/>
          <w:color w:val="auto"/>
        </w:rPr>
        <w:t xml:space="preserve">), £600,000,000 aggregate principal amount of its 1.500% Notes due 2029 (the </w:t>
      </w:r>
      <w:r>
        <w:rPr>
          <w:rFonts w:ascii="Arial" w:cs="Arial" w:eastAsia="Arial" w:hAnsi="Arial"/>
          <w:sz w:val="16"/>
          <w:szCs w:val="16"/>
          <w:b w:val="1"/>
          <w:bCs w:val="1"/>
          <w:color w:val="auto"/>
        </w:rPr>
        <w:t>“2029 Sterling Notes”</w:t>
      </w:r>
      <w:r>
        <w:rPr>
          <w:rFonts w:ascii="Arial" w:cs="Arial" w:eastAsia="Arial" w:hAnsi="Arial"/>
          <w:sz w:val="16"/>
          <w:szCs w:val="16"/>
          <w:color w:val="auto"/>
        </w:rPr>
        <w:t xml:space="preserve">) and £800,000,000 aggregate principal amount of its 1.875% Notes due 2036 (the </w:t>
      </w:r>
      <w:r>
        <w:rPr>
          <w:rFonts w:ascii="Arial" w:cs="Arial" w:eastAsia="Arial" w:hAnsi="Arial"/>
          <w:sz w:val="16"/>
          <w:szCs w:val="16"/>
          <w:b w:val="1"/>
          <w:bCs w:val="1"/>
          <w:color w:val="auto"/>
        </w:rPr>
        <w:t>“2036 Sterling Notes”</w:t>
      </w:r>
      <w:r>
        <w:rPr>
          <w:rFonts w:ascii="Arial" w:cs="Arial" w:eastAsia="Arial" w:hAnsi="Arial"/>
          <w:sz w:val="16"/>
          <w:szCs w:val="16"/>
          <w:color w:val="auto"/>
        </w:rPr>
        <w:t xml:space="preserve"> and together with the 2029 Sterling Notes, the </w:t>
      </w:r>
      <w:r>
        <w:rPr>
          <w:rFonts w:ascii="Arial" w:cs="Arial" w:eastAsia="Arial" w:hAnsi="Arial"/>
          <w:sz w:val="16"/>
          <w:szCs w:val="16"/>
          <w:b w:val="1"/>
          <w:bCs w:val="1"/>
          <w:color w:val="auto"/>
        </w:rPr>
        <w:t>“Sterling Notes”</w:t>
      </w:r>
      <w:r>
        <w:rPr>
          <w:rFonts w:ascii="Arial" w:cs="Arial" w:eastAsia="Arial" w:hAnsi="Arial"/>
          <w:sz w:val="16"/>
          <w:szCs w:val="16"/>
          <w:color w:val="auto"/>
        </w:rPr>
        <w:t>). The Euro Notes and Sterling Notes are herein referred to as the</w:t>
      </w:r>
      <w:r>
        <w:rPr>
          <w:rFonts w:ascii="Arial" w:cs="Arial" w:eastAsia="Arial" w:hAnsi="Arial"/>
          <w:sz w:val="16"/>
          <w:szCs w:val="16"/>
          <w:b w:val="1"/>
          <w:bCs w:val="1"/>
          <w:color w:val="auto"/>
        </w:rPr>
        <w:t xml:space="preserve"> “Notes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Notes are to be issued pursuant to the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 the First Supplemental Indenture thereto dated as of November 17, 2015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party thereto (the “</w:t>
      </w:r>
      <w:r>
        <w:rPr>
          <w:rFonts w:ascii="Arial" w:cs="Arial" w:eastAsia="Arial" w:hAnsi="Arial"/>
          <w:sz w:val="16"/>
          <w:szCs w:val="16"/>
          <w:b w:val="1"/>
          <w:bCs w:val="1"/>
          <w:color w:val="auto"/>
        </w:rPr>
        <w:t>Guarantors</w:t>
      </w:r>
      <w:r>
        <w:rPr>
          <w:rFonts w:ascii="Arial" w:cs="Arial" w:eastAsia="Arial" w:hAnsi="Arial"/>
          <w:sz w:val="16"/>
          <w:szCs w:val="16"/>
          <w:color w:val="auto"/>
        </w:rPr>
        <w:t>”)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guaranteed by each of the Guarantors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sold pursuant to the Underwriting Agreement dated February 5,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ectPr>
          <w:pgSz w:w="11900" w:h="16838" w:orient="portrait"/>
          <w:cols w:equalWidth="0" w:num="1">
            <w:col w:w="11020"/>
          </w:cols>
          <w:pgMar w:left="440" w:top="121" w:right="439" w:bottom="1440" w:gutter="0" w:footer="0" w:header="0"/>
          <w:type w:val="continuous"/>
        </w:sectPr>
      </w:pPr>
    </w:p>
    <w:bookmarkStart w:id="82" w:name="page83"/>
    <w:bookmarkEnd w:id="8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(w)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w:t>
      </w:r>
    </w:p>
    <w:p>
      <w:pPr>
        <w:spacing w:after="0" w:line="3" w:lineRule="exact"/>
        <w:rPr>
          <w:sz w:val="20"/>
          <w:szCs w:val="20"/>
          <w:color w:val="auto"/>
        </w:rPr>
      </w:pPr>
    </w:p>
    <w:p>
      <w:pPr>
        <w:ind w:right="480" w:firstLine="4"/>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validity, legally binding effect or enforceability of any provision that permits holders to collect any portion of stated principal amount upon acceleration of the Debt Securities to the extent determined to constitute unearned interest.</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(w)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3" w:name="page84"/>
    <w:bookmarkEnd w:id="83"/>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lvl w:ilvl="1">
      <w:lvlJc w:val="left"/>
      <w:lvlText w:val="(%2)"/>
      <w:numFmt w:val="lowerRoman"/>
      <w:start w:val="1"/>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1)"/>
      <w:numFmt w:val="lowerLetter"/>
      <w:start w:val="1"/>
    </w:lvl>
    <w:lvl w:ilvl="1">
      <w:lvlJc w:val="left"/>
      <w:lvlText w:val="(%2)"/>
      <w:numFmt w:val="lowerRoman"/>
      <w:start w:val="1"/>
    </w:lvl>
  </w:abstractNum>
  <w:abstractNum w:abstractNumId="4">
    <w:nsid w:val="4DB127F8"/>
    <w:multiLevelType w:val="hybridMultilevel"/>
    <w:lvl w:ilvl="0">
      <w:lvlJc w:val="left"/>
      <w:lvlText w:val="(%1)"/>
      <w:numFmt w:val="lowerLetter"/>
      <w:start w:val="4"/>
    </w:lvl>
  </w:abstractNum>
  <w:abstractNum w:abstractNumId="5">
    <w:nsid w:val="216231B"/>
    <w:multiLevelType w:val="hybridMultilevel"/>
    <w:lvl w:ilvl="0">
      <w:lvlJc w:val="left"/>
      <w:lvlText w:val="(%1)"/>
      <w:numFmt w:val="lowerLetter"/>
      <w:start w:val="1"/>
    </w:lvl>
    <w:lvl w:ilvl="1">
      <w:lvlJc w:val="left"/>
      <w:lvlText w:val="(%2)"/>
      <w:numFmt w:val="lowerRoman"/>
      <w:start w:val="1"/>
    </w:lvl>
  </w:abstractNum>
  <w:abstractNum w:abstractNumId="6">
    <w:nsid w:val="1F16E9E8"/>
    <w:multiLevelType w:val="hybridMultilevel"/>
    <w:lvl w:ilvl="0">
      <w:lvlJc w:val="left"/>
      <w:lvlText w:val="%1"/>
      <w:numFmt w:val="lowerLetter"/>
      <w:start w:val="1"/>
    </w:lvl>
    <w:lvl w:ilvl="1">
      <w:lvlJc w:val="left"/>
      <w:lvlText w:val="(%2)"/>
      <w:numFmt w:val="lowerRoman"/>
      <w:start w:val="4"/>
    </w:lvl>
  </w:abstractNum>
  <w:abstractNum w:abstractNumId="7">
    <w:nsid w:val="1190CDE7"/>
    <w:multiLevelType w:val="hybridMultilevel"/>
    <w:lvl w:ilvl="0">
      <w:lvlJc w:val="left"/>
      <w:lvlText w:val="(%1)"/>
      <w:numFmt w:val="lowerLetter"/>
      <w:start w:val="2"/>
    </w:lvl>
    <w:lvl w:ilvl="1">
      <w:lvlJc w:val="left"/>
      <w:lvlText w:val="%2"/>
      <w:numFmt w:val="lowerRoman"/>
      <w:start w:val="1"/>
    </w:lvl>
  </w:abstractNum>
  <w:abstractNum w:abstractNumId="8">
    <w:nsid w:val="66EF438D"/>
    <w:multiLevelType w:val="hybridMultilevel"/>
    <w:lvl w:ilvl="0">
      <w:lvlJc w:val="left"/>
      <w:lvlText w:val="(%1)"/>
      <w:numFmt w:val="lowerLetter"/>
      <w:start w:val="9"/>
    </w:lvl>
  </w:abstractNum>
  <w:abstractNum w:abstractNumId="9">
    <w:nsid w:val="140E0F76"/>
    <w:multiLevelType w:val="hybridMultilevel"/>
    <w:lvl w:ilvl="0">
      <w:lvlJc w:val="left"/>
      <w:lvlText w:val="(%1)"/>
      <w:numFmt w:val="lowerLetter"/>
      <w:start w:val="1"/>
    </w:lvl>
    <w:lvl w:ilvl="1">
      <w:lvlJc w:val="left"/>
      <w:lvlText w:val="(%2)"/>
      <w:numFmt w:val="lowerRoman"/>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lowerLetter"/>
      <w:start w:val="6"/>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2020-02-20T15:20:50Z</dcterms:created>
  <dcterms:modified xsi:type="dcterms:W3CDTF">2020-02-20T15:20:50Z</dcterms:modified>
</cp:coreProperties>
</file>