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5330190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4012565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-581660</wp:posOffset>
            </wp:positionV>
            <wp:extent cx="1277620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26670</wp:posOffset>
            </wp:positionV>
            <wp:extent cx="6969760" cy="1592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Bergman Naomi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196850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8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35560</wp:posOffset>
            </wp:positionV>
            <wp:extent cx="7018655" cy="10509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426.635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426.635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2,787.635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1. These securities convert on a one-to-one basis.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Reporting Person has elected to notionally reinvest previously deferred compensation into another deferred compensation investment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Elizabeth Wideman,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-1147445</wp:posOffset>
            </wp:positionV>
            <wp:extent cx="7018655" cy="347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2020-08-04T15:33:45Z</dcterms:created>
  <dcterms:modified xsi:type="dcterms:W3CDTF">2020-08-04T15:33:45Z</dcterms:modified>
</cp:coreProperties>
</file>