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33"/>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5"/>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38"/>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CMCS32A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CMCS36A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CMCS40A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50" w:orient="portrait"/>
          <w:cols w:equalWidth="0" w:num="1">
            <w:col w:w="11240"/>
          </w:cols>
          <w:pgMar w:left="320" w:top="1029"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October 1, 2025,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45"/>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6"/>
                <w:szCs w:val="16"/>
                <w:color w:val="auto"/>
              </w:rPr>
            </w:pPr>
          </w:p>
        </w:tc>
        <w:tc>
          <w:tcPr>
            <w:tcW w:w="10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Comcast Corporation Press Release dated October 1, 2025.</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6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27"/>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321945</wp:posOffset>
            </wp:positionV>
            <wp:extent cx="1859915"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COMCAST ANNOUNCES FINAL RESULTS FOR POOL 1 DEBT EXCHANGE OFFERS AND POOL 1 CASH OFFERS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Philadelphia, Pennsylvania, October 1, 2025 </w:t>
      </w:r>
      <w:r>
        <w:rPr>
          <w:rFonts w:ascii="Times New Roman" w:cs="Times New Roman" w:eastAsia="Times New Roman" w:hAnsi="Times New Roman"/>
          <w:sz w:val="18"/>
          <w:szCs w:val="18"/>
          <w:color w:val="auto"/>
        </w:rPr>
        <w:t>- Comcast Corporation (Nasdaq: CMCSA)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Comcast Corporation (Nasdaq: CMCSA) (“Comcast”) today announced the final results of its five separate private offers to exchange (collectively, the “Pool 1 Exchange Offers”) any and all of the outstanding series of notes listed in the table below (collectively, the “Pool 1 Notes”) in exchange for newly issued 5.168% Notes due 2037 (the “New 2037 Notes”), on the terms and subject to the conditions set forth in the Offering Memorandum dated September 22, 2025 (the “Offering Memorandum”), the eligibility certification and the accompanying exchange offer notice of guaranteed delivery (which, together with the Offering Memorandum and the eligibility certification, constitute the “Exchange Offer Documents”). Unless otherwise defined herein, capitalized terms related to the Pool 1 Exchange Offers used under the heading “Exchange Offers” have the respective meanings assigned thereto in the Exchange Offer Documents.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Pool 1 Exchange Offers expired at 5:00 p.m. (Eastern time) on September 26, 2025 (the “Pool 1 Exchange Offer Expiration Date”). The “Pool 1 Exchange Offer Settlement Date” with respect to the Pool 1 Exchange Offers is expected to be October 2, 2025.</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table below indicates, among other things, the aggregate principal amount of each series of Pool 1 Notes that Comcast is accepting in connection with Comcast’s offer to exchange any and all of its outstanding notes listed below for the New 2037 Notes: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i w:val="1"/>
                <w:iCs w:val="1"/>
                <w:color w:val="auto"/>
                <w:w w:val="98"/>
              </w:rPr>
              <w:t>Pool 1 Notes</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140" w:type="dxa"/>
            <w:vAlign w:val="bottom"/>
          </w:tcPr>
          <w:p>
            <w:pPr>
              <w:spacing w:after="0"/>
              <w:rPr>
                <w:sz w:val="18"/>
                <w:szCs w:val="18"/>
                <w:color w:val="auto"/>
              </w:rPr>
            </w:pPr>
          </w:p>
        </w:tc>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Series of Pool 1 Notes to be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4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 Exchange and</w:t>
            </w:r>
          </w:p>
        </w:tc>
        <w:tc>
          <w:tcPr>
            <w:tcW w:w="6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Priority Level</w:t>
            </w:r>
          </w:p>
        </w:tc>
        <w:tc>
          <w:tcPr>
            <w:tcW w:w="140" w:type="dxa"/>
            <w:vAlign w:val="bottom"/>
          </w:tcPr>
          <w:p>
            <w:pPr>
              <w:spacing w:after="0"/>
              <w:rPr>
                <w:sz w:val="20"/>
                <w:szCs w:val="20"/>
                <w:color w:val="auto"/>
              </w:rPr>
            </w:pPr>
          </w:p>
        </w:tc>
        <w:tc>
          <w:tcPr>
            <w:tcW w:w="32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140" w:type="dxa"/>
            <w:vAlign w:val="bottom"/>
          </w:tcPr>
          <w:p>
            <w:pPr>
              <w:spacing w:after="0"/>
              <w:rPr>
                <w:sz w:val="20"/>
                <w:szCs w:val="20"/>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Accepted</w:t>
            </w:r>
          </w:p>
        </w:tc>
        <w:tc>
          <w:tcPr>
            <w:tcW w:w="60" w:type="dxa"/>
            <w:vAlign w:val="bottom"/>
          </w:tcPr>
          <w:p>
            <w:pPr>
              <w:spacing w:after="0"/>
              <w:rPr>
                <w:sz w:val="20"/>
                <w:szCs w:val="20"/>
                <w:color w:val="auto"/>
              </w:rPr>
            </w:pPr>
          </w:p>
        </w:tc>
      </w:tr>
      <w:tr>
        <w:trPr>
          <w:trHeight w:val="237"/>
        </w:trPr>
        <w:tc>
          <w:tcPr>
            <w:tcW w:w="1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5.350% Notes due 2027</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EA5</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$79,663,000</w:t>
            </w:r>
          </w:p>
        </w:tc>
        <w:tc>
          <w:tcPr>
            <w:tcW w:w="60" w:type="dxa"/>
            <w:vAlign w:val="bottom"/>
          </w:tcPr>
          <w:p>
            <w:pPr>
              <w:spacing w:after="0"/>
              <w:rPr>
                <w:sz w:val="20"/>
                <w:szCs w:val="20"/>
                <w:color w:val="auto"/>
              </w:rPr>
            </w:pPr>
          </w:p>
        </w:tc>
      </w:tr>
      <w:tr>
        <w:trPr>
          <w:trHeight w:val="243"/>
        </w:trPr>
        <w:tc>
          <w:tcPr>
            <w:tcW w:w="1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3.150% Notes due 2028</w:t>
            </w:r>
          </w:p>
        </w:tc>
        <w:tc>
          <w:tcPr>
            <w:tcW w:w="1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20030N CA7</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$226,822,000</w:t>
            </w:r>
          </w:p>
        </w:tc>
        <w:tc>
          <w:tcPr>
            <w:tcW w:w="60" w:type="dxa"/>
            <w:vAlign w:val="bottom"/>
          </w:tcPr>
          <w:p>
            <w:pPr>
              <w:spacing w:after="0"/>
              <w:rPr>
                <w:sz w:val="21"/>
                <w:szCs w:val="21"/>
                <w:color w:val="auto"/>
              </w:rPr>
            </w:pPr>
          </w:p>
        </w:tc>
      </w:tr>
      <w:tr>
        <w:trPr>
          <w:trHeight w:val="243"/>
        </w:trPr>
        <w:tc>
          <w:tcPr>
            <w:tcW w:w="1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3.550% Notes due 2028</w:t>
            </w:r>
          </w:p>
        </w:tc>
        <w:tc>
          <w:tcPr>
            <w:tcW w:w="1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20030N CH2</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$130,203,000</w:t>
            </w:r>
          </w:p>
        </w:tc>
        <w:tc>
          <w:tcPr>
            <w:tcW w:w="60" w:type="dxa"/>
            <w:vAlign w:val="bottom"/>
          </w:tcPr>
          <w:p>
            <w:pPr>
              <w:spacing w:after="0"/>
              <w:rPr>
                <w:sz w:val="21"/>
                <w:szCs w:val="21"/>
                <w:color w:val="auto"/>
              </w:rPr>
            </w:pPr>
          </w:p>
        </w:tc>
      </w:tr>
      <w:tr>
        <w:trPr>
          <w:trHeight w:val="243"/>
        </w:trPr>
        <w:tc>
          <w:tcPr>
            <w:tcW w:w="1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3.300% Notes due 2027</w:t>
            </w:r>
          </w:p>
        </w:tc>
        <w:tc>
          <w:tcPr>
            <w:tcW w:w="1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DK4</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$133,867,000</w:t>
            </w:r>
          </w:p>
        </w:tc>
        <w:tc>
          <w:tcPr>
            <w:tcW w:w="60" w:type="dxa"/>
            <w:vAlign w:val="bottom"/>
          </w:tcPr>
          <w:p>
            <w:pPr>
              <w:spacing w:after="0"/>
              <w:rPr>
                <w:sz w:val="21"/>
                <w:szCs w:val="21"/>
                <w:color w:val="auto"/>
              </w:rPr>
            </w:pPr>
          </w:p>
        </w:tc>
      </w:tr>
      <w:tr>
        <w:trPr>
          <w:trHeight w:val="243"/>
        </w:trPr>
        <w:tc>
          <w:tcPr>
            <w:tcW w:w="17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5.100% Notes due 2029</w:t>
            </w:r>
          </w:p>
        </w:tc>
        <w:tc>
          <w:tcPr>
            <w:tcW w:w="1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EH0</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$119,714,000</w:t>
            </w:r>
          </w:p>
        </w:tc>
        <w:tc>
          <w:tcPr>
            <w:tcW w:w="60" w:type="dxa"/>
            <w:vAlign w:val="bottom"/>
          </w:tcPr>
          <w:p>
            <w:pPr>
              <w:spacing w:after="0"/>
              <w:rPr>
                <w:sz w:val="21"/>
                <w:szCs w:val="21"/>
                <w:color w:val="auto"/>
              </w:rPr>
            </w:pPr>
          </w:p>
        </w:tc>
      </w:tr>
      <w:tr>
        <w:trPr>
          <w:trHeight w:val="567"/>
        </w:trPr>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Offering Memorandum, Comcast expects to issue approximately $692 million aggregate principal amount of New 2037 Notes; as such, Comcast considers the New 2037 Notes Minimum Condition (as defined in the Offering Memorandum) and New Notes Capacity Condition (as defined in the Offering Memorandum) satisfied for the purpose of the Pool 1 Exchange Offers.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Comcast today also announced that certain customary conditions to the Pool 1 Exchange Offers, including the absence of certain adverse legal and market developments, have been satisfied with respect to each series of Pool 1 Notes, and the Cash Offer Completion Condition (as defined in the Offering Memorandum) has been satisfied for each series of Pool 1 Notes.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2037 Notes will not be registered under the Securities Act of 1933, as amended (the “Securities Act”), or any state securities laws. Therefore, the New 2037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2037 Notes.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Exchange Agent for the Pool 1 Exchange Offers. Questions or requests for assistance related to the Pool 1 Exchange Offers or for additional copies of the Exchange Offer Documents may be directed to Global Bondholder Services Corporation at (212) 430-3774. You may also contact your broker, dealer, commercial bank, trust company or other nominee for assistance concerning the Pool 1 Exchange Offers. The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Offers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Comcast today announced the final results of its five separate private offers to purchase for cash (the “Pool 1 Cash Offers” and, together with the Pool 1 Exchange Offers, the “Pool 1 Offers”) any and all of each series of Pool 1 Notes, on the terms and subject to the conditions set forth in the Offer to Purchase dated September 22, 2025 (the “Offer to Purchase”), the certification instructions letter (the “Certification Instructions Letter”) and the accompanying cash offer notice of guaranteed delivery (which, together with the Offer to Purchase and the Certification Instructions Letter, constitute the “Tender Offer Documents”). Only holders who were not Exchange Offer Eligible Holders (as defined below) were eligible to participate in the Pool 1 Cash Offers (“Cash Offer Eligible Holders”).</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Pool 1 Cash Offers expired at 5:00 p.m. (Eastern time) on September 26, 2025 (the “Pool 1 Cash Offer Expiration Date”). The “Pool 1 Cash Offer Settlement Date” with respect to the Pool 1 Cash Offers is expected to be October 2, 2025.</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 w:name="page7"/>
    <w:bookmarkEnd w:id="6"/>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under the heading “Cash Offers” related to the Pool 1 Cash Offers have the respective meanings assigned thereto in the Tender Offer Documents.</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table below indicates, among other things, the aggregate principal amount of each series of Pool 1 Notes that Comcast is accepting in connection with Comcast’s offer to purchase any and all of the Pool 1 Notes: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w:t>
            </w:r>
          </w:p>
        </w:tc>
      </w:tr>
      <w:tr>
        <w:trPr>
          <w:trHeight w:val="216"/>
        </w:trPr>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4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 Purchase and</w:t>
            </w:r>
          </w:p>
        </w:tc>
      </w:tr>
      <w:tr>
        <w:trPr>
          <w:trHeight w:val="238"/>
        </w:trPr>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Priority Level</w:t>
            </w:r>
          </w:p>
        </w:tc>
        <w:tc>
          <w:tcPr>
            <w:tcW w:w="140" w:type="dxa"/>
            <w:vAlign w:val="bottom"/>
          </w:tcPr>
          <w:p>
            <w:pPr>
              <w:spacing w:after="0"/>
              <w:rPr>
                <w:sz w:val="20"/>
                <w:szCs w:val="20"/>
                <w:color w:val="auto"/>
              </w:rPr>
            </w:pPr>
          </w:p>
        </w:tc>
        <w:tc>
          <w:tcPr>
            <w:tcW w:w="3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Title of Series of Pool 1 Notes</w:t>
            </w:r>
          </w:p>
        </w:tc>
        <w:tc>
          <w:tcPr>
            <w:tcW w:w="140" w:type="dxa"/>
            <w:vAlign w:val="bottom"/>
          </w:tcPr>
          <w:p>
            <w:pPr>
              <w:spacing w:after="0"/>
              <w:rPr>
                <w:sz w:val="20"/>
                <w:szCs w:val="20"/>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Accepted</w:t>
            </w:r>
          </w:p>
        </w:tc>
      </w:tr>
      <w:tr>
        <w:trPr>
          <w:trHeight w:val="237"/>
        </w:trPr>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5.350% Notes due 2027</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EA5</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$41,510,000</w:t>
            </w:r>
          </w:p>
        </w:tc>
      </w:tr>
      <w:tr>
        <w:trPr>
          <w:trHeight w:val="243"/>
        </w:trPr>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3.150% Notes due 2028</w:t>
            </w:r>
          </w:p>
        </w:tc>
        <w:tc>
          <w:tcPr>
            <w:tcW w:w="1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20030N CA7</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$125,099,000</w:t>
            </w:r>
          </w:p>
        </w:tc>
      </w:tr>
      <w:tr>
        <w:trPr>
          <w:trHeight w:val="243"/>
        </w:trPr>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3.550% Notes due 2028</w:t>
            </w:r>
          </w:p>
        </w:tc>
        <w:tc>
          <w:tcPr>
            <w:tcW w:w="1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20030N CH2</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$85,062,000</w:t>
            </w:r>
          </w:p>
        </w:tc>
      </w:tr>
      <w:tr>
        <w:trPr>
          <w:trHeight w:val="243"/>
        </w:trPr>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3.300% Notes due 2027</w:t>
            </w:r>
          </w:p>
        </w:tc>
        <w:tc>
          <w:tcPr>
            <w:tcW w:w="1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DK4</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$27,157,000</w:t>
            </w:r>
          </w:p>
        </w:tc>
      </w:tr>
      <w:tr>
        <w:trPr>
          <w:trHeight w:val="243"/>
        </w:trPr>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5.100% Notes due 2029</w:t>
            </w:r>
          </w:p>
        </w:tc>
        <w:tc>
          <w:tcPr>
            <w:tcW w:w="1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20030N</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EH0</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$750,000,000</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$29,654,000</w:t>
            </w:r>
          </w:p>
        </w:tc>
      </w:tr>
    </w:tbl>
    <w:p>
      <w:pPr>
        <w:spacing w:after="0" w:line="2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Comcast today announced that the Exchange Offer Completion Condition (as defined in the Offer to Purchase) has been satisfied for each series of Pool 1 Notes accepted for purchase and all other conditions to the Pool 1 Cash Offers, including the Maximum Total Consideration Condition (as defined in the Offer to Purchase) described in the Offer to Purchase, including the absence of certain adverse legal and market developments, have been satisfied with respect to each series of Pool 1 Notes.</w:t>
      </w:r>
    </w:p>
    <w:p>
      <w:pPr>
        <w:spacing w:after="0" w:line="180"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Tender Agent for the Pool 1 Cash Offers. Questions or requests for assistance related to the Pool 1 Cash Offers or for additional copies of the Tender Offer Documents may be directed to Global Bondholder Services Corporation at (212) 430-3774. You may also contact your broker, dealer, commercial bank, trust company or other nominee for assistance concerning the Pool 1 Cash Offers. The Tender Offer Documents can be accessed at the following link: </w:t>
      </w:r>
      <w:r>
        <w:rPr>
          <w:rFonts w:ascii="Times New Roman" w:cs="Times New Roman" w:eastAsia="Times New Roman" w:hAnsi="Times New Roman"/>
          <w:sz w:val="18"/>
          <w:szCs w:val="18"/>
          <w:u w:val="single" w:color="auto"/>
          <w:color w:val="0000FF"/>
        </w:rPr>
        <w:t>https://www.gbsc-usa.com/comcast</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of the securities described herein. The Pool 1 Exchange Offers are being made solely pursuant to the Offering Memorandum and related documents and the Pool 1 Cash Offers are being made solely pursuant to the Offer to Purchase and related documents. The Pool 1 Offers are not being made to holders of Pool 1 Notes in any jurisdiction in which the making or acceptance thereof would not be in compliance with the securities, blue sky or other laws of such jurisdiction. In any jurisdiction in which the securities laws or blue sky laws require the Pool 1 Offers to be made by a licensed broker or dealer, the Pool 1 Offers will be deemed to be made on behalf of Comcast by the dealer managers or one or more registered brokers or dealers that are licensed under the laws of such jurisdiction.</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Pool 1 Offers are only being made, and the New 2037 Notes are only being offered and will only be issued, and copies of the Exchange Offer Documents were only made available, to holders of Pool 1 Notes (1) that are either (a) “qualified institutional buyers,” or “QIBs,” as that term is defined in Rule 144A under the Securities Act, in a private transaction in reliance upon an exemption from the registration requirements 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spacing w:after="0" w:line="267" w:lineRule="auto"/>
        <w:rPr>
          <w:sz w:val="20"/>
          <w:szCs w:val="20"/>
          <w:color w:val="auto"/>
        </w:rPr>
      </w:pPr>
      <w:r>
        <w:rPr>
          <w:rFonts w:ascii="Times New Roman" w:cs="Times New Roman" w:eastAsia="Times New Roman" w:hAnsi="Times New Roman"/>
          <w:sz w:val="17"/>
          <w:szCs w:val="17"/>
          <w:color w:val="auto"/>
        </w:rPr>
        <w:t xml:space="preserve">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2037 Notes or otherwise making them available to retail investors in the European Economic Area has been prepared and therefore offering or selling the New 2037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 consequently no key information document required by Regulation (EU) No 1286/2014 as it forms part of domestic law by virtue of the EUWA (the “UK PRIIPs Regulation”) for offering or selling the New 2037 Notes or otherwise making them available to retail investors in the United Kingdom has been prepared and therefore offering or selling the New 2037 Notes or 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7"/>
          <w:szCs w:val="17"/>
          <w:i w:val="1"/>
          <w:iCs w:val="1"/>
          <w:color w:val="auto"/>
        </w:rPr>
        <w:t>Prospectus Exemptions</w:t>
      </w:r>
      <w:r>
        <w:rPr>
          <w:rFonts w:ascii="Times New Roman" w:cs="Times New Roman" w:eastAsia="Times New Roman" w:hAnsi="Times New Roman"/>
          <w:sz w:val="17"/>
          <w:szCs w:val="17"/>
          <w:color w:val="auto"/>
        </w:rPr>
        <w:t>, and, if resident in Ontario, section 73.3(1) of</w:t>
      </w:r>
    </w:p>
    <w:p>
      <w:pPr>
        <w:spacing w:after="0" w:line="205" w:lineRule="exact"/>
        <w:rPr>
          <w:sz w:val="20"/>
          <w:szCs w:val="20"/>
          <w:color w:val="auto"/>
        </w:rPr>
      </w:pPr>
    </w:p>
    <w:p>
      <w:pPr>
        <w:ind w:left="60" w:right="120" w:hanging="44"/>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in each case, that are not individuals unless that person is also a “permitted client” as defined in National Instrument 31-103 – </w:t>
      </w:r>
      <w:r>
        <w:rPr>
          <w:rFonts w:ascii="Times New Roman" w:cs="Times New Roman" w:eastAsia="Times New Roman" w:hAnsi="Times New Roman"/>
          <w:sz w:val="18"/>
          <w:szCs w:val="18"/>
          <w:i w:val="1"/>
          <w:iCs w:val="1"/>
          <w:color w:val="auto"/>
        </w:rPr>
        <w:t xml:space="preserve">Registration Requirements, Exemptions and Ongoing Registrant Obligations </w:t>
      </w:r>
      <w:r>
        <w:rPr>
          <w:rFonts w:ascii="Times New Roman" w:cs="Times New Roman" w:eastAsia="Times New Roman" w:hAnsi="Times New Roman"/>
          <w:sz w:val="18"/>
          <w:szCs w:val="18"/>
          <w:color w:val="auto"/>
        </w:rPr>
        <w:t>(the “Exchange Offer Eligible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Only Exchange Offer Eligible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Holders who completed and returned the eligibility certification are authorized to receive or review the Offering Memorandum or to participate in the Pool 1 Exchange Offers. For Canadian Eligible Holders tendering Pool 1 Notes, such participation is also conditioned upon the receipt of beneficial ownership information, including a completed certification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form which is required if tendering Pool 1 Notes. There is no separate letter of transmittal in connection with the Offering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Offering Memorandum and the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53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2025-10-01T07:19:09Z</dcterms:created>
  <dcterms:modified xsi:type="dcterms:W3CDTF">2025-10-01T07:19:09Z</dcterms:modified>
</cp:coreProperties>
</file>