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0" w:lineRule="exact"/>
        <w:rPr>
          <w:sz w:val="24"/>
          <w:szCs w:val="24"/>
          <w:color w:val="auto"/>
        </w:rPr>
      </w:pPr>
    </w:p>
    <w:p>
      <w:pPr>
        <w:spacing w:after="0" w:line="33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FORM 11-K</w:t>
      </w:r>
    </w:p>
    <w:p>
      <w:pPr>
        <w:spacing w:after="0" w:line="28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ANNUAL REPORT</w:t>
      </w:r>
    </w:p>
    <w:p>
      <w:pPr>
        <w:spacing w:after="0" w:line="28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0"/>
          <w:szCs w:val="20"/>
          <w:color w:val="auto"/>
        </w:rPr>
        <w:t>Pursuant to Section 15(d) of the</w:t>
      </w:r>
    </w:p>
    <w:p>
      <w:pPr>
        <w:spacing w:after="0" w:line="2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00" w:lineRule="exact"/>
        <w:rPr>
          <w:sz w:val="24"/>
          <w:szCs w:val="24"/>
          <w:color w:val="auto"/>
        </w:rPr>
      </w:pPr>
    </w:p>
    <w:p>
      <w:pPr>
        <w:spacing w:after="0" w:line="33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0"/>
          <w:szCs w:val="20"/>
          <w:color w:val="auto"/>
        </w:rPr>
        <w:t>COMCAST CORPORATION</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28" w:lineRule="exact"/>
        <w:rPr>
          <w:sz w:val="24"/>
          <w:szCs w:val="24"/>
          <w:color w:val="auto"/>
        </w:rPr>
      </w:pPr>
    </w:p>
    <w:p>
      <w:pPr>
        <w:ind w:left="3380" w:hanging="390"/>
        <w:spacing w:after="0"/>
        <w:tabs>
          <w:tab w:leader="none" w:pos="33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REPORT PURSUANT TO SECTION 15(d)</w:t>
      </w:r>
    </w:p>
    <w:p>
      <w:pPr>
        <w:spacing w:after="0" w:line="13" w:lineRule="exact"/>
        <w:rPr>
          <w:rFonts w:ascii="Times New Roman" w:cs="Times New Roman" w:eastAsia="Times New Roman" w:hAnsi="Times New Roman"/>
          <w:sz w:val="20"/>
          <w:szCs w:val="20"/>
          <w:color w:val="auto"/>
        </w:rPr>
      </w:pPr>
    </w:p>
    <w:p>
      <w:pPr>
        <w:ind w:left="3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SECURITIES EXCHANGE ACT OF 1934</w:t>
      </w:r>
    </w:p>
    <w:p>
      <w:pPr>
        <w:spacing w:after="0" w:line="26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For the fiscal year ended December 31, 2004</w:t>
      </w:r>
    </w:p>
    <w:p>
      <w:pPr>
        <w:spacing w:after="0" w:line="283"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20"/>
          <w:szCs w:val="20"/>
          <w:color w:val="auto"/>
        </w:rPr>
        <w:t>OR</w:t>
      </w:r>
    </w:p>
    <w:p>
      <w:pPr>
        <w:spacing w:after="0" w:line="283" w:lineRule="exact"/>
        <w:rPr>
          <w:sz w:val="24"/>
          <w:szCs w:val="24"/>
          <w:color w:val="auto"/>
        </w:rPr>
      </w:pPr>
    </w:p>
    <w:p>
      <w:pPr>
        <w:ind w:left="3180" w:hanging="168"/>
        <w:spacing w:after="0"/>
        <w:tabs>
          <w:tab w:leader="none" w:pos="31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TRANSITION REPORT PURSUANT TO SECTION 15(d)</w:t>
      </w:r>
    </w:p>
    <w:p>
      <w:pPr>
        <w:spacing w:after="0" w:line="28" w:lineRule="exact"/>
        <w:rPr>
          <w:rFonts w:ascii="Times New Roman" w:cs="Times New Roman" w:eastAsia="Times New Roman" w:hAnsi="Times New Roman"/>
          <w:sz w:val="20"/>
          <w:szCs w:val="20"/>
          <w:color w:val="auto"/>
        </w:rPr>
      </w:pPr>
    </w:p>
    <w:p>
      <w:pPr>
        <w:ind w:left="3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SECURITIES EXCHANGE ACT OF 1934</w:t>
      </w:r>
    </w:p>
    <w:p>
      <w:pPr>
        <w:spacing w:after="0" w:line="26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0"/>
          <w:szCs w:val="20"/>
          <w:color w:val="auto"/>
        </w:rPr>
        <w:t>For the transition period from ______ to _________</w:t>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Commission file number 000-50093</w:t>
      </w:r>
    </w:p>
    <w:p>
      <w:pPr>
        <w:spacing w:after="0" w:line="283" w:lineRule="exact"/>
        <w:rPr>
          <w:sz w:val="24"/>
          <w:szCs w:val="24"/>
          <w:color w:val="auto"/>
        </w:rPr>
      </w:pPr>
    </w:p>
    <w:p>
      <w:pPr>
        <w:ind w:left="620" w:right="1939" w:hanging="612"/>
        <w:spacing w:after="0" w:line="507" w:lineRule="auto"/>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title of the plan and the address of the plan, if different from that of the issuer named below: COMCAST-SPECTACOR 401(K) PLAN</w:t>
      </w:r>
    </w:p>
    <w:p>
      <w:pPr>
        <w:ind w:left="620" w:hanging="612"/>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Name of issuer of the securities held pursuant to the Plan and the address of the principal executive offices:</w:t>
      </w:r>
    </w:p>
    <w:p>
      <w:pPr>
        <w:spacing w:after="0" w:line="267" w:lineRule="exact"/>
        <w:rPr>
          <w:rFonts w:ascii="Times New Roman" w:cs="Times New Roman" w:eastAsia="Times New Roman" w:hAnsi="Times New Roman"/>
          <w:sz w:val="19"/>
          <w:szCs w:val="19"/>
          <w:color w:val="auto"/>
        </w:rPr>
      </w:pPr>
    </w:p>
    <w:p>
      <w:pPr>
        <w:ind w:left="620" w:right="7259"/>
        <w:spacing w:after="0" w:line="26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Comcast Corporation 1500 Market Street Philadelphia, PA 19102-2148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697865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1" w:name="page2"/>
    <w:bookmarkEnd w:id="1"/>
    <w:p>
      <w:pPr>
        <w:spacing w:after="0" w:line="301" w:lineRule="auto"/>
        <w:rPr>
          <w:sz w:val="20"/>
          <w:szCs w:val="20"/>
          <w:color w:val="auto"/>
        </w:rPr>
      </w:pPr>
      <w:r>
        <w:rPr>
          <w:rFonts w:ascii="Arial" w:cs="Arial" w:eastAsia="Arial" w:hAnsi="Arial"/>
          <w:sz w:val="34"/>
          <w:szCs w:val="34"/>
          <w:color w:val="auto"/>
        </w:rPr>
        <w:t>Financial Statements and Reports of Independent Registered Public Accounting Firms</w:t>
      </w:r>
    </w:p>
    <w:p>
      <w:pPr>
        <w:spacing w:after="0" w:line="123"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Comcast-Spectacor 401(k) Plan</w:t>
      </w:r>
    </w:p>
    <w:p>
      <w:pPr>
        <w:spacing w:after="0" w:line="302" w:lineRule="exact"/>
        <w:rPr>
          <w:sz w:val="20"/>
          <w:szCs w:val="20"/>
          <w:color w:val="auto"/>
        </w:rPr>
      </w:pPr>
    </w:p>
    <w:p>
      <w:pPr>
        <w:spacing w:after="0"/>
        <w:rPr>
          <w:sz w:val="20"/>
          <w:szCs w:val="20"/>
          <w:color w:val="auto"/>
        </w:rPr>
      </w:pPr>
      <w:r>
        <w:rPr>
          <w:rFonts w:ascii="Arial" w:cs="Arial" w:eastAsia="Arial" w:hAnsi="Arial"/>
          <w:sz w:val="34"/>
          <w:szCs w:val="34"/>
          <w:color w:val="auto"/>
        </w:rPr>
        <w:t>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1457960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623" w:right="1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color w:val="auto"/>
        </w:rPr>
        <w:t>COMCAST-SPECTACOR 401(k) 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2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20"/>
                <w:szCs w:val="20"/>
                <w:color w:val="auto"/>
              </w:rPr>
              <w:t>Page</w:t>
            </w:r>
          </w:p>
        </w:tc>
      </w:tr>
      <w:tr>
        <w:trPr>
          <w:trHeight w:val="729"/>
        </w:trPr>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0"/>
        </w:trPr>
        <w:tc>
          <w:tcPr>
            <w:tcW w:w="1120" w:type="dxa"/>
            <w:vAlign w:val="bottom"/>
          </w:tcPr>
          <w:p>
            <w:pPr>
              <w:spacing w:after="0"/>
              <w:rPr>
                <w:sz w:val="24"/>
                <w:szCs w:val="24"/>
                <w:color w:val="auto"/>
              </w:rPr>
            </w:pPr>
          </w:p>
        </w:tc>
        <w:tc>
          <w:tcPr>
            <w:tcW w:w="1760" w:type="dxa"/>
            <w:vAlign w:val="bottom"/>
            <w:gridSpan w:val="2"/>
          </w:tcPr>
          <w:p>
            <w:pPr>
              <w:spacing w:after="0"/>
              <w:rPr>
                <w:rFonts w:ascii="Times New Roman" w:cs="Times New Roman" w:eastAsia="Times New Roman" w:hAnsi="Times New Roman"/>
                <w:sz w:val="20"/>
                <w:szCs w:val="20"/>
                <w:color w:val="0000EE"/>
                <w:w w:val="96"/>
              </w:rPr>
            </w:pPr>
            <w:hyperlink w:anchor="page4">
              <w:r>
                <w:rPr>
                  <w:rFonts w:ascii="Times New Roman" w:cs="Times New Roman" w:eastAsia="Times New Roman" w:hAnsi="Times New Roman"/>
                  <w:sz w:val="20"/>
                  <w:szCs w:val="20"/>
                  <w:color w:val="0000EE"/>
                  <w:w w:val="96"/>
                </w:rPr>
                <w:t>Mitchell &amp; Titus, LLP</w:t>
              </w:r>
            </w:hyperlink>
          </w:p>
        </w:tc>
        <w:tc>
          <w:tcPr>
            <w:tcW w:w="7020" w:type="dxa"/>
            <w:vAlign w:val="bottom"/>
            <w:gridSpan w:val="5"/>
          </w:tcPr>
          <w:p>
            <w:pPr>
              <w:spacing w:after="0"/>
              <w:rPr>
                <w:sz w:val="24"/>
                <w:szCs w:val="24"/>
                <w:color w:val="auto"/>
              </w:rPr>
            </w:pPr>
          </w:p>
        </w:tc>
        <w:tc>
          <w:tcPr>
            <w:tcW w:w="820" w:type="dxa"/>
            <w:vAlign w:val="bottom"/>
            <w:gridSpan w:val="4"/>
          </w:tcPr>
          <w:p>
            <w:pPr>
              <w:jc w:val="center"/>
              <w:ind w:left="621"/>
              <w:spacing w:after="0"/>
              <w:rPr>
                <w:rFonts w:ascii="Times New Roman" w:cs="Times New Roman" w:eastAsia="Times New Roman" w:hAnsi="Times New Roman"/>
                <w:sz w:val="20"/>
                <w:szCs w:val="20"/>
                <w:color w:val="0000EE"/>
                <w:w w:val="99"/>
              </w:rPr>
            </w:pPr>
            <w:hyperlink w:anchor="page4">
              <w:r>
                <w:rPr>
                  <w:rFonts w:ascii="Times New Roman" w:cs="Times New Roman" w:eastAsia="Times New Roman" w:hAnsi="Times New Roman"/>
                  <w:sz w:val="20"/>
                  <w:szCs w:val="20"/>
                  <w:color w:val="0000EE"/>
                  <w:w w:val="99"/>
                </w:rPr>
                <w:t>3</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66"/>
        </w:trPr>
        <w:tc>
          <w:tcPr>
            <w:tcW w:w="1120" w:type="dxa"/>
            <w:vAlign w:val="bottom"/>
          </w:tcPr>
          <w:p>
            <w:pPr>
              <w:spacing w:after="0"/>
              <w:rPr>
                <w:sz w:val="24"/>
                <w:szCs w:val="24"/>
                <w:color w:val="auto"/>
              </w:rPr>
            </w:pPr>
          </w:p>
        </w:tc>
        <w:tc>
          <w:tcPr>
            <w:tcW w:w="1760" w:type="dxa"/>
            <w:vAlign w:val="bottom"/>
            <w:gridSpan w:val="2"/>
          </w:tcPr>
          <w:p>
            <w:pPr>
              <w:spacing w:after="0"/>
              <w:rPr>
                <w:rFonts w:ascii="Times New Roman" w:cs="Times New Roman" w:eastAsia="Times New Roman" w:hAnsi="Times New Roman"/>
                <w:sz w:val="20"/>
                <w:szCs w:val="20"/>
                <w:color w:val="0000EE"/>
              </w:rPr>
            </w:pPr>
            <w:hyperlink w:anchor="page5">
              <w:r>
                <w:rPr>
                  <w:rFonts w:ascii="Times New Roman" w:cs="Times New Roman" w:eastAsia="Times New Roman" w:hAnsi="Times New Roman"/>
                  <w:sz w:val="20"/>
                  <w:szCs w:val="20"/>
                  <w:color w:val="0000EE"/>
                </w:rPr>
                <w:t>Grant Thornton LLP</w:t>
              </w:r>
            </w:hyperlink>
          </w:p>
        </w:tc>
        <w:tc>
          <w:tcPr>
            <w:tcW w:w="7020" w:type="dxa"/>
            <w:vAlign w:val="bottom"/>
            <w:gridSpan w:val="5"/>
          </w:tcPr>
          <w:p>
            <w:pPr>
              <w:spacing w:after="0"/>
              <w:rPr>
                <w:sz w:val="24"/>
                <w:szCs w:val="24"/>
                <w:color w:val="auto"/>
              </w:rPr>
            </w:pPr>
          </w:p>
        </w:tc>
        <w:tc>
          <w:tcPr>
            <w:tcW w:w="820" w:type="dxa"/>
            <w:vAlign w:val="bottom"/>
            <w:gridSpan w:val="4"/>
          </w:tcPr>
          <w:p>
            <w:pPr>
              <w:jc w:val="center"/>
              <w:ind w:left="621"/>
              <w:spacing w:after="0"/>
              <w:rPr>
                <w:rFonts w:ascii="Times New Roman" w:cs="Times New Roman" w:eastAsia="Times New Roman" w:hAnsi="Times New Roman"/>
                <w:sz w:val="20"/>
                <w:szCs w:val="20"/>
                <w:color w:val="0000EE"/>
                <w:w w:val="99"/>
              </w:rPr>
            </w:pPr>
            <w:hyperlink w:anchor="page5">
              <w:r>
                <w:rPr>
                  <w:rFonts w:ascii="Times New Roman" w:cs="Times New Roman" w:eastAsia="Times New Roman" w:hAnsi="Times New Roman"/>
                  <w:sz w:val="20"/>
                  <w:szCs w:val="20"/>
                  <w:color w:val="0000EE"/>
                  <w:w w:val="99"/>
                </w:rPr>
                <w:t>4</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756"/>
        </w:trPr>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0"/>
        </w:trPr>
        <w:tc>
          <w:tcPr>
            <w:tcW w:w="1120" w:type="dxa"/>
            <w:vAlign w:val="bottom"/>
          </w:tcPr>
          <w:p>
            <w:pPr>
              <w:spacing w:after="0"/>
              <w:rPr>
                <w:sz w:val="24"/>
                <w:szCs w:val="24"/>
                <w:color w:val="auto"/>
              </w:rPr>
            </w:pPr>
          </w:p>
        </w:tc>
        <w:tc>
          <w:tcPr>
            <w:tcW w:w="6340" w:type="dxa"/>
            <w:vAlign w:val="bottom"/>
            <w:gridSpan w:val="4"/>
          </w:tcPr>
          <w:p>
            <w:pPr>
              <w:spacing w:after="0"/>
              <w:rPr>
                <w:rFonts w:ascii="Times New Roman" w:cs="Times New Roman" w:eastAsia="Times New Roman" w:hAnsi="Times New Roman"/>
                <w:sz w:val="20"/>
                <w:szCs w:val="20"/>
                <w:color w:val="0000EE"/>
                <w:w w:val="98"/>
              </w:rPr>
            </w:pPr>
            <w:hyperlink w:anchor="page6">
              <w:r>
                <w:rPr>
                  <w:rFonts w:ascii="Times New Roman" w:cs="Times New Roman" w:eastAsia="Times New Roman" w:hAnsi="Times New Roman"/>
                  <w:sz w:val="20"/>
                  <w:szCs w:val="20"/>
                  <w:color w:val="0000EE"/>
                  <w:w w:val="98"/>
                </w:rPr>
                <w:t>Statements of Net Assets Available for Benefits at December 31, 2004 and 2003</w:t>
              </w:r>
            </w:hyperlink>
          </w:p>
        </w:tc>
        <w:tc>
          <w:tcPr>
            <w:tcW w:w="2440" w:type="dxa"/>
            <w:vAlign w:val="bottom"/>
            <w:gridSpan w:val="3"/>
          </w:tcPr>
          <w:p>
            <w:pPr>
              <w:spacing w:after="0"/>
              <w:rPr>
                <w:sz w:val="24"/>
                <w:szCs w:val="24"/>
                <w:color w:val="auto"/>
              </w:rPr>
            </w:pPr>
          </w:p>
        </w:tc>
        <w:tc>
          <w:tcPr>
            <w:tcW w:w="820" w:type="dxa"/>
            <w:vAlign w:val="bottom"/>
            <w:gridSpan w:val="4"/>
          </w:tcPr>
          <w:p>
            <w:pPr>
              <w:jc w:val="center"/>
              <w:ind w:left="621"/>
              <w:spacing w:after="0"/>
              <w:rPr>
                <w:rFonts w:ascii="Times New Roman" w:cs="Times New Roman" w:eastAsia="Times New Roman" w:hAnsi="Times New Roman"/>
                <w:sz w:val="20"/>
                <w:szCs w:val="20"/>
                <w:color w:val="0000EE"/>
                <w:w w:val="99"/>
              </w:rPr>
            </w:pPr>
            <w:hyperlink w:anchor="page6">
              <w:r>
                <w:rPr>
                  <w:rFonts w:ascii="Times New Roman" w:cs="Times New Roman" w:eastAsia="Times New Roman" w:hAnsi="Times New Roman"/>
                  <w:sz w:val="20"/>
                  <w:szCs w:val="20"/>
                  <w:color w:val="0000EE"/>
                  <w:w w:val="99"/>
                </w:rPr>
                <w:t>5</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66"/>
        </w:trPr>
        <w:tc>
          <w:tcPr>
            <w:tcW w:w="1120" w:type="dxa"/>
            <w:vAlign w:val="bottom"/>
          </w:tcPr>
          <w:p>
            <w:pPr>
              <w:spacing w:after="0"/>
              <w:rPr>
                <w:sz w:val="24"/>
                <w:szCs w:val="24"/>
                <w:color w:val="auto"/>
              </w:rPr>
            </w:pPr>
          </w:p>
        </w:tc>
        <w:tc>
          <w:tcPr>
            <w:tcW w:w="7740" w:type="dxa"/>
            <w:vAlign w:val="bottom"/>
            <w:gridSpan w:val="6"/>
          </w:tcPr>
          <w:p>
            <w:pPr>
              <w:spacing w:after="0"/>
              <w:rPr>
                <w:rFonts w:ascii="Times New Roman" w:cs="Times New Roman" w:eastAsia="Times New Roman" w:hAnsi="Times New Roman"/>
                <w:sz w:val="20"/>
                <w:szCs w:val="20"/>
                <w:color w:val="0000EE"/>
                <w:w w:val="98"/>
              </w:rPr>
            </w:pPr>
            <w:hyperlink w:anchor="page7">
              <w:r>
                <w:rPr>
                  <w:rFonts w:ascii="Times New Roman" w:cs="Times New Roman" w:eastAsia="Times New Roman" w:hAnsi="Times New Roman"/>
                  <w:sz w:val="20"/>
                  <w:szCs w:val="20"/>
                  <w:color w:val="0000EE"/>
                  <w:w w:val="98"/>
                </w:rPr>
                <w:t>Statement of Changes in Net Assets Available for Benefits for the Year ended December 31, 2004</w:t>
              </w:r>
            </w:hyperlink>
          </w:p>
        </w:tc>
        <w:tc>
          <w:tcPr>
            <w:tcW w:w="1040" w:type="dxa"/>
            <w:vAlign w:val="bottom"/>
          </w:tcPr>
          <w:p>
            <w:pPr>
              <w:spacing w:after="0"/>
              <w:rPr>
                <w:sz w:val="24"/>
                <w:szCs w:val="24"/>
                <w:color w:val="auto"/>
              </w:rPr>
            </w:pPr>
          </w:p>
        </w:tc>
        <w:tc>
          <w:tcPr>
            <w:tcW w:w="820" w:type="dxa"/>
            <w:vAlign w:val="bottom"/>
            <w:gridSpan w:val="4"/>
          </w:tcPr>
          <w:p>
            <w:pPr>
              <w:jc w:val="center"/>
              <w:ind w:left="621"/>
              <w:spacing w:after="0"/>
              <w:rPr>
                <w:rFonts w:ascii="Times New Roman" w:cs="Times New Roman" w:eastAsia="Times New Roman" w:hAnsi="Times New Roman"/>
                <w:sz w:val="20"/>
                <w:szCs w:val="20"/>
                <w:color w:val="0000EE"/>
                <w:w w:val="99"/>
              </w:rPr>
            </w:pPr>
            <w:hyperlink w:anchor="page7">
              <w:r>
                <w:rPr>
                  <w:rFonts w:ascii="Times New Roman" w:cs="Times New Roman" w:eastAsia="Times New Roman" w:hAnsi="Times New Roman"/>
                  <w:sz w:val="20"/>
                  <w:szCs w:val="20"/>
                  <w:color w:val="0000EE"/>
                  <w:w w:val="99"/>
                </w:rPr>
                <w:t>6</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66"/>
        </w:trPr>
        <w:tc>
          <w:tcPr>
            <w:tcW w:w="1120" w:type="dxa"/>
            <w:vAlign w:val="bottom"/>
          </w:tcPr>
          <w:p>
            <w:pPr>
              <w:spacing w:after="0"/>
              <w:rPr>
                <w:sz w:val="24"/>
                <w:szCs w:val="24"/>
                <w:color w:val="auto"/>
              </w:rPr>
            </w:pPr>
          </w:p>
        </w:tc>
        <w:tc>
          <w:tcPr>
            <w:tcW w:w="2360" w:type="dxa"/>
            <w:vAlign w:val="bottom"/>
            <w:gridSpan w:val="3"/>
          </w:tcPr>
          <w:p>
            <w:pPr>
              <w:spacing w:after="0"/>
              <w:rPr>
                <w:rFonts w:ascii="Times New Roman" w:cs="Times New Roman" w:eastAsia="Times New Roman" w:hAnsi="Times New Roman"/>
                <w:sz w:val="20"/>
                <w:szCs w:val="20"/>
                <w:color w:val="0000EE"/>
                <w:w w:val="97"/>
              </w:rPr>
            </w:pPr>
            <w:hyperlink w:anchor="page8">
              <w:r>
                <w:rPr>
                  <w:rFonts w:ascii="Times New Roman" w:cs="Times New Roman" w:eastAsia="Times New Roman" w:hAnsi="Times New Roman"/>
                  <w:sz w:val="20"/>
                  <w:szCs w:val="20"/>
                  <w:color w:val="0000EE"/>
                  <w:w w:val="97"/>
                </w:rPr>
                <w:t>Notes to Financial Statements</w:t>
              </w:r>
            </w:hyperlink>
          </w:p>
        </w:tc>
        <w:tc>
          <w:tcPr>
            <w:tcW w:w="538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gridSpan w:val="6"/>
          </w:tcPr>
          <w:p>
            <w:pPr>
              <w:jc w:val="center"/>
              <w:ind w:right="580"/>
              <w:spacing w:after="0"/>
              <w:rPr>
                <w:rFonts w:ascii="Times New Roman" w:cs="Times New Roman" w:eastAsia="Times New Roman" w:hAnsi="Times New Roman"/>
                <w:sz w:val="20"/>
                <w:szCs w:val="20"/>
                <w:color w:val="0000EE"/>
                <w:w w:val="98"/>
              </w:rPr>
            </w:pPr>
            <w:hyperlink w:anchor="page8">
              <w:r>
                <w:rPr>
                  <w:rFonts w:ascii="Times New Roman" w:cs="Times New Roman" w:eastAsia="Times New Roman" w:hAnsi="Times New Roman"/>
                  <w:sz w:val="20"/>
                  <w:szCs w:val="20"/>
                  <w:color w:val="0000EE"/>
                  <w:w w:val="98"/>
                </w:rPr>
                <w:t>7-10</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756"/>
        </w:trPr>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SUPPLEMENTAL SCHEDULE: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0"/>
        </w:trPr>
        <w:tc>
          <w:tcPr>
            <w:tcW w:w="1120" w:type="dxa"/>
            <w:vAlign w:val="bottom"/>
          </w:tcPr>
          <w:p>
            <w:pPr>
              <w:spacing w:after="0"/>
              <w:rPr>
                <w:sz w:val="24"/>
                <w:szCs w:val="24"/>
                <w:color w:val="auto"/>
              </w:rPr>
            </w:pPr>
          </w:p>
        </w:tc>
        <w:tc>
          <w:tcPr>
            <w:tcW w:w="6860" w:type="dxa"/>
            <w:vAlign w:val="bottom"/>
            <w:tcBorders>
              <w:bottom w:val="single" w:sz="8" w:color="0000EE"/>
            </w:tcBorders>
            <w:gridSpan w:val="5"/>
          </w:tcPr>
          <w:p>
            <w:pPr>
              <w:spacing w:after="0"/>
              <w:rPr>
                <w:rFonts w:ascii="Times New Roman" w:cs="Times New Roman" w:eastAsia="Times New Roman" w:hAnsi="Times New Roman"/>
                <w:sz w:val="20"/>
                <w:szCs w:val="20"/>
                <w:color w:val="0000EE"/>
                <w:w w:val="98"/>
              </w:rPr>
            </w:pPr>
            <w:hyperlink w:anchor="page12">
              <w:r>
                <w:rPr>
                  <w:rFonts w:ascii="Times New Roman" w:cs="Times New Roman" w:eastAsia="Times New Roman" w:hAnsi="Times New Roman"/>
                  <w:sz w:val="20"/>
                  <w:szCs w:val="20"/>
                  <w:color w:val="0000EE"/>
                  <w:w w:val="98"/>
                </w:rPr>
                <w:t>Schedule H - Line 4i - Schedule of Assets (Held at End of Year) at December 31, 2004</w:t>
              </w:r>
            </w:hyperlink>
          </w:p>
        </w:tc>
        <w:tc>
          <w:tcPr>
            <w:tcW w:w="1920" w:type="dxa"/>
            <w:vAlign w:val="bottom"/>
            <w:gridSpan w:val="2"/>
          </w:tcPr>
          <w:p>
            <w:pPr>
              <w:spacing w:after="0"/>
              <w:rPr>
                <w:sz w:val="24"/>
                <w:szCs w:val="24"/>
                <w:color w:val="auto"/>
              </w:rPr>
            </w:pPr>
          </w:p>
        </w:tc>
        <w:tc>
          <w:tcPr>
            <w:tcW w:w="660" w:type="dxa"/>
            <w:vAlign w:val="bottom"/>
            <w:gridSpan w:val="2"/>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Times New Roman" w:cs="Times New Roman" w:eastAsia="Times New Roman" w:hAnsi="Times New Roman"/>
                <w:sz w:val="20"/>
                <w:szCs w:val="20"/>
                <w:color w:val="0000EE"/>
                <w:w w:val="99"/>
              </w:rPr>
            </w:pPr>
            <w:hyperlink w:anchor="page12">
              <w:r>
                <w:rPr>
                  <w:rFonts w:ascii="Times New Roman" w:cs="Times New Roman" w:eastAsia="Times New Roman" w:hAnsi="Times New Roman"/>
                  <w:sz w:val="20"/>
                  <w:szCs w:val="20"/>
                  <w:color w:val="0000EE"/>
                  <w:w w:val="99"/>
                </w:rPr>
                <w:t>11</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13"/>
        </w:trPr>
        <w:tc>
          <w:tcPr>
            <w:tcW w:w="9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CONSENTS OF INDEPENDENT REGISTERED PUBLIC ACCOUNTING FIRMS: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0"/>
        </w:trPr>
        <w:tc>
          <w:tcPr>
            <w:tcW w:w="1120" w:type="dxa"/>
            <w:vAlign w:val="bottom"/>
          </w:tcPr>
          <w:p>
            <w:pPr>
              <w:spacing w:after="0"/>
              <w:rPr>
                <w:sz w:val="24"/>
                <w:szCs w:val="24"/>
                <w:color w:val="auto"/>
              </w:rPr>
            </w:pPr>
          </w:p>
        </w:tc>
        <w:tc>
          <w:tcPr>
            <w:tcW w:w="1760" w:type="dxa"/>
            <w:vAlign w:val="bottom"/>
            <w:tcBorders>
              <w:bottom w:val="single" w:sz="8" w:color="0000EE"/>
            </w:tcBorders>
            <w:gridSpan w:val="2"/>
          </w:tcPr>
          <w:p>
            <w:pPr>
              <w:spacing w:after="0"/>
              <w:rPr>
                <w:rFonts w:ascii="Times New Roman" w:cs="Times New Roman" w:eastAsia="Times New Roman" w:hAnsi="Times New Roman"/>
                <w:sz w:val="20"/>
                <w:szCs w:val="20"/>
                <w:color w:val="0000EE"/>
                <w:w w:val="96"/>
              </w:rPr>
            </w:pPr>
            <w:hyperlink w:anchor="page13">
              <w:r>
                <w:rPr>
                  <w:rFonts w:ascii="Times New Roman" w:cs="Times New Roman" w:eastAsia="Times New Roman" w:hAnsi="Times New Roman"/>
                  <w:sz w:val="20"/>
                  <w:szCs w:val="20"/>
                  <w:color w:val="0000EE"/>
                  <w:w w:val="96"/>
                </w:rPr>
                <w:t>Mitchell &amp; Titus, LLP</w:t>
              </w:r>
            </w:hyperlink>
          </w:p>
        </w:tc>
        <w:tc>
          <w:tcPr>
            <w:tcW w:w="7020" w:type="dxa"/>
            <w:vAlign w:val="bottom"/>
            <w:gridSpan w:val="5"/>
          </w:tcPr>
          <w:p>
            <w:pPr>
              <w:spacing w:after="0"/>
              <w:rPr>
                <w:sz w:val="24"/>
                <w:szCs w:val="24"/>
                <w:color w:val="auto"/>
              </w:rPr>
            </w:pPr>
          </w:p>
        </w:tc>
        <w:tc>
          <w:tcPr>
            <w:tcW w:w="660" w:type="dxa"/>
            <w:vAlign w:val="bottom"/>
            <w:gridSpan w:val="2"/>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Times New Roman" w:cs="Times New Roman" w:eastAsia="Times New Roman" w:hAnsi="Times New Roman"/>
                <w:sz w:val="20"/>
                <w:szCs w:val="20"/>
                <w:color w:val="0000EE"/>
                <w:w w:val="99"/>
              </w:rPr>
            </w:pPr>
            <w:hyperlink w:anchor="page13">
              <w:r>
                <w:rPr>
                  <w:rFonts w:ascii="Times New Roman" w:cs="Times New Roman" w:eastAsia="Times New Roman" w:hAnsi="Times New Roman"/>
                  <w:sz w:val="20"/>
                  <w:szCs w:val="20"/>
                  <w:color w:val="0000EE"/>
                  <w:w w:val="99"/>
                </w:rPr>
                <w:t>12</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66"/>
        </w:trPr>
        <w:tc>
          <w:tcPr>
            <w:tcW w:w="1120" w:type="dxa"/>
            <w:vAlign w:val="bottom"/>
          </w:tcPr>
          <w:p>
            <w:pPr>
              <w:spacing w:after="0"/>
              <w:rPr>
                <w:sz w:val="24"/>
                <w:szCs w:val="24"/>
                <w:color w:val="auto"/>
              </w:rPr>
            </w:pPr>
          </w:p>
        </w:tc>
        <w:tc>
          <w:tcPr>
            <w:tcW w:w="8780" w:type="dxa"/>
            <w:vAlign w:val="bottom"/>
            <w:gridSpan w:val="7"/>
          </w:tcPr>
          <w:p>
            <w:pPr>
              <w:spacing w:after="0"/>
              <w:rPr>
                <w:rFonts w:ascii="Times New Roman" w:cs="Times New Roman" w:eastAsia="Times New Roman" w:hAnsi="Times New Roman"/>
                <w:sz w:val="20"/>
                <w:szCs w:val="20"/>
                <w:color w:val="0000EE"/>
              </w:rPr>
            </w:pPr>
            <w:hyperlink w:anchor="page14">
              <w:r>
                <w:rPr>
                  <w:rFonts w:ascii="Times New Roman" w:cs="Times New Roman" w:eastAsia="Times New Roman" w:hAnsi="Times New Roman"/>
                  <w:sz w:val="20"/>
                  <w:szCs w:val="20"/>
                  <w:color w:val="0000EE"/>
                </w:rPr>
                <w:t>Grant Thornton LLP</w:t>
              </w:r>
            </w:hyperlink>
          </w:p>
        </w:tc>
        <w:tc>
          <w:tcPr>
            <w:tcW w:w="860" w:type="dxa"/>
            <w:vAlign w:val="bottom"/>
            <w:gridSpan w:val="5"/>
          </w:tcPr>
          <w:p>
            <w:pPr>
              <w:jc w:val="center"/>
              <w:ind w:left="561"/>
              <w:spacing w:after="0"/>
              <w:rPr>
                <w:rFonts w:ascii="Times New Roman" w:cs="Times New Roman" w:eastAsia="Times New Roman" w:hAnsi="Times New Roman"/>
                <w:sz w:val="20"/>
                <w:szCs w:val="20"/>
                <w:color w:val="0000EE"/>
                <w:w w:val="99"/>
              </w:rPr>
            </w:pPr>
            <w:hyperlink w:anchor="page14">
              <w:r>
                <w:rPr>
                  <w:rFonts w:ascii="Times New Roman" w:cs="Times New Roman" w:eastAsia="Times New Roman" w:hAnsi="Times New Roman"/>
                  <w:sz w:val="20"/>
                  <w:szCs w:val="20"/>
                  <w:color w:val="0000EE"/>
                  <w:w w:val="99"/>
                </w:rPr>
                <w:t>13</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66"/>
        </w:trPr>
        <w:tc>
          <w:tcPr>
            <w:tcW w:w="9900" w:type="dxa"/>
            <w:vAlign w:val="bottom"/>
            <w:gridSpan w:val="8"/>
          </w:tcPr>
          <w:p>
            <w:pPr>
              <w:spacing w:after="0"/>
              <w:rPr>
                <w:rFonts w:ascii="Times New Roman" w:cs="Times New Roman" w:eastAsia="Times New Roman" w:hAnsi="Times New Roman"/>
                <w:sz w:val="20"/>
                <w:szCs w:val="20"/>
                <w:color w:val="0000EE"/>
              </w:rPr>
            </w:pPr>
            <w:hyperlink w:anchor="page15">
              <w:r>
                <w:rPr>
                  <w:rFonts w:ascii="Times New Roman" w:cs="Times New Roman" w:eastAsia="Times New Roman" w:hAnsi="Times New Roman"/>
                  <w:sz w:val="20"/>
                  <w:szCs w:val="20"/>
                  <w:color w:val="0000EE"/>
                </w:rPr>
                <w:t>SIGNATURE</w:t>
              </w:r>
            </w:hyperlink>
          </w:p>
        </w:tc>
        <w:tc>
          <w:tcPr>
            <w:tcW w:w="860" w:type="dxa"/>
            <w:vAlign w:val="bottom"/>
            <w:gridSpan w:val="5"/>
          </w:tcPr>
          <w:p>
            <w:pPr>
              <w:jc w:val="center"/>
              <w:ind w:left="561"/>
              <w:spacing w:after="0"/>
              <w:rPr>
                <w:rFonts w:ascii="Times New Roman" w:cs="Times New Roman" w:eastAsia="Times New Roman" w:hAnsi="Times New Roman"/>
                <w:sz w:val="20"/>
                <w:szCs w:val="20"/>
                <w:color w:val="0000EE"/>
                <w:w w:val="99"/>
              </w:rPr>
            </w:pPr>
            <w:hyperlink w:anchor="page15">
              <w:r>
                <w:rPr>
                  <w:rFonts w:ascii="Times New Roman" w:cs="Times New Roman" w:eastAsia="Times New Roman" w:hAnsi="Times New Roman"/>
                  <w:sz w:val="20"/>
                  <w:szCs w:val="20"/>
                  <w:color w:val="0000EE"/>
                  <w:w w:val="99"/>
                </w:rPr>
                <w:t>14</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895"/>
        </w:trPr>
        <w:tc>
          <w:tcPr>
            <w:tcW w:w="1120" w:type="dxa"/>
            <w:vAlign w:val="bottom"/>
            <w:tcBorders>
              <w:top w:val="single" w:sz="8" w:color="0000EE"/>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Administrator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Comcast-Spectacor 401(k) Plan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2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We have audited the accompanying statement of net assets available for benefits of the Comcast-Spectacor 401(k) Plan (the “Plan”) as of December 31, 2004, and the related statement of changes in net assets available for benefits for the year then ended. These financial statements are the responsibility of the Plan’s management. Our responsibility is to express an opinion on these financial statements based on our audit.</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and evaluating the overall financial statement presentation. We believe our audit provides a reasonable basis for our opinion.</w:t>
      </w: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 our opinion, the financial statements referred to above present fairly, in all material respects, the net assets available for benefits of the Plan as of December 31, 2004, and the changes in net assets available for benefits for the year then ended in conformity with accounting principles generally accepted in the United States of America.</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Our audit was conducted for the purpose of forming an opinion on the Plan’s basic financial statements taken as a whole. The supplemental schedule of assets (held at end of year) as of December 31, 2004 (Schedule H - Line 4i)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 of the basic 2004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Mitchell &amp; Titus,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24, 2005</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Administrator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Comcast-Spectacor 401(k) Plan</w:t>
      </w:r>
    </w:p>
    <w:p>
      <w:pPr>
        <w:spacing w:after="0" w:line="2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We have audited the accompanying statement of net assets available for benefits of the Comcast-Spectacor 401(k) Plan as of December 31, 2003, the related statement of changes in net assets available for benefits for the year ended December 31, 2003. These financial statements are the responsibility of the Plan's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We conducted our audit of the financial statements as of and for the year ended December 31, 2003,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 our opinion, the financial statements referred to above presents fairly, in all material respects, the net assets available for benefits of the Plan as of December 31, 2003, and the changes in net assets available for benefits for the year ended December 31, 2003,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Grant Thornton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Comcast-Spectacor 401(k) Plan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2004</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2003</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ASSETS</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19,887,520</w:t>
            </w:r>
          </w:p>
        </w:tc>
        <w:tc>
          <w:tcPr>
            <w:tcW w:w="2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3460" w:type="dxa"/>
            <w:vAlign w:val="bottom"/>
            <w:gridSpan w:val="2"/>
          </w:tcPr>
          <w:p>
            <w:pPr>
              <w:jc w:val="right"/>
              <w:ind w:right="2400"/>
              <w:spacing w:after="0"/>
              <w:rPr>
                <w:sz w:val="20"/>
                <w:szCs w:val="20"/>
                <w:color w:val="auto"/>
              </w:rPr>
            </w:pPr>
            <w:r>
              <w:rPr>
                <w:rFonts w:ascii="Times New Roman" w:cs="Times New Roman" w:eastAsia="Times New Roman" w:hAnsi="Times New Roman"/>
                <w:sz w:val="20"/>
                <w:szCs w:val="20"/>
                <w:color w:val="auto"/>
              </w:rPr>
              <w:t>16,037,803</w:t>
            </w:r>
          </w:p>
        </w:tc>
        <w:tc>
          <w:tcPr>
            <w:tcW w:w="0" w:type="dxa"/>
            <w:vAlign w:val="bottom"/>
          </w:tcPr>
          <w:p>
            <w:pPr>
              <w:spacing w:after="0"/>
              <w:rPr>
                <w:sz w:val="1"/>
                <w:szCs w:val="1"/>
                <w:color w:val="auto"/>
              </w:rPr>
            </w:pPr>
          </w:p>
        </w:tc>
      </w:tr>
      <w:tr>
        <w:trPr>
          <w:trHeight w:val="279"/>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Participant loans</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373,292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2"/>
          </w:tcPr>
          <w:p>
            <w:pPr>
              <w:jc w:val="right"/>
              <w:ind w:right="2400"/>
              <w:spacing w:after="0"/>
              <w:rPr>
                <w:sz w:val="20"/>
                <w:szCs w:val="20"/>
                <w:color w:val="auto"/>
              </w:rPr>
            </w:pPr>
            <w:r>
              <w:rPr>
                <w:rFonts w:ascii="Times New Roman" w:cs="Times New Roman" w:eastAsia="Times New Roman" w:hAnsi="Times New Roman"/>
                <w:sz w:val="20"/>
                <w:szCs w:val="20"/>
                <w:color w:val="auto"/>
              </w:rPr>
              <w:t>284,370</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840" w:type="dxa"/>
            <w:vAlign w:val="bottom"/>
            <w:vMerge w:val="continue"/>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20,260,812</w:t>
            </w:r>
          </w:p>
        </w:tc>
        <w:tc>
          <w:tcPr>
            <w:tcW w:w="2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3460" w:type="dxa"/>
            <w:vAlign w:val="bottom"/>
            <w:gridSpan w:val="2"/>
          </w:tcPr>
          <w:p>
            <w:pPr>
              <w:jc w:val="right"/>
              <w:ind w:right="2400"/>
              <w:spacing w:after="0"/>
              <w:rPr>
                <w:sz w:val="20"/>
                <w:szCs w:val="20"/>
                <w:color w:val="auto"/>
              </w:rPr>
            </w:pPr>
            <w:r>
              <w:rPr>
                <w:rFonts w:ascii="Times New Roman" w:cs="Times New Roman" w:eastAsia="Times New Roman" w:hAnsi="Times New Roman"/>
                <w:sz w:val="20"/>
                <w:szCs w:val="20"/>
                <w:color w:val="auto"/>
              </w:rPr>
              <w:t>16,322,173</w:t>
            </w:r>
          </w:p>
        </w:tc>
        <w:tc>
          <w:tcPr>
            <w:tcW w:w="0" w:type="dxa"/>
            <w:vAlign w:val="bottom"/>
          </w:tcPr>
          <w:p>
            <w:pPr>
              <w:spacing w:after="0"/>
              <w:rPr>
                <w:sz w:val="1"/>
                <w:szCs w:val="1"/>
                <w:color w:val="auto"/>
              </w:rPr>
            </w:pPr>
          </w:p>
        </w:tc>
      </w:tr>
      <w:tr>
        <w:trPr>
          <w:trHeight w:val="402"/>
        </w:trPr>
        <w:tc>
          <w:tcPr>
            <w:tcW w:w="484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Comcast-Spectacor 401(k) Plan</w:t>
      </w:r>
    </w:p>
    <w:p>
      <w:pPr>
        <w:spacing w:after="0" w:line="2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9"/>
          <w:szCs w:val="19"/>
          <w:b w:val="1"/>
          <w:bCs w:val="1"/>
          <w:color w:val="auto"/>
        </w:rPr>
        <w:t>STATEMENT OF CHANGES IN NET ASSETS AVAILABLE FOR BENEFITS</w:t>
      </w:r>
    </w:p>
    <w:p>
      <w:pPr>
        <w:spacing w:after="0" w:line="2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Year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20"/>
          <w:szCs w:val="20"/>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13970</wp:posOffset>
            </wp:positionV>
            <wp:extent cx="866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Additions to net assets attributed to:</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Investment income</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Net appreciation in fair value of investments</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Dividends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Contributions</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Participants</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Employer</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Rollover</w:t>
      </w:r>
    </w:p>
    <w:p>
      <w:pPr>
        <w:spacing w:after="0" w:line="200" w:lineRule="exact"/>
        <w:rPr>
          <w:sz w:val="20"/>
          <w:szCs w:val="20"/>
          <w:color w:val="auto"/>
        </w:rPr>
      </w:pPr>
    </w:p>
    <w:p>
      <w:pPr>
        <w:spacing w:after="0" w:line="3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Total additions</w:t>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Deductions from net assets attributed to:</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Benefits paid to participants</w:t>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Rollovers to affiliated entity plan (Note A)</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Administrative expenses</w:t>
      </w:r>
    </w:p>
    <w:p>
      <w:pPr>
        <w:spacing w:after="0" w:line="2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Total deductions</w:t>
      </w:r>
    </w:p>
    <w:p>
      <w:pPr>
        <w:spacing w:after="0" w:line="2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NET INCREASE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assets available for benefits:</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Beginning of year</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80" w:hanging="574"/>
        <w:spacing w:after="0"/>
        <w:tabs>
          <w:tab w:leader="none" w:pos="5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1,383,793</w:t>
      </w:r>
    </w:p>
    <w:p>
      <w:pPr>
        <w:spacing w:after="0" w:line="39" w:lineRule="exact"/>
        <w:rPr>
          <w:rFonts w:ascii="Times New Roman" w:cs="Times New Roman" w:eastAsia="Times New Roman" w:hAnsi="Times New Roman"/>
          <w:sz w:val="19"/>
          <w:szCs w:val="19"/>
          <w:color w:val="auto"/>
        </w:rPr>
      </w:pPr>
    </w:p>
    <w:p>
      <w:pPr>
        <w:ind w:left="7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381,125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866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86"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1,764,918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866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2,431,331</w:t>
      </w:r>
    </w:p>
    <w:p>
      <w:pPr>
        <w:spacing w:after="0" w:line="28"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1,459,849</w:t>
      </w:r>
    </w:p>
    <w:p>
      <w:pPr>
        <w:spacing w:after="0" w:line="13"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268,263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866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2"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4,159,443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3"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5,924,361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815,799</w:t>
      </w:r>
    </w:p>
    <w:p>
      <w:pPr>
        <w:spacing w:after="0" w:line="28"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1,109,142</w:t>
      </w:r>
    </w:p>
    <w:p>
      <w:pPr>
        <w:spacing w:after="0" w:line="13"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60,781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866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1"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1,985,722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866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50"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3,938,639</w:t>
      </w:r>
    </w:p>
    <w:p>
      <w:pPr>
        <w:spacing w:after="0" w:line="200" w:lineRule="exact"/>
        <w:rPr>
          <w:sz w:val="20"/>
          <w:szCs w:val="20"/>
          <w:color w:val="auto"/>
        </w:rPr>
      </w:pPr>
    </w:p>
    <w:p>
      <w:pPr>
        <w:spacing w:after="0" w:line="313"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16,322,173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866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3" w:lineRule="exact"/>
        <w:rPr>
          <w:sz w:val="20"/>
          <w:szCs w:val="20"/>
          <w:color w:val="auto"/>
        </w:rPr>
      </w:pPr>
    </w:p>
    <w:p>
      <w:pPr>
        <w:ind w:left="480" w:hanging="474"/>
        <w:spacing w:after="0"/>
        <w:tabs>
          <w:tab w:leader="none" w:pos="4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20,260,812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866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2559"/>
          </w:cols>
          <w:pgMar w:left="240" w:top="118" w:right="1440" w:bottom="1440" w:gutter="0" w:footer="0" w:header="0"/>
          <w:type w:val="continuous"/>
        </w:sectPr>
      </w:pPr>
    </w:p>
    <w:p>
      <w:pPr>
        <w:spacing w:after="0" w:line="6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Comcast-Spectacor 401(k) Plan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2004 and 2003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A - DESCRIPTION OF THE PLAN</w:t>
      </w:r>
    </w:p>
    <w:p>
      <w:pPr>
        <w:spacing w:after="0" w:line="283" w:lineRule="exact"/>
        <w:rPr>
          <w:sz w:val="20"/>
          <w:szCs w:val="20"/>
          <w:color w:val="auto"/>
        </w:rPr>
      </w:pPr>
    </w:p>
    <w:p>
      <w:pPr>
        <w:ind w:left="340"/>
        <w:spacing w:after="0" w:line="283" w:lineRule="auto"/>
        <w:rPr>
          <w:sz w:val="20"/>
          <w:szCs w:val="20"/>
          <w:color w:val="auto"/>
        </w:rPr>
      </w:pPr>
      <w:r>
        <w:rPr>
          <w:rFonts w:ascii="Times New Roman" w:cs="Times New Roman" w:eastAsia="Times New Roman" w:hAnsi="Times New Roman"/>
          <w:sz w:val="20"/>
          <w:szCs w:val="20"/>
          <w:color w:val="auto"/>
        </w:rPr>
        <w:t>The following description of the Comcast-Spectacor 401(k) Plan (the Plan) provides only general information. Participants should refer to the official Plan document for a complete description of the Plan’s provisions.</w:t>
      </w:r>
    </w:p>
    <w:p>
      <w:pPr>
        <w:spacing w:after="0" w:line="214" w:lineRule="exact"/>
        <w:rPr>
          <w:sz w:val="20"/>
          <w:szCs w:val="20"/>
          <w:color w:val="auto"/>
        </w:rPr>
      </w:pPr>
    </w:p>
    <w:p>
      <w:pPr>
        <w:ind w:left="540" w:hanging="208"/>
        <w:spacing w:after="0"/>
        <w:tabs>
          <w:tab w:leader="none" w:pos="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p>
    <w:p>
      <w:pPr>
        <w:spacing w:after="0" w:line="31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20"/>
          <w:szCs w:val="20"/>
          <w:color w:val="auto"/>
        </w:rPr>
        <w:t>The effective date of the Plan is January 1, 1992. The Plan is a defined contribution plan and is subject to the provisions of the Employee Retirement Income Security Act of 1974. The Plan covers “eligible employees,” as defined in the Plan document, who have completed one year of eligibility service (as defined in the Plan document) and have attained age 21. Effective January 1, 1994, a 401(k) feature was added to the Plan and the name was changed from the Spectacor Retirement Plan to the Spectacor Retirement and Savings Plan. Effective January 1, 1997, the name was changed to the Comcast-Spectacor 401(k) Plan. The following entities participate in the Plan, referred to collectively as “the Company”:</w:t>
      </w:r>
    </w:p>
    <w:p>
      <w:pPr>
        <w:spacing w:after="0" w:line="2" w:lineRule="exact"/>
        <w:rPr>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Comcast-Spectacor Limited Partnership (Plan Sponsor)</w:t>
      </w:r>
    </w:p>
    <w:p>
      <w:pPr>
        <w:spacing w:after="0" w:line="38"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Comcast-Spectacor Limited Partnership Baysox Club, LLC</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Comcast-Spectacor Limited Partnership Keys Club, LLC</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Comcast-Spectacor Limited Partnership Shorebirds Club, LLC</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Spectrum Arena Limited Partnership</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Philadelphia Flyers Limited Partnership</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Philadelphia 76ers Limited Partnership</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Philadelphia Phantoms Limited Partnership</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Comcast Spectacor Foundation</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Flyers Skate Zone Limited Partnership</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Spectrum Limited Partnership</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Spectacor, Inc.</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Patron Solutions Limited Liability Partnership</w:t>
      </w:r>
    </w:p>
    <w:p>
      <w:pPr>
        <w:spacing w:after="0" w:line="40" w:lineRule="exact"/>
        <w:rPr>
          <w:rFonts w:ascii="Times New Roman" w:cs="Times New Roman" w:eastAsia="Times New Roman" w:hAnsi="Times New Roman"/>
          <w:sz w:val="20"/>
          <w:szCs w:val="20"/>
          <w:color w:val="auto"/>
        </w:rPr>
      </w:pPr>
    </w:p>
    <w:p>
      <w:pPr>
        <w:ind w:left="1460" w:hanging="480"/>
        <w:spacing w:after="0"/>
        <w:tabs>
          <w:tab w:leader="none" w:pos="1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FPS Rinks Limited Partnership</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Trustee and Record-keeper for the Plan is Smith Barney Corporate Trust Company and CitiStreet Associates, LLC, respectively.</w:t>
      </w:r>
    </w:p>
    <w:p>
      <w:pPr>
        <w:spacing w:after="0" w:line="310" w:lineRule="exact"/>
        <w:rPr>
          <w:sz w:val="20"/>
          <w:szCs w:val="20"/>
          <w:color w:val="auto"/>
        </w:rPr>
      </w:pPr>
    </w:p>
    <w:p>
      <w:pPr>
        <w:ind w:left="540" w:hanging="208"/>
        <w:spacing w:after="0"/>
        <w:tabs>
          <w:tab w:leader="none" w:pos="5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Contributions and Related Party Transactions</w:t>
      </w:r>
    </w:p>
    <w:p>
      <w:pPr>
        <w:spacing w:after="0" w:line="31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20"/>
          <w:szCs w:val="20"/>
          <w:color w:val="auto"/>
        </w:rPr>
        <w:t>Each participant may make a pretax contribution deferring not less than 1% or more than 100% of eligible compensation (as defined in the Plan document), subject to Internal Revenue Service (IRS) regulations. Through December 31, 2004, the Company contributes to the Plan an amount equal to 100% of the first 3% of eligible compensation contributed by the participants and 50% of the next 4% of eligible compensation contributed by the participants (see Note F). The Plan also provides for discretionary profit sharing contributions.</w:t>
      </w:r>
    </w:p>
    <w:p>
      <w:pPr>
        <w:spacing w:after="0" w:line="234"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20"/>
          <w:szCs w:val="20"/>
          <w:color w:val="auto"/>
        </w:rPr>
        <w:t>On June 30 and July 1, 2004, certain participant accounts of the Plan were transferred into the Comcast Corporation Retirement-Investment Plan. The transfer is included in the accompanying statement of changes in net assets available for benefits in "Rollovers to affiliated entity plan" and approximated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ectPr>
          <w:pgSz w:w="11900" w:h="16838" w:orient="portrait"/>
          <w:cols w:equalWidth="0" w:num="1">
            <w:col w:w="11420"/>
          </w:cols>
          <w:pgMar w:left="240" w:top="118" w:right="2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Comcast-Spectacor 401(k) Plan</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b w:val="1"/>
          <w:bCs w:val="1"/>
          <w:color w:val="auto"/>
        </w:rPr>
        <w:t>NOTES TO FINANCIAL STATEMENTS - CONTINUED</w:t>
      </w:r>
    </w:p>
    <w:p>
      <w:pPr>
        <w:spacing w:after="0" w:line="28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December 31, 2004 and 2003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A - DESCRIPTION OF THE PLAN - Continued</w:t>
      </w:r>
    </w:p>
    <w:p>
      <w:pPr>
        <w:spacing w:after="0" w:line="283" w:lineRule="exact"/>
        <w:rPr>
          <w:sz w:val="20"/>
          <w:szCs w:val="20"/>
          <w:color w:val="auto"/>
        </w:rPr>
      </w:pPr>
    </w:p>
    <w:p>
      <w:pPr>
        <w:ind w:left="540" w:hanging="208"/>
        <w:spacing w:after="0"/>
        <w:tabs>
          <w:tab w:leader="none" w:pos="5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 Accounts</w:t>
      </w:r>
    </w:p>
    <w:p>
      <w:pPr>
        <w:spacing w:after="0" w:line="31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The benefit to which a participant is entitled is the benefit that can be provided from the participant’s account.</w:t>
      </w:r>
    </w:p>
    <w:p>
      <w:pPr>
        <w:spacing w:after="0" w:line="234" w:lineRule="exact"/>
        <w:rPr>
          <w:sz w:val="20"/>
          <w:szCs w:val="20"/>
          <w:color w:val="auto"/>
        </w:rPr>
      </w:pPr>
    </w:p>
    <w:p>
      <w:pPr>
        <w:ind w:left="540" w:hanging="208"/>
        <w:spacing w:after="0"/>
        <w:tabs>
          <w:tab w:leader="none" w:pos="5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p>
    <w:p>
      <w:pPr>
        <w:spacing w:after="0" w:line="31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20"/>
          <w:szCs w:val="20"/>
          <w:color w:val="auto"/>
        </w:rPr>
        <w:t>Participants are immediately vested in their elective deferral contributions plus actual earnings thereon. Vesting in the remainder of their accounts is based on years of service. A participant is 100% vested after five years of credited service (see Note F). Additionally, vesting can be accelerated under certain other conditions defined in the Plan document. All forfeited amounts may be applied to Plan expenses including legal, consulting, education materials, etc. or to reduce Company contributions.</w:t>
      </w:r>
    </w:p>
    <w:p>
      <w:pPr>
        <w:spacing w:after="0" w:line="234"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20"/>
          <w:szCs w:val="20"/>
          <w:color w:val="auto"/>
        </w:rPr>
        <w:t>In the event of whole or partial termination of the Plan, there will be full and immediate vesting of each affected employee’s account balance.</w:t>
      </w:r>
    </w:p>
    <w:p>
      <w:pPr>
        <w:spacing w:after="0" w:line="214" w:lineRule="exact"/>
        <w:rPr>
          <w:sz w:val="20"/>
          <w:szCs w:val="20"/>
          <w:color w:val="auto"/>
        </w:rPr>
      </w:pPr>
    </w:p>
    <w:p>
      <w:pPr>
        <w:ind w:left="540" w:hanging="208"/>
        <w:spacing w:after="0"/>
        <w:tabs>
          <w:tab w:leader="none" w:pos="5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Benefits</w:t>
      </w: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All benefits under the Plan are paid as lump-sum distributions. In-kind distributions are not specifically provided for under the Plan.</w:t>
      </w:r>
    </w:p>
    <w:p>
      <w:pPr>
        <w:spacing w:after="0" w:line="310" w:lineRule="exact"/>
        <w:rPr>
          <w:sz w:val="20"/>
          <w:szCs w:val="20"/>
          <w:color w:val="auto"/>
        </w:rPr>
      </w:pPr>
    </w:p>
    <w:p>
      <w:pPr>
        <w:ind w:left="540" w:hanging="208"/>
        <w:spacing w:after="0"/>
        <w:tabs>
          <w:tab w:leader="none" w:pos="5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Loans to Participants</w:t>
      </w:r>
    </w:p>
    <w:p>
      <w:pPr>
        <w:spacing w:after="0" w:line="310"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20"/>
          <w:szCs w:val="20"/>
          <w:color w:val="auto"/>
        </w:rPr>
        <w:t>Smith Barney Corporate Trust Company (the Trustee) may make loans from the Plan to participants in accordance with the Plan document. All loans to participants are considered investments of the trust fund and bear market rates of interest. All loans are to be repaid within five years unless the loan is used to acquire a principal residence, in which case the term may be longer.</w:t>
      </w:r>
    </w:p>
    <w:p>
      <w:pPr>
        <w:spacing w:after="0" w:line="229" w:lineRule="exact"/>
        <w:rPr>
          <w:sz w:val="20"/>
          <w:szCs w:val="20"/>
          <w:color w:val="auto"/>
        </w:rPr>
      </w:pPr>
    </w:p>
    <w:p>
      <w:pPr>
        <w:ind w:left="540" w:hanging="208"/>
        <w:spacing w:after="0"/>
        <w:tabs>
          <w:tab w:leader="none" w:pos="5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Income Tax Status</w:t>
      </w:r>
    </w:p>
    <w:p>
      <w:pPr>
        <w:spacing w:after="0" w:line="31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20"/>
          <w:szCs w:val="20"/>
          <w:color w:val="auto"/>
        </w:rPr>
        <w:t>The IRS issued a determination letter to the Plan, dated April 29, 2003, stating that the Plan was qualified under Section 401(a) of the Internal Revenue Code (the Code) and, therefore, is exempt from federal income tax under Section 501(a) of the Code. The Plan has been amended since receiving the determination letter. However, the Plan Administrator and the Plan’s tax counsel believe that the Plan is designed and is currently being operated in compliance with the applicable requirements of the Code. Therefore, no provision for income taxes has been included in the Plan’s financial statements.</w:t>
      </w:r>
    </w:p>
    <w:p>
      <w:pPr>
        <w:spacing w:after="0" w:line="200" w:lineRule="exact"/>
        <w:rPr>
          <w:sz w:val="20"/>
          <w:szCs w:val="20"/>
          <w:color w:val="auto"/>
        </w:rPr>
      </w:pPr>
    </w:p>
    <w:p>
      <w:pPr>
        <w:spacing w:after="0" w:line="3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(Continued)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Comcast-Spectacor 401(k) Plan</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b w:val="1"/>
          <w:bCs w:val="1"/>
          <w:color w:val="auto"/>
        </w:rPr>
        <w:t>NOTES TO FINANCIAL STATEMENTS - CONTINUED</w:t>
      </w:r>
    </w:p>
    <w:p>
      <w:pPr>
        <w:spacing w:after="0" w:line="28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December 31, 2004 and 2003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B - SUMMARY OF SIGNIFICANT ACCOUNTING POLICIES</w:t>
      </w:r>
    </w:p>
    <w:p>
      <w:pPr>
        <w:spacing w:after="0" w:line="283" w:lineRule="exact"/>
        <w:rPr>
          <w:sz w:val="20"/>
          <w:szCs w:val="20"/>
          <w:color w:val="auto"/>
        </w:rPr>
      </w:pPr>
    </w:p>
    <w:p>
      <w:pPr>
        <w:ind w:left="540" w:hanging="208"/>
        <w:spacing w:after="0"/>
        <w:tabs>
          <w:tab w:leader="none" w:pos="5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Valuation of Investments and Income Recognition</w:t>
      </w:r>
    </w:p>
    <w:p>
      <w:pPr>
        <w:spacing w:after="0" w:line="31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20"/>
          <w:szCs w:val="20"/>
          <w:color w:val="auto"/>
        </w:rPr>
        <w:t>Plan assets are stated at fair value. The fair value of mutual funds is determined by quoted market price. The change in fair value of assets during the year is measured by the difference between the fair value at year-end and the fair value at the beginning of the year or costs of purchases during the year and is reflected in the statement of changes in net assets available for benefits as net appreciation in fair value of investments.</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Participant loans are stated at their outstanding balances, which approximates fair value.</w:t>
      </w:r>
    </w:p>
    <w:p>
      <w:pPr>
        <w:spacing w:after="0" w:line="310"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20"/>
          <w:szCs w:val="20"/>
          <w:color w:val="auto"/>
        </w:rPr>
        <w:t>Purchases and sales of securities are recorded on a trade-date basis. Interest income is recorded on the accrual basis. Dividends are recorded on the ex-dividend date.</w:t>
      </w:r>
    </w:p>
    <w:p>
      <w:pPr>
        <w:spacing w:after="0" w:line="214" w:lineRule="exact"/>
        <w:rPr>
          <w:sz w:val="20"/>
          <w:szCs w:val="20"/>
          <w:color w:val="auto"/>
        </w:rPr>
      </w:pPr>
    </w:p>
    <w:p>
      <w:pPr>
        <w:ind w:left="540" w:hanging="208"/>
        <w:spacing w:after="0"/>
        <w:tabs>
          <w:tab w:leader="none" w:pos="5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 of Estimates</w:t>
      </w:r>
    </w:p>
    <w:p>
      <w:pPr>
        <w:spacing w:after="0" w:line="31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20"/>
          <w:szCs w:val="20"/>
          <w:color w:val="auto"/>
        </w:rPr>
        <w:t>In preparing financial statements in conformity with accounting principles generally accepted in the United States of America, management is required to make estimates and assumptions that affect the reported amounts of assets and liabilities, the disclosure of contingent assets and liabilities at the date of the financial statements, and the reported amounts of additions and deductions during the reporting period. Actual results could differ from those estimates.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C - INVESTMENTS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fair market value of investments held by the Plan representing 5% or more of the Plan’s assets are identified below.</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20" w:type="dxa"/>
            <w:vAlign w:val="bottom"/>
          </w:tcPr>
          <w:p>
            <w:pPr>
              <w:spacing w:after="0"/>
              <w:rPr>
                <w:sz w:val="22"/>
                <w:szCs w:val="22"/>
                <w:color w:val="auto"/>
              </w:rPr>
            </w:pPr>
          </w:p>
        </w:tc>
        <w:tc>
          <w:tcPr>
            <w:tcW w:w="4220" w:type="dxa"/>
            <w:vAlign w:val="bottom"/>
            <w:gridSpan w:val="2"/>
          </w:tcPr>
          <w:p>
            <w:pPr>
              <w:jc w:val="right"/>
              <w:ind w:right="1340"/>
              <w:spacing w:after="0"/>
              <w:rPr>
                <w:sz w:val="20"/>
                <w:szCs w:val="20"/>
                <w:color w:val="auto"/>
              </w:rPr>
            </w:pPr>
            <w:r>
              <w:rPr>
                <w:rFonts w:ascii="Times New Roman" w:cs="Times New Roman" w:eastAsia="Times New Roman" w:hAnsi="Times New Roman"/>
                <w:sz w:val="20"/>
                <w:szCs w:val="20"/>
                <w:color w:val="auto"/>
                <w:w w:val="97"/>
              </w:rPr>
              <w:t>FAIR VALUE OF INVESTMENTS</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4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9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w w:val="99"/>
              </w:rPr>
              <w:t>2003</w:t>
            </w:r>
          </w:p>
        </w:tc>
        <w:tc>
          <w:tcPr>
            <w:tcW w:w="0" w:type="dxa"/>
            <w:vAlign w:val="bottom"/>
          </w:tcPr>
          <w:p>
            <w:pPr>
              <w:spacing w:after="0"/>
              <w:rPr>
                <w:sz w:val="1"/>
                <w:szCs w:val="1"/>
                <w:color w:val="auto"/>
              </w:rPr>
            </w:pPr>
          </w:p>
        </w:tc>
      </w:tr>
      <w:tr>
        <w:trPr>
          <w:trHeight w:val="243"/>
        </w:trPr>
        <w:tc>
          <w:tcPr>
            <w:tcW w:w="4420" w:type="dxa"/>
            <w:vAlign w:val="bottom"/>
            <w:vMerge w:val="continue"/>
          </w:tcPr>
          <w:p>
            <w:pPr>
              <w:spacing w:after="0"/>
              <w:rPr>
                <w:sz w:val="21"/>
                <w:szCs w:val="21"/>
                <w:color w:val="auto"/>
              </w:rPr>
            </w:pP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Comcast Common Stock</w:t>
            </w:r>
          </w:p>
        </w:tc>
        <w:tc>
          <w:tcPr>
            <w:tcW w:w="4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3,390,945</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3,443,585</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Smith Barney Money Market - Government Portfolio</w:t>
            </w: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1,181,773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1,445,111</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EuroPacific Growth Fund - F Share</w:t>
            </w: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1,495,189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1,000,756</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Washington Mutual Investors Fund - F Share</w:t>
            </w: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3,154,137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2,142,975</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Growth Fund of America - F Share</w:t>
            </w: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3,139,443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2,107,787</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Baron Growth Fund</w:t>
            </w: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1,048,055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873,951</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Janus Balanced Fund</w:t>
            </w: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1,359,815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1,214,204</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Strong Government Securities Fund</w:t>
            </w: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1,386,667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1,016,613</w:t>
            </w:r>
          </w:p>
        </w:tc>
        <w:tc>
          <w:tcPr>
            <w:tcW w:w="0" w:type="dxa"/>
            <w:vAlign w:val="bottom"/>
          </w:tcPr>
          <w:p>
            <w:pPr>
              <w:spacing w:after="0"/>
              <w:rPr>
                <w:sz w:val="1"/>
                <w:szCs w:val="1"/>
                <w:color w:val="auto"/>
              </w:rPr>
            </w:pPr>
          </w:p>
        </w:tc>
      </w:tr>
      <w:tr>
        <w:trPr>
          <w:trHeight w:val="258"/>
        </w:trPr>
        <w:tc>
          <w:tcPr>
            <w:tcW w:w="4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Royce Total Return Fund</w:t>
            </w:r>
          </w:p>
        </w:tc>
        <w:tc>
          <w:tcPr>
            <w:tcW w:w="3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1,400,938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1,061,822</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(Continued)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3" w:lineRule="exact"/>
        <w:rPr>
          <w:sz w:val="20"/>
          <w:szCs w:val="20"/>
          <w:color w:val="auto"/>
        </w:rPr>
      </w:pPr>
    </w:p>
    <w:p>
      <w:pPr>
        <w:jc w:val="center"/>
        <w:ind w:left="3370"/>
        <w:spacing w:after="0"/>
        <w:rPr>
          <w:sz w:val="20"/>
          <w:szCs w:val="20"/>
          <w:color w:val="auto"/>
        </w:rPr>
      </w:pPr>
      <w:r>
        <w:rPr>
          <w:rFonts w:ascii="Times New Roman" w:cs="Times New Roman" w:eastAsia="Times New Roman" w:hAnsi="Times New Roman"/>
          <w:sz w:val="20"/>
          <w:szCs w:val="20"/>
          <w:color w:val="auto"/>
        </w:rPr>
        <w:t>Comcast-Spectacor 401(k) Plan</w:t>
      </w:r>
    </w:p>
    <w:p>
      <w:pPr>
        <w:spacing w:after="0" w:line="279" w:lineRule="exact"/>
        <w:rPr>
          <w:sz w:val="20"/>
          <w:szCs w:val="20"/>
          <w:color w:val="auto"/>
        </w:rPr>
      </w:pPr>
    </w:p>
    <w:p>
      <w:pPr>
        <w:jc w:val="center"/>
        <w:ind w:left="3370"/>
        <w:spacing w:after="0"/>
        <w:rPr>
          <w:sz w:val="20"/>
          <w:szCs w:val="20"/>
          <w:color w:val="auto"/>
        </w:rPr>
      </w:pPr>
      <w:r>
        <w:rPr>
          <w:rFonts w:ascii="Times New Roman" w:cs="Times New Roman" w:eastAsia="Times New Roman" w:hAnsi="Times New Roman"/>
          <w:sz w:val="19"/>
          <w:szCs w:val="19"/>
          <w:b w:val="1"/>
          <w:bCs w:val="1"/>
          <w:color w:val="auto"/>
        </w:rPr>
        <w:t>NOTES TO FINANCIAL STATEMENTS - CONCLUDED</w:t>
      </w:r>
    </w:p>
    <w:p>
      <w:pPr>
        <w:spacing w:after="0" w:line="29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December 31, 2004 and 2003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C - INVESTMENTS - Continued</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During 2004, the Plan’s investments appreciated in value as follows:</w:t>
      </w:r>
    </w:p>
    <w:p>
      <w:pPr>
        <w:spacing w:after="0" w:line="3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NET CHANGE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Common Stock</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Mutual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D - TRUST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10"/>
        <w:spacing w:after="0"/>
        <w:rPr>
          <w:sz w:val="20"/>
          <w:szCs w:val="20"/>
          <w:color w:val="auto"/>
        </w:rPr>
      </w:pPr>
      <w:r>
        <w:rPr>
          <w:rFonts w:ascii="Times New Roman" w:cs="Times New Roman" w:eastAsia="Times New Roman" w:hAnsi="Times New Roman"/>
          <w:sz w:val="20"/>
          <w:szCs w:val="20"/>
          <w:color w:val="auto"/>
        </w:rPr>
        <w:t>Year ended</w:t>
      </w:r>
    </w:p>
    <w:p>
      <w:pPr>
        <w:spacing w:after="0" w:line="28" w:lineRule="exact"/>
        <w:rPr>
          <w:sz w:val="20"/>
          <w:szCs w:val="20"/>
          <w:color w:val="auto"/>
        </w:rPr>
      </w:pPr>
    </w:p>
    <w:p>
      <w:pPr>
        <w:jc w:val="center"/>
        <w:ind w:right="1210"/>
        <w:spacing w:after="0"/>
        <w:rPr>
          <w:sz w:val="20"/>
          <w:szCs w:val="20"/>
          <w:color w:val="auto"/>
        </w:rPr>
      </w:pPr>
      <w:r>
        <w:rPr>
          <w:rFonts w:ascii="Times New Roman" w:cs="Times New Roman" w:eastAsia="Times New Roman" w:hAnsi="Times New Roman"/>
          <w:sz w:val="20"/>
          <w:szCs w:val="20"/>
          <w:color w:val="auto"/>
        </w:rPr>
        <w:t>December</w:t>
      </w:r>
    </w:p>
    <w:p>
      <w:pPr>
        <w:spacing w:after="0" w:line="13" w:lineRule="exact"/>
        <w:rPr>
          <w:sz w:val="20"/>
          <w:szCs w:val="20"/>
          <w:color w:val="auto"/>
        </w:rPr>
      </w:pPr>
    </w:p>
    <w:p>
      <w:pPr>
        <w:jc w:val="center"/>
        <w:ind w:right="1210"/>
        <w:spacing w:after="0"/>
        <w:rPr>
          <w:sz w:val="20"/>
          <w:szCs w:val="20"/>
          <w:color w:val="auto"/>
        </w:rPr>
      </w:pPr>
      <w:r>
        <w:rPr>
          <w:rFonts w:ascii="Times New Roman" w:cs="Times New Roman" w:eastAsia="Times New Roman" w:hAnsi="Times New Roman"/>
          <w:sz w:val="20"/>
          <w:szCs w:val="20"/>
          <w:color w:val="auto"/>
        </w:rPr>
        <w:t>31,</w:t>
      </w:r>
    </w:p>
    <w:p>
      <w:pPr>
        <w:spacing w:after="0" w:line="25" w:lineRule="exact"/>
        <w:rPr>
          <w:sz w:val="20"/>
          <w:szCs w:val="20"/>
          <w:color w:val="auto"/>
        </w:rPr>
      </w:pPr>
    </w:p>
    <w:p>
      <w:pPr>
        <w:ind w:left="350"/>
        <w:spacing w:after="0"/>
        <w:rPr>
          <w:sz w:val="20"/>
          <w:szCs w:val="20"/>
          <w:color w:val="auto"/>
        </w:rPr>
      </w:pPr>
      <w:r>
        <w:rPr>
          <w:rFonts w:ascii="Times New Roman" w:cs="Times New Roman" w:eastAsia="Times New Roman" w:hAnsi="Times New Roman"/>
          <w:sz w:val="20"/>
          <w:szCs w:val="20"/>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029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50" w:lineRule="exact"/>
        <w:rPr>
          <w:sz w:val="20"/>
          <w:szCs w:val="20"/>
          <w:color w:val="auto"/>
        </w:rPr>
      </w:pPr>
    </w:p>
    <w:p>
      <w:pPr>
        <w:ind w:left="570" w:hanging="570"/>
        <w:spacing w:after="0"/>
        <w:tabs>
          <w:tab w:leader="none" w:pos="57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34,775</w:t>
      </w:r>
    </w:p>
    <w:p>
      <w:pPr>
        <w:spacing w:after="0" w:line="51" w:lineRule="exact"/>
        <w:rPr>
          <w:rFonts w:ascii="Times New Roman" w:cs="Times New Roman" w:eastAsia="Times New Roman" w:hAnsi="Times New Roman"/>
          <w:sz w:val="19"/>
          <w:szCs w:val="19"/>
          <w:color w:val="auto"/>
        </w:rPr>
      </w:pPr>
    </w:p>
    <w:p>
      <w:pPr>
        <w:ind w:left="31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1,349,018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029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77" w:lineRule="exact"/>
        <w:rPr>
          <w:sz w:val="20"/>
          <w:szCs w:val="20"/>
          <w:color w:val="auto"/>
        </w:rPr>
      </w:pPr>
    </w:p>
    <w:p>
      <w:pPr>
        <w:ind w:left="310" w:hanging="310"/>
        <w:spacing w:after="0"/>
        <w:tabs>
          <w:tab w:leader="none" w:pos="310" w:val="left"/>
        </w:tabs>
        <w:numPr>
          <w:ilvl w:val="0"/>
          <w:numId w:val="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1,383,793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7029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753" w:lineRule="exact"/>
        <w:rPr>
          <w:sz w:val="20"/>
          <w:szCs w:val="20"/>
          <w:color w:val="auto"/>
        </w:rPr>
      </w:pPr>
    </w:p>
    <w:p>
      <w:pPr>
        <w:sectPr>
          <w:pgSz w:w="11900" w:h="16838" w:orient="portrait"/>
          <w:cols w:equalWidth="0" w:num="2">
            <w:col w:w="8370" w:space="720"/>
            <w:col w:w="2330"/>
          </w:cols>
          <w:pgMar w:left="240" w:top="118" w:right="239" w:bottom="1440" w:gutter="0" w:footer="0" w:header="0"/>
        </w:sectPr>
      </w:pPr>
    </w:p>
    <w:p>
      <w:pPr>
        <w:spacing w:after="0" w:line="83"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20"/>
          <w:szCs w:val="20"/>
          <w:color w:val="auto"/>
        </w:rPr>
        <w:t>Comcast-Spectacor, L.P., as Plan Sponsor, entered into a trust agreement with Smith Barney Corporate Trust Company (Trustee), a party-in-interest. Under the terms of this agreement, the Trustee will hold, invest and reinvest the funds. Comcast-Spectacor, L.P. has no right, title or interest in or to the trust fund maintained under this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E - PLAN TERMINATION</w:t>
      </w:r>
    </w:p>
    <w:p>
      <w:pPr>
        <w:spacing w:after="0" w:line="283"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20"/>
          <w:szCs w:val="20"/>
          <w:color w:val="auto"/>
        </w:rPr>
        <w:t>Although it has not expressed any intent to do so, each entity that constitutes the Company has the right under the Plan to discontinue its contributions and to terminate the Plan with the respect to its employees. Additionally, Comcast-Spectacor, L.P. has the right to terminate the Plan. In the event of Plan termination, participants will become 100% vested in their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F - PLAN AMENDMENTS</w:t>
      </w:r>
    </w:p>
    <w:p>
      <w:pPr>
        <w:spacing w:after="0" w:line="2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20"/>
          <w:szCs w:val="20"/>
          <w:color w:val="auto"/>
        </w:rPr>
        <w:t>On January 1, 2005, the Plan was amended to revise the Company matching contribution formula to provide a non-discretionary safe-harbor matching contribution on behalf of each participant who has made salary deferrals in the Plan year. This contribution is calculated as an amount equal to 100% of the first 4% and 50% of the next 2% of the participant’s compensation that has been contributed as a salary deferral for the Plan year. This safe-harbor matching contribution shall be determined on an annual basis and shall be adjusted to the extent necessary after the end of each Plan year. Additionally, a participant shall have a fully (100%) vested and nonforfeitable interest in Company matching contributions for Plan years beginning on or after January 1, 2005. Matching contributions attributable to periods prior to January 1, 2005 will continue to vest according to their original arrangement.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Comcast-Spectacor 401(k) Plan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EIN 23-2303756</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Plan No. 004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H - LINE 4i - SCHEDULE OF ASSETS (HELD AT END OF YEAR)</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 Description of investment</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 Identity of issue,</w:t>
            </w:r>
          </w:p>
        </w:tc>
        <w:tc>
          <w:tcPr>
            <w:tcW w:w="40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including maturity date,</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borrower, lessor,</w:t>
            </w:r>
          </w:p>
        </w:tc>
        <w:tc>
          <w:tcPr>
            <w:tcW w:w="40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rate of interest, collateral,</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52"/>
        </w:trPr>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(a)</w:t>
            </w:r>
          </w:p>
        </w:tc>
        <w:tc>
          <w:tcPr>
            <w:tcW w:w="540" w:type="dxa"/>
            <w:vAlign w:val="bottom"/>
          </w:tcPr>
          <w:p>
            <w:pPr>
              <w:spacing w:after="0"/>
              <w:rPr>
                <w:sz w:val="21"/>
                <w:szCs w:val="21"/>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or similar party</w:t>
            </w:r>
          </w:p>
        </w:tc>
        <w:tc>
          <w:tcPr>
            <w:tcW w:w="400" w:type="dxa"/>
            <w:vAlign w:val="bottom"/>
          </w:tcPr>
          <w:p>
            <w:pPr>
              <w:spacing w:after="0"/>
              <w:rPr>
                <w:sz w:val="21"/>
                <w:szCs w:val="21"/>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par, or maturity value</w:t>
            </w:r>
          </w:p>
        </w:tc>
        <w:tc>
          <w:tcPr>
            <w:tcW w:w="260" w:type="dxa"/>
            <w:vAlign w:val="bottom"/>
          </w:tcPr>
          <w:p>
            <w:pPr>
              <w:spacing w:after="0"/>
              <w:rPr>
                <w:sz w:val="21"/>
                <w:szCs w:val="21"/>
                <w:color w:val="auto"/>
              </w:rPr>
            </w:pPr>
          </w:p>
        </w:tc>
        <w:tc>
          <w:tcPr>
            <w:tcW w:w="1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(e) Current value</w:t>
            </w:r>
          </w:p>
        </w:tc>
      </w:tr>
    </w:tbl>
    <w:p>
      <w:pPr>
        <w:spacing w:after="0" w:line="220" w:lineRule="exact"/>
        <w:rPr>
          <w:sz w:val="20"/>
          <w:szCs w:val="20"/>
          <w:color w:val="auto"/>
        </w:rPr>
      </w:pPr>
    </w:p>
    <w:p>
      <w:pPr>
        <w:ind w:left="1200" w:hanging="911"/>
        <w:spacing w:after="0"/>
        <w:tabs>
          <w:tab w:leader="none" w:pos="12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Smith Barney</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520" w:type="dxa"/>
            <w:vAlign w:val="bottom"/>
          </w:tcPr>
          <w:p>
            <w:pPr>
              <w:spacing w:after="0"/>
              <w:rPr>
                <w:sz w:val="22"/>
                <w:szCs w:val="22"/>
                <w:color w:val="auto"/>
              </w:rPr>
            </w:pPr>
          </w:p>
        </w:tc>
        <w:tc>
          <w:tcPr>
            <w:tcW w:w="51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participant loans receivable</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Interest rates from 5.75%-10.50%;</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373,292</w:t>
            </w:r>
          </w:p>
        </w:tc>
      </w:tr>
      <w:tr>
        <w:trPr>
          <w:trHeight w:val="243"/>
        </w:trPr>
        <w:tc>
          <w:tcPr>
            <w:tcW w:w="5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9"/>
              </w:rPr>
              <w:t>maturities from 2005-2034</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EuroPacific Growth Fund - F Share</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1,495,189</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Washington Mutual Investors Fund - F Share</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3,154,137</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The Growth Fund of America - F Share</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3,139,443</w:t>
            </w:r>
          </w:p>
        </w:tc>
      </w:tr>
      <w:tr>
        <w:trPr>
          <w:trHeight w:val="243"/>
        </w:trPr>
        <w:tc>
          <w:tcPr>
            <w:tcW w:w="5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Comcast Common Stock</w:t>
            </w:r>
          </w:p>
        </w:tc>
        <w:tc>
          <w:tcPr>
            <w:tcW w:w="344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9"/>
              </w:rPr>
              <w:t>Common Stock</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3,390,945</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Baron Growth Fund</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1,048,055</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Cohen and Steers Realty Shares</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353,876</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Dreyfus Appreciation Fund</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147,457</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Dreyfus US Treasury Long Term Fund</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317,245</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Dreyfus Premier Emerging Markets Fund</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767,510</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ING GNMA Income Fund</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252,038</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Janus Balanced Fund</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1,359,815</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Strong Government Securities Fund</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1,386,667</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Royce Total Return Fund</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1,400,938</w:t>
            </w:r>
          </w:p>
        </w:tc>
      </w:tr>
      <w:tr>
        <w:trPr>
          <w:trHeight w:val="243"/>
        </w:trPr>
        <w:tc>
          <w:tcPr>
            <w:tcW w:w="5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Smith Barney Money Market - Government Portfolio</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1,181,773</w:t>
            </w:r>
          </w:p>
        </w:tc>
      </w:tr>
      <w:tr>
        <w:trPr>
          <w:trHeight w:val="243"/>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 Rowe Price International Bond Advisor</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148,425</w:t>
            </w:r>
          </w:p>
        </w:tc>
      </w:tr>
      <w:tr>
        <w:trPr>
          <w:trHeight w:val="252"/>
        </w:trPr>
        <w:tc>
          <w:tcPr>
            <w:tcW w:w="520" w:type="dxa"/>
            <w:vAlign w:val="bottom"/>
          </w:tcPr>
          <w:p>
            <w:pPr>
              <w:spacing w:after="0"/>
              <w:rPr>
                <w:sz w:val="21"/>
                <w:szCs w:val="21"/>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Navellier Mid Cap Growth</w:t>
            </w:r>
          </w:p>
        </w:tc>
        <w:tc>
          <w:tcPr>
            <w:tcW w:w="34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Mutual fund</w:t>
            </w:r>
          </w:p>
        </w:tc>
        <w:tc>
          <w:tcPr>
            <w:tcW w:w="26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344,007</w:t>
            </w:r>
          </w:p>
        </w:tc>
      </w:tr>
      <w:tr>
        <w:trPr>
          <w:trHeight w:val="466"/>
        </w:trPr>
        <w:tc>
          <w:tcPr>
            <w:tcW w:w="5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20,260,812</w:t>
            </w:r>
          </w:p>
        </w:tc>
      </w:tr>
      <w:tr>
        <w:trPr>
          <w:trHeight w:val="472"/>
        </w:trPr>
        <w:tc>
          <w:tcPr>
            <w:tcW w:w="520" w:type="dxa"/>
            <w:vAlign w:val="bottom"/>
          </w:tcPr>
          <w:p>
            <w:pPr>
              <w:spacing w:after="0"/>
              <w:rPr>
                <w:sz w:val="24"/>
                <w:szCs w:val="24"/>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 Represents a party-in-interest to the Plan.</w:t>
            </w:r>
          </w:p>
        </w:tc>
        <w:tc>
          <w:tcPr>
            <w:tcW w:w="3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3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No. 333-101295 of Comcast Corporation on Form S-8 of our report dated June 24, 2005, relating to the statement of net assets available for benefits as of December 31, 2004, the related statement of changes in net assets available for benefits for the year then ended and the related supplemental information of Schedule H - Line 4i - schedule of assets (held at end of year) as of December 31, 2004, which report appears in the December 31, 2004 Annual Report on Form 11-K of the Comcast-Spectacor 401(k) Plan.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Mitchell &amp; Titus, LLP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24, 2005</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3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have issued our report dated June 11, 2004, accompanying the financial statements of Comcast-Spectacor 401(k) Plan on Form 11-K for the year ended December 31, 2003. We hereby consent to the incorporation by reference of said report in the Registration Statement of Comcast Corporation on Form S-8 (File No. 333-101295, effective 11/19/02).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27, 2005</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u w:val="single" w:color="auto"/>
          <w:color w:val="auto"/>
        </w:rPr>
        <w:t>Signature</w:t>
      </w:r>
    </w:p>
    <w:p>
      <w:pPr>
        <w:spacing w:after="0" w:line="200" w:lineRule="exact"/>
        <w:rPr>
          <w:sz w:val="20"/>
          <w:szCs w:val="20"/>
          <w:color w:val="auto"/>
        </w:rPr>
      </w:pPr>
    </w:p>
    <w:p>
      <w:pPr>
        <w:spacing w:after="0" w:line="35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40" w:type="dxa"/>
            <w:vAlign w:val="bottom"/>
          </w:tcPr>
          <w:p>
            <w:pPr>
              <w:spacing w:after="0"/>
              <w:rPr>
                <w:sz w:val="21"/>
                <w:szCs w:val="21"/>
                <w:color w:val="auto"/>
              </w:rPr>
            </w:pPr>
          </w:p>
        </w:tc>
        <w:tc>
          <w:tcPr>
            <w:tcW w:w="5820" w:type="dxa"/>
            <w:vAlign w:val="bottom"/>
            <w:gridSpan w:val="3"/>
          </w:tcPr>
          <w:p>
            <w:pPr>
              <w:ind w:left="2140"/>
              <w:spacing w:after="0"/>
              <w:rPr>
                <w:sz w:val="20"/>
                <w:szCs w:val="20"/>
                <w:color w:val="auto"/>
              </w:rPr>
            </w:pPr>
            <w:r>
              <w:rPr>
                <w:rFonts w:ascii="Times New Roman" w:cs="Times New Roman" w:eastAsia="Times New Roman" w:hAnsi="Times New Roman"/>
                <w:sz w:val="20"/>
                <w:szCs w:val="20"/>
                <w:color w:val="auto"/>
              </w:rPr>
              <w:t>COMCAST-SPECTACOR</w:t>
            </w:r>
          </w:p>
        </w:tc>
      </w:tr>
      <w:tr>
        <w:trPr>
          <w:trHeight w:val="258"/>
        </w:trPr>
        <w:tc>
          <w:tcPr>
            <w:tcW w:w="3240" w:type="dxa"/>
            <w:vAlign w:val="bottom"/>
          </w:tcPr>
          <w:p>
            <w:pPr>
              <w:spacing w:after="0"/>
              <w:rPr>
                <w:sz w:val="22"/>
                <w:szCs w:val="22"/>
                <w:color w:val="auto"/>
              </w:rPr>
            </w:pPr>
          </w:p>
        </w:tc>
        <w:tc>
          <w:tcPr>
            <w:tcW w:w="5820" w:type="dxa"/>
            <w:vAlign w:val="bottom"/>
            <w:gridSpan w:val="3"/>
          </w:tcPr>
          <w:p>
            <w:pPr>
              <w:ind w:left="2140"/>
              <w:spacing w:after="0"/>
              <w:rPr>
                <w:sz w:val="20"/>
                <w:szCs w:val="20"/>
                <w:color w:val="auto"/>
              </w:rPr>
            </w:pPr>
            <w:r>
              <w:rPr>
                <w:rFonts w:ascii="Times New Roman" w:cs="Times New Roman" w:eastAsia="Times New Roman" w:hAnsi="Times New Roman"/>
                <w:sz w:val="20"/>
                <w:szCs w:val="20"/>
                <w:color w:val="auto"/>
              </w:rPr>
              <w:t>401(k) PLAN</w:t>
            </w:r>
          </w:p>
        </w:tc>
      </w:tr>
      <w:tr>
        <w:trPr>
          <w:trHeight w:val="729"/>
        </w:trPr>
        <w:tc>
          <w:tcPr>
            <w:tcW w:w="3240" w:type="dxa"/>
            <w:vAlign w:val="bottom"/>
          </w:tcPr>
          <w:p>
            <w:pPr>
              <w:spacing w:after="0"/>
              <w:rPr>
                <w:sz w:val="24"/>
                <w:szCs w:val="24"/>
                <w:color w:val="auto"/>
              </w:rPr>
            </w:pPr>
          </w:p>
        </w:tc>
        <w:tc>
          <w:tcPr>
            <w:tcW w:w="5820" w:type="dxa"/>
            <w:vAlign w:val="bottom"/>
            <w:gridSpan w:val="3"/>
          </w:tcPr>
          <w:p>
            <w:pPr>
              <w:ind w:left="2140"/>
              <w:spacing w:after="0"/>
              <w:rPr>
                <w:sz w:val="20"/>
                <w:szCs w:val="20"/>
                <w:color w:val="auto"/>
              </w:rPr>
            </w:pPr>
            <w:r>
              <w:rPr>
                <w:rFonts w:ascii="Times New Roman" w:cs="Times New Roman" w:eastAsia="Times New Roman" w:hAnsi="Times New Roman"/>
                <w:sz w:val="20"/>
                <w:szCs w:val="20"/>
                <w:color w:val="auto"/>
              </w:rPr>
              <w:t>By: Comcast Corporation</w:t>
            </w:r>
          </w:p>
        </w:tc>
      </w:tr>
      <w:tr>
        <w:trPr>
          <w:trHeight w:val="926"/>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June 29, 2005</w:t>
            </w:r>
          </w:p>
        </w:tc>
        <w:tc>
          <w:tcPr>
            <w:tcW w:w="5820" w:type="dxa"/>
            <w:vAlign w:val="bottom"/>
            <w:gridSpan w:val="3"/>
          </w:tcPr>
          <w:p>
            <w:pPr>
              <w:ind w:left="2140"/>
              <w:spacing w:after="0"/>
              <w:rPr>
                <w:sz w:val="20"/>
                <w:szCs w:val="20"/>
                <w:color w:val="auto"/>
              </w:rPr>
            </w:pPr>
            <w:r>
              <w:rPr>
                <w:rFonts w:ascii="Times New Roman" w:cs="Times New Roman" w:eastAsia="Times New Roman" w:hAnsi="Times New Roman"/>
                <w:sz w:val="20"/>
                <w:szCs w:val="20"/>
                <w:color w:val="auto"/>
              </w:rPr>
              <w:t>By:  /s/ Lawrence J. Salva</w:t>
            </w:r>
          </w:p>
        </w:tc>
      </w:tr>
      <w:tr>
        <w:trPr>
          <w:trHeight w:val="268"/>
        </w:trPr>
        <w:tc>
          <w:tcPr>
            <w:tcW w:w="32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Lawrence J. Salva</w:t>
            </w:r>
          </w:p>
        </w:tc>
        <w:tc>
          <w:tcPr>
            <w:tcW w:w="1540" w:type="dxa"/>
            <w:vAlign w:val="bottom"/>
          </w:tcPr>
          <w:p>
            <w:pPr>
              <w:spacing w:after="0"/>
              <w:rPr>
                <w:sz w:val="23"/>
                <w:szCs w:val="23"/>
                <w:color w:val="auto"/>
              </w:rPr>
            </w:pPr>
          </w:p>
        </w:tc>
      </w:tr>
      <w:tr>
        <w:trPr>
          <w:trHeight w:val="243"/>
        </w:trPr>
        <w:tc>
          <w:tcPr>
            <w:tcW w:w="3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Senior Vice President, Chief Accounting</w:t>
            </w:r>
          </w:p>
        </w:tc>
      </w:tr>
      <w:tr>
        <w:trPr>
          <w:trHeight w:val="258"/>
        </w:trPr>
        <w:tc>
          <w:tcPr>
            <w:tcW w:w="32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32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Officer and Controller</w:t>
            </w:r>
          </w:p>
        </w:tc>
      </w:tr>
      <w:tr>
        <w:trPr>
          <w:trHeight w:val="443"/>
        </w:trPr>
        <w:tc>
          <w:tcPr>
            <w:tcW w:w="3240" w:type="dxa"/>
            <w:vAlign w:val="bottom"/>
          </w:tcPr>
          <w:p>
            <w:pPr>
              <w:spacing w:after="0"/>
              <w:rPr>
                <w:sz w:val="24"/>
                <w:szCs w:val="24"/>
                <w:color w:val="auto"/>
              </w:rPr>
            </w:pPr>
          </w:p>
        </w:tc>
        <w:tc>
          <w:tcPr>
            <w:tcW w:w="258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14</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24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2"/>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decimal"/>
      <w:start w:val="4"/>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decimal"/>
      <w:start w:val="6"/>
    </w:lvl>
  </w:abstractNum>
  <w:abstractNum w:abstractNumId="12">
    <w:nsid w:val="41A7C4C9"/>
    <w:multiLevelType w:val="hybridMultilevel"/>
    <w:lvl w:ilvl="0">
      <w:lvlJc w:val="left"/>
      <w:lvlText w:val="%1."/>
      <w:numFmt w:val="decimal"/>
      <w:start w:val="7"/>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2019-12-15T06:53:11Z</dcterms:created>
  <dcterms:modified xsi:type="dcterms:W3CDTF">2019-12-15T06:53:11Z</dcterms:modified>
</cp:coreProperties>
</file>