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55"/>
        <w:gridCol w:w="432"/>
        <w:gridCol w:w="834"/>
        <w:gridCol w:w="1342"/>
        <w:gridCol w:w="970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27,337.277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involved the transfer of shares of Class A Common Stock to a GRAT, of which the reporting person is not a trustee.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3169</Characters>
  <CharactersWithSpaces>3687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