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WASHINGTON, D.C. 20549</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8"/>
          <w:szCs w:val="18"/>
          <w:color w:val="auto"/>
        </w:rPr>
        <w:t>____________________________</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CURRENT REPORT</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Pursuant to Section 13 or 15(d) of</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the Securities Exchange Act of 1934</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June 3, 2020</w:t>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Comcast Corporation</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Pennsylvania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(State or other jurisdiction of incorporation)</w:t>
      </w:r>
    </w:p>
    <w:p>
      <w:pPr>
        <w:sectPr>
          <w:pgSz w:w="11900" w:h="16838" w:orient="portrait"/>
          <w:cols w:equalWidth="0" w:num="1">
            <w:col w:w="11240"/>
          </w:cols>
          <w:pgMar w:left="320" w:top="792" w:right="339" w:bottom="846" w:gutter="0" w:footer="0" w:header="0"/>
        </w:sectPr>
      </w:pPr>
    </w:p>
    <w:p>
      <w:pPr>
        <w:spacing w:after="0" w:line="9" w:lineRule="exact"/>
        <w:rPr>
          <w:sz w:val="24"/>
          <w:szCs w:val="24"/>
          <w:color w:val="auto"/>
        </w:rPr>
      </w:pPr>
    </w:p>
    <w:p>
      <w:pPr>
        <w:jc w:val="center"/>
        <w:ind w:right="3640"/>
        <w:spacing w:after="0"/>
        <w:rPr>
          <w:sz w:val="20"/>
          <w:szCs w:val="20"/>
          <w:color w:val="auto"/>
        </w:rPr>
      </w:pPr>
      <w:r>
        <w:rPr>
          <w:rFonts w:ascii="Arial" w:cs="Arial" w:eastAsia="Arial" w:hAnsi="Arial"/>
          <w:sz w:val="18"/>
          <w:szCs w:val="18"/>
          <w:b w:val="1"/>
          <w:bCs w:val="1"/>
          <w:color w:val="auto"/>
        </w:rPr>
        <w:t>001-32871</w:t>
      </w:r>
    </w:p>
    <w:p>
      <w:pPr>
        <w:spacing w:after="0" w:line="9" w:lineRule="exact"/>
        <w:rPr>
          <w:sz w:val="24"/>
          <w:szCs w:val="24"/>
          <w:color w:val="auto"/>
        </w:rPr>
      </w:pPr>
    </w:p>
    <w:p>
      <w:pPr>
        <w:jc w:val="center"/>
        <w:ind w:right="364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540"/>
        <w:spacing w:after="0"/>
        <w:rPr>
          <w:sz w:val="20"/>
          <w:szCs w:val="20"/>
          <w:color w:val="auto"/>
        </w:rPr>
      </w:pPr>
      <w:r>
        <w:rPr>
          <w:rFonts w:ascii="Arial" w:cs="Arial" w:eastAsia="Arial" w:hAnsi="Arial"/>
          <w:sz w:val="18"/>
          <w:szCs w:val="18"/>
          <w:b w:val="1"/>
          <w:bCs w:val="1"/>
          <w:color w:val="auto"/>
        </w:rPr>
        <w:t>27-0000798</w:t>
      </w:r>
    </w:p>
    <w:p>
      <w:pPr>
        <w:spacing w:after="0" w:line="9" w:lineRule="exact"/>
        <w:rPr>
          <w:sz w:val="24"/>
          <w:szCs w:val="24"/>
          <w:color w:val="auto"/>
        </w:rPr>
      </w:pPr>
    </w:p>
    <w:p>
      <w:pPr>
        <w:jc w:val="center"/>
        <w:ind w:right="54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2">
            <w:col w:w="7360" w:space="720"/>
            <w:col w:w="3160"/>
          </w:cols>
          <w:pgMar w:left="320" w:top="792" w:right="339" w:bottom="846" w:gutter="0" w:footer="0" w:header="0"/>
          <w:type w:val="continuous"/>
        </w:sectPr>
      </w:pPr>
    </w:p>
    <w:p>
      <w:pPr>
        <w:spacing w:after="0" w:line="57" w:lineRule="exact"/>
        <w:rPr>
          <w:sz w:val="24"/>
          <w:szCs w:val="24"/>
          <w:color w:val="auto"/>
        </w:rPr>
      </w:pPr>
    </w:p>
    <w:p>
      <w:pPr>
        <w:jc w:val="center"/>
        <w:ind w:right="4520"/>
        <w:spacing w:after="0"/>
        <w:rPr>
          <w:sz w:val="20"/>
          <w:szCs w:val="20"/>
          <w:color w:val="auto"/>
        </w:rPr>
      </w:pPr>
      <w:r>
        <w:rPr>
          <w:rFonts w:ascii="Arial" w:cs="Arial" w:eastAsia="Arial" w:hAnsi="Arial"/>
          <w:sz w:val="18"/>
          <w:szCs w:val="18"/>
          <w:b w:val="1"/>
          <w:bCs w:val="1"/>
          <w:color w:val="auto"/>
        </w:rPr>
        <w:t>One Comcast Center</w:t>
      </w:r>
    </w:p>
    <w:p>
      <w:pPr>
        <w:spacing w:after="0" w:line="27" w:lineRule="exact"/>
        <w:rPr>
          <w:sz w:val="24"/>
          <w:szCs w:val="24"/>
          <w:color w:val="auto"/>
        </w:rPr>
      </w:pPr>
    </w:p>
    <w:p>
      <w:pPr>
        <w:jc w:val="center"/>
        <w:ind w:right="4520"/>
        <w:spacing w:after="0"/>
        <w:rPr>
          <w:sz w:val="20"/>
          <w:szCs w:val="20"/>
          <w:color w:val="auto"/>
        </w:rPr>
      </w:pPr>
      <w:r>
        <w:rPr>
          <w:rFonts w:ascii="Arial" w:cs="Arial" w:eastAsia="Arial" w:hAnsi="Arial"/>
          <w:sz w:val="18"/>
          <w:szCs w:val="18"/>
          <w:b w:val="1"/>
          <w:bCs w:val="1"/>
          <w:color w:val="auto"/>
        </w:rPr>
        <w:t>Philadelphia, PA</w:t>
      </w:r>
    </w:p>
    <w:p>
      <w:pPr>
        <w:spacing w:after="0" w:line="9" w:lineRule="exact"/>
        <w:rPr>
          <w:sz w:val="24"/>
          <w:szCs w:val="24"/>
          <w:color w:val="auto"/>
        </w:rPr>
      </w:pPr>
    </w:p>
    <w:p>
      <w:pPr>
        <w:jc w:val="center"/>
        <w:ind w:right="4520"/>
        <w:spacing w:after="0"/>
        <w:rPr>
          <w:sz w:val="20"/>
          <w:szCs w:val="20"/>
          <w:color w:val="auto"/>
        </w:rPr>
      </w:pPr>
      <w:r>
        <w:rPr>
          <w:rFonts w:ascii="Arial" w:cs="Arial" w:eastAsia="Arial" w:hAnsi="Arial"/>
          <w:sz w:val="16"/>
          <w:szCs w:val="16"/>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19103-2838</w:t>
      </w:r>
    </w:p>
    <w:p>
      <w:pPr>
        <w:spacing w:after="0" w:line="50" w:lineRule="exact"/>
        <w:rPr>
          <w:sz w:val="24"/>
          <w:szCs w:val="24"/>
          <w:color w:val="auto"/>
        </w:rPr>
      </w:pPr>
    </w:p>
    <w:p>
      <w:pPr>
        <w:ind w:left="20"/>
        <w:spacing w:after="0"/>
        <w:rPr>
          <w:sz w:val="20"/>
          <w:szCs w:val="20"/>
          <w:color w:val="auto"/>
        </w:rPr>
      </w:pPr>
      <w:r>
        <w:rPr>
          <w:rFonts w:ascii="Arial" w:cs="Arial" w:eastAsia="Arial" w:hAnsi="Arial"/>
          <w:sz w:val="16"/>
          <w:szCs w:val="16"/>
          <w:b w:val="1"/>
          <w:bCs w:val="1"/>
          <w:color w:val="auto"/>
        </w:rPr>
        <w:t>(Zip Code)</w:t>
      </w:r>
    </w:p>
    <w:p>
      <w:pPr>
        <w:spacing w:after="0" w:line="200" w:lineRule="exact"/>
        <w:rPr>
          <w:sz w:val="24"/>
          <w:szCs w:val="24"/>
          <w:color w:val="auto"/>
        </w:rPr>
      </w:pPr>
    </w:p>
    <w:p>
      <w:pPr>
        <w:sectPr>
          <w:pgSz w:w="11900" w:h="16838" w:orient="portrait"/>
          <w:cols w:equalWidth="0" w:num="2">
            <w:col w:w="8240" w:space="720"/>
            <w:col w:w="2280"/>
          </w:cols>
          <w:pgMar w:left="320" w:top="792" w:right="339" w:bottom="846"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(215) 286-1700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7" w:lineRule="exact"/>
        <w:rPr>
          <w:sz w:val="24"/>
          <w:szCs w:val="24"/>
          <w:color w:val="auto"/>
        </w:rPr>
      </w:pPr>
    </w:p>
    <w:p>
      <w:pPr>
        <w:ind w:left="4360"/>
        <w:spacing w:after="0"/>
        <w:rPr>
          <w:sz w:val="20"/>
          <w:szCs w:val="20"/>
          <w:color w:val="auto"/>
        </w:rPr>
      </w:pPr>
      <w:r>
        <w:rPr>
          <w:rFonts w:ascii="Arial" w:cs="Arial" w:eastAsia="Arial" w:hAnsi="Arial"/>
          <w:sz w:val="18"/>
          <w:szCs w:val="18"/>
          <w:color w:val="auto"/>
        </w:rPr>
        <w:t>____________________________</w:t>
      </w:r>
    </w:p>
    <w:p>
      <w:pPr>
        <w:spacing w:after="0" w:line="238" w:lineRule="exact"/>
        <w:rPr>
          <w:sz w:val="24"/>
          <w:szCs w:val="24"/>
          <w:color w:val="auto"/>
        </w:rPr>
      </w:pPr>
    </w:p>
    <w:p>
      <w:pPr>
        <w:ind w:right="360"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14a-12(b)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540" w:firstLine="332"/>
        <w:spacing w:after="0" w:line="509" w:lineRule="auto"/>
        <w:tabs>
          <w:tab w:leader="none" w:pos="648"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31"/>
        </w:trPr>
        <w:tc>
          <w:tcPr>
            <w:tcW w:w="49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18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4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37"/>
        </w:trPr>
        <w:tc>
          <w:tcPr>
            <w:tcW w:w="49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Class A Common Stock, $0.01 par value</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CMCSA</w:t>
            </w:r>
          </w:p>
        </w:tc>
        <w:tc>
          <w:tcPr>
            <w:tcW w:w="4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NASDAQ Global Select Market</w:t>
            </w:r>
          </w:p>
        </w:tc>
      </w:tr>
      <w:tr>
        <w:trPr>
          <w:trHeight w:val="236"/>
        </w:trPr>
        <w:tc>
          <w:tcPr>
            <w:tcW w:w="49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0.250% Notes due 2027</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CMCS27</w:t>
            </w:r>
          </w:p>
        </w:tc>
        <w:tc>
          <w:tcPr>
            <w:tcW w:w="4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NASDAQ Global Market</w:t>
            </w:r>
          </w:p>
        </w:tc>
      </w:tr>
      <w:tr>
        <w:trPr>
          <w:trHeight w:val="237"/>
        </w:trPr>
        <w:tc>
          <w:tcPr>
            <w:tcW w:w="49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1.500% Notes due 2029</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CMCS29</w:t>
            </w:r>
          </w:p>
        </w:tc>
        <w:tc>
          <w:tcPr>
            <w:tcW w:w="4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NASDAQ Global Market</w:t>
            </w:r>
          </w:p>
        </w:tc>
      </w:tr>
      <w:tr>
        <w:trPr>
          <w:trHeight w:val="236"/>
        </w:trPr>
        <w:tc>
          <w:tcPr>
            <w:tcW w:w="49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0.750% Notes due 2032</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CMCS32</w:t>
            </w:r>
          </w:p>
        </w:tc>
        <w:tc>
          <w:tcPr>
            <w:tcW w:w="4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NASDAQ Global Market</w:t>
            </w:r>
          </w:p>
        </w:tc>
      </w:tr>
      <w:tr>
        <w:trPr>
          <w:trHeight w:val="237"/>
        </w:trPr>
        <w:tc>
          <w:tcPr>
            <w:tcW w:w="49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1.875% Notes due 2036</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CMCS36</w:t>
            </w:r>
          </w:p>
        </w:tc>
        <w:tc>
          <w:tcPr>
            <w:tcW w:w="4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NASDAQ Global Market</w:t>
            </w:r>
          </w:p>
        </w:tc>
      </w:tr>
      <w:tr>
        <w:trPr>
          <w:trHeight w:val="236"/>
        </w:trPr>
        <w:tc>
          <w:tcPr>
            <w:tcW w:w="49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1.250% Notes due 2040</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CMCS40</w:t>
            </w:r>
          </w:p>
        </w:tc>
        <w:tc>
          <w:tcPr>
            <w:tcW w:w="4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NASDAQ Global Market</w:t>
            </w:r>
          </w:p>
        </w:tc>
      </w:tr>
      <w:tr>
        <w:trPr>
          <w:trHeight w:val="237"/>
        </w:trPr>
        <w:tc>
          <w:tcPr>
            <w:tcW w:w="49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9.455% Guaranteed Notes due 2022</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CMCSA/22</w:t>
            </w:r>
          </w:p>
        </w:tc>
        <w:tc>
          <w:tcPr>
            <w:tcW w:w="4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37"/>
        </w:trPr>
        <w:tc>
          <w:tcPr>
            <w:tcW w:w="49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5.50% Notes due 2029</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CCGBP29</w:t>
            </w:r>
          </w:p>
        </w:tc>
        <w:tc>
          <w:tcPr>
            <w:tcW w:w="4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36"/>
        </w:trPr>
        <w:tc>
          <w:tcPr>
            <w:tcW w:w="49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2.0% Exchangeable Subordinated Debentures due 2029</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CCZ</w:t>
            </w:r>
          </w:p>
        </w:tc>
        <w:tc>
          <w:tcPr>
            <w:tcW w:w="4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399415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846"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29"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At the annual meeting, our shareholders approved, or did not approve, the following proposals.</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number of votes cast for and against (or withheld) and the number of abstentions and broker non-votes with respect to each such proposal, as described in detail in Comcast Corporation’s definitive proxy statement dated April 24, 2020, are set forth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(1) All of the director nominees named in the proxy statement were elected to serve as directors for one-year terms.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Director</w:t>
            </w:r>
          </w:p>
        </w:tc>
        <w:tc>
          <w:tcPr>
            <w:tcW w:w="3420" w:type="dxa"/>
            <w:vAlign w:val="bottom"/>
            <w:tcBorders>
              <w:bottom w:val="single" w:sz="8" w:color="auto"/>
            </w:tcBorders>
          </w:tcPr>
          <w:p>
            <w:pPr>
              <w:jc w:val="center"/>
              <w:ind w:left="1470"/>
              <w:spacing w:after="0"/>
              <w:rPr>
                <w:sz w:val="20"/>
                <w:szCs w:val="20"/>
                <w:color w:val="auto"/>
              </w:rPr>
            </w:pPr>
            <w:r>
              <w:rPr>
                <w:rFonts w:ascii="Arial" w:cs="Arial" w:eastAsia="Arial" w:hAnsi="Arial"/>
                <w:sz w:val="18"/>
                <w:szCs w:val="18"/>
                <w:color w:val="auto"/>
                <w:w w:val="96"/>
              </w:rPr>
              <w:t>For</w:t>
            </w:r>
          </w:p>
        </w:tc>
        <w:tc>
          <w:tcPr>
            <w:tcW w:w="17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Withheld</w:t>
            </w:r>
          </w:p>
        </w:tc>
        <w:tc>
          <w:tcPr>
            <w:tcW w:w="17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Broker Non-Votes</w:t>
            </w:r>
          </w:p>
        </w:tc>
      </w:tr>
      <w:tr>
        <w:trPr>
          <w:trHeight w:val="195"/>
        </w:trPr>
        <w:tc>
          <w:tcPr>
            <w:tcW w:w="3640" w:type="dxa"/>
            <w:vAlign w:val="bottom"/>
          </w:tcPr>
          <w:p>
            <w:pPr>
              <w:spacing w:after="0" w:line="195" w:lineRule="exact"/>
              <w:rPr>
                <w:sz w:val="20"/>
                <w:szCs w:val="20"/>
                <w:color w:val="auto"/>
              </w:rPr>
            </w:pPr>
            <w:r>
              <w:rPr>
                <w:rFonts w:ascii="Arial" w:cs="Arial" w:eastAsia="Arial" w:hAnsi="Arial"/>
                <w:sz w:val="18"/>
                <w:szCs w:val="18"/>
                <w:color w:val="auto"/>
              </w:rPr>
              <w:t>Kenneth J. Bacon</w:t>
            </w:r>
          </w:p>
        </w:tc>
        <w:tc>
          <w:tcPr>
            <w:tcW w:w="3420" w:type="dxa"/>
            <w:vAlign w:val="bottom"/>
          </w:tcPr>
          <w:p>
            <w:pPr>
              <w:jc w:val="center"/>
              <w:ind w:left="1470"/>
              <w:spacing w:after="0" w:line="195" w:lineRule="exact"/>
              <w:rPr>
                <w:sz w:val="20"/>
                <w:szCs w:val="20"/>
                <w:color w:val="auto"/>
              </w:rPr>
            </w:pPr>
            <w:r>
              <w:rPr>
                <w:rFonts w:ascii="Arial" w:cs="Arial" w:eastAsia="Arial" w:hAnsi="Arial"/>
                <w:sz w:val="18"/>
                <w:szCs w:val="18"/>
                <w:color w:val="auto"/>
                <w:w w:val="89"/>
              </w:rPr>
              <w:t>353,339,190</w:t>
            </w:r>
          </w:p>
        </w:tc>
        <w:tc>
          <w:tcPr>
            <w:tcW w:w="1740" w:type="dxa"/>
            <w:vAlign w:val="bottom"/>
          </w:tcPr>
          <w:p>
            <w:pPr>
              <w:jc w:val="right"/>
              <w:ind w:right="150"/>
              <w:spacing w:after="0" w:line="195" w:lineRule="exact"/>
              <w:rPr>
                <w:sz w:val="20"/>
                <w:szCs w:val="20"/>
                <w:color w:val="auto"/>
              </w:rPr>
            </w:pPr>
            <w:r>
              <w:rPr>
                <w:rFonts w:ascii="Arial" w:cs="Arial" w:eastAsia="Arial" w:hAnsi="Arial"/>
                <w:sz w:val="18"/>
                <w:szCs w:val="18"/>
                <w:color w:val="auto"/>
              </w:rPr>
              <w:t>15,174,775</w:t>
            </w:r>
          </w:p>
        </w:tc>
        <w:tc>
          <w:tcPr>
            <w:tcW w:w="1740" w:type="dxa"/>
            <w:vAlign w:val="bottom"/>
          </w:tcPr>
          <w:p>
            <w:pPr>
              <w:jc w:val="right"/>
              <w:ind w:right="390"/>
              <w:spacing w:after="0" w:line="195" w:lineRule="exact"/>
              <w:rPr>
                <w:sz w:val="20"/>
                <w:szCs w:val="20"/>
                <w:color w:val="auto"/>
              </w:rPr>
            </w:pPr>
            <w:r>
              <w:rPr>
                <w:rFonts w:ascii="Arial" w:cs="Arial" w:eastAsia="Arial" w:hAnsi="Arial"/>
                <w:sz w:val="18"/>
                <w:szCs w:val="18"/>
                <w:color w:val="auto"/>
              </w:rPr>
              <w:t>22,005,912</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Madeline S. Bell</w:t>
            </w:r>
          </w:p>
        </w:tc>
        <w:tc>
          <w:tcPr>
            <w:tcW w:w="3420" w:type="dxa"/>
            <w:vAlign w:val="bottom"/>
          </w:tcPr>
          <w:p>
            <w:pPr>
              <w:jc w:val="center"/>
              <w:ind w:left="1470"/>
              <w:spacing w:after="0"/>
              <w:rPr>
                <w:sz w:val="20"/>
                <w:szCs w:val="20"/>
                <w:color w:val="auto"/>
              </w:rPr>
            </w:pPr>
            <w:r>
              <w:rPr>
                <w:rFonts w:ascii="Arial" w:cs="Arial" w:eastAsia="Arial" w:hAnsi="Arial"/>
                <w:sz w:val="18"/>
                <w:szCs w:val="18"/>
                <w:color w:val="auto"/>
                <w:w w:val="89"/>
              </w:rPr>
              <w:t>364,919,426</w:t>
            </w:r>
          </w:p>
        </w:tc>
        <w:tc>
          <w:tcPr>
            <w:tcW w:w="1740" w:type="dxa"/>
            <w:vAlign w:val="bottom"/>
          </w:tcPr>
          <w:p>
            <w:pPr>
              <w:jc w:val="right"/>
              <w:ind w:right="150"/>
              <w:spacing w:after="0"/>
              <w:rPr>
                <w:sz w:val="20"/>
                <w:szCs w:val="20"/>
                <w:color w:val="auto"/>
              </w:rPr>
            </w:pPr>
            <w:r>
              <w:rPr>
                <w:rFonts w:ascii="Arial" w:cs="Arial" w:eastAsia="Arial" w:hAnsi="Arial"/>
                <w:sz w:val="18"/>
                <w:szCs w:val="18"/>
                <w:color w:val="auto"/>
              </w:rPr>
              <w:t>3,594,539</w:t>
            </w:r>
          </w:p>
        </w:tc>
        <w:tc>
          <w:tcPr>
            <w:tcW w:w="1740" w:type="dxa"/>
            <w:vAlign w:val="bottom"/>
          </w:tcPr>
          <w:p>
            <w:pPr>
              <w:jc w:val="right"/>
              <w:ind w:right="390"/>
              <w:spacing w:after="0"/>
              <w:rPr>
                <w:sz w:val="20"/>
                <w:szCs w:val="20"/>
                <w:color w:val="auto"/>
              </w:rPr>
            </w:pPr>
            <w:r>
              <w:rPr>
                <w:rFonts w:ascii="Arial" w:cs="Arial" w:eastAsia="Arial" w:hAnsi="Arial"/>
                <w:sz w:val="18"/>
                <w:szCs w:val="18"/>
                <w:color w:val="auto"/>
              </w:rPr>
              <w:t>22,005,912</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Naomi M. Bergman</w:t>
            </w:r>
          </w:p>
        </w:tc>
        <w:tc>
          <w:tcPr>
            <w:tcW w:w="3420" w:type="dxa"/>
            <w:vAlign w:val="bottom"/>
          </w:tcPr>
          <w:p>
            <w:pPr>
              <w:jc w:val="center"/>
              <w:ind w:left="1470"/>
              <w:spacing w:after="0"/>
              <w:rPr>
                <w:sz w:val="20"/>
                <w:szCs w:val="20"/>
                <w:color w:val="auto"/>
              </w:rPr>
            </w:pPr>
            <w:r>
              <w:rPr>
                <w:rFonts w:ascii="Arial" w:cs="Arial" w:eastAsia="Arial" w:hAnsi="Arial"/>
                <w:sz w:val="18"/>
                <w:szCs w:val="18"/>
                <w:color w:val="auto"/>
                <w:w w:val="89"/>
              </w:rPr>
              <w:t>367,769,122</w:t>
            </w:r>
          </w:p>
        </w:tc>
        <w:tc>
          <w:tcPr>
            <w:tcW w:w="1740" w:type="dxa"/>
            <w:vAlign w:val="bottom"/>
          </w:tcPr>
          <w:p>
            <w:pPr>
              <w:jc w:val="right"/>
              <w:ind w:right="150"/>
              <w:spacing w:after="0"/>
              <w:rPr>
                <w:sz w:val="20"/>
                <w:szCs w:val="20"/>
                <w:color w:val="auto"/>
              </w:rPr>
            </w:pPr>
            <w:r>
              <w:rPr>
                <w:rFonts w:ascii="Arial" w:cs="Arial" w:eastAsia="Arial" w:hAnsi="Arial"/>
                <w:sz w:val="18"/>
                <w:szCs w:val="18"/>
                <w:color w:val="auto"/>
              </w:rPr>
              <w:t>744,843</w:t>
            </w:r>
          </w:p>
        </w:tc>
        <w:tc>
          <w:tcPr>
            <w:tcW w:w="1740" w:type="dxa"/>
            <w:vAlign w:val="bottom"/>
          </w:tcPr>
          <w:p>
            <w:pPr>
              <w:jc w:val="right"/>
              <w:ind w:right="390"/>
              <w:spacing w:after="0"/>
              <w:rPr>
                <w:sz w:val="20"/>
                <w:szCs w:val="20"/>
                <w:color w:val="auto"/>
              </w:rPr>
            </w:pPr>
            <w:r>
              <w:rPr>
                <w:rFonts w:ascii="Arial" w:cs="Arial" w:eastAsia="Arial" w:hAnsi="Arial"/>
                <w:sz w:val="18"/>
                <w:szCs w:val="18"/>
                <w:color w:val="auto"/>
              </w:rPr>
              <w:t>22,005,912</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Edward D. Breen</w:t>
            </w:r>
          </w:p>
        </w:tc>
        <w:tc>
          <w:tcPr>
            <w:tcW w:w="3420" w:type="dxa"/>
            <w:vAlign w:val="bottom"/>
          </w:tcPr>
          <w:p>
            <w:pPr>
              <w:jc w:val="center"/>
              <w:ind w:left="1470"/>
              <w:spacing w:after="0"/>
              <w:rPr>
                <w:sz w:val="20"/>
                <w:szCs w:val="20"/>
                <w:color w:val="auto"/>
              </w:rPr>
            </w:pPr>
            <w:r>
              <w:rPr>
                <w:rFonts w:ascii="Arial" w:cs="Arial" w:eastAsia="Arial" w:hAnsi="Arial"/>
                <w:sz w:val="18"/>
                <w:szCs w:val="18"/>
                <w:color w:val="auto"/>
                <w:w w:val="89"/>
              </w:rPr>
              <w:t>313,760,438</w:t>
            </w:r>
          </w:p>
        </w:tc>
        <w:tc>
          <w:tcPr>
            <w:tcW w:w="1740" w:type="dxa"/>
            <w:vAlign w:val="bottom"/>
          </w:tcPr>
          <w:p>
            <w:pPr>
              <w:jc w:val="right"/>
              <w:ind w:right="150"/>
              <w:spacing w:after="0"/>
              <w:rPr>
                <w:sz w:val="20"/>
                <w:szCs w:val="20"/>
                <w:color w:val="auto"/>
              </w:rPr>
            </w:pPr>
            <w:r>
              <w:rPr>
                <w:rFonts w:ascii="Arial" w:cs="Arial" w:eastAsia="Arial" w:hAnsi="Arial"/>
                <w:sz w:val="18"/>
                <w:szCs w:val="18"/>
                <w:color w:val="auto"/>
              </w:rPr>
              <w:t>54,753,527</w:t>
            </w:r>
          </w:p>
        </w:tc>
        <w:tc>
          <w:tcPr>
            <w:tcW w:w="1740" w:type="dxa"/>
            <w:vAlign w:val="bottom"/>
          </w:tcPr>
          <w:p>
            <w:pPr>
              <w:jc w:val="right"/>
              <w:ind w:right="390"/>
              <w:spacing w:after="0"/>
              <w:rPr>
                <w:sz w:val="20"/>
                <w:szCs w:val="20"/>
                <w:color w:val="auto"/>
              </w:rPr>
            </w:pPr>
            <w:r>
              <w:rPr>
                <w:rFonts w:ascii="Arial" w:cs="Arial" w:eastAsia="Arial" w:hAnsi="Arial"/>
                <w:sz w:val="18"/>
                <w:szCs w:val="18"/>
                <w:color w:val="auto"/>
              </w:rPr>
              <w:t>22,005,912</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Gerald L. Hassell</w:t>
            </w:r>
          </w:p>
        </w:tc>
        <w:tc>
          <w:tcPr>
            <w:tcW w:w="3420" w:type="dxa"/>
            <w:vAlign w:val="bottom"/>
          </w:tcPr>
          <w:p>
            <w:pPr>
              <w:jc w:val="center"/>
              <w:ind w:left="1470"/>
              <w:spacing w:after="0"/>
              <w:rPr>
                <w:sz w:val="20"/>
                <w:szCs w:val="20"/>
                <w:color w:val="auto"/>
              </w:rPr>
            </w:pPr>
            <w:r>
              <w:rPr>
                <w:rFonts w:ascii="Arial" w:cs="Arial" w:eastAsia="Arial" w:hAnsi="Arial"/>
                <w:sz w:val="18"/>
                <w:szCs w:val="18"/>
                <w:color w:val="auto"/>
                <w:w w:val="89"/>
              </w:rPr>
              <w:t>315,605,901</w:t>
            </w:r>
          </w:p>
        </w:tc>
        <w:tc>
          <w:tcPr>
            <w:tcW w:w="1740" w:type="dxa"/>
            <w:vAlign w:val="bottom"/>
          </w:tcPr>
          <w:p>
            <w:pPr>
              <w:jc w:val="right"/>
              <w:ind w:right="150"/>
              <w:spacing w:after="0"/>
              <w:rPr>
                <w:sz w:val="20"/>
                <w:szCs w:val="20"/>
                <w:color w:val="auto"/>
              </w:rPr>
            </w:pPr>
            <w:r>
              <w:rPr>
                <w:rFonts w:ascii="Arial" w:cs="Arial" w:eastAsia="Arial" w:hAnsi="Arial"/>
                <w:sz w:val="18"/>
                <w:szCs w:val="18"/>
                <w:color w:val="auto"/>
              </w:rPr>
              <w:t>52,908,064</w:t>
            </w:r>
          </w:p>
        </w:tc>
        <w:tc>
          <w:tcPr>
            <w:tcW w:w="1740" w:type="dxa"/>
            <w:vAlign w:val="bottom"/>
          </w:tcPr>
          <w:p>
            <w:pPr>
              <w:jc w:val="right"/>
              <w:ind w:right="390"/>
              <w:spacing w:after="0"/>
              <w:rPr>
                <w:sz w:val="20"/>
                <w:szCs w:val="20"/>
                <w:color w:val="auto"/>
              </w:rPr>
            </w:pPr>
            <w:r>
              <w:rPr>
                <w:rFonts w:ascii="Arial" w:cs="Arial" w:eastAsia="Arial" w:hAnsi="Arial"/>
                <w:sz w:val="18"/>
                <w:szCs w:val="18"/>
                <w:color w:val="auto"/>
              </w:rPr>
              <w:t>22,005,912</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Jeffrey A. Honickman</w:t>
            </w:r>
          </w:p>
        </w:tc>
        <w:tc>
          <w:tcPr>
            <w:tcW w:w="3420" w:type="dxa"/>
            <w:vAlign w:val="bottom"/>
          </w:tcPr>
          <w:p>
            <w:pPr>
              <w:jc w:val="center"/>
              <w:ind w:left="1470"/>
              <w:spacing w:after="0"/>
              <w:rPr>
                <w:sz w:val="20"/>
                <w:szCs w:val="20"/>
                <w:color w:val="auto"/>
              </w:rPr>
            </w:pPr>
            <w:r>
              <w:rPr>
                <w:rFonts w:ascii="Arial" w:cs="Arial" w:eastAsia="Arial" w:hAnsi="Arial"/>
                <w:sz w:val="18"/>
                <w:szCs w:val="18"/>
                <w:color w:val="auto"/>
                <w:w w:val="89"/>
              </w:rPr>
              <w:t>359,689,770</w:t>
            </w:r>
          </w:p>
        </w:tc>
        <w:tc>
          <w:tcPr>
            <w:tcW w:w="1740" w:type="dxa"/>
            <w:vAlign w:val="bottom"/>
          </w:tcPr>
          <w:p>
            <w:pPr>
              <w:jc w:val="right"/>
              <w:ind w:right="150"/>
              <w:spacing w:after="0"/>
              <w:rPr>
                <w:sz w:val="20"/>
                <w:szCs w:val="20"/>
                <w:color w:val="auto"/>
              </w:rPr>
            </w:pPr>
            <w:r>
              <w:rPr>
                <w:rFonts w:ascii="Arial" w:cs="Arial" w:eastAsia="Arial" w:hAnsi="Arial"/>
                <w:sz w:val="18"/>
                <w:szCs w:val="18"/>
                <w:color w:val="auto"/>
              </w:rPr>
              <w:t>8,824,195</w:t>
            </w:r>
          </w:p>
        </w:tc>
        <w:tc>
          <w:tcPr>
            <w:tcW w:w="1740" w:type="dxa"/>
            <w:vAlign w:val="bottom"/>
          </w:tcPr>
          <w:p>
            <w:pPr>
              <w:jc w:val="right"/>
              <w:ind w:right="390"/>
              <w:spacing w:after="0"/>
              <w:rPr>
                <w:sz w:val="20"/>
                <w:szCs w:val="20"/>
                <w:color w:val="auto"/>
              </w:rPr>
            </w:pPr>
            <w:r>
              <w:rPr>
                <w:rFonts w:ascii="Arial" w:cs="Arial" w:eastAsia="Arial" w:hAnsi="Arial"/>
                <w:sz w:val="18"/>
                <w:szCs w:val="18"/>
                <w:color w:val="auto"/>
              </w:rPr>
              <w:t>22,005,912</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Maritza G. Montiel</w:t>
            </w:r>
          </w:p>
        </w:tc>
        <w:tc>
          <w:tcPr>
            <w:tcW w:w="3420" w:type="dxa"/>
            <w:vAlign w:val="bottom"/>
          </w:tcPr>
          <w:p>
            <w:pPr>
              <w:jc w:val="center"/>
              <w:ind w:left="1470"/>
              <w:spacing w:after="0"/>
              <w:rPr>
                <w:sz w:val="20"/>
                <w:szCs w:val="20"/>
                <w:color w:val="auto"/>
              </w:rPr>
            </w:pPr>
            <w:r>
              <w:rPr>
                <w:rFonts w:ascii="Arial" w:cs="Arial" w:eastAsia="Arial" w:hAnsi="Arial"/>
                <w:sz w:val="18"/>
                <w:szCs w:val="18"/>
                <w:color w:val="auto"/>
                <w:w w:val="89"/>
              </w:rPr>
              <w:t>364,005,405</w:t>
            </w:r>
          </w:p>
        </w:tc>
        <w:tc>
          <w:tcPr>
            <w:tcW w:w="1740" w:type="dxa"/>
            <w:vAlign w:val="bottom"/>
          </w:tcPr>
          <w:p>
            <w:pPr>
              <w:jc w:val="right"/>
              <w:ind w:right="150"/>
              <w:spacing w:after="0"/>
              <w:rPr>
                <w:sz w:val="20"/>
                <w:szCs w:val="20"/>
                <w:color w:val="auto"/>
              </w:rPr>
            </w:pPr>
            <w:r>
              <w:rPr>
                <w:rFonts w:ascii="Arial" w:cs="Arial" w:eastAsia="Arial" w:hAnsi="Arial"/>
                <w:sz w:val="18"/>
                <w:szCs w:val="18"/>
                <w:color w:val="auto"/>
              </w:rPr>
              <w:t>4,508,560</w:t>
            </w:r>
          </w:p>
        </w:tc>
        <w:tc>
          <w:tcPr>
            <w:tcW w:w="1740" w:type="dxa"/>
            <w:vAlign w:val="bottom"/>
          </w:tcPr>
          <w:p>
            <w:pPr>
              <w:jc w:val="right"/>
              <w:ind w:right="390"/>
              <w:spacing w:after="0"/>
              <w:rPr>
                <w:sz w:val="20"/>
                <w:szCs w:val="20"/>
                <w:color w:val="auto"/>
              </w:rPr>
            </w:pPr>
            <w:r>
              <w:rPr>
                <w:rFonts w:ascii="Arial" w:cs="Arial" w:eastAsia="Arial" w:hAnsi="Arial"/>
                <w:sz w:val="18"/>
                <w:szCs w:val="18"/>
                <w:color w:val="auto"/>
              </w:rPr>
              <w:t>22,005,912</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Asuka Nakahara</w:t>
            </w:r>
          </w:p>
        </w:tc>
        <w:tc>
          <w:tcPr>
            <w:tcW w:w="3420" w:type="dxa"/>
            <w:vAlign w:val="bottom"/>
          </w:tcPr>
          <w:p>
            <w:pPr>
              <w:jc w:val="center"/>
              <w:ind w:left="1470"/>
              <w:spacing w:after="0"/>
              <w:rPr>
                <w:sz w:val="20"/>
                <w:szCs w:val="20"/>
                <w:color w:val="auto"/>
              </w:rPr>
            </w:pPr>
            <w:r>
              <w:rPr>
                <w:rFonts w:ascii="Arial" w:cs="Arial" w:eastAsia="Arial" w:hAnsi="Arial"/>
                <w:sz w:val="18"/>
                <w:szCs w:val="18"/>
                <w:color w:val="auto"/>
                <w:w w:val="89"/>
              </w:rPr>
              <w:t>367,450,418</w:t>
            </w:r>
          </w:p>
        </w:tc>
        <w:tc>
          <w:tcPr>
            <w:tcW w:w="1740" w:type="dxa"/>
            <w:vAlign w:val="bottom"/>
          </w:tcPr>
          <w:p>
            <w:pPr>
              <w:jc w:val="right"/>
              <w:ind w:right="150"/>
              <w:spacing w:after="0"/>
              <w:rPr>
                <w:sz w:val="20"/>
                <w:szCs w:val="20"/>
                <w:color w:val="auto"/>
              </w:rPr>
            </w:pPr>
            <w:r>
              <w:rPr>
                <w:rFonts w:ascii="Arial" w:cs="Arial" w:eastAsia="Arial" w:hAnsi="Arial"/>
                <w:sz w:val="18"/>
                <w:szCs w:val="18"/>
                <w:color w:val="auto"/>
              </w:rPr>
              <w:t>1,063,547</w:t>
            </w:r>
          </w:p>
        </w:tc>
        <w:tc>
          <w:tcPr>
            <w:tcW w:w="1740" w:type="dxa"/>
            <w:vAlign w:val="bottom"/>
          </w:tcPr>
          <w:p>
            <w:pPr>
              <w:jc w:val="right"/>
              <w:ind w:right="390"/>
              <w:spacing w:after="0"/>
              <w:rPr>
                <w:sz w:val="20"/>
                <w:szCs w:val="20"/>
                <w:color w:val="auto"/>
              </w:rPr>
            </w:pPr>
            <w:r>
              <w:rPr>
                <w:rFonts w:ascii="Arial" w:cs="Arial" w:eastAsia="Arial" w:hAnsi="Arial"/>
                <w:sz w:val="18"/>
                <w:szCs w:val="18"/>
                <w:color w:val="auto"/>
              </w:rPr>
              <w:t>22,005,912</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David C. Novak</w:t>
            </w:r>
          </w:p>
        </w:tc>
        <w:tc>
          <w:tcPr>
            <w:tcW w:w="3420" w:type="dxa"/>
            <w:vAlign w:val="bottom"/>
          </w:tcPr>
          <w:p>
            <w:pPr>
              <w:jc w:val="center"/>
              <w:ind w:left="1470"/>
              <w:spacing w:after="0"/>
              <w:rPr>
                <w:sz w:val="20"/>
                <w:szCs w:val="20"/>
                <w:color w:val="auto"/>
              </w:rPr>
            </w:pPr>
            <w:r>
              <w:rPr>
                <w:rFonts w:ascii="Arial" w:cs="Arial" w:eastAsia="Arial" w:hAnsi="Arial"/>
                <w:sz w:val="18"/>
                <w:szCs w:val="18"/>
                <w:color w:val="auto"/>
                <w:w w:val="89"/>
              </w:rPr>
              <w:t>316,768,680</w:t>
            </w:r>
          </w:p>
        </w:tc>
        <w:tc>
          <w:tcPr>
            <w:tcW w:w="1740" w:type="dxa"/>
            <w:vAlign w:val="bottom"/>
          </w:tcPr>
          <w:p>
            <w:pPr>
              <w:jc w:val="right"/>
              <w:ind w:right="150"/>
              <w:spacing w:after="0"/>
              <w:rPr>
                <w:sz w:val="20"/>
                <w:szCs w:val="20"/>
                <w:color w:val="auto"/>
              </w:rPr>
            </w:pPr>
            <w:r>
              <w:rPr>
                <w:rFonts w:ascii="Arial" w:cs="Arial" w:eastAsia="Arial" w:hAnsi="Arial"/>
                <w:sz w:val="18"/>
                <w:szCs w:val="18"/>
                <w:color w:val="auto"/>
              </w:rPr>
              <w:t>51,745,285</w:t>
            </w:r>
          </w:p>
        </w:tc>
        <w:tc>
          <w:tcPr>
            <w:tcW w:w="1740" w:type="dxa"/>
            <w:vAlign w:val="bottom"/>
          </w:tcPr>
          <w:p>
            <w:pPr>
              <w:jc w:val="right"/>
              <w:ind w:right="390"/>
              <w:spacing w:after="0"/>
              <w:rPr>
                <w:sz w:val="20"/>
                <w:szCs w:val="20"/>
                <w:color w:val="auto"/>
              </w:rPr>
            </w:pPr>
            <w:r>
              <w:rPr>
                <w:rFonts w:ascii="Arial" w:cs="Arial" w:eastAsia="Arial" w:hAnsi="Arial"/>
                <w:sz w:val="18"/>
                <w:szCs w:val="18"/>
                <w:color w:val="auto"/>
              </w:rPr>
              <w:t>22,005,912</w:t>
            </w: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Brian L. Roberts</w:t>
            </w:r>
          </w:p>
        </w:tc>
        <w:tc>
          <w:tcPr>
            <w:tcW w:w="3420" w:type="dxa"/>
            <w:vAlign w:val="bottom"/>
          </w:tcPr>
          <w:p>
            <w:pPr>
              <w:jc w:val="center"/>
              <w:ind w:left="1470"/>
              <w:spacing w:after="0"/>
              <w:rPr>
                <w:sz w:val="20"/>
                <w:szCs w:val="20"/>
                <w:color w:val="auto"/>
              </w:rPr>
            </w:pPr>
            <w:r>
              <w:rPr>
                <w:rFonts w:ascii="Arial" w:cs="Arial" w:eastAsia="Arial" w:hAnsi="Arial"/>
                <w:sz w:val="18"/>
                <w:szCs w:val="18"/>
                <w:color w:val="auto"/>
                <w:w w:val="89"/>
              </w:rPr>
              <w:t>357,409,993</w:t>
            </w:r>
          </w:p>
        </w:tc>
        <w:tc>
          <w:tcPr>
            <w:tcW w:w="1740" w:type="dxa"/>
            <w:vAlign w:val="bottom"/>
          </w:tcPr>
          <w:p>
            <w:pPr>
              <w:jc w:val="right"/>
              <w:ind w:right="150"/>
              <w:spacing w:after="0"/>
              <w:rPr>
                <w:sz w:val="20"/>
                <w:szCs w:val="20"/>
                <w:color w:val="auto"/>
              </w:rPr>
            </w:pPr>
            <w:r>
              <w:rPr>
                <w:rFonts w:ascii="Arial" w:cs="Arial" w:eastAsia="Arial" w:hAnsi="Arial"/>
                <w:sz w:val="18"/>
                <w:szCs w:val="18"/>
                <w:color w:val="auto"/>
              </w:rPr>
              <w:t>11,103,972</w:t>
            </w:r>
          </w:p>
        </w:tc>
        <w:tc>
          <w:tcPr>
            <w:tcW w:w="1740" w:type="dxa"/>
            <w:vAlign w:val="bottom"/>
          </w:tcPr>
          <w:p>
            <w:pPr>
              <w:jc w:val="right"/>
              <w:ind w:right="390"/>
              <w:spacing w:after="0"/>
              <w:rPr>
                <w:sz w:val="20"/>
                <w:szCs w:val="20"/>
                <w:color w:val="auto"/>
              </w:rPr>
            </w:pPr>
            <w:r>
              <w:rPr>
                <w:rFonts w:ascii="Arial" w:cs="Arial" w:eastAsia="Arial" w:hAnsi="Arial"/>
                <w:sz w:val="18"/>
                <w:szCs w:val="18"/>
                <w:color w:val="auto"/>
              </w:rPr>
              <w:t>22,005,912</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(2) The appointment of Deloitte &amp; Touche LLP as our independent auditors for the 2020 fiscal year, as described in the proxy statement, was ratified.</w:t>
      </w:r>
    </w:p>
    <w:p>
      <w:pPr>
        <w:spacing w:after="0" w:line="237"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26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6"/>
              </w:rPr>
              <w:t>For</w:t>
            </w:r>
          </w:p>
        </w:tc>
        <w:tc>
          <w:tcPr>
            <w:tcW w:w="29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93"/>
              </w:rPr>
              <w:t>Against</w:t>
            </w:r>
          </w:p>
        </w:tc>
        <w:tc>
          <w:tcPr>
            <w:tcW w:w="2620" w:type="dxa"/>
            <w:vAlign w:val="bottom"/>
            <w:tcBorders>
              <w:bottom w:val="single" w:sz="8" w:color="auto"/>
            </w:tcBorders>
          </w:tcPr>
          <w:p>
            <w:pPr>
              <w:ind w:left="1220"/>
              <w:spacing w:after="0"/>
              <w:rPr>
                <w:sz w:val="20"/>
                <w:szCs w:val="20"/>
                <w:color w:val="auto"/>
              </w:rPr>
            </w:pPr>
            <w:r>
              <w:rPr>
                <w:rFonts w:ascii="Arial" w:cs="Arial" w:eastAsia="Arial" w:hAnsi="Arial"/>
                <w:sz w:val="18"/>
                <w:szCs w:val="18"/>
                <w:color w:val="auto"/>
              </w:rPr>
              <w:t>Abstain</w:t>
            </w:r>
          </w:p>
        </w:tc>
        <w:tc>
          <w:tcPr>
            <w:tcW w:w="2340" w:type="dxa"/>
            <w:vAlign w:val="bottom"/>
            <w:tcBorders>
              <w:bottom w:val="single" w:sz="8" w:color="auto"/>
            </w:tcBorders>
          </w:tcPr>
          <w:p>
            <w:pPr>
              <w:jc w:val="center"/>
              <w:ind w:left="490"/>
              <w:spacing w:after="0"/>
              <w:rPr>
                <w:sz w:val="20"/>
                <w:szCs w:val="20"/>
                <w:color w:val="auto"/>
              </w:rPr>
            </w:pPr>
            <w:r>
              <w:rPr>
                <w:rFonts w:ascii="Arial" w:cs="Arial" w:eastAsia="Arial" w:hAnsi="Arial"/>
                <w:sz w:val="18"/>
                <w:szCs w:val="18"/>
                <w:color w:val="auto"/>
                <w:w w:val="92"/>
              </w:rPr>
              <w:t>Broker Non-Votes</w:t>
            </w:r>
          </w:p>
        </w:tc>
      </w:tr>
      <w:tr>
        <w:trPr>
          <w:trHeight w:val="224"/>
        </w:trPr>
        <w:tc>
          <w:tcPr>
            <w:tcW w:w="2600" w:type="dxa"/>
            <w:vAlign w:val="bottom"/>
          </w:tcPr>
          <w:p>
            <w:pPr>
              <w:jc w:val="right"/>
              <w:ind w:right="850"/>
              <w:spacing w:after="0"/>
              <w:rPr>
                <w:sz w:val="20"/>
                <w:szCs w:val="20"/>
                <w:color w:val="auto"/>
              </w:rPr>
            </w:pPr>
            <w:r>
              <w:rPr>
                <w:rFonts w:ascii="Arial" w:cs="Arial" w:eastAsia="Arial" w:hAnsi="Arial"/>
                <w:sz w:val="18"/>
                <w:szCs w:val="18"/>
                <w:color w:val="auto"/>
              </w:rPr>
              <w:t>380,128,575</w:t>
            </w:r>
          </w:p>
        </w:tc>
        <w:tc>
          <w:tcPr>
            <w:tcW w:w="2980" w:type="dxa"/>
            <w:vAlign w:val="bottom"/>
          </w:tcPr>
          <w:p>
            <w:pPr>
              <w:jc w:val="right"/>
              <w:ind w:right="1130"/>
              <w:spacing w:after="0"/>
              <w:rPr>
                <w:sz w:val="20"/>
                <w:szCs w:val="20"/>
                <w:color w:val="auto"/>
              </w:rPr>
            </w:pPr>
            <w:r>
              <w:rPr>
                <w:rFonts w:ascii="Arial" w:cs="Arial" w:eastAsia="Arial" w:hAnsi="Arial"/>
                <w:sz w:val="18"/>
                <w:szCs w:val="18"/>
                <w:color w:val="auto"/>
              </w:rPr>
              <w:t>10,191,845</w:t>
            </w:r>
          </w:p>
        </w:tc>
        <w:tc>
          <w:tcPr>
            <w:tcW w:w="2620" w:type="dxa"/>
            <w:vAlign w:val="bottom"/>
          </w:tcPr>
          <w:p>
            <w:pPr>
              <w:ind w:left="1220"/>
              <w:spacing w:after="0"/>
              <w:rPr>
                <w:sz w:val="20"/>
                <w:szCs w:val="20"/>
                <w:color w:val="auto"/>
              </w:rPr>
            </w:pPr>
            <w:r>
              <w:rPr>
                <w:rFonts w:ascii="Arial" w:cs="Arial" w:eastAsia="Arial" w:hAnsi="Arial"/>
                <w:sz w:val="18"/>
                <w:szCs w:val="18"/>
                <w:color w:val="auto"/>
              </w:rPr>
              <w:t>199,457</w:t>
            </w:r>
          </w:p>
        </w:tc>
        <w:tc>
          <w:tcPr>
            <w:tcW w:w="2340" w:type="dxa"/>
            <w:vAlign w:val="bottom"/>
          </w:tcPr>
          <w:p>
            <w:pPr>
              <w:jc w:val="center"/>
              <w:ind w:left="490"/>
              <w:spacing w:after="0"/>
              <w:rPr>
                <w:sz w:val="20"/>
                <w:szCs w:val="20"/>
                <w:color w:val="auto"/>
              </w:rPr>
            </w:pPr>
            <w:r>
              <w:rPr>
                <w:rFonts w:ascii="Arial" w:cs="Arial" w:eastAsia="Arial" w:hAnsi="Arial"/>
                <w:sz w:val="18"/>
                <w:szCs w:val="18"/>
                <w:color w:val="auto"/>
              </w:rPr>
              <w:t>N/A</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(3) The approval of the Comcast Corporation Amended and Restated 2003 Stock Option Plan, as described in the proxy statement, was approved.</w:t>
      </w:r>
    </w:p>
    <w:p>
      <w:pPr>
        <w:spacing w:after="0" w:line="237"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26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6"/>
              </w:rPr>
              <w:t>For</w:t>
            </w:r>
          </w:p>
        </w:tc>
        <w:tc>
          <w:tcPr>
            <w:tcW w:w="29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93"/>
              </w:rPr>
              <w:t>Against</w:t>
            </w:r>
          </w:p>
        </w:tc>
        <w:tc>
          <w:tcPr>
            <w:tcW w:w="2620" w:type="dxa"/>
            <w:vAlign w:val="bottom"/>
            <w:tcBorders>
              <w:bottom w:val="single" w:sz="8" w:color="auto"/>
            </w:tcBorders>
          </w:tcPr>
          <w:p>
            <w:pPr>
              <w:ind w:left="1220"/>
              <w:spacing w:after="0"/>
              <w:rPr>
                <w:sz w:val="20"/>
                <w:szCs w:val="20"/>
                <w:color w:val="auto"/>
              </w:rPr>
            </w:pPr>
            <w:r>
              <w:rPr>
                <w:rFonts w:ascii="Arial" w:cs="Arial" w:eastAsia="Arial" w:hAnsi="Arial"/>
                <w:sz w:val="18"/>
                <w:szCs w:val="18"/>
                <w:color w:val="auto"/>
              </w:rPr>
              <w:t>Abstain</w:t>
            </w:r>
          </w:p>
        </w:tc>
        <w:tc>
          <w:tcPr>
            <w:tcW w:w="2340" w:type="dxa"/>
            <w:vAlign w:val="bottom"/>
            <w:tcBorders>
              <w:bottom w:val="single" w:sz="8" w:color="auto"/>
            </w:tcBorders>
          </w:tcPr>
          <w:p>
            <w:pPr>
              <w:jc w:val="center"/>
              <w:ind w:left="490"/>
              <w:spacing w:after="0"/>
              <w:rPr>
                <w:sz w:val="20"/>
                <w:szCs w:val="20"/>
                <w:color w:val="auto"/>
              </w:rPr>
            </w:pPr>
            <w:r>
              <w:rPr>
                <w:rFonts w:ascii="Arial" w:cs="Arial" w:eastAsia="Arial" w:hAnsi="Arial"/>
                <w:sz w:val="18"/>
                <w:szCs w:val="18"/>
                <w:color w:val="auto"/>
                <w:w w:val="92"/>
              </w:rPr>
              <w:t>Broker Non-Votes</w:t>
            </w:r>
          </w:p>
        </w:tc>
      </w:tr>
      <w:tr>
        <w:trPr>
          <w:trHeight w:val="224"/>
        </w:trPr>
        <w:tc>
          <w:tcPr>
            <w:tcW w:w="2600" w:type="dxa"/>
            <w:vAlign w:val="bottom"/>
          </w:tcPr>
          <w:p>
            <w:pPr>
              <w:jc w:val="right"/>
              <w:ind w:right="850"/>
              <w:spacing w:after="0"/>
              <w:rPr>
                <w:sz w:val="20"/>
                <w:szCs w:val="20"/>
                <w:color w:val="auto"/>
              </w:rPr>
            </w:pPr>
            <w:r>
              <w:rPr>
                <w:rFonts w:ascii="Arial" w:cs="Arial" w:eastAsia="Arial" w:hAnsi="Arial"/>
                <w:sz w:val="18"/>
                <w:szCs w:val="18"/>
                <w:color w:val="auto"/>
              </w:rPr>
              <w:t>332,037,631</w:t>
            </w:r>
          </w:p>
        </w:tc>
        <w:tc>
          <w:tcPr>
            <w:tcW w:w="2980" w:type="dxa"/>
            <w:vAlign w:val="bottom"/>
          </w:tcPr>
          <w:p>
            <w:pPr>
              <w:jc w:val="right"/>
              <w:ind w:right="1130"/>
              <w:spacing w:after="0"/>
              <w:rPr>
                <w:sz w:val="20"/>
                <w:szCs w:val="20"/>
                <w:color w:val="auto"/>
              </w:rPr>
            </w:pPr>
            <w:r>
              <w:rPr>
                <w:rFonts w:ascii="Arial" w:cs="Arial" w:eastAsia="Arial" w:hAnsi="Arial"/>
                <w:sz w:val="18"/>
                <w:szCs w:val="18"/>
                <w:color w:val="auto"/>
              </w:rPr>
              <w:t>36,098,837</w:t>
            </w:r>
          </w:p>
        </w:tc>
        <w:tc>
          <w:tcPr>
            <w:tcW w:w="2620" w:type="dxa"/>
            <w:vAlign w:val="bottom"/>
          </w:tcPr>
          <w:p>
            <w:pPr>
              <w:ind w:left="1220"/>
              <w:spacing w:after="0"/>
              <w:rPr>
                <w:sz w:val="20"/>
                <w:szCs w:val="20"/>
                <w:color w:val="auto"/>
              </w:rPr>
            </w:pPr>
            <w:r>
              <w:rPr>
                <w:rFonts w:ascii="Arial" w:cs="Arial" w:eastAsia="Arial" w:hAnsi="Arial"/>
                <w:sz w:val="18"/>
                <w:szCs w:val="18"/>
                <w:color w:val="auto"/>
              </w:rPr>
              <w:t>377,494</w:t>
            </w:r>
          </w:p>
        </w:tc>
        <w:tc>
          <w:tcPr>
            <w:tcW w:w="2340" w:type="dxa"/>
            <w:vAlign w:val="bottom"/>
          </w:tcPr>
          <w:p>
            <w:pPr>
              <w:jc w:val="right"/>
              <w:ind w:right="390"/>
              <w:spacing w:after="0"/>
              <w:rPr>
                <w:sz w:val="20"/>
                <w:szCs w:val="20"/>
                <w:color w:val="auto"/>
              </w:rPr>
            </w:pPr>
            <w:r>
              <w:rPr>
                <w:rFonts w:ascii="Arial" w:cs="Arial" w:eastAsia="Arial" w:hAnsi="Arial"/>
                <w:sz w:val="18"/>
                <w:szCs w:val="18"/>
                <w:color w:val="auto"/>
              </w:rPr>
              <w:t>22,005,915</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(4) The approval of the Comcast Corporation Amended and Restated 2002 Restricted Stock Plan, as described in the proxy statement, was approved.</w:t>
      </w:r>
    </w:p>
    <w:p>
      <w:pPr>
        <w:spacing w:after="0" w:line="248"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26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6"/>
              </w:rPr>
              <w:t>For</w:t>
            </w:r>
          </w:p>
        </w:tc>
        <w:tc>
          <w:tcPr>
            <w:tcW w:w="29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93"/>
              </w:rPr>
              <w:t>Against</w:t>
            </w:r>
          </w:p>
        </w:tc>
        <w:tc>
          <w:tcPr>
            <w:tcW w:w="2620" w:type="dxa"/>
            <w:vAlign w:val="bottom"/>
            <w:tcBorders>
              <w:bottom w:val="single" w:sz="8" w:color="auto"/>
            </w:tcBorders>
          </w:tcPr>
          <w:p>
            <w:pPr>
              <w:ind w:left="1220"/>
              <w:spacing w:after="0"/>
              <w:rPr>
                <w:sz w:val="20"/>
                <w:szCs w:val="20"/>
                <w:color w:val="auto"/>
              </w:rPr>
            </w:pPr>
            <w:r>
              <w:rPr>
                <w:rFonts w:ascii="Arial" w:cs="Arial" w:eastAsia="Arial" w:hAnsi="Arial"/>
                <w:sz w:val="18"/>
                <w:szCs w:val="18"/>
                <w:color w:val="auto"/>
              </w:rPr>
              <w:t>Abstain</w:t>
            </w:r>
          </w:p>
        </w:tc>
        <w:tc>
          <w:tcPr>
            <w:tcW w:w="2340" w:type="dxa"/>
            <w:vAlign w:val="bottom"/>
            <w:tcBorders>
              <w:bottom w:val="single" w:sz="8" w:color="auto"/>
            </w:tcBorders>
          </w:tcPr>
          <w:p>
            <w:pPr>
              <w:jc w:val="center"/>
              <w:ind w:left="490"/>
              <w:spacing w:after="0"/>
              <w:rPr>
                <w:sz w:val="20"/>
                <w:szCs w:val="20"/>
                <w:color w:val="auto"/>
              </w:rPr>
            </w:pPr>
            <w:r>
              <w:rPr>
                <w:rFonts w:ascii="Arial" w:cs="Arial" w:eastAsia="Arial" w:hAnsi="Arial"/>
                <w:sz w:val="18"/>
                <w:szCs w:val="18"/>
                <w:color w:val="auto"/>
                <w:w w:val="92"/>
              </w:rPr>
              <w:t>Broker Non-Votes</w:t>
            </w:r>
          </w:p>
        </w:tc>
      </w:tr>
      <w:tr>
        <w:trPr>
          <w:trHeight w:val="224"/>
        </w:trPr>
        <w:tc>
          <w:tcPr>
            <w:tcW w:w="2600" w:type="dxa"/>
            <w:vAlign w:val="bottom"/>
          </w:tcPr>
          <w:p>
            <w:pPr>
              <w:jc w:val="right"/>
              <w:ind w:right="850"/>
              <w:spacing w:after="0"/>
              <w:rPr>
                <w:sz w:val="20"/>
                <w:szCs w:val="20"/>
                <w:color w:val="auto"/>
              </w:rPr>
            </w:pPr>
            <w:r>
              <w:rPr>
                <w:rFonts w:ascii="Arial" w:cs="Arial" w:eastAsia="Arial" w:hAnsi="Arial"/>
                <w:sz w:val="18"/>
                <w:szCs w:val="18"/>
                <w:color w:val="auto"/>
              </w:rPr>
              <w:t>351,117,753</w:t>
            </w:r>
          </w:p>
        </w:tc>
        <w:tc>
          <w:tcPr>
            <w:tcW w:w="2980" w:type="dxa"/>
            <w:vAlign w:val="bottom"/>
          </w:tcPr>
          <w:p>
            <w:pPr>
              <w:jc w:val="right"/>
              <w:ind w:right="1130"/>
              <w:spacing w:after="0"/>
              <w:rPr>
                <w:sz w:val="20"/>
                <w:szCs w:val="20"/>
                <w:color w:val="auto"/>
              </w:rPr>
            </w:pPr>
            <w:r>
              <w:rPr>
                <w:rFonts w:ascii="Arial" w:cs="Arial" w:eastAsia="Arial" w:hAnsi="Arial"/>
                <w:sz w:val="18"/>
                <w:szCs w:val="18"/>
                <w:color w:val="auto"/>
              </w:rPr>
              <w:t>17,003,620</w:t>
            </w:r>
          </w:p>
        </w:tc>
        <w:tc>
          <w:tcPr>
            <w:tcW w:w="2620" w:type="dxa"/>
            <w:vAlign w:val="bottom"/>
          </w:tcPr>
          <w:p>
            <w:pPr>
              <w:ind w:left="1220"/>
              <w:spacing w:after="0"/>
              <w:rPr>
                <w:sz w:val="20"/>
                <w:szCs w:val="20"/>
                <w:color w:val="auto"/>
              </w:rPr>
            </w:pPr>
            <w:r>
              <w:rPr>
                <w:rFonts w:ascii="Arial" w:cs="Arial" w:eastAsia="Arial" w:hAnsi="Arial"/>
                <w:sz w:val="18"/>
                <w:szCs w:val="18"/>
                <w:color w:val="auto"/>
              </w:rPr>
              <w:t>392,590</w:t>
            </w:r>
          </w:p>
        </w:tc>
        <w:tc>
          <w:tcPr>
            <w:tcW w:w="2340" w:type="dxa"/>
            <w:vAlign w:val="bottom"/>
          </w:tcPr>
          <w:p>
            <w:pPr>
              <w:jc w:val="right"/>
              <w:ind w:right="390"/>
              <w:spacing w:after="0"/>
              <w:rPr>
                <w:sz w:val="20"/>
                <w:szCs w:val="20"/>
                <w:color w:val="auto"/>
              </w:rPr>
            </w:pPr>
            <w:r>
              <w:rPr>
                <w:rFonts w:ascii="Arial" w:cs="Arial" w:eastAsia="Arial" w:hAnsi="Arial"/>
                <w:sz w:val="18"/>
                <w:szCs w:val="18"/>
                <w:color w:val="auto"/>
              </w:rPr>
              <w:t>22,005,914</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(5) The advisory vote on our executive compensation, as described in the proxy statement, was approved.</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26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6"/>
              </w:rPr>
              <w:t>For</w:t>
            </w:r>
          </w:p>
        </w:tc>
        <w:tc>
          <w:tcPr>
            <w:tcW w:w="29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93"/>
              </w:rPr>
              <w:t>Against</w:t>
            </w:r>
          </w:p>
        </w:tc>
        <w:tc>
          <w:tcPr>
            <w:tcW w:w="2620" w:type="dxa"/>
            <w:vAlign w:val="bottom"/>
            <w:tcBorders>
              <w:bottom w:val="single" w:sz="8" w:color="auto"/>
            </w:tcBorders>
          </w:tcPr>
          <w:p>
            <w:pPr>
              <w:ind w:left="1220"/>
              <w:spacing w:after="0"/>
              <w:rPr>
                <w:sz w:val="20"/>
                <w:szCs w:val="20"/>
                <w:color w:val="auto"/>
              </w:rPr>
            </w:pPr>
            <w:r>
              <w:rPr>
                <w:rFonts w:ascii="Arial" w:cs="Arial" w:eastAsia="Arial" w:hAnsi="Arial"/>
                <w:sz w:val="18"/>
                <w:szCs w:val="18"/>
                <w:color w:val="auto"/>
              </w:rPr>
              <w:t>Abstain</w:t>
            </w:r>
          </w:p>
        </w:tc>
        <w:tc>
          <w:tcPr>
            <w:tcW w:w="2340" w:type="dxa"/>
            <w:vAlign w:val="bottom"/>
            <w:tcBorders>
              <w:bottom w:val="single" w:sz="8" w:color="auto"/>
            </w:tcBorders>
          </w:tcPr>
          <w:p>
            <w:pPr>
              <w:jc w:val="center"/>
              <w:ind w:left="490"/>
              <w:spacing w:after="0"/>
              <w:rPr>
                <w:sz w:val="20"/>
                <w:szCs w:val="20"/>
                <w:color w:val="auto"/>
              </w:rPr>
            </w:pPr>
            <w:r>
              <w:rPr>
                <w:rFonts w:ascii="Arial" w:cs="Arial" w:eastAsia="Arial" w:hAnsi="Arial"/>
                <w:sz w:val="18"/>
                <w:szCs w:val="18"/>
                <w:color w:val="auto"/>
                <w:w w:val="92"/>
              </w:rPr>
              <w:t>Broker Non-Votes</w:t>
            </w:r>
          </w:p>
        </w:tc>
      </w:tr>
      <w:tr>
        <w:trPr>
          <w:trHeight w:val="224"/>
        </w:trPr>
        <w:tc>
          <w:tcPr>
            <w:tcW w:w="2600" w:type="dxa"/>
            <w:vAlign w:val="bottom"/>
          </w:tcPr>
          <w:p>
            <w:pPr>
              <w:jc w:val="right"/>
              <w:ind w:right="850"/>
              <w:spacing w:after="0"/>
              <w:rPr>
                <w:sz w:val="20"/>
                <w:szCs w:val="20"/>
                <w:color w:val="auto"/>
              </w:rPr>
            </w:pPr>
            <w:r>
              <w:rPr>
                <w:rFonts w:ascii="Arial" w:cs="Arial" w:eastAsia="Arial" w:hAnsi="Arial"/>
                <w:sz w:val="18"/>
                <w:szCs w:val="18"/>
                <w:color w:val="auto"/>
              </w:rPr>
              <w:t>283,141,731</w:t>
            </w:r>
          </w:p>
        </w:tc>
        <w:tc>
          <w:tcPr>
            <w:tcW w:w="2980" w:type="dxa"/>
            <w:vAlign w:val="bottom"/>
          </w:tcPr>
          <w:p>
            <w:pPr>
              <w:jc w:val="right"/>
              <w:ind w:right="1130"/>
              <w:spacing w:after="0"/>
              <w:rPr>
                <w:sz w:val="20"/>
                <w:szCs w:val="20"/>
                <w:color w:val="auto"/>
              </w:rPr>
            </w:pPr>
            <w:r>
              <w:rPr>
                <w:rFonts w:ascii="Arial" w:cs="Arial" w:eastAsia="Arial" w:hAnsi="Arial"/>
                <w:sz w:val="18"/>
                <w:szCs w:val="18"/>
                <w:color w:val="auto"/>
              </w:rPr>
              <w:t>84,772,369</w:t>
            </w:r>
          </w:p>
        </w:tc>
        <w:tc>
          <w:tcPr>
            <w:tcW w:w="2620" w:type="dxa"/>
            <w:vAlign w:val="bottom"/>
          </w:tcPr>
          <w:p>
            <w:pPr>
              <w:ind w:left="1220"/>
              <w:spacing w:after="0"/>
              <w:rPr>
                <w:sz w:val="20"/>
                <w:szCs w:val="20"/>
                <w:color w:val="auto"/>
              </w:rPr>
            </w:pPr>
            <w:r>
              <w:rPr>
                <w:rFonts w:ascii="Arial" w:cs="Arial" w:eastAsia="Arial" w:hAnsi="Arial"/>
                <w:sz w:val="18"/>
                <w:szCs w:val="18"/>
                <w:color w:val="auto"/>
              </w:rPr>
              <w:t>599,862</w:t>
            </w:r>
          </w:p>
        </w:tc>
        <w:tc>
          <w:tcPr>
            <w:tcW w:w="2340" w:type="dxa"/>
            <w:vAlign w:val="bottom"/>
          </w:tcPr>
          <w:p>
            <w:pPr>
              <w:jc w:val="right"/>
              <w:ind w:right="390"/>
              <w:spacing w:after="0"/>
              <w:rPr>
                <w:sz w:val="20"/>
                <w:szCs w:val="20"/>
                <w:color w:val="auto"/>
              </w:rPr>
            </w:pPr>
            <w:r>
              <w:rPr>
                <w:rFonts w:ascii="Arial" w:cs="Arial" w:eastAsia="Arial" w:hAnsi="Arial"/>
                <w:sz w:val="18"/>
                <w:szCs w:val="18"/>
                <w:color w:val="auto"/>
              </w:rPr>
              <w:t>22,005,915</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(6) A shareholder proposal to provide a report on lobbying activities, as described in the proxy statement, was not approved.</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25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6"/>
              </w:rPr>
              <w:t>For</w:t>
            </w:r>
          </w:p>
        </w:tc>
        <w:tc>
          <w:tcPr>
            <w:tcW w:w="30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3"/>
              </w:rPr>
              <w:t>Against</w:t>
            </w:r>
          </w:p>
        </w:tc>
        <w:tc>
          <w:tcPr>
            <w:tcW w:w="2660" w:type="dxa"/>
            <w:vAlign w:val="bottom"/>
            <w:tcBorders>
              <w:bottom w:val="single" w:sz="8" w:color="auto"/>
            </w:tcBorders>
          </w:tcPr>
          <w:p>
            <w:pPr>
              <w:jc w:val="center"/>
              <w:ind w:left="290"/>
              <w:spacing w:after="0"/>
              <w:rPr>
                <w:sz w:val="20"/>
                <w:szCs w:val="20"/>
                <w:color w:val="auto"/>
              </w:rPr>
            </w:pPr>
            <w:r>
              <w:rPr>
                <w:rFonts w:ascii="Arial" w:cs="Arial" w:eastAsia="Arial" w:hAnsi="Arial"/>
                <w:sz w:val="18"/>
                <w:szCs w:val="18"/>
                <w:color w:val="auto"/>
                <w:w w:val="93"/>
              </w:rPr>
              <w:t>Abstain</w:t>
            </w:r>
          </w:p>
        </w:tc>
        <w:tc>
          <w:tcPr>
            <w:tcW w:w="2320" w:type="dxa"/>
            <w:vAlign w:val="bottom"/>
            <w:tcBorders>
              <w:bottom w:val="single" w:sz="8" w:color="auto"/>
            </w:tcBorders>
          </w:tcPr>
          <w:p>
            <w:pPr>
              <w:jc w:val="center"/>
              <w:ind w:left="470"/>
              <w:spacing w:after="0"/>
              <w:rPr>
                <w:sz w:val="20"/>
                <w:szCs w:val="20"/>
                <w:color w:val="auto"/>
              </w:rPr>
            </w:pPr>
            <w:r>
              <w:rPr>
                <w:rFonts w:ascii="Arial" w:cs="Arial" w:eastAsia="Arial" w:hAnsi="Arial"/>
                <w:sz w:val="18"/>
                <w:szCs w:val="18"/>
                <w:color w:val="auto"/>
                <w:w w:val="92"/>
              </w:rPr>
              <w:t>Broker Non-Votes</w:t>
            </w:r>
          </w:p>
        </w:tc>
      </w:tr>
      <w:tr>
        <w:trPr>
          <w:trHeight w:val="224"/>
        </w:trPr>
        <w:tc>
          <w:tcPr>
            <w:tcW w:w="2560" w:type="dxa"/>
            <w:vAlign w:val="bottom"/>
          </w:tcPr>
          <w:p>
            <w:pPr>
              <w:jc w:val="right"/>
              <w:ind w:right="850"/>
              <w:spacing w:after="0"/>
              <w:rPr>
                <w:sz w:val="20"/>
                <w:szCs w:val="20"/>
                <w:color w:val="auto"/>
              </w:rPr>
            </w:pPr>
            <w:r>
              <w:rPr>
                <w:rFonts w:ascii="Arial" w:cs="Arial" w:eastAsia="Arial" w:hAnsi="Arial"/>
                <w:sz w:val="18"/>
                <w:szCs w:val="18"/>
                <w:color w:val="auto"/>
              </w:rPr>
              <w:t>95,162,024</w:t>
            </w:r>
          </w:p>
        </w:tc>
        <w:tc>
          <w:tcPr>
            <w:tcW w:w="3000" w:type="dxa"/>
            <w:vAlign w:val="bottom"/>
          </w:tcPr>
          <w:p>
            <w:pPr>
              <w:jc w:val="right"/>
              <w:ind w:right="1050"/>
              <w:spacing w:after="0"/>
              <w:rPr>
                <w:sz w:val="20"/>
                <w:szCs w:val="20"/>
                <w:color w:val="auto"/>
              </w:rPr>
            </w:pPr>
            <w:r>
              <w:rPr>
                <w:rFonts w:ascii="Arial" w:cs="Arial" w:eastAsia="Arial" w:hAnsi="Arial"/>
                <w:sz w:val="18"/>
                <w:szCs w:val="18"/>
                <w:color w:val="auto"/>
              </w:rPr>
              <w:t>265,497,330</w:t>
            </w:r>
          </w:p>
        </w:tc>
        <w:tc>
          <w:tcPr>
            <w:tcW w:w="2660" w:type="dxa"/>
            <w:vAlign w:val="bottom"/>
          </w:tcPr>
          <w:p>
            <w:pPr>
              <w:jc w:val="right"/>
              <w:ind w:right="690"/>
              <w:spacing w:after="0"/>
              <w:rPr>
                <w:sz w:val="20"/>
                <w:szCs w:val="20"/>
                <w:color w:val="auto"/>
              </w:rPr>
            </w:pPr>
            <w:r>
              <w:rPr>
                <w:rFonts w:ascii="Arial" w:cs="Arial" w:eastAsia="Arial" w:hAnsi="Arial"/>
                <w:sz w:val="18"/>
                <w:szCs w:val="18"/>
                <w:color w:val="auto"/>
              </w:rPr>
              <w:t>7,854,609</w:t>
            </w:r>
          </w:p>
        </w:tc>
        <w:tc>
          <w:tcPr>
            <w:tcW w:w="2320" w:type="dxa"/>
            <w:vAlign w:val="bottom"/>
          </w:tcPr>
          <w:p>
            <w:pPr>
              <w:jc w:val="right"/>
              <w:ind w:right="390"/>
              <w:spacing w:after="0"/>
              <w:rPr>
                <w:sz w:val="20"/>
                <w:szCs w:val="20"/>
                <w:color w:val="auto"/>
              </w:rPr>
            </w:pPr>
            <w:r>
              <w:rPr>
                <w:rFonts w:ascii="Arial" w:cs="Arial" w:eastAsia="Arial" w:hAnsi="Arial"/>
                <w:sz w:val="18"/>
                <w:szCs w:val="18"/>
                <w:color w:val="auto"/>
              </w:rPr>
              <w:t>22,005,914</w:t>
            </w:r>
          </w:p>
        </w:tc>
      </w:tr>
    </w:tbl>
    <w:p>
      <w:pPr>
        <w:spacing w:after="0" w:line="214" w:lineRule="exact"/>
        <w:rPr>
          <w:sz w:val="20"/>
          <w:szCs w:val="20"/>
          <w:color w:val="auto"/>
        </w:rPr>
      </w:pPr>
    </w:p>
    <w:p>
      <w:pPr>
        <w:jc w:val="both"/>
        <w:ind w:left="340" w:hanging="332"/>
        <w:spacing w:after="0" w:line="259"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 vote is being reported for a shareholder proposal to require an independent board chairman because it was not presented at the annual meeting by the shareholder proponent or a designee of the shareholder proponent as required, and therefore, was not acted upon by the shareholders. However, if the shareholder proposal had been acted upon, this proposal would have been defeated by over a majority of the votes cast based on proxies delivered prior to the closing of the polls for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324485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 w:name="page3"/>
    <w:bookmarkEnd w:id="2"/>
    <w:p>
      <w:pPr>
        <w:ind w:left="340" w:right="2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shareholder proposal to conduct an independent investigation and report on risk posed by failing to prevent sexual harassment, as described in the proxy statement, was not approved.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25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6"/>
              </w:rPr>
              <w:t>For</w:t>
            </w:r>
          </w:p>
        </w:tc>
        <w:tc>
          <w:tcPr>
            <w:tcW w:w="30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3"/>
              </w:rPr>
              <w:t>Against</w:t>
            </w:r>
          </w:p>
        </w:tc>
        <w:tc>
          <w:tcPr>
            <w:tcW w:w="2660" w:type="dxa"/>
            <w:vAlign w:val="bottom"/>
            <w:tcBorders>
              <w:bottom w:val="single" w:sz="8" w:color="auto"/>
            </w:tcBorders>
          </w:tcPr>
          <w:p>
            <w:pPr>
              <w:jc w:val="center"/>
              <w:ind w:left="290"/>
              <w:spacing w:after="0"/>
              <w:rPr>
                <w:sz w:val="20"/>
                <w:szCs w:val="20"/>
                <w:color w:val="auto"/>
              </w:rPr>
            </w:pPr>
            <w:r>
              <w:rPr>
                <w:rFonts w:ascii="Arial" w:cs="Arial" w:eastAsia="Arial" w:hAnsi="Arial"/>
                <w:sz w:val="18"/>
                <w:szCs w:val="18"/>
                <w:color w:val="auto"/>
                <w:w w:val="93"/>
              </w:rPr>
              <w:t>Abstain</w:t>
            </w:r>
          </w:p>
        </w:tc>
        <w:tc>
          <w:tcPr>
            <w:tcW w:w="2320" w:type="dxa"/>
            <w:vAlign w:val="bottom"/>
            <w:tcBorders>
              <w:bottom w:val="single" w:sz="8" w:color="auto"/>
            </w:tcBorders>
          </w:tcPr>
          <w:p>
            <w:pPr>
              <w:jc w:val="center"/>
              <w:ind w:left="470"/>
              <w:spacing w:after="0"/>
              <w:rPr>
                <w:sz w:val="20"/>
                <w:szCs w:val="20"/>
                <w:color w:val="auto"/>
              </w:rPr>
            </w:pPr>
            <w:r>
              <w:rPr>
                <w:rFonts w:ascii="Arial" w:cs="Arial" w:eastAsia="Arial" w:hAnsi="Arial"/>
                <w:sz w:val="18"/>
                <w:szCs w:val="18"/>
                <w:color w:val="auto"/>
                <w:w w:val="92"/>
              </w:rPr>
              <w:t>Broker Non-Votes</w:t>
            </w:r>
          </w:p>
        </w:tc>
        <w:tc>
          <w:tcPr>
            <w:tcW w:w="360" w:type="dxa"/>
            <w:vAlign w:val="bottom"/>
          </w:tcPr>
          <w:p>
            <w:pPr>
              <w:spacing w:after="0"/>
              <w:rPr>
                <w:sz w:val="20"/>
                <w:szCs w:val="20"/>
                <w:color w:val="auto"/>
              </w:rPr>
            </w:pPr>
          </w:p>
        </w:tc>
      </w:tr>
      <w:tr>
        <w:trPr>
          <w:trHeight w:val="224"/>
        </w:trPr>
        <w:tc>
          <w:tcPr>
            <w:tcW w:w="340" w:type="dxa"/>
            <w:vAlign w:val="bottom"/>
          </w:tcPr>
          <w:p>
            <w:pPr>
              <w:spacing w:after="0"/>
              <w:rPr>
                <w:sz w:val="19"/>
                <w:szCs w:val="19"/>
                <w:color w:val="auto"/>
              </w:rPr>
            </w:pPr>
          </w:p>
        </w:tc>
        <w:tc>
          <w:tcPr>
            <w:tcW w:w="2560" w:type="dxa"/>
            <w:vAlign w:val="bottom"/>
          </w:tcPr>
          <w:p>
            <w:pPr>
              <w:jc w:val="right"/>
              <w:ind w:right="850"/>
              <w:spacing w:after="0"/>
              <w:rPr>
                <w:sz w:val="20"/>
                <w:szCs w:val="20"/>
                <w:color w:val="auto"/>
              </w:rPr>
            </w:pPr>
            <w:r>
              <w:rPr>
                <w:rFonts w:ascii="Arial" w:cs="Arial" w:eastAsia="Arial" w:hAnsi="Arial"/>
                <w:sz w:val="18"/>
                <w:szCs w:val="18"/>
                <w:color w:val="auto"/>
              </w:rPr>
              <w:t>47,943,870</w:t>
            </w:r>
          </w:p>
        </w:tc>
        <w:tc>
          <w:tcPr>
            <w:tcW w:w="3000" w:type="dxa"/>
            <w:vAlign w:val="bottom"/>
          </w:tcPr>
          <w:p>
            <w:pPr>
              <w:jc w:val="right"/>
              <w:ind w:right="1050"/>
              <w:spacing w:after="0"/>
              <w:rPr>
                <w:sz w:val="20"/>
                <w:szCs w:val="20"/>
                <w:color w:val="auto"/>
              </w:rPr>
            </w:pPr>
            <w:r>
              <w:rPr>
                <w:rFonts w:ascii="Arial" w:cs="Arial" w:eastAsia="Arial" w:hAnsi="Arial"/>
                <w:sz w:val="18"/>
                <w:szCs w:val="18"/>
                <w:color w:val="auto"/>
              </w:rPr>
              <w:t>317,727,672</w:t>
            </w:r>
          </w:p>
        </w:tc>
        <w:tc>
          <w:tcPr>
            <w:tcW w:w="2660" w:type="dxa"/>
            <w:vAlign w:val="bottom"/>
          </w:tcPr>
          <w:p>
            <w:pPr>
              <w:jc w:val="right"/>
              <w:ind w:right="690"/>
              <w:spacing w:after="0"/>
              <w:rPr>
                <w:sz w:val="20"/>
                <w:szCs w:val="20"/>
                <w:color w:val="auto"/>
              </w:rPr>
            </w:pPr>
            <w:r>
              <w:rPr>
                <w:rFonts w:ascii="Arial" w:cs="Arial" w:eastAsia="Arial" w:hAnsi="Arial"/>
                <w:sz w:val="18"/>
                <w:szCs w:val="18"/>
                <w:color w:val="auto"/>
              </w:rPr>
              <w:t>2,842,420</w:t>
            </w:r>
          </w:p>
        </w:tc>
        <w:tc>
          <w:tcPr>
            <w:tcW w:w="2320" w:type="dxa"/>
            <w:vAlign w:val="bottom"/>
          </w:tcPr>
          <w:p>
            <w:pPr>
              <w:jc w:val="right"/>
              <w:ind w:right="390"/>
              <w:spacing w:after="0"/>
              <w:rPr>
                <w:sz w:val="20"/>
                <w:szCs w:val="20"/>
                <w:color w:val="auto"/>
              </w:rPr>
            </w:pPr>
            <w:r>
              <w:rPr>
                <w:rFonts w:ascii="Arial" w:cs="Arial" w:eastAsia="Arial" w:hAnsi="Arial"/>
                <w:sz w:val="18"/>
                <w:szCs w:val="18"/>
                <w:color w:val="auto"/>
              </w:rPr>
              <w:t>22,005,915</w:t>
            </w:r>
          </w:p>
        </w:tc>
        <w:tc>
          <w:tcPr>
            <w:tcW w:w="360" w:type="dxa"/>
            <w:vAlign w:val="bottom"/>
          </w:tcPr>
          <w:p>
            <w:pPr>
              <w:spacing w:after="0"/>
              <w:rPr>
                <w:sz w:val="19"/>
                <w:szCs w:val="19"/>
                <w:color w:val="auto"/>
              </w:rPr>
            </w:pPr>
          </w:p>
        </w:tc>
      </w:tr>
      <w:tr>
        <w:trPr>
          <w:trHeight w:val="296"/>
        </w:trPr>
        <w:tc>
          <w:tcPr>
            <w:tcW w:w="3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4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7740" w:type="dxa"/>
            <w:vAlign w:val="bottom"/>
            <w:gridSpan w:val="2"/>
          </w:tcPr>
          <w:p>
            <w:pPr>
              <w:ind w:left="2140"/>
              <w:spacing w:after="0"/>
              <w:rPr>
                <w:sz w:val="20"/>
                <w:szCs w:val="20"/>
                <w:color w:val="auto"/>
              </w:rPr>
            </w:pPr>
            <w:r>
              <w:rPr>
                <w:rFonts w:ascii="Arial" w:cs="Arial" w:eastAsia="Arial" w:hAnsi="Arial"/>
                <w:sz w:val="18"/>
                <w:szCs w:val="18"/>
                <w:b w:val="1"/>
                <w:bCs w:val="1"/>
                <w:color w:val="auto"/>
              </w:rPr>
              <w:t>COMCAST CORPORATION</w:t>
            </w:r>
          </w:p>
        </w:tc>
      </w:tr>
      <w:tr>
        <w:trPr>
          <w:trHeight w:val="648"/>
        </w:trPr>
        <w:tc>
          <w:tcPr>
            <w:tcW w:w="3500" w:type="dxa"/>
            <w:vAlign w:val="bottom"/>
          </w:tcPr>
          <w:p>
            <w:pPr>
              <w:spacing w:after="0"/>
              <w:rPr>
                <w:sz w:val="20"/>
                <w:szCs w:val="20"/>
                <w:color w:val="auto"/>
              </w:rPr>
            </w:pPr>
            <w:r>
              <w:rPr>
                <w:rFonts w:ascii="Arial" w:cs="Arial" w:eastAsia="Arial" w:hAnsi="Arial"/>
                <w:sz w:val="18"/>
                <w:szCs w:val="18"/>
                <w:color w:val="auto"/>
              </w:rPr>
              <w:t>Date: June 5, 2020</w:t>
            </w:r>
          </w:p>
        </w:tc>
        <w:tc>
          <w:tcPr>
            <w:tcW w:w="2700" w:type="dxa"/>
            <w:vAlign w:val="bottom"/>
          </w:tcPr>
          <w:p>
            <w:pPr>
              <w:ind w:left="21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J. Reid</w:t>
            </w:r>
          </w:p>
        </w:tc>
      </w:tr>
      <w:tr>
        <w:trPr>
          <w:trHeight w:val="195"/>
        </w:trPr>
        <w:tc>
          <w:tcPr>
            <w:tcW w:w="3500" w:type="dxa"/>
            <w:vAlign w:val="bottom"/>
          </w:tcPr>
          <w:p>
            <w:pPr>
              <w:spacing w:after="0"/>
              <w:rPr>
                <w:sz w:val="16"/>
                <w:szCs w:val="16"/>
                <w:color w:val="auto"/>
              </w:rPr>
            </w:pPr>
          </w:p>
        </w:tc>
        <w:tc>
          <w:tcPr>
            <w:tcW w:w="2700" w:type="dxa"/>
            <w:vAlign w:val="bottom"/>
          </w:tcPr>
          <w:p>
            <w:pPr>
              <w:ind w:left="2140"/>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Thomas J. Reid</w:t>
            </w:r>
          </w:p>
        </w:tc>
      </w:tr>
      <w:tr>
        <w:trPr>
          <w:trHeight w:val="230"/>
        </w:trPr>
        <w:tc>
          <w:tcPr>
            <w:tcW w:w="3500" w:type="dxa"/>
            <w:vAlign w:val="bottom"/>
          </w:tcPr>
          <w:p>
            <w:pPr>
              <w:spacing w:after="0"/>
              <w:rPr>
                <w:sz w:val="20"/>
                <w:szCs w:val="20"/>
                <w:color w:val="auto"/>
              </w:rPr>
            </w:pPr>
          </w:p>
        </w:tc>
        <w:tc>
          <w:tcPr>
            <w:tcW w:w="2700" w:type="dxa"/>
            <w:vAlign w:val="bottom"/>
          </w:tcPr>
          <w:p>
            <w:pPr>
              <w:ind w:left="214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Chief Legal Officer and Secretary</w:t>
            </w:r>
          </w:p>
        </w:tc>
      </w:tr>
      <w:tr>
        <w:trPr>
          <w:trHeight w:val="310"/>
        </w:trPr>
        <w:tc>
          <w:tcPr>
            <w:tcW w:w="35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5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decimal"/>
      <w:start w:val="7"/>
    </w:lvl>
  </w:abstractNum>
  <w:abstractNum w:abstractNumId="3">
    <w:nsid w:val="625558EC"/>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2020-06-05T07:47:33Z</dcterms:created>
  <dcterms:modified xsi:type="dcterms:W3CDTF">2020-06-05T07:47:33Z</dcterms:modified>
</cp:coreProperties>
</file>