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60" w:type="dxa"/>
            <w:vAlign w:val="bottom"/>
          </w:tcPr>
          <w:p>
            <w:pPr>
              <w:jc w:val="center"/>
              <w:ind w:left="896"/>
              <w:spacing w:after="0"/>
              <w:rPr>
                <w:sz w:val="20"/>
                <w:szCs w:val="20"/>
                <w:color w:val="auto"/>
              </w:rPr>
            </w:pPr>
            <w:r>
              <w:rPr>
                <w:rFonts w:ascii="Arial" w:cs="Arial" w:eastAsia="Arial" w:hAnsi="Arial"/>
                <w:sz w:val="18"/>
                <w:szCs w:val="18"/>
                <w:b w:val="1"/>
                <w:bCs w:val="1"/>
                <w:color w:val="auto"/>
                <w:w w:val="97"/>
              </w:rPr>
              <w:t>UNITED STATES</w:t>
            </w:r>
          </w:p>
        </w:tc>
        <w:tc>
          <w:tcPr>
            <w:tcW w:w="10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1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60" w:type="dxa"/>
            <w:vAlign w:val="bottom"/>
          </w:tcPr>
          <w:p>
            <w:pPr>
              <w:jc w:val="center"/>
              <w:ind w:left="916"/>
              <w:spacing w:after="0"/>
              <w:rPr>
                <w:sz w:val="20"/>
                <w:szCs w:val="20"/>
                <w:color w:val="auto"/>
              </w:rPr>
            </w:pPr>
            <w:r>
              <w:rPr>
                <w:rFonts w:ascii="Arial" w:cs="Arial" w:eastAsia="Arial" w:hAnsi="Arial"/>
                <w:sz w:val="18"/>
                <w:szCs w:val="18"/>
                <w:b w:val="1"/>
                <w:bCs w:val="1"/>
                <w:color w:val="auto"/>
                <w:w w:val="91"/>
              </w:rPr>
              <w:t>Washington, D.C. 20549</w:t>
            </w:r>
          </w:p>
        </w:tc>
        <w:tc>
          <w:tcPr>
            <w:tcW w:w="10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175"/>
        </w:trPr>
        <w:tc>
          <w:tcPr>
            <w:tcW w:w="1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900" w:type="dxa"/>
            <w:vAlign w:val="bottom"/>
          </w:tcPr>
          <w:p>
            <w:pPr>
              <w:spacing w:after="0"/>
              <w:rPr>
                <w:sz w:val="15"/>
                <w:szCs w:val="15"/>
                <w:color w:val="auto"/>
              </w:rPr>
            </w:pPr>
          </w:p>
        </w:tc>
      </w:tr>
      <w:tr>
        <w:trPr>
          <w:trHeight w:val="291"/>
        </w:trPr>
        <w:tc>
          <w:tcPr>
            <w:tcW w:w="1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60" w:type="dxa"/>
            <w:vAlign w:val="bottom"/>
          </w:tcPr>
          <w:p>
            <w:pPr>
              <w:jc w:val="center"/>
              <w:ind w:left="916"/>
              <w:spacing w:after="0"/>
              <w:rPr>
                <w:sz w:val="20"/>
                <w:szCs w:val="20"/>
                <w:color w:val="auto"/>
              </w:rPr>
            </w:pPr>
            <w:r>
              <w:rPr>
                <w:rFonts w:ascii="Arial" w:cs="Arial" w:eastAsia="Arial" w:hAnsi="Arial"/>
                <w:sz w:val="18"/>
                <w:szCs w:val="18"/>
                <w:b w:val="1"/>
                <w:bCs w:val="1"/>
                <w:color w:val="auto"/>
              </w:rPr>
              <w:t>FORM 10-K</w:t>
            </w:r>
          </w:p>
        </w:tc>
        <w:tc>
          <w:tcPr>
            <w:tcW w:w="1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83"/>
        </w:trPr>
        <w:tc>
          <w:tcPr>
            <w:tcW w:w="1520" w:type="dxa"/>
            <w:vAlign w:val="bottom"/>
          </w:tcPr>
          <w:p>
            <w:pPr>
              <w:spacing w:after="0"/>
              <w:rPr>
                <w:sz w:val="20"/>
                <w:szCs w:val="20"/>
                <w:color w:val="auto"/>
              </w:rPr>
            </w:pPr>
            <w:r>
              <w:rPr>
                <w:rFonts w:ascii="Arial" w:cs="Arial" w:eastAsia="Arial" w:hAnsi="Arial"/>
                <w:sz w:val="14"/>
                <w:szCs w:val="14"/>
                <w:b w:val="1"/>
                <w:bCs w:val="1"/>
                <w:color w:val="auto"/>
              </w:rPr>
              <w:t>(Mark One)</w:t>
            </w:r>
          </w:p>
        </w:tc>
        <w:tc>
          <w:tcPr>
            <w:tcW w:w="19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83"/>
        </w:trPr>
        <w:tc>
          <w:tcPr>
            <w:tcW w:w="1520" w:type="dxa"/>
            <w:vAlign w:val="bottom"/>
          </w:tcPr>
          <w:p>
            <w:pPr>
              <w:jc w:val="center"/>
              <w:ind w:right="962"/>
              <w:spacing w:after="0" w:line="181" w:lineRule="exact"/>
              <w:rPr>
                <w:sz w:val="20"/>
                <w:szCs w:val="20"/>
                <w:color w:val="auto"/>
              </w:rPr>
            </w:pPr>
            <w:r>
              <w:rPr>
                <w:rFonts w:ascii="MS PGothic" w:cs="MS PGothic" w:eastAsia="MS PGothic" w:hAnsi="MS PGothic"/>
                <w:sz w:val="18"/>
                <w:szCs w:val="18"/>
                <w:color w:val="auto"/>
                <w:w w:val="88"/>
              </w:rPr>
              <w:t>☒</w:t>
            </w:r>
          </w:p>
        </w:tc>
        <w:tc>
          <w:tcPr>
            <w:tcW w:w="8120" w:type="dxa"/>
            <w:vAlign w:val="bottom"/>
            <w:gridSpan w:val="4"/>
          </w:tcPr>
          <w:p>
            <w:pPr>
              <w:ind w:left="820"/>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r>
      <w:tr>
        <w:trPr>
          <w:trHeight w:val="214"/>
        </w:trPr>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9"/>
              </w:rPr>
              <w:t>FOR THE FISCAL YEAR ENDED December 31, 2021</w:t>
            </w:r>
          </w:p>
        </w:tc>
      </w:tr>
      <w:tr>
        <w:trPr>
          <w:trHeight w:val="186"/>
        </w:trPr>
        <w:tc>
          <w:tcPr>
            <w:tcW w:w="1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60" w:type="dxa"/>
            <w:vAlign w:val="bottom"/>
          </w:tcPr>
          <w:p>
            <w:pPr>
              <w:jc w:val="center"/>
              <w:ind w:left="916"/>
              <w:spacing w:after="0"/>
              <w:rPr>
                <w:sz w:val="20"/>
                <w:szCs w:val="20"/>
                <w:color w:val="auto"/>
              </w:rPr>
            </w:pPr>
            <w:r>
              <w:rPr>
                <w:rFonts w:ascii="Arial" w:cs="Arial" w:eastAsia="Arial" w:hAnsi="Arial"/>
                <w:sz w:val="14"/>
                <w:szCs w:val="14"/>
                <w:b w:val="1"/>
                <w:bCs w:val="1"/>
                <w:color w:val="auto"/>
              </w:rPr>
              <w:t>OR</w:t>
            </w:r>
          </w:p>
        </w:tc>
        <w:tc>
          <w:tcPr>
            <w:tcW w:w="10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13"/>
        </w:trPr>
        <w:tc>
          <w:tcPr>
            <w:tcW w:w="1520" w:type="dxa"/>
            <w:vAlign w:val="bottom"/>
          </w:tcPr>
          <w:p>
            <w:pPr>
              <w:jc w:val="center"/>
              <w:ind w:right="982"/>
              <w:spacing w:after="0" w:line="141" w:lineRule="exact"/>
              <w:rPr>
                <w:sz w:val="20"/>
                <w:szCs w:val="20"/>
                <w:color w:val="auto"/>
              </w:rPr>
            </w:pPr>
            <w:r>
              <w:rPr>
                <w:rFonts w:ascii="MS PGothic" w:cs="MS PGothic" w:eastAsia="MS PGothic" w:hAnsi="MS PGothic"/>
                <w:sz w:val="14"/>
                <w:szCs w:val="14"/>
                <w:color w:val="auto"/>
                <w:w w:val="99"/>
              </w:rPr>
              <w:t>☐</w:t>
            </w:r>
          </w:p>
        </w:tc>
        <w:tc>
          <w:tcPr>
            <w:tcW w:w="8120" w:type="dxa"/>
            <w:vAlign w:val="bottom"/>
            <w:gridSpan w:val="4"/>
          </w:tcPr>
          <w:p>
            <w:pPr>
              <w:ind w:left="80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40"/>
        </w:trPr>
        <w:tc>
          <w:tcPr>
            <w:tcW w:w="1520" w:type="dxa"/>
            <w:vAlign w:val="bottom"/>
          </w:tcPr>
          <w:p>
            <w:pPr>
              <w:spacing w:after="0"/>
              <w:rPr>
                <w:sz w:val="20"/>
                <w:szCs w:val="20"/>
                <w:color w:val="auto"/>
              </w:rPr>
            </w:pPr>
          </w:p>
        </w:tc>
        <w:tc>
          <w:tcPr>
            <w:tcW w:w="5220" w:type="dxa"/>
            <w:vAlign w:val="bottom"/>
            <w:gridSpan w:val="2"/>
          </w:tcPr>
          <w:p>
            <w:pPr>
              <w:ind w:left="1920"/>
              <w:spacing w:after="0"/>
              <w:rPr>
                <w:sz w:val="20"/>
                <w:szCs w:val="20"/>
                <w:color w:val="auto"/>
              </w:rPr>
            </w:pPr>
            <w:r>
              <w:rPr>
                <w:rFonts w:ascii="Arial" w:cs="Arial" w:eastAsia="Arial" w:hAnsi="Arial"/>
                <w:sz w:val="14"/>
                <w:szCs w:val="14"/>
                <w:b w:val="1"/>
                <w:bCs w:val="1"/>
                <w:color w:val="auto"/>
              </w:rPr>
              <w:t>FOR THE TRANSITION PERIOD FROM</w:t>
            </w:r>
          </w:p>
        </w:tc>
        <w:tc>
          <w:tcPr>
            <w:tcW w:w="29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76200</wp:posOffset>
            </wp:positionV>
            <wp:extent cx="1748790"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4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Commission File Number</w:t>
            </w:r>
          </w:p>
        </w:tc>
        <w:tc>
          <w:tcPr>
            <w:tcW w:w="348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3"/>
              </w:rPr>
              <w:t>Registrant; State of Incorporation; Address and</w:t>
            </w:r>
          </w:p>
        </w:tc>
        <w:tc>
          <w:tcPr>
            <w:tcW w:w="3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center"/>
              <w:ind w:right="628"/>
              <w:spacing w:after="0"/>
              <w:rPr>
                <w:sz w:val="20"/>
                <w:szCs w:val="20"/>
                <w:color w:val="auto"/>
              </w:rPr>
            </w:pPr>
            <w:r>
              <w:rPr>
                <w:rFonts w:ascii="Arial" w:cs="Arial" w:eastAsia="Arial" w:hAnsi="Arial"/>
                <w:sz w:val="14"/>
                <w:szCs w:val="14"/>
                <w:b w:val="1"/>
                <w:bCs w:val="1"/>
                <w:color w:val="auto"/>
                <w:w w:val="93"/>
              </w:rPr>
              <w:t>Telephone Number</w:t>
            </w:r>
          </w:p>
        </w:tc>
        <w:tc>
          <w:tcPr>
            <w:tcW w:w="3280" w:type="dxa"/>
            <w:vAlign w:val="bottom"/>
            <w:tcBorders>
              <w:bottom w:val="single" w:sz="8" w:color="auto"/>
            </w:tcBorders>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40" w:type="dxa"/>
            <w:vAlign w:val="bottom"/>
          </w:tcPr>
          <w:p>
            <w:pPr>
              <w:spacing w:after="0"/>
              <w:rPr>
                <w:sz w:val="23"/>
                <w:szCs w:val="23"/>
                <w:color w:val="auto"/>
              </w:rPr>
            </w:pPr>
          </w:p>
        </w:tc>
        <w:tc>
          <w:tcPr>
            <w:tcW w:w="3420" w:type="dxa"/>
            <w:vAlign w:val="bottom"/>
          </w:tcPr>
          <w:p>
            <w:pPr>
              <w:jc w:val="right"/>
              <w:ind w:right="1388"/>
              <w:spacing w:after="0"/>
              <w:rPr>
                <w:sz w:val="20"/>
                <w:szCs w:val="20"/>
                <w:color w:val="auto"/>
              </w:rPr>
            </w:pPr>
            <w:r>
              <w:rPr>
                <w:rFonts w:ascii="Arial" w:cs="Arial" w:eastAsia="Arial" w:hAnsi="Arial"/>
                <w:sz w:val="14"/>
                <w:szCs w:val="14"/>
                <w:color w:val="auto"/>
              </w:rPr>
              <w:t>001-32871</w:t>
            </w:r>
          </w:p>
        </w:tc>
        <w:tc>
          <w:tcPr>
            <w:tcW w:w="3480" w:type="dxa"/>
            <w:vAlign w:val="bottom"/>
            <w:gridSpan w:val="2"/>
          </w:tcPr>
          <w:p>
            <w:pPr>
              <w:jc w:val="center"/>
              <w:ind w:right="108"/>
              <w:spacing w:after="0"/>
              <w:rPr>
                <w:sz w:val="20"/>
                <w:szCs w:val="20"/>
                <w:color w:val="auto"/>
              </w:rPr>
            </w:pPr>
            <w:r>
              <w:rPr>
                <w:rFonts w:ascii="Arial" w:cs="Arial" w:eastAsia="Arial" w:hAnsi="Arial"/>
                <w:sz w:val="22"/>
                <w:szCs w:val="22"/>
                <w:b w:val="1"/>
                <w:bCs w:val="1"/>
                <w:color w:val="auto"/>
                <w:w w:val="98"/>
              </w:rPr>
              <w:t>COMCAST CORPORATION</w:t>
            </w:r>
          </w:p>
        </w:tc>
        <w:tc>
          <w:tcPr>
            <w:tcW w:w="3280" w:type="dxa"/>
            <w:vAlign w:val="bottom"/>
          </w:tcPr>
          <w:p>
            <w:pPr>
              <w:jc w:val="right"/>
              <w:ind w:right="1248"/>
              <w:spacing w:after="0"/>
              <w:rPr>
                <w:sz w:val="20"/>
                <w:szCs w:val="20"/>
                <w:color w:val="auto"/>
              </w:rPr>
            </w:pPr>
            <w:r>
              <w:rPr>
                <w:rFonts w:ascii="Arial" w:cs="Arial" w:eastAsia="Arial" w:hAnsi="Arial"/>
                <w:sz w:val="14"/>
                <w:szCs w:val="14"/>
                <w:color w:val="auto"/>
              </w:rPr>
              <w:t>27-0000798</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60" w:type="dxa"/>
            <w:vAlign w:val="bottom"/>
          </w:tcPr>
          <w:p>
            <w:pPr>
              <w:jc w:val="center"/>
              <w:ind w:right="588"/>
              <w:spacing w:after="0"/>
              <w:rPr>
                <w:sz w:val="20"/>
                <w:szCs w:val="20"/>
                <w:color w:val="auto"/>
              </w:rPr>
            </w:pPr>
            <w:r>
              <w:rPr>
                <w:rFonts w:ascii="Arial" w:cs="Arial" w:eastAsia="Arial" w:hAnsi="Arial"/>
                <w:sz w:val="14"/>
                <w:szCs w:val="14"/>
                <w:b w:val="1"/>
                <w:bCs w:val="1"/>
                <w:color w:val="auto"/>
                <w:w w:val="91"/>
              </w:rPr>
              <w:t>Pennsylvania</w:t>
            </w:r>
          </w:p>
        </w:tc>
        <w:tc>
          <w:tcPr>
            <w:tcW w:w="3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60" w:type="dxa"/>
            <w:vAlign w:val="bottom"/>
          </w:tcPr>
          <w:p>
            <w:pPr>
              <w:jc w:val="center"/>
              <w:ind w:right="608"/>
              <w:spacing w:after="0"/>
              <w:rPr>
                <w:sz w:val="20"/>
                <w:szCs w:val="20"/>
                <w:color w:val="auto"/>
              </w:rPr>
            </w:pPr>
            <w:r>
              <w:rPr>
                <w:rFonts w:ascii="Arial" w:cs="Arial" w:eastAsia="Arial" w:hAnsi="Arial"/>
                <w:sz w:val="14"/>
                <w:szCs w:val="14"/>
                <w:b w:val="1"/>
                <w:bCs w:val="1"/>
                <w:color w:val="auto"/>
                <w:w w:val="92"/>
              </w:rPr>
              <w:t>One Comcast Center</w:t>
            </w:r>
          </w:p>
        </w:tc>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60" w:type="dxa"/>
            <w:vAlign w:val="bottom"/>
          </w:tcPr>
          <w:p>
            <w:pPr>
              <w:jc w:val="center"/>
              <w:ind w:right="608"/>
              <w:spacing w:after="0"/>
              <w:rPr>
                <w:sz w:val="20"/>
                <w:szCs w:val="20"/>
                <w:color w:val="auto"/>
              </w:rPr>
            </w:pPr>
            <w:r>
              <w:rPr>
                <w:rFonts w:ascii="Arial" w:cs="Arial" w:eastAsia="Arial" w:hAnsi="Arial"/>
                <w:sz w:val="14"/>
                <w:szCs w:val="14"/>
                <w:b w:val="1"/>
                <w:bCs w:val="1"/>
                <w:color w:val="auto"/>
                <w:w w:val="93"/>
              </w:rPr>
              <w:t>Philadelphia, PA 19103-2838</w:t>
            </w:r>
          </w:p>
        </w:tc>
        <w:tc>
          <w:tcPr>
            <w:tcW w:w="3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960" w:type="dxa"/>
            <w:vAlign w:val="bottom"/>
          </w:tcPr>
          <w:p>
            <w:pPr>
              <w:jc w:val="center"/>
              <w:ind w:right="588"/>
              <w:spacing w:after="0"/>
              <w:rPr>
                <w:sz w:val="20"/>
                <w:szCs w:val="20"/>
                <w:color w:val="auto"/>
              </w:rPr>
            </w:pPr>
            <w:r>
              <w:rPr>
                <w:rFonts w:ascii="Arial" w:cs="Arial" w:eastAsia="Arial" w:hAnsi="Arial"/>
                <w:sz w:val="14"/>
                <w:szCs w:val="14"/>
                <w:b w:val="1"/>
                <w:bCs w:val="1"/>
                <w:color w:val="auto"/>
                <w:w w:val="93"/>
              </w:rPr>
              <w:t>(215) 286-1700</w:t>
            </w:r>
          </w:p>
        </w:tc>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440" w:type="dxa"/>
            <w:vAlign w:val="bottom"/>
            <w:tcBorders>
              <w:bottom w:val="single" w:sz="8" w:color="auto"/>
            </w:tcBorders>
            <w:gridSpan w:val="4"/>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7440" w:type="dxa"/>
            <w:vAlign w:val="bottom"/>
            <w:gridSpan w:val="4"/>
          </w:tcPr>
          <w:p>
            <w:pPr>
              <w:ind w:left="2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w w:val="91"/>
              </w:rPr>
              <w:t>Title of Each Class</w:t>
            </w:r>
          </w:p>
        </w:tc>
        <w:tc>
          <w:tcPr>
            <w:tcW w:w="5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2"/>
              </w:rPr>
              <w:t>Trading symbol(s)</w:t>
            </w:r>
          </w:p>
        </w:tc>
        <w:tc>
          <w:tcPr>
            <w:tcW w:w="32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2"/>
              </w:rPr>
              <w:t>Class A Common Stock, $0.01 par value</w:t>
            </w:r>
          </w:p>
        </w:tc>
        <w:tc>
          <w:tcPr>
            <w:tcW w:w="520" w:type="dxa"/>
            <w:vAlign w:val="bottom"/>
          </w:tcPr>
          <w:p>
            <w:pPr>
              <w:spacing w:after="0"/>
              <w:rPr>
                <w:sz w:val="15"/>
                <w:szCs w:val="15"/>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8"/>
              </w:rPr>
              <w:t>CMCSA</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0.000% Notes due 2026</w:t>
            </w:r>
          </w:p>
        </w:tc>
        <w:tc>
          <w:tcPr>
            <w:tcW w:w="520" w:type="dxa"/>
            <w:vAlign w:val="bottom"/>
          </w:tcPr>
          <w:p>
            <w:pPr>
              <w:spacing w:after="0"/>
              <w:rPr>
                <w:sz w:val="15"/>
                <w:szCs w:val="15"/>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CMCS26</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0.250% Notes due 2027</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CMCS27</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1.500% Notes due 2029</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CMCS29</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0.250% Notes due 2029</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9"/>
              </w:rPr>
              <w:t>CMCS29A</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0.750% Notes due 2032</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CMCS32</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1.875% Notes due 2036</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CMCS36</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1.250% Notes due 2040</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5"/>
              </w:rPr>
              <w:t>CMCS40</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5"/>
              </w:rPr>
              <w:t>The Nasdaq Stock Market LLC</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68"/>
              <w:spacing w:after="0"/>
              <w:rPr>
                <w:sz w:val="20"/>
                <w:szCs w:val="20"/>
                <w:color w:val="auto"/>
              </w:rPr>
            </w:pPr>
            <w:r>
              <w:rPr>
                <w:rFonts w:ascii="Arial" w:cs="Arial" w:eastAsia="Arial" w:hAnsi="Arial"/>
                <w:sz w:val="14"/>
                <w:szCs w:val="14"/>
                <w:color w:val="auto"/>
                <w:w w:val="91"/>
              </w:rPr>
              <w:t>9.455% Guaranteed Notes due 2022</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9"/>
              </w:rPr>
              <w:t>CMCSA/22</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2"/>
              </w:rPr>
              <w:t>New York Stock Exchange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420" w:type="dxa"/>
            <w:vAlign w:val="bottom"/>
          </w:tcPr>
          <w:p>
            <w:pPr>
              <w:jc w:val="center"/>
              <w:ind w:left="688"/>
              <w:spacing w:after="0"/>
              <w:rPr>
                <w:sz w:val="20"/>
                <w:szCs w:val="20"/>
                <w:color w:val="auto"/>
              </w:rPr>
            </w:pPr>
            <w:r>
              <w:rPr>
                <w:rFonts w:ascii="Arial" w:cs="Arial" w:eastAsia="Arial" w:hAnsi="Arial"/>
                <w:sz w:val="14"/>
                <w:szCs w:val="14"/>
                <w:color w:val="auto"/>
                <w:w w:val="91"/>
              </w:rPr>
              <w:t>5.50% Notes due 2029</w:t>
            </w:r>
          </w:p>
        </w:tc>
        <w:tc>
          <w:tcPr>
            <w:tcW w:w="520" w:type="dxa"/>
            <w:vAlign w:val="bottom"/>
          </w:tcPr>
          <w:p>
            <w:pPr>
              <w:spacing w:after="0"/>
              <w:rPr>
                <w:sz w:val="16"/>
                <w:szCs w:val="16"/>
                <w:color w:val="auto"/>
              </w:rPr>
            </w:pPr>
          </w:p>
        </w:tc>
        <w:tc>
          <w:tcPr>
            <w:tcW w:w="2960" w:type="dxa"/>
            <w:vAlign w:val="bottom"/>
          </w:tcPr>
          <w:p>
            <w:pPr>
              <w:jc w:val="center"/>
              <w:ind w:left="468"/>
              <w:spacing w:after="0"/>
              <w:rPr>
                <w:sz w:val="20"/>
                <w:szCs w:val="20"/>
                <w:color w:val="auto"/>
              </w:rPr>
            </w:pPr>
            <w:r>
              <w:rPr>
                <w:rFonts w:ascii="Arial" w:cs="Arial" w:eastAsia="Arial" w:hAnsi="Arial"/>
                <w:sz w:val="14"/>
                <w:szCs w:val="14"/>
                <w:color w:val="auto"/>
                <w:w w:val="94"/>
              </w:rPr>
              <w:t>CCGBP29</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2"/>
              </w:rPr>
              <w:t>New York Stock Exchange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394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2.0% Exchangeable Subordinated Debentures due 2029</w:t>
            </w:r>
          </w:p>
        </w:tc>
        <w:tc>
          <w:tcPr>
            <w:tcW w:w="2960" w:type="dxa"/>
            <w:vAlign w:val="bottom"/>
          </w:tcPr>
          <w:p>
            <w:pPr>
              <w:jc w:val="center"/>
              <w:ind w:left="488"/>
              <w:spacing w:after="0"/>
              <w:rPr>
                <w:sz w:val="20"/>
                <w:szCs w:val="20"/>
                <w:color w:val="auto"/>
              </w:rPr>
            </w:pPr>
            <w:r>
              <w:rPr>
                <w:rFonts w:ascii="Arial" w:cs="Arial" w:eastAsia="Arial" w:hAnsi="Arial"/>
                <w:sz w:val="14"/>
                <w:szCs w:val="14"/>
                <w:color w:val="auto"/>
                <w:w w:val="97"/>
              </w:rPr>
              <w:t>CCZ</w:t>
            </w:r>
          </w:p>
        </w:tc>
        <w:tc>
          <w:tcPr>
            <w:tcW w:w="3280" w:type="dxa"/>
            <w:vAlign w:val="bottom"/>
          </w:tcPr>
          <w:p>
            <w:pPr>
              <w:jc w:val="center"/>
              <w:ind w:left="228"/>
              <w:spacing w:after="0"/>
              <w:rPr>
                <w:sz w:val="20"/>
                <w:szCs w:val="20"/>
                <w:color w:val="auto"/>
              </w:rPr>
            </w:pPr>
            <w:r>
              <w:rPr>
                <w:rFonts w:ascii="Arial" w:cs="Arial" w:eastAsia="Arial" w:hAnsi="Arial"/>
                <w:sz w:val="14"/>
                <w:szCs w:val="14"/>
                <w:color w:val="auto"/>
                <w:w w:val="92"/>
              </w:rPr>
              <w:t>New York Stock Exchange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ind w:right="22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100"/>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6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334" w:lineRule="exact"/>
        <w:tabs>
          <w:tab w:leader="none" w:pos="1980" w:val="left"/>
          <w:tab w:leader="none" w:pos="4220" w:val="left"/>
          <w:tab w:leader="none" w:pos="6480" w:val="left"/>
          <w:tab w:leader="none" w:pos="8720" w:val="left"/>
          <w:tab w:leader="none" w:pos="109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29"/>
          <w:szCs w:val="29"/>
          <w:color w:val="auto"/>
          <w:vertAlign w:val="subscript"/>
        </w:rPr>
        <w:t xml:space="preserve">☒ </w:t>
      </w:r>
      <w:r>
        <w:rPr>
          <w:rFonts w:ascii="Arial" w:cs="Arial" w:eastAsia="Arial" w:hAnsi="Arial"/>
          <w:sz w:val="29"/>
          <w:szCs w:val="29"/>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46" w:lineRule="exact"/>
        <w:rPr>
          <w:sz w:val="24"/>
          <w:szCs w:val="24"/>
          <w:color w:val="auto"/>
        </w:rPr>
      </w:pPr>
    </w:p>
    <w:p>
      <w:pPr>
        <w:ind w:right="5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ind w:right="60"/>
        <w:spacing w:after="0" w:line="19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2021, the aggregate market value of the Comcast Corporation common stock held by non-affiliates of the registrant was $259.633 billion.</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As of December 31, 2021, there were 4,523,785,950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56515</wp:posOffset>
            </wp:positionV>
            <wp:extent cx="2751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4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Comcast Corporation – Part III – The registrant’s definitive Proxy Statement for its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2021 Annual Report on Form 10-K</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6EBF"/>
        </w:rPr>
        <w:t>Table of Contents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940" w:type="dxa"/>
            <w:vAlign w:val="bottom"/>
            <w:gridSpan w:val="20"/>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140" w:type="dxa"/>
            <w:vAlign w:val="bottom"/>
          </w:tcPr>
          <w:p>
            <w:pPr>
              <w:jc w:val="right"/>
              <w:spacing w:after="0" w:line="190" w:lineRule="exact"/>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Risk Factors</w:t>
              </w:r>
            </w:hyperlink>
          </w:p>
        </w:tc>
        <w:tc>
          <w:tcPr>
            <w:tcW w:w="8020" w:type="dxa"/>
            <w:vAlign w:val="bottom"/>
            <w:gridSpan w:val="16"/>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Unresolved Staff Comments</w:t>
              </w:r>
            </w:hyperlink>
          </w:p>
        </w:tc>
        <w:tc>
          <w:tcPr>
            <w:tcW w:w="6880" w:type="dxa"/>
            <w:vAlign w:val="bottom"/>
            <w:gridSpan w:val="11"/>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30</w:t>
              </w:r>
            </w:hyperlink>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33">
              <w:r>
                <w:rPr>
                  <w:rFonts w:ascii="Arial" w:cs="Arial" w:eastAsia="Arial" w:hAnsi="Arial"/>
                  <w:sz w:val="18"/>
                  <w:szCs w:val="18"/>
                  <w:color w:val="0000FF"/>
                  <w:w w:val="87"/>
                </w:rPr>
                <w:t>Properties</w:t>
              </w:r>
            </w:hyperlink>
          </w:p>
        </w:tc>
        <w:tc>
          <w:tcPr>
            <w:tcW w:w="8200" w:type="dxa"/>
            <w:vAlign w:val="bottom"/>
            <w:gridSpan w:val="18"/>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30</w:t>
              </w:r>
            </w:hyperlink>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94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11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31</w:t>
              </w:r>
            </w:hyperlink>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11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31</w:t>
              </w:r>
            </w:hyperlink>
          </w:p>
        </w:tc>
      </w:tr>
      <w:tr>
        <w:trPr>
          <w:trHeight w:val="30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19"/>
          </w:tcPr>
          <w:p>
            <w:pPr>
              <w:spacing w:after="0" w:line="190" w:lineRule="exact"/>
              <w:rPr>
                <w:rFonts w:ascii="Arial" w:cs="Arial" w:eastAsia="Arial" w:hAnsi="Arial"/>
                <w:sz w:val="18"/>
                <w:szCs w:val="18"/>
                <w:color w:val="0000FF"/>
                <w:w w:val="90"/>
              </w:rPr>
            </w:pPr>
            <w:hyperlink w:anchor="page35">
              <w:r>
                <w:rPr>
                  <w:rFonts w:ascii="Arial" w:cs="Arial" w:eastAsia="Arial" w:hAnsi="Arial"/>
                  <w:sz w:val="18"/>
                  <w:szCs w:val="18"/>
                  <w:color w:val="0000FF"/>
                  <w:w w:val="90"/>
                </w:rPr>
                <w:t>Market for Registrant’s Common Equity, Related Stockholder Matters and Issuer Purchases of Equity Securities</w:t>
              </w:r>
            </w:hyperlink>
          </w:p>
        </w:tc>
        <w:tc>
          <w:tcPr>
            <w:tcW w:w="860" w:type="dxa"/>
            <w:vAlign w:val="bottom"/>
          </w:tcPr>
          <w:p>
            <w:pPr>
              <w:spacing w:after="0"/>
              <w:rPr>
                <w:sz w:val="16"/>
                <w:szCs w:val="16"/>
                <w:color w:val="auto"/>
              </w:rPr>
            </w:pPr>
          </w:p>
        </w:tc>
        <w:tc>
          <w:tcPr>
            <w:tcW w:w="1140" w:type="dxa"/>
            <w:vAlign w:val="bottom"/>
          </w:tcPr>
          <w:p>
            <w:pPr>
              <w:jc w:val="right"/>
              <w:spacing w:after="0" w:line="190" w:lineRule="exact"/>
              <w:rPr>
                <w:rFonts w:ascii="Arial" w:cs="Arial" w:eastAsia="Arial" w:hAnsi="Arial"/>
                <w:sz w:val="18"/>
                <w:szCs w:val="18"/>
                <w:color w:val="auto"/>
              </w:rPr>
            </w:pPr>
            <w:hyperlink w:anchor="page35">
              <w:r>
                <w:rPr>
                  <w:rFonts w:ascii="Arial" w:cs="Arial" w:eastAsia="Arial" w:hAnsi="Arial"/>
                  <w:sz w:val="18"/>
                  <w:szCs w:val="18"/>
                  <w:color w:val="auto"/>
                </w:rPr>
                <w:t>32</w:t>
              </w:r>
            </w:hyperlink>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[Reserved]</w:t>
              </w:r>
            </w:hyperlink>
          </w:p>
        </w:tc>
        <w:tc>
          <w:tcPr>
            <w:tcW w:w="8140" w:type="dxa"/>
            <w:vAlign w:val="bottom"/>
            <w:gridSpan w:val="17"/>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894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11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16"/>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Quantitative and Qualitative Disclosures About Market Risk</w:t>
              </w:r>
            </w:hyperlink>
          </w:p>
        </w:tc>
        <w:tc>
          <w:tcPr>
            <w:tcW w:w="2480" w:type="dxa"/>
            <w:vAlign w:val="bottom"/>
            <w:gridSpan w:val="4"/>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940" w:type="dxa"/>
            <w:vAlign w:val="bottom"/>
            <w:gridSpan w:val="20"/>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Comcast Corporation Financial Statements and Supplementary Data</w:t>
              </w:r>
            </w:hyperlink>
          </w:p>
        </w:tc>
        <w:tc>
          <w:tcPr>
            <w:tcW w:w="114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40" w:type="dxa"/>
            <w:vAlign w:val="bottom"/>
            <w:gridSpan w:val="20"/>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Changes in and Disagreements with Accountants on Accounting and Financial Disclosure</w:t>
              </w:r>
            </w:hyperlink>
          </w:p>
        </w:tc>
        <w:tc>
          <w:tcPr>
            <w:tcW w:w="114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97</w:t>
              </w:r>
            </w:hyperlink>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100">
              <w:r>
                <w:rPr>
                  <w:rFonts w:ascii="Arial" w:cs="Arial" w:eastAsia="Arial" w:hAnsi="Arial"/>
                  <w:sz w:val="18"/>
                  <w:szCs w:val="18"/>
                  <w:color w:val="0000FF"/>
                  <w:w w:val="88"/>
                </w:rPr>
                <w:t>Controls and Procedures</w:t>
              </w:r>
            </w:hyperlink>
          </w:p>
        </w:tc>
        <w:tc>
          <w:tcPr>
            <w:tcW w:w="4700" w:type="dxa"/>
            <w:vAlign w:val="bottom"/>
            <w:tcBorders>
              <w:top w:val="single" w:sz="8" w:color="0000FF"/>
            </w:tcBorders>
            <w:gridSpan w:val="10"/>
          </w:tcPr>
          <w:p>
            <w:pPr>
              <w:spacing w:after="0"/>
              <w:rPr>
                <w:sz w:val="18"/>
                <w:szCs w:val="18"/>
                <w:color w:val="auto"/>
              </w:rPr>
            </w:pPr>
          </w:p>
        </w:tc>
        <w:tc>
          <w:tcPr>
            <w:tcW w:w="2460" w:type="dxa"/>
            <w:vAlign w:val="bottom"/>
            <w:gridSpan w:val="3"/>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97</w:t>
              </w:r>
            </w:hyperlink>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40" w:type="dxa"/>
            <w:vAlign w:val="bottom"/>
            <w:gridSpan w:val="20"/>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Other Information</w:t>
              </w:r>
            </w:hyperlink>
          </w:p>
        </w:tc>
        <w:tc>
          <w:tcPr>
            <w:tcW w:w="114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97</w:t>
              </w:r>
            </w:hyperlink>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8940" w:type="dxa"/>
            <w:vAlign w:val="bottom"/>
            <w:gridSpan w:val="20"/>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Disclosure Regarding Foreign Jurisdictions that Prevent Inspections</w:t>
              </w:r>
            </w:hyperlink>
          </w:p>
        </w:tc>
        <w:tc>
          <w:tcPr>
            <w:tcW w:w="1140" w:type="dxa"/>
            <w:vAlign w:val="bottom"/>
          </w:tcPr>
          <w:p>
            <w:pPr>
              <w:jc w:val="right"/>
              <w:spacing w:after="0"/>
              <w:rPr>
                <w:rFonts w:ascii="Arial" w:cs="Arial" w:eastAsia="Arial" w:hAnsi="Arial"/>
                <w:sz w:val="18"/>
                <w:szCs w:val="18"/>
                <w:color w:val="auto"/>
              </w:rPr>
            </w:pPr>
            <w:hyperlink w:anchor="page100">
              <w:r>
                <w:rPr>
                  <w:rFonts w:ascii="Arial" w:cs="Arial" w:eastAsia="Arial" w:hAnsi="Arial"/>
                  <w:sz w:val="18"/>
                  <w:szCs w:val="18"/>
                  <w:color w:val="auto"/>
                </w:rPr>
                <w:t>97</w:t>
              </w:r>
            </w:hyperlink>
          </w:p>
        </w:tc>
      </w:tr>
      <w:tr>
        <w:trPr>
          <w:trHeight w:val="30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2"/>
          </w:tcPr>
          <w:p>
            <w:pPr>
              <w:spacing w:after="0" w:line="190" w:lineRule="exact"/>
              <w:rPr>
                <w:rFonts w:ascii="Arial" w:cs="Arial" w:eastAsia="Arial" w:hAnsi="Arial"/>
                <w:sz w:val="18"/>
                <w:szCs w:val="18"/>
                <w:color w:val="0000FF"/>
                <w:w w:val="90"/>
              </w:rPr>
            </w:pPr>
            <w:hyperlink w:anchor="page101">
              <w:r>
                <w:rPr>
                  <w:rFonts w:ascii="Arial" w:cs="Arial" w:eastAsia="Arial" w:hAnsi="Arial"/>
                  <w:sz w:val="18"/>
                  <w:szCs w:val="18"/>
                  <w:color w:val="0000FF"/>
                  <w:w w:val="90"/>
                </w:rPr>
                <w:t>Directors, Executive Officers and Corporate Governance</w:t>
              </w:r>
            </w:hyperlink>
          </w:p>
        </w:tc>
        <w:tc>
          <w:tcPr>
            <w:tcW w:w="4840" w:type="dxa"/>
            <w:vAlign w:val="bottom"/>
            <w:gridSpan w:val="8"/>
          </w:tcPr>
          <w:p>
            <w:pPr>
              <w:spacing w:after="0"/>
              <w:rPr>
                <w:sz w:val="16"/>
                <w:szCs w:val="16"/>
                <w:color w:val="auto"/>
              </w:rPr>
            </w:pPr>
          </w:p>
        </w:tc>
        <w:tc>
          <w:tcPr>
            <w:tcW w:w="1140" w:type="dxa"/>
            <w:vAlign w:val="bottom"/>
          </w:tcPr>
          <w:p>
            <w:pPr>
              <w:jc w:val="right"/>
              <w:spacing w:after="0" w:line="190" w:lineRule="exact"/>
              <w:rPr>
                <w:rFonts w:ascii="Arial" w:cs="Arial" w:eastAsia="Arial" w:hAnsi="Arial"/>
                <w:sz w:val="18"/>
                <w:szCs w:val="18"/>
                <w:color w:val="auto"/>
              </w:rPr>
            </w:pPr>
            <w:hyperlink w:anchor="page101">
              <w:r>
                <w:rPr>
                  <w:rFonts w:ascii="Arial" w:cs="Arial" w:eastAsia="Arial" w:hAnsi="Arial"/>
                  <w:sz w:val="18"/>
                  <w:szCs w:val="18"/>
                  <w:color w:val="auto"/>
                </w:rPr>
                <w:t>98</w:t>
              </w:r>
            </w:hyperlink>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01">
              <w:r>
                <w:rPr>
                  <w:rFonts w:ascii="Arial" w:cs="Arial" w:eastAsia="Arial" w:hAnsi="Arial"/>
                  <w:sz w:val="18"/>
                  <w:szCs w:val="18"/>
                  <w:color w:val="0000FF"/>
                  <w:w w:val="90"/>
                </w:rPr>
                <w:t>Executive Compensation</w:t>
              </w:r>
            </w:hyperlink>
          </w:p>
        </w:tc>
        <w:tc>
          <w:tcPr>
            <w:tcW w:w="7120" w:type="dxa"/>
            <w:vAlign w:val="bottom"/>
            <w:gridSpan w:val="12"/>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99</w:t>
              </w:r>
            </w:hyperlink>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Security Ownership of Certain Beneficial Owners and Management and Related Stockholder Matters</w:t>
              </w:r>
            </w:hyperlink>
          </w:p>
        </w:tc>
        <w:tc>
          <w:tcPr>
            <w:tcW w:w="1640" w:type="dxa"/>
            <w:vAlign w:val="bottom"/>
            <w:gridSpan w:val="2"/>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99</w:t>
              </w:r>
            </w:hyperlink>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Certain Relationships and Related Transactions, and Director Independence</w:t>
              </w:r>
            </w:hyperlink>
          </w:p>
        </w:tc>
        <w:tc>
          <w:tcPr>
            <w:tcW w:w="3480" w:type="dxa"/>
            <w:vAlign w:val="bottom"/>
            <w:gridSpan w:val="5"/>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99</w:t>
              </w:r>
            </w:hyperlink>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940" w:type="dxa"/>
            <w:vAlign w:val="bottom"/>
            <w:gridSpan w:val="20"/>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Principal Accountant Fees and Services</w:t>
              </w:r>
            </w:hyperlink>
          </w:p>
        </w:tc>
        <w:tc>
          <w:tcPr>
            <w:tcW w:w="114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99</w:t>
              </w:r>
            </w:hyperlink>
          </w:p>
        </w:tc>
      </w:tr>
      <w:tr>
        <w:trPr>
          <w:trHeight w:val="30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8940" w:type="dxa"/>
            <w:vAlign w:val="bottom"/>
            <w:gridSpan w:val="20"/>
          </w:tcPr>
          <w:p>
            <w:pPr>
              <w:spacing w:after="0" w:line="190" w:lineRule="exact"/>
              <w:rPr>
                <w:rFonts w:ascii="Arial" w:cs="Arial" w:eastAsia="Arial" w:hAnsi="Arial"/>
                <w:sz w:val="18"/>
                <w:szCs w:val="18"/>
                <w:color w:val="0000FF"/>
              </w:rPr>
            </w:pPr>
            <w:hyperlink w:anchor="page103">
              <w:r>
                <w:rPr>
                  <w:rFonts w:ascii="Arial" w:cs="Arial" w:eastAsia="Arial" w:hAnsi="Arial"/>
                  <w:sz w:val="18"/>
                  <w:szCs w:val="18"/>
                  <w:color w:val="0000FF"/>
                </w:rPr>
                <w:t>Exhibits and Financial Statement Schedules</w:t>
              </w:r>
            </w:hyperlink>
          </w:p>
        </w:tc>
        <w:tc>
          <w:tcPr>
            <w:tcW w:w="1140" w:type="dxa"/>
            <w:vAlign w:val="bottom"/>
          </w:tcPr>
          <w:p>
            <w:pPr>
              <w:jc w:val="right"/>
              <w:spacing w:after="0" w:line="190" w:lineRule="exact"/>
              <w:rPr>
                <w:rFonts w:ascii="Arial" w:cs="Arial" w:eastAsia="Arial" w:hAnsi="Arial"/>
                <w:sz w:val="18"/>
                <w:szCs w:val="18"/>
                <w:color w:val="auto"/>
              </w:rPr>
            </w:pPr>
            <w:hyperlink w:anchor="page103">
              <w:r>
                <w:rPr>
                  <w:rFonts w:ascii="Arial" w:cs="Arial" w:eastAsia="Arial" w:hAnsi="Arial"/>
                  <w:sz w:val="18"/>
                  <w:szCs w:val="18"/>
                  <w:color w:val="auto"/>
                </w:rPr>
                <w:t>100</w:t>
              </w:r>
            </w:hyperlink>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FF"/>
            </w:tcBorders>
            <w:gridSpan w:val="11"/>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Form 10-K Summary</w:t>
              </w:r>
            </w:hyperlink>
          </w:p>
        </w:tc>
        <w:tc>
          <w:tcPr>
            <w:tcW w:w="5780" w:type="dxa"/>
            <w:vAlign w:val="bottom"/>
            <w:gridSpan w:val="9"/>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103</w:t>
              </w:r>
            </w:hyperlink>
          </w:p>
        </w:tc>
      </w:tr>
      <w:tr>
        <w:trPr>
          <w:trHeight w:val="210"/>
        </w:trPr>
        <w:tc>
          <w:tcPr>
            <w:tcW w:w="1120" w:type="dxa"/>
            <w:vAlign w:val="bottom"/>
            <w:gridSpan w:val="2"/>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104</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indicated otherwise, throughout this Annual Report on Form 10-K, we refer to Comcast and its consolidated subsidiaries, as “Comcast,” “we,” “us” and “our;” Comcast Cable Communications, LLC and its consolidated subsidiaries as “Comcast Cable;” Comcast Holdings Corporation as “Comcast Holdings;” NBCUniversal Enterprise, Inc. as “NBCUniversal Enterprise;” NBCUniversal Media, LLC and its consolidated subsidiaries as “NBCUniversal;” and Sky Limited and its consolidated subsidiaries as “Sky.”</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Annual Report on Form 10-K is for the year ended December 31, 2021. This Annual Report on Form 10-K modifies and supersedes documents filed before it. The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color w:val="006EBF"/>
        </w:rPr>
        <w:t>Item 1: Business</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were incorporated under the laws of Pennsylvania in December 2001. Through our predecessors, we have developed, managed and operated cable systems since 1963. Through transactions in 2011 and 2013, we acquired NBCUniversal, and in 2018, we acquired Sky.</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 Beginning in the first quarter of 2021, we changed our presentation of the NBCUniversal segments to reflect a reorganized operating structure in our television and streaming businesses to a more centralized structure to optimize its content creation, distribution and monetization model. We also now include Peacock, our direct-to-consumer streaming service (“DTC streaming service”), within the NBCUniversal segments. NBCUniversal previously reported its operations in four reportable business segments: Broadcast Television, Cable Networks, Filmed Entertainment and Theme Parks and Peacock was previously reported in Corporate and Other.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2021 Consolidated Operating Results</w:t>
      </w:r>
      <w:r>
        <w:rPr>
          <w:rFonts w:ascii="Arial" w:cs="Arial" w:eastAsia="Arial" w:hAnsi="Arial"/>
          <w:sz w:val="23"/>
          <w:szCs w:val="23"/>
          <w:color w:val="006EB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9" w:lineRule="exact"/>
        <w:rPr>
          <w:sz w:val="20"/>
          <w:szCs w:val="20"/>
          <w:color w:val="auto"/>
        </w:rPr>
      </w:pPr>
    </w:p>
    <w:p>
      <w:pPr>
        <w:ind w:left="3640"/>
        <w:spacing w:after="0"/>
        <w:tabs>
          <w:tab w:leader="none" w:pos="692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5657850" cy="1543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543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1884045</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right="20" w:hanging="252"/>
        <w:spacing w:after="0" w:line="273" w:lineRule="auto"/>
        <w:tabs>
          <w:tab w:leader="none" w:pos="257" w:val="left"/>
        </w:tabs>
        <w:numPr>
          <w:ilvl w:val="0"/>
          <w:numId w:val="1"/>
        </w:numPr>
        <w:rPr>
          <w:rFonts w:ascii="Arial" w:cs="Arial" w:eastAsia="Arial" w:hAnsi="Arial"/>
          <w:sz w:val="14"/>
          <w:szCs w:val="14"/>
          <w:color w:val="auto"/>
        </w:rPr>
      </w:pPr>
      <w:r>
        <w:rPr>
          <w:rFonts w:ascii="Arial" w:cs="Arial" w:eastAsia="Arial" w:hAnsi="Arial"/>
          <w:sz w:val="14"/>
          <w:szCs w:val="14"/>
          <w:color w:val="auto"/>
        </w:rPr>
        <w:t>Charts exclude the results of NBCUniversal Headquarters and Other, Corporate and Other, and eliminations. 2021 consolidated operating results were impacted by COVID-19. Refer to our Management’s Discussion and Analysis of Financial Condition and Results of Operations for additional information.</w:t>
      </w:r>
    </w:p>
    <w:p>
      <w:pPr>
        <w:spacing w:after="0" w:line="66" w:lineRule="exact"/>
        <w:rPr>
          <w:rFonts w:ascii="Arial" w:cs="Arial" w:eastAsia="Arial" w:hAnsi="Arial"/>
          <w:sz w:val="14"/>
          <w:szCs w:val="14"/>
          <w:color w:val="auto"/>
        </w:rPr>
      </w:pPr>
    </w:p>
    <w:p>
      <w:pPr>
        <w:jc w:val="both"/>
        <w:ind w:left="660" w:hanging="328"/>
        <w:spacing w:after="0" w:line="266" w:lineRule="auto"/>
        <w:tabs>
          <w:tab w:leader="none" w:pos="655"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a leading provider of broadband, video, voice, wireless,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residential customers in the United States under the Xfinity brand; we also provide these and other services to business customers and sell advertising.</w:t>
      </w:r>
    </w:p>
    <w:p>
      <w:pPr>
        <w:spacing w:after="0" w:line="67" w:lineRule="exact"/>
        <w:rPr>
          <w:rFonts w:ascii="Arial" w:cs="Arial" w:eastAsia="Arial" w:hAnsi="Arial"/>
          <w:sz w:val="18"/>
          <w:szCs w:val="18"/>
          <w:color w:val="auto"/>
        </w:rPr>
      </w:pPr>
    </w:p>
    <w:p>
      <w:pPr>
        <w:ind w:left="660" w:hanging="328"/>
        <w:spacing w:after="0" w:line="312" w:lineRule="auto"/>
        <w:tabs>
          <w:tab w:leader="none" w:pos="655" w:val="left"/>
        </w:tabs>
        <w:numPr>
          <w:ilvl w:val="1"/>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Media: </w:t>
      </w:r>
      <w:r>
        <w:rPr>
          <w:rFonts w:ascii="Arial" w:cs="Arial" w:eastAsia="Arial" w:hAnsi="Arial"/>
          <w:sz w:val="17"/>
          <w:szCs w:val="17"/>
          <w:color w:val="auto"/>
        </w:rPr>
        <w:t>Consists primarily of NBCUniversal’s television and streaming platforms, including national, regional and international cable networks;</w:t>
      </w:r>
      <w:r>
        <w:rPr>
          <w:rFonts w:ascii="Arial" w:cs="Arial" w:eastAsia="Arial" w:hAnsi="Arial"/>
          <w:sz w:val="17"/>
          <w:szCs w:val="17"/>
          <w:b w:val="1"/>
          <w:bCs w:val="1"/>
          <w:color w:val="auto"/>
        </w:rPr>
        <w:t xml:space="preserve"> </w:t>
      </w:r>
      <w:r>
        <w:rPr>
          <w:rFonts w:ascii="Arial" w:cs="Arial" w:eastAsia="Arial" w:hAnsi="Arial"/>
          <w:sz w:val="17"/>
          <w:szCs w:val="17"/>
          <w:color w:val="auto"/>
        </w:rPr>
        <w:t>the NBC and Telemundo broadcast networks, NBC and Telemundo owned local broadcast television stations; and Peacock</w:t>
      </w:r>
    </w:p>
    <w:p>
      <w:pPr>
        <w:spacing w:after="0" w:line="31" w:lineRule="exact"/>
        <w:rPr>
          <w:rFonts w:ascii="Arial" w:cs="Arial" w:eastAsia="Arial" w:hAnsi="Arial"/>
          <w:sz w:val="17"/>
          <w:szCs w:val="17"/>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Studios: </w:t>
      </w:r>
      <w:r>
        <w:rPr>
          <w:rFonts w:ascii="Arial" w:cs="Arial" w:eastAsia="Arial" w:hAnsi="Arial"/>
          <w:sz w:val="18"/>
          <w:szCs w:val="18"/>
          <w:color w:val="auto"/>
        </w:rPr>
        <w:t>Consists primarily of NBCUniversal’s film and television studio production and distribution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Osaka, Japan; and Beijing, China.</w:t>
      </w:r>
    </w:p>
    <w:p>
      <w:pPr>
        <w:spacing w:after="0" w:line="128" w:lineRule="exact"/>
        <w:rPr>
          <w:rFonts w:ascii="Arial" w:cs="Arial" w:eastAsia="Arial" w:hAnsi="Arial"/>
          <w:sz w:val="17"/>
          <w:szCs w:val="17"/>
          <w:color w:val="auto"/>
        </w:rPr>
      </w:pPr>
    </w:p>
    <w:p>
      <w:pPr>
        <w:jc w:val="both"/>
        <w:ind w:left="660" w:hanging="328"/>
        <w:spacing w:after="0" w:line="266" w:lineRule="auto"/>
        <w:tabs>
          <w:tab w:leader="none" w:pos="655"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video, broadband, voice and wireless phone services, and a content business, operating entertainment networks, the Sky News broadcast network and Sky Sports networks.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developments in our business and financial and other information about our reportable business segments, refer to Item 7: Management’s Discussion and Analysis of Financial Condition and Results of Operations and Note 2 to the consolidated financial statements included in this Annual Report on Form 10-K.</w:t>
      </w:r>
    </w:p>
    <w:p>
      <w:pPr>
        <w:spacing w:after="0" w:line="200" w:lineRule="exact"/>
        <w:rPr>
          <w:sz w:val="20"/>
          <w:szCs w:val="20"/>
          <w:color w:val="auto"/>
        </w:rPr>
      </w:pPr>
    </w:p>
    <w:p>
      <w:pPr>
        <w:spacing w:after="0" w:line="299"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1</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Description of Our Businesses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Cable Communications offers broadband, video, voice, wireless, and other services in the United States individually and as bundled services at a discounted rate over our cable distribution system to residential and business customers. Revenue is generated primarily from residential and business customers that subscribe to our services and from the sale of advertising. We aim to meet the needs of various segments of our residential customer base by offering multiple levels within each of our stand-alone and bundled services. Our business services offerings are tailored to meet the needs of various segments of our business customer base, ranging from broadband services for small business locations to bundled services and solutions designed to meet the needs of medium-sized customers and larger enterprises.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Relationships and the Areas We Serve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All customer metrics included in this section are as of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2021</w:t>
            </w:r>
          </w:p>
        </w:tc>
      </w:tr>
      <w:tr>
        <w:trPr>
          <w:trHeight w:val="228"/>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Customer relationships</w:t>
            </w:r>
          </w:p>
        </w:tc>
        <w:tc>
          <w:tcPr>
            <w:tcW w:w="3400" w:type="dxa"/>
            <w:vAlign w:val="bottom"/>
          </w:tcPr>
          <w:p>
            <w:pPr>
              <w:spacing w:after="0"/>
              <w:rPr>
                <w:sz w:val="19"/>
                <w:szCs w:val="19"/>
                <w:color w:val="auto"/>
              </w:rPr>
            </w:pPr>
          </w:p>
        </w:tc>
      </w:tr>
      <w:tr>
        <w:trPr>
          <w:trHeight w:val="229"/>
        </w:trPr>
        <w:tc>
          <w:tcPr>
            <w:tcW w:w="7840" w:type="dxa"/>
            <w:vAlign w:val="bottom"/>
          </w:tcPr>
          <w:p>
            <w:pPr>
              <w:ind w:left="240"/>
              <w:spacing w:after="0"/>
              <w:rPr>
                <w:sz w:val="20"/>
                <w:szCs w:val="20"/>
                <w:color w:val="auto"/>
              </w:rPr>
            </w:pPr>
            <w:r>
              <w:rPr>
                <w:rFonts w:ascii="Arial" w:cs="Arial" w:eastAsia="Arial" w:hAnsi="Arial"/>
                <w:sz w:val="18"/>
                <w:szCs w:val="18"/>
                <w:color w:val="auto"/>
              </w:rPr>
              <w:t>Residential customer relationships</w:t>
            </w:r>
          </w:p>
        </w:tc>
        <w:tc>
          <w:tcPr>
            <w:tcW w:w="3400" w:type="dxa"/>
            <w:vAlign w:val="bottom"/>
          </w:tcPr>
          <w:p>
            <w:pPr>
              <w:jc w:val="right"/>
              <w:ind w:right="153"/>
              <w:spacing w:after="0"/>
              <w:rPr>
                <w:sz w:val="20"/>
                <w:szCs w:val="20"/>
                <w:color w:val="auto"/>
              </w:rPr>
            </w:pPr>
            <w:r>
              <w:rPr>
                <w:rFonts w:ascii="Arial" w:cs="Arial" w:eastAsia="Arial" w:hAnsi="Arial"/>
                <w:sz w:val="18"/>
                <w:szCs w:val="18"/>
                <w:color w:val="auto"/>
              </w:rPr>
              <w:t>31.7</w:t>
            </w:r>
          </w:p>
        </w:tc>
      </w:tr>
      <w:tr>
        <w:trPr>
          <w:trHeight w:val="229"/>
        </w:trPr>
        <w:tc>
          <w:tcPr>
            <w:tcW w:w="7840" w:type="dxa"/>
            <w:vAlign w:val="bottom"/>
          </w:tcPr>
          <w:p>
            <w:pPr>
              <w:ind w:left="240"/>
              <w:spacing w:after="0"/>
              <w:rPr>
                <w:sz w:val="20"/>
                <w:szCs w:val="20"/>
                <w:color w:val="auto"/>
              </w:rPr>
            </w:pPr>
            <w:r>
              <w:rPr>
                <w:rFonts w:ascii="Arial" w:cs="Arial" w:eastAsia="Arial" w:hAnsi="Arial"/>
                <w:sz w:val="18"/>
                <w:szCs w:val="18"/>
                <w:color w:val="auto"/>
              </w:rPr>
              <w:t>Business services customer relationships</w:t>
            </w:r>
          </w:p>
        </w:tc>
        <w:tc>
          <w:tcPr>
            <w:tcW w:w="3400" w:type="dxa"/>
            <w:vAlign w:val="bottom"/>
          </w:tcPr>
          <w:p>
            <w:pPr>
              <w:jc w:val="right"/>
              <w:ind w:right="153"/>
              <w:spacing w:after="0"/>
              <w:rPr>
                <w:sz w:val="20"/>
                <w:szCs w:val="20"/>
                <w:color w:val="auto"/>
              </w:rPr>
            </w:pPr>
            <w:r>
              <w:rPr>
                <w:rFonts w:ascii="Arial" w:cs="Arial" w:eastAsia="Arial" w:hAnsi="Arial"/>
                <w:sz w:val="18"/>
                <w:szCs w:val="18"/>
                <w:color w:val="auto"/>
              </w:rPr>
              <w:t>2.5</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34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34.2</w:t>
            </w:r>
          </w:p>
        </w:tc>
      </w:tr>
      <w:tr>
        <w:trPr>
          <w:trHeight w:val="218"/>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Homes and businesses passed</w:t>
            </w:r>
          </w:p>
        </w:tc>
        <w:tc>
          <w:tcPr>
            <w:tcW w:w="3400" w:type="dxa"/>
            <w:vAlign w:val="bottom"/>
          </w:tcPr>
          <w:p>
            <w:pPr>
              <w:jc w:val="right"/>
              <w:ind w:right="153"/>
              <w:spacing w:after="0"/>
              <w:rPr>
                <w:sz w:val="20"/>
                <w:szCs w:val="20"/>
                <w:color w:val="auto"/>
              </w:rPr>
            </w:pPr>
            <w:r>
              <w:rPr>
                <w:rFonts w:ascii="Arial" w:cs="Arial" w:eastAsia="Arial" w:hAnsi="Arial"/>
                <w:sz w:val="18"/>
                <w:szCs w:val="18"/>
                <w:b w:val="1"/>
                <w:bCs w:val="1"/>
                <w:color w:val="auto"/>
              </w:rPr>
              <w:t>61</w:t>
            </w:r>
          </w:p>
        </w:tc>
      </w:tr>
      <w:tr>
        <w:trPr>
          <w:trHeight w:val="234"/>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customer relationships penetration of homes and businesses passed</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57 %</w:t>
            </w:r>
          </w:p>
        </w:tc>
      </w:tr>
    </w:tbl>
    <w:p>
      <w:pPr>
        <w:spacing w:after="0" w:line="116"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Homes and businesses are considered passed if we can connect them to our cable distribution system without further extending the transmission lines and are estimated based on the best available information.</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map below highlights Cable Communications’ cable distribution footprint and the designated market areas (“DMAs”) where we have 250,000 or more customer relationships, with bolded locations representing one of the top 25 U.S. television DMAs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657850" cy="3068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60" w:type="dxa"/>
            <w:vAlign w:val="bottom"/>
          </w:tcPr>
          <w:p>
            <w:pPr>
              <w:jc w:val="right"/>
              <w:ind w:right="5528"/>
              <w:spacing w:after="0"/>
              <w:rPr>
                <w:sz w:val="20"/>
                <w:szCs w:val="20"/>
                <w:color w:val="auto"/>
              </w:rPr>
            </w:pPr>
            <w:r>
              <w:rPr>
                <w:rFonts w:ascii="Arial" w:cs="Arial" w:eastAsia="Arial" w:hAnsi="Arial"/>
                <w:sz w:val="14"/>
                <w:szCs w:val="14"/>
                <w:b w:val="1"/>
                <w:bCs w:val="1"/>
                <w:color w:val="auto"/>
              </w:rPr>
              <w:t>2</w:t>
            </w:r>
          </w:p>
        </w:tc>
      </w:tr>
      <w:tr>
        <w:trPr>
          <w:trHeight w:val="329"/>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Residential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Broadband - 29.6 million customers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broadband services over our hybrid fiber-optic and coaxial cable network with downstream speeds up to over a gigabit per second across nearly our entire footprint and fiber-based speeds that range up to 3 gigabits per second, and we continue to evolve and enhance our network and plan to leverage DOCSIS 4.0 technology to begin deploying multigigabit symmetrical speeds in the future.</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offer wireless gateways to customers that combine an internet modem with a Wi-Fi router to deliver reliable internet speeds and enhanced coverage through an in-and-out-of-home Wi-Fi network as well as xFi Pod plug-in devices that extend a customer’s in-home Wi-Fi coverage. Customers with wireless gateways may also personalize and manage their Wi-Fi network and connected home, and access advanced security technology and other features, with our xFi whole-home application and online portal. Broadband customers have access to our expanding network of secure residential, outdoor and business Wi-Fi hotspots nationwide. As part of our low-income broadband adoption program, we also offer qualifying customers our Internet Essentials service, and beginning at the end of 2021 Internet Essential Plus, which have downstream speeds of up to 50 megabits per second and 100 megabits per second, respectively.</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Broadband customers that prefer consuming content over the internet rather than linear cable television are eligible to receive our Flex streaming device for no additional charge, which includes integrated search functionality and a voice-activated remote control. Flex also provides access to and the integration of streaming content from Peacock’s premium tier; certain third-party internet-based apps providing content and music such as DTC streaming services Disney+ and Netflix; and certain pay-per-view and video on demand content available over the internet. We earn commission revenue from the sale of certain third-party DTC streaming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Video - 17.5 million customers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a broad variety of video services, primarily through our X1 platform, which provides integrated search functionality and a voice-activated remote control. The integrated features provided by X1 operate across content in customers’ cable video services packages and content from internet-based streaming services that customers may access in a manner similar to our Flex streaming device. Our video packages typically range from a basic cable service with access to between 20 and 65 channels to a full service with access to more than 300 channels. Customers may view programming live, record live programming through our digital video recorder (“DVR”) service or access our video on demand services with extensive programming choices such as television series, movies and special-events programming that are available for free or to rent or own digitally. These viewing options are also available through our mobile app and online portal.</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tailor our video packages based on particular programming preferences, demographics and geographic areas in accordance with applicable local and federal regulatory requirements, with programming generally inclusive of national broadcast networks, local broadcast stations, national and regional cable networks, government and public access programming, and premium channel subscriptions such as HBO and Showtime. We also offer packages with extensive amounts of foreign-language programming and other specialty tiers of programming.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Voice - 9.1 million customers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offer voice services using interconnected Voice over Internet Protocol (“VoIP”) technology that provide either unlimited or usage-based local and domestic long-distance calling, as well as options for international calling plans, voicemail, readable voicemail, nuisance call blocking tools and various other features.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Wireless - 4.0 million lines</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offer wireless services for handsets, tablets and smart watches using mobile virtual network operator (“MVNO”) rights over Verizon’s wireless network, including its 5G technology and our existing network of secure residential, outdoor and business Wi-Fi hotspots. Wireless services are only offered as part of our bundled service offerings to residential customers that subscribe to our broadband services and to eligible small business customers on similar terms. Customers may activate multiple lines per account and choose to pay for services on an unlimited data plan, shared data plans, or per gigabyte of data used. Customers may either bring their own device or purchase devices from us with the option to pay upfront or finance the purchase interest-free over 24 months.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 services customers may subscribe to a variety of products and services, including broadband services over our hybrid fiber-optic and coaxial cable network with downstream speeds up to a gigabit per second across nearly our entire footprint and fiber-based speeds that range up to 100 gigabits per second. Our service offerings for small business locations primarily include broadband services, as well as voice and video services, that are similar to those provided to our residential customers, cloud-based cybersecurity services, wireless backup connectivity, advanced Wi-Fi solutions, video monitoring services and cloud-</w:t>
      </w:r>
    </w:p>
    <w:p>
      <w:pPr>
        <w:spacing w:after="0" w:line="200" w:lineRule="exact"/>
        <w:rPr>
          <w:sz w:val="20"/>
          <w:szCs w:val="20"/>
          <w:color w:val="auto"/>
        </w:rPr>
      </w:pPr>
    </w:p>
    <w:p>
      <w:pPr>
        <w:spacing w:after="0" w:line="303"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3</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services for file sharing, online backup and web conferencing, among other features. We also offer Ethernet network services, which connect multiple locations and provide higher downstream and upstream speed options to medium-sized customers and larger enterprises, and advanced voice services, as well as video solutions for hotels and other large venues. In addition, we provide cellular backhaul services to mobile network operators to help manage their network bandwidth.</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business services offerings for medium-sized and enterprise customers also include a software-defined networking product, and larger enterprises may also receive support services related to Wi-Fi networks, router management, network security, business continuity risks and other services. These services are primarily provided to Fortune 1000 companies and other large enterprises with multiple locations both within and outside of our cable distribution footprint, where we provide coverage outside of our service areas through agreements with other companies to use their networks.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generally receive an allocation of scheduled advertising time that our advertising business sells to local, regional and national advertisers as part of our distribution agreements with cable networks, and we also generate revenue from selling advertising on our digital platforms. Our advertising business also represents the advertising sales efforts of other multichannel video providers in some markets and offers additional technology, tools, data-driven services and marketplace solutions to customers in the media industry to facilitate advertisers more effectively engaging with their target audiences.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security and automation services provide home monitoring services and the ability to manage other functions within the home, such as lighting and room temperature, through our online portal, mobile apps and the X1 platform. We also license our technology platforms to other multichannel video providers.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and Technology</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Cable Communications cable distribution system uses a hybrid fiber-optic and coaxial cable network that we believe is sufficiently flexible and scalable to support our future technology requirements and enables us to continue to grow capacity and capabilities over time. This network provides the two-way transmissions that are essential to providing broadband services, interactive video services such as integrated search functionality, On Demand and DVR, voice services, and security and automation services. Leveraging DOCSIS 3.1 technology, Cable Communications currently deploys broadband services with downstream speeds for residential customers up to over a gigabit per second across nearly our entire footprint. We continue to evolve and enhance our network and plan to leverage DOCSIS 4.0 technology to begin deploying multigigabit symmetrical speeds in the future. Additionally, Cable Communications has been automating many core network functions in order to expand capacity and increase operating efficiency and to identify and fix network issues before they affect our customers.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Cable Communications continues to focus on technology initiatives to design, develop and deploy next-generation media and content delivery platforms, such as the X1 and Flex platforms and cloud DVR technology that use Internet Protocol (“IP”) technology and our own cloud network servers to deliver video and advanced search capability. These platforms are based on our global technology platform, which integrates linear television networks, certain owned and third-party DTC streaming services and other internet-based apps, and on demand content in one unified experience with voice-activated remote control search and interactive features. Cable Communications also pursues technology initiatives related to broadband services that leverage our global technology platform, providing customers with in-and-out-of-home Wi-Fi, the ability to manage their Wi-Fi network and connected home with our xFi whole-home application and online portal, advanced security technology and other features.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 and Other Operations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offer video services, Cable Communications licenses substantial amounts of programming from cable and broadcast networks, as well as from local broadcast television stations. The fees associated with these programming distribution agreements are generally based on the number of subscribers who are able to watch the programming and the platforms on which the content is provided. We seek to include in distribution agreements the rights to offer such programming through multiple delivery platforms, such as through our On Demand service, online portal, mobile apps and Flex.</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wireless services, we have an MVNO agreement that allows us to offer services using Verizon’s wireless network and we purchase from a limited number of suppliers a significant number of wireless handsets, tablets and smart watches that we sell to wireless customers.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purchases from a limited number of suppliers a significant amount of customer premise equipment, including wireless gateways and set-top boxes, network equipment and services to provide services to residential and business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uses two primary vendors to provide customer billing for our residential and business customers.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60" w:type="dxa"/>
            <w:vAlign w:val="bottom"/>
          </w:tcPr>
          <w:p>
            <w:pPr>
              <w:jc w:val="right"/>
              <w:ind w:right="5528"/>
              <w:spacing w:after="0"/>
              <w:rPr>
                <w:sz w:val="20"/>
                <w:szCs w:val="20"/>
                <w:color w:val="auto"/>
              </w:rPr>
            </w:pPr>
            <w:r>
              <w:rPr>
                <w:rFonts w:ascii="Arial" w:cs="Arial" w:eastAsia="Arial" w:hAnsi="Arial"/>
                <w:sz w:val="14"/>
                <w:szCs w:val="14"/>
                <w:b w:val="1"/>
                <w:bCs w:val="1"/>
                <w:color w:val="auto"/>
              </w:rPr>
              <w:t>4</w:t>
            </w:r>
          </w:p>
        </w:tc>
      </w:tr>
      <w:tr>
        <w:trPr>
          <w:trHeight w:val="329"/>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offers services directly to residential and business customers through customer service teams, retail stores, customer service centers, websites, door-to-door selling, telemarketing and third-party outlets, as well as through advertising via direct mail, television and the internet. Our customer service teams also provide 24/7 call-answering capability, telemarketing and other services. Our technical services group performs various tasks, including installations, plant maintenance and upgrades to our cable distribution system. Customers can use self-service help and support and perform self-installations for certain services.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Competition for Cable Communications’ services consists primarily of telecommunications companies with fiber-based networks, DTC streaming and other over-the-top (“OTT”) service providers and direct broadcast satellite (“DBS”) providers that typically offer features, pricing and packaging for services comparable to ours.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Residential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Broadband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competes with a number of companies offering internet services, including:</w:t>
      </w:r>
    </w:p>
    <w:p>
      <w:pPr>
        <w:spacing w:after="0" w:line="11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wireline telecommunications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wireless telecommunications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municipal broadband networks and power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satellite broadband providers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wireline telecommunications companies such as AT&amp;T, Frontier, Lumen and Verizon have built and are continuing to build fiber-based network infrastructure farther into their networks, which allows them to provide data transmission speeds that exceed those that can be provided with traditional DSL technology, and are offering services with these higher speeds in many of our service areas. Certain companies that offer DSL service have increased data transmission speeds, lowered prices or created bundled services to compete with our broadband services.</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companies have launched fiber-to-the-home networks that provide broadband services in certain areas in which we operate, and certain municipalities in our service areas are also building fiber-based networks.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Various wireless companies are offering internet services using a variety of technologies, including 4G and 5G, wireless broadband and Wi-Fi networks. These networks work with devices such as smartphones, laptops, tablets, and mobile and fixed wireless routers, as well as wireless data cards. Moreover, broadband-deployment funding initiatives at the federal and state level, including as part of COVID-19 relief efforts as well as federal infrastructure legislation enacted in 2021, may result in other service providers deploying new subsidized internet access networks within our footprint. The availability of these and other offerings could negatively impact the demand for our broadband services.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Video</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competes with a number of different sources in the United States that provide news, sports, information and entertainment programming to consumers, including:</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DTC streaming and other OTT service providers including:</w:t>
      </w:r>
    </w:p>
    <w:p>
      <w:pPr>
        <w:spacing w:after="0" w:line="117"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subscription-based services, such as Disney+ and Netflix, that offer online services that enable internet streaming and downloading of movies, television shows and other video programming</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virtual multichannel video providers, such as Hulu + Live TV and YouTube TV, that offer streamed linear programming networks</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DBS providers, including DIRECTV and DISH Network, that transmit satellite signals to substantially all U.S. households to provide video programming and other information similar to our video services</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companies, including AT&amp;T and Verizon, that have built and continue to build fiber-based networks that provide video services similar to ours, overlap a substantial portion of our service areas, and in some cases provide bundled offerings that include wireless phone services</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providers that build and operate communications systems and services in the same areas that we serve, including those operating as franchised cable operators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such as local broadcast television stations, that provide multiple channels of free over-the-air programming</w:t>
      </w:r>
    </w:p>
    <w:p>
      <w:pPr>
        <w:spacing w:after="0" w:line="200" w:lineRule="exact"/>
        <w:rPr>
          <w:sz w:val="20"/>
          <w:szCs w:val="20"/>
          <w:color w:val="auto"/>
        </w:rPr>
      </w:pPr>
    </w:p>
    <w:p>
      <w:pPr>
        <w:spacing w:after="0" w:line="341"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Many of these competitors also have significant financial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Voice</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Cable Communications competes with wireless and wireline telecommunications providers, including incumbent local exchange carriers (“ILECs”) and competitive local exchange carriers (“CLECs”), and other internet-based and VoIP service providers. Certain wireless and wireline telecommunications providers, such as the ILECs AT&amp;T and Verizon, have longstanding customer relationships, and extensive existing facilities and network rights-of-way. A few CLECs also have existing local networks and significant financial resources. In addition, we are increasingly competing with other telecommunications service providers as customers replace traditional wireline phone services with wireless and internet-based phone services.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Wireless</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Cable Communications competes with national wireless service providers in the United States, including AT&amp;T, T-Mobile and Verizon, which offer wireless service on both a stand-alone basis or along with other services as bundled offerings, as well as regional wireless service providers.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Cable Communications primarily competes with a variety of wireline telecommunications companies, including ILECs and CLECs, and wide area network managed service providers. These companies either operate their own network infrastructure or use all or part of another carrier’s network. We also compete with satellite operators who offer video services to businesses and VoIP companies that target businesses of all sizes.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competes for the sale of advertising with other television networks and stations, as well as with all other advertising platforms, such as digital, radio and print media. Similar to the competitive environment in our Media segment, the willingness of advertisers to purchase advertising from us may be adversely affected by declines in audience ratings and television viewership and difficulty in measuring fragmented audiences. Cable Communications advertising is sold to local, regional and national advertisers, and competition is affected by the market conditions in the specific geographies in which we operate.</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in the United States and Asia.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NBCUniversal’s television and streaming platforms primarily comprise our Media segment, including:</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regional and international cable networks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 and Telemundo broadcast networks and owned local broadcast television stations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Peacock, our DTC streaming service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NBCUniversal distributes a wide variety of content to appeal to consumers with varying preferences across demographics and geographies through our portfolio of television networks and streaming platforms. This content includes programming owned by NBCUniversal and by third parties who license it to us for distribution.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Media segment revenue is primarily generated from the sale of advertising on our television networks, Peacock and digital properties, and from the distribution of our television and streaming platform programming.</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advertising sales are affected by the prices we charge for each advertising unit, which are generally based on the size and demographics of our viewing audiences, audience ratings on our television networks, the number of advertising units we can place in our programming and on our digital properties, and our ability to sell our advertising across our platforms.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and distribute cable network programming in the United States and internationally to multichannel video providers, including both traditional providers of linear programming and virtual providers who provide streaming services for linear programming. We also receive fees from multichannel video providers under NBC and Telemundo retransmission consent agreements and associated fees from NBC-affiliated and Telemundo-affiliated local broadcast television stations. Our programming distribution agreements are generally multiyear agreements with revenue based on the number of subscribers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60" w:type="dxa"/>
            <w:vAlign w:val="bottom"/>
          </w:tcPr>
          <w:p>
            <w:pPr>
              <w:jc w:val="right"/>
              <w:ind w:right="5528"/>
              <w:spacing w:after="0"/>
              <w:rPr>
                <w:sz w:val="20"/>
                <w:szCs w:val="20"/>
                <w:color w:val="auto"/>
              </w:rPr>
            </w:pPr>
            <w:r>
              <w:rPr>
                <w:rFonts w:ascii="Arial" w:cs="Arial" w:eastAsia="Arial" w:hAnsi="Arial"/>
                <w:sz w:val="14"/>
                <w:szCs w:val="14"/>
                <w:b w:val="1"/>
                <w:bCs w:val="1"/>
                <w:color w:val="auto"/>
              </w:rPr>
              <w:t>6</w:t>
            </w:r>
          </w:p>
        </w:tc>
      </w:tr>
      <w:tr>
        <w:trPr>
          <w:trHeight w:val="329"/>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receiving the programming and the fees charged per subscriber. Certain Peacock subscribers are also charged a monthly subscription fee.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Media generates other revenue from content licensing and from various digital properties.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Cable Networks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operate a diversified portfolio of cable networks that provide a variety of entertainment, news and information, and sports content.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NBCUniversal’s national cable networks and their advertising reach to U.S. households.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Approximate U.S.</w:t>
            </w:r>
          </w:p>
        </w:tc>
        <w:tc>
          <w:tcPr>
            <w:tcW w:w="7040" w:type="dxa"/>
            <w:vAlign w:val="bottom"/>
          </w:tcPr>
          <w:p>
            <w:pPr>
              <w:spacing w:after="0"/>
              <w:rPr>
                <w:sz w:val="15"/>
                <w:szCs w:val="15"/>
                <w:color w:val="auto"/>
              </w:rPr>
            </w:pPr>
          </w:p>
        </w:tc>
      </w:tr>
      <w:tr>
        <w:trPr>
          <w:trHeight w:val="189"/>
        </w:trPr>
        <w:tc>
          <w:tcPr>
            <w:tcW w:w="23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Households as of</w:t>
            </w:r>
          </w:p>
        </w:tc>
        <w:tc>
          <w:tcPr>
            <w:tcW w:w="7040" w:type="dxa"/>
            <w:vAlign w:val="bottom"/>
          </w:tcPr>
          <w:p>
            <w:pPr>
              <w:spacing w:after="0"/>
              <w:rPr>
                <w:sz w:val="16"/>
                <w:szCs w:val="16"/>
                <w:color w:val="auto"/>
              </w:rPr>
            </w:pPr>
          </w:p>
        </w:tc>
      </w:tr>
      <w:tr>
        <w:trPr>
          <w:trHeight w:val="154"/>
        </w:trPr>
        <w:tc>
          <w:tcPr>
            <w:tcW w:w="2340" w:type="dxa"/>
            <w:vAlign w:val="bottom"/>
          </w:tcPr>
          <w:p>
            <w:pPr>
              <w:spacing w:after="0"/>
              <w:rPr>
                <w:sz w:val="13"/>
                <w:szCs w:val="13"/>
                <w:color w:val="auto"/>
              </w:rPr>
            </w:pPr>
          </w:p>
        </w:tc>
        <w:tc>
          <w:tcPr>
            <w:tcW w:w="1860" w:type="dxa"/>
            <w:vAlign w:val="bottom"/>
          </w:tcPr>
          <w:p>
            <w:pPr>
              <w:jc w:val="right"/>
              <w:spacing w:after="0" w:line="155" w:lineRule="exact"/>
              <w:rPr>
                <w:sz w:val="20"/>
                <w:szCs w:val="20"/>
                <w:color w:val="auto"/>
              </w:rPr>
            </w:pPr>
            <w:r>
              <w:rPr>
                <w:rFonts w:ascii="Arial" w:cs="Arial" w:eastAsia="Arial" w:hAnsi="Arial"/>
                <w:sz w:val="14"/>
                <w:szCs w:val="14"/>
                <w:color w:val="auto"/>
              </w:rPr>
              <w:t>December 31, 2021</w:t>
            </w:r>
          </w:p>
        </w:tc>
        <w:tc>
          <w:tcPr>
            <w:tcW w:w="7040" w:type="dxa"/>
            <w:vAlign w:val="bottom"/>
          </w:tcPr>
          <w:p>
            <w:pPr>
              <w:spacing w:after="0"/>
              <w:rPr>
                <w:sz w:val="13"/>
                <w:szCs w:val="13"/>
                <w:color w:val="auto"/>
              </w:rPr>
            </w:pPr>
          </w:p>
        </w:tc>
      </w:tr>
      <w:tr>
        <w:trPr>
          <w:trHeight w:val="236"/>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Cable Network</w:t>
            </w:r>
          </w:p>
        </w:tc>
        <w:tc>
          <w:tcPr>
            <w:tcW w:w="8900" w:type="dxa"/>
            <w:vAlign w:val="bottom"/>
            <w:tcBorders>
              <w:bottom w:val="single" w:sz="8" w:color="auto"/>
            </w:tcBorders>
            <w:gridSpan w:val="2"/>
          </w:tcPr>
          <w:p>
            <w:pPr>
              <w:ind w:left="1000"/>
              <w:spacing w:after="0" w:line="235" w:lineRule="exact"/>
              <w:rPr>
                <w:sz w:val="20"/>
                <w:szCs w:val="20"/>
                <w:color w:val="auto"/>
              </w:rPr>
            </w:pPr>
            <w:r>
              <w:rPr>
                <w:rFonts w:ascii="Arial" w:cs="Arial" w:eastAsia="Arial" w:hAnsi="Arial"/>
                <w:sz w:val="14"/>
                <w:szCs w:val="14"/>
                <w:color w:val="auto"/>
              </w:rPr>
              <w:t>(in millions)</w:t>
            </w:r>
            <w:r>
              <w:rPr>
                <w:rFonts w:ascii="Arial" w:cs="Arial" w:eastAsia="Arial" w:hAnsi="Arial"/>
                <w:sz w:val="23"/>
                <w:szCs w:val="23"/>
                <w:color w:val="auto"/>
                <w:vertAlign w:val="superscript"/>
              </w:rPr>
              <w:t>(a)</w:t>
            </w:r>
            <w:r>
              <w:rPr>
                <w:rFonts w:ascii="Arial" w:cs="Arial" w:eastAsia="Arial" w:hAnsi="Arial"/>
                <w:sz w:val="14"/>
                <w:szCs w:val="14"/>
                <w:color w:val="auto"/>
              </w:rPr>
              <w:t xml:space="preserve"> Description of Programming</w:t>
            </w:r>
          </w:p>
        </w:tc>
      </w:tr>
      <w:tr>
        <w:trPr>
          <w:trHeight w:val="218"/>
        </w:trPr>
        <w:tc>
          <w:tcPr>
            <w:tcW w:w="2340" w:type="dxa"/>
            <w:vAlign w:val="bottom"/>
          </w:tcPr>
          <w:p>
            <w:pPr>
              <w:ind w:left="20"/>
              <w:spacing w:after="0"/>
              <w:rPr>
                <w:sz w:val="20"/>
                <w:szCs w:val="20"/>
                <w:color w:val="auto"/>
              </w:rPr>
            </w:pPr>
            <w:r>
              <w:rPr>
                <w:rFonts w:ascii="Arial" w:cs="Arial" w:eastAsia="Arial" w:hAnsi="Arial"/>
                <w:sz w:val="18"/>
                <w:szCs w:val="18"/>
                <w:color w:val="auto"/>
              </w:rPr>
              <w:t>USA Network</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7040" w:type="dxa"/>
            <w:vAlign w:val="bottom"/>
          </w:tcPr>
          <w:p>
            <w:pPr>
              <w:ind w:left="20"/>
              <w:spacing w:after="0"/>
              <w:rPr>
                <w:sz w:val="20"/>
                <w:szCs w:val="20"/>
                <w:color w:val="auto"/>
              </w:rPr>
            </w:pPr>
            <w:r>
              <w:rPr>
                <w:rFonts w:ascii="Arial" w:cs="Arial" w:eastAsia="Arial" w:hAnsi="Arial"/>
                <w:sz w:val="18"/>
                <w:szCs w:val="18"/>
                <w:color w:val="auto"/>
              </w:rPr>
              <w:t>General entertainment and sports</w:t>
            </w: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E!</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7040" w:type="dxa"/>
            <w:vAlign w:val="bottom"/>
          </w:tcPr>
          <w:p>
            <w:pPr>
              <w:ind w:left="20"/>
              <w:spacing w:after="0"/>
              <w:rPr>
                <w:sz w:val="20"/>
                <w:szCs w:val="20"/>
                <w:color w:val="auto"/>
              </w:rPr>
            </w:pPr>
            <w:r>
              <w:rPr>
                <w:rFonts w:ascii="Arial" w:cs="Arial" w:eastAsia="Arial" w:hAnsi="Arial"/>
                <w:sz w:val="18"/>
                <w:szCs w:val="18"/>
                <w:color w:val="auto"/>
              </w:rPr>
              <w:t>Entertainment and pop culture</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Syfy</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7040" w:type="dxa"/>
            <w:vAlign w:val="bottom"/>
          </w:tcPr>
          <w:p>
            <w:pPr>
              <w:ind w:left="20"/>
              <w:spacing w:after="0"/>
              <w:rPr>
                <w:sz w:val="20"/>
                <w:szCs w:val="20"/>
                <w:color w:val="auto"/>
              </w:rPr>
            </w:pPr>
            <w:r>
              <w:rPr>
                <w:rFonts w:ascii="Arial" w:cs="Arial" w:eastAsia="Arial" w:hAnsi="Arial"/>
                <w:sz w:val="18"/>
                <w:szCs w:val="18"/>
                <w:color w:val="auto"/>
              </w:rPr>
              <w:t>Imagination-based entertainment</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Bravo</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7040" w:type="dxa"/>
            <w:vAlign w:val="bottom"/>
          </w:tcPr>
          <w:p>
            <w:pPr>
              <w:ind w:left="20"/>
              <w:spacing w:after="0"/>
              <w:rPr>
                <w:sz w:val="20"/>
                <w:szCs w:val="20"/>
                <w:color w:val="auto"/>
              </w:rPr>
            </w:pPr>
            <w:r>
              <w:rPr>
                <w:rFonts w:ascii="Arial" w:cs="Arial" w:eastAsia="Arial" w:hAnsi="Arial"/>
                <w:sz w:val="18"/>
                <w:szCs w:val="18"/>
                <w:color w:val="auto"/>
              </w:rPr>
              <w:t>Entertainment, culture and arts</w:t>
            </w: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MSNBC</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7040" w:type="dxa"/>
            <w:vAlign w:val="bottom"/>
          </w:tcPr>
          <w:p>
            <w:pPr>
              <w:ind w:left="20"/>
              <w:spacing w:after="0"/>
              <w:rPr>
                <w:sz w:val="20"/>
                <w:szCs w:val="20"/>
                <w:color w:val="auto"/>
              </w:rPr>
            </w:pPr>
            <w:r>
              <w:rPr>
                <w:rFonts w:ascii="Arial" w:cs="Arial" w:eastAsia="Arial" w:hAnsi="Arial"/>
                <w:sz w:val="18"/>
                <w:szCs w:val="18"/>
                <w:color w:val="auto"/>
              </w:rPr>
              <w:t>News, political commentary and information</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CNBC</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7040" w:type="dxa"/>
            <w:vAlign w:val="bottom"/>
          </w:tcPr>
          <w:p>
            <w:pPr>
              <w:ind w:left="20"/>
              <w:spacing w:after="0"/>
              <w:rPr>
                <w:sz w:val="20"/>
                <w:szCs w:val="20"/>
                <w:color w:val="auto"/>
              </w:rPr>
            </w:pPr>
            <w:r>
              <w:rPr>
                <w:rFonts w:ascii="Arial" w:cs="Arial" w:eastAsia="Arial" w:hAnsi="Arial"/>
                <w:sz w:val="18"/>
                <w:szCs w:val="18"/>
                <w:color w:val="auto"/>
              </w:rPr>
              <w:t>Business and financial news</w:t>
            </w: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Oxygen</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7040" w:type="dxa"/>
            <w:vAlign w:val="bottom"/>
          </w:tcPr>
          <w:p>
            <w:pPr>
              <w:ind w:left="20"/>
              <w:spacing w:after="0"/>
              <w:rPr>
                <w:sz w:val="20"/>
                <w:szCs w:val="20"/>
                <w:color w:val="auto"/>
              </w:rPr>
            </w:pPr>
            <w:r>
              <w:rPr>
                <w:rFonts w:ascii="Arial" w:cs="Arial" w:eastAsia="Arial" w:hAnsi="Arial"/>
                <w:sz w:val="18"/>
                <w:szCs w:val="18"/>
                <w:color w:val="auto"/>
              </w:rPr>
              <w:t>Crime, mystery and suspense for women</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Golf Channel</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7040" w:type="dxa"/>
            <w:vAlign w:val="bottom"/>
          </w:tcPr>
          <w:p>
            <w:pPr>
              <w:ind w:left="20"/>
              <w:spacing w:after="0"/>
              <w:rPr>
                <w:sz w:val="20"/>
                <w:szCs w:val="20"/>
                <w:color w:val="auto"/>
              </w:rPr>
            </w:pPr>
            <w:r>
              <w:rPr>
                <w:rFonts w:ascii="Arial" w:cs="Arial" w:eastAsia="Arial" w:hAnsi="Arial"/>
                <w:sz w:val="18"/>
                <w:szCs w:val="18"/>
                <w:color w:val="auto"/>
              </w:rPr>
              <w:t>Golf competition and golf entertainment</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Universal Kids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7040" w:type="dxa"/>
            <w:vAlign w:val="bottom"/>
          </w:tcPr>
          <w:p>
            <w:pPr>
              <w:ind w:left="20"/>
              <w:spacing w:after="0"/>
              <w:rPr>
                <w:sz w:val="20"/>
                <w:szCs w:val="20"/>
                <w:color w:val="auto"/>
              </w:rPr>
            </w:pPr>
            <w:r>
              <w:rPr>
                <w:rFonts w:ascii="Arial" w:cs="Arial" w:eastAsia="Arial" w:hAnsi="Arial"/>
                <w:sz w:val="18"/>
                <w:szCs w:val="18"/>
                <w:color w:val="auto"/>
              </w:rPr>
              <w:t>Children’s entertainment</w:t>
            </w: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The Olympic Channel</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7040" w:type="dxa"/>
            <w:vAlign w:val="bottom"/>
          </w:tcPr>
          <w:p>
            <w:pPr>
              <w:ind w:left="20"/>
              <w:spacing w:after="0"/>
              <w:rPr>
                <w:sz w:val="20"/>
                <w:szCs w:val="20"/>
                <w:color w:val="auto"/>
              </w:rPr>
            </w:pPr>
            <w:r>
              <w:rPr>
                <w:rFonts w:ascii="Arial" w:cs="Arial" w:eastAsia="Arial" w:hAnsi="Arial"/>
                <w:sz w:val="18"/>
                <w:szCs w:val="18"/>
                <w:color w:val="auto"/>
              </w:rPr>
              <w:t>Olympic sports events and Olympic-themed original content</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Universo</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7040" w:type="dxa"/>
            <w:vAlign w:val="bottom"/>
          </w:tcPr>
          <w:p>
            <w:pPr>
              <w:ind w:left="20"/>
              <w:spacing w:after="0"/>
              <w:rPr>
                <w:sz w:val="20"/>
                <w:szCs w:val="20"/>
                <w:color w:val="auto"/>
              </w:rPr>
            </w:pPr>
            <w:r>
              <w:rPr>
                <w:rFonts w:ascii="Arial" w:cs="Arial" w:eastAsia="Arial" w:hAnsi="Arial"/>
                <w:sz w:val="18"/>
                <w:szCs w:val="18"/>
                <w:color w:val="auto"/>
              </w:rPr>
              <w:t>Spanish language entertainment</w:t>
            </w:r>
          </w:p>
        </w:tc>
      </w:tr>
      <w:tr>
        <w:trPr>
          <w:trHeight w:val="234"/>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CNBC World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Global financial news</w:t>
            </w:r>
          </w:p>
        </w:tc>
      </w:tr>
    </w:tbl>
    <w:p>
      <w:pPr>
        <w:spacing w:after="0" w:line="130" w:lineRule="exact"/>
        <w:rPr>
          <w:sz w:val="20"/>
          <w:szCs w:val="20"/>
          <w:color w:val="auto"/>
        </w:rPr>
      </w:pPr>
    </w:p>
    <w:p>
      <w:pPr>
        <w:jc w:val="both"/>
        <w:ind w:left="260" w:hanging="252"/>
        <w:spacing w:after="0" w:line="252"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Household data is based on information from The Nielsen Company as of December 31, 2021 using its Cable Coverage Universe Estimates report and dynamic ad insertion estimates. The Nielsen estimates include subscribers to both traditional and certain virtual multichannel video providers. The Nielsen estimates are not based on information provided by us and are included solely to enable comparisons between our cable networks and those operated by our peers. Information presented excludes approximately 79 million households receiving the NBC Sports Network as of December 31, 2021, which ceased operations in January 2022.</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regional sports and news networks together serve more than 21 million households across the United States, including in markets such as Baltimore/Washington, Boston, Chicago, Philadelphia, Sacramento and San Francisco.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Broadcast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NBC</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NBC network features original entertainment, news and sports programming that reaches viewers in virtually all U.S. television households through more than 200 affiliated stations across the United States, including our 11 owned NBC local broadcast television stations. The NBC owned local broadcast stations include stations in 8 of the top 10 general markets and collectively reached approximately 35 million U.S. television households as of December 31, 2021, representing approximately 28% of U.S. television households. In addition to broadcasting the NBC network’s national programming, local broadcast stations deliver local news, weather and investigative, and consumer reporting across multiple platforms.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Telemundo</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Telemundo network, a Spanish-language broadcast network, features original entertainment, news, live specials and sports programming that reaches viewers in over 90% of all U.S. Hispanic television households through 82 affiliated stations, including our 30 owned Telemundo local broadcast television stations and our national feed. The Telemundo owned local broadcast stations include stations in all of the top 20 U.S. Hispanic markets and collectively reached approximately 73% of U.S. Hispanic television households as of December 31, 2021. In addition to broadcasting the Telemundo network’s national programming, local broadcast stations deliver local news, weather and investigative, and consumer reporting across multiple platforms. We also own an independent Telemundo station serving the Puerto Rico television market.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Peacock</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Peacock is a premium DTC streaming service that launched in 2020 and features NBCUniversal content including exclusive Peacock originals, current NBC and Telemundo shows, news, late-night comedy, live sports and a library of television shows and movies, that provides customers access to tens of thousands of hours of programming. Customers have the choice of three</w:t>
      </w:r>
    </w:p>
    <w:p>
      <w:pPr>
        <w:spacing w:after="0" w:line="200" w:lineRule="exact"/>
        <w:rPr>
          <w:sz w:val="20"/>
          <w:szCs w:val="20"/>
          <w:color w:val="auto"/>
        </w:rPr>
      </w:pPr>
    </w:p>
    <w:p>
      <w:pPr>
        <w:spacing w:after="0" w:line="299"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tiers of service: a free, ad-supported version; a subscription based, ad-supported version with access to all Peacock content; and a similar subscription-based, ad-free version. The Peacock app is available to consumers over the internet directly and through distributors and other platforms in the United States, including to Cable Communications X1 and Flex customers. Beginning in the fourth quarter of 2021, certain ad-supported Peacock programming was also integrated into Sky video services, launching first in the United Kingdom and Ireland.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Programming</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television and streaming platforms include content licensed from our Studios segment and from third parties, as well as content produced by Media segment businesses, such as live news and sports programming and certain original programming, including late-night comedy for NBC and original telenovelas for Telemundo.</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various multiyear contractual commitments for the licensing of programming, including contracts related to broadcast rights for sporting events. We generally seek to include in our sports rights agreements the rights to distribute content on one or more of our television networks and on digital platforms, including Peacock. Our most significant sports rights commitments include the following:</w:t>
      </w:r>
    </w:p>
    <w:p>
      <w:pPr>
        <w:spacing w:after="0" w:line="76" w:lineRule="exact"/>
        <w:rPr>
          <w:sz w:val="20"/>
          <w:szCs w:val="20"/>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NFL: Agreements to produce and broadcast a specified number of regular season and playoff games, including Sunday Night Football on our NBC network and four Super Bowl games, the next of which is in February 2022, through the 2033-34 season, with a termination right available to the NFL after the 2029-30 season. These agreements include certain other rights, including streaming rights, additional exclusive games on Peacock and the Spanish-language U.S. broadcast rights for certain NFL games, which are aired on Telemundo</w:t>
      </w:r>
    </w:p>
    <w:p>
      <w:pPr>
        <w:spacing w:after="0" w:line="6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Olympics: U.S. broadcast rights for the summer and winter Olympic Games through 2032 with programming aired across the NBC network, multiple cable networks and on Peacock</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U.S. broadcast rights to PGA TOUR and other golf events through 2031, Worldwide Wrestling Entertainment (“WWE”) events through 2026, certain NASCAR events through 2024 and the Spanish-language U.S. broadcast rights to FIFA World Cup soccer games through 2026, as well as local broadcast rights for certain professional sports teams through our regional sports networks with terms ending between 2024 and 2040.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NBCUniversal’s film and television studio production and distribution operations primarily comprise our Studios segment.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generated primarily from licensing our owned film and television content in the United States and internationally to cable, broadcast and premium networks and DTC streaming service providers, as well as through video on demand and pay-per-view services provided by multichannel video providers and OTT service providers; from the worldwide distribution of our produced and acquired films for exhibition in movie theaters; and from the sale of owned and acquired content on DVDs and through digital distribution services. We also generate revenue from the production and licensing of live stage plays.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6EBF"/>
        </w:rPr>
        <w:t>Film Studios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 studios develop, produce, acquire, market and distribute filmed entertainment worldwide. Our films are produced primarily under the following names:</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Universal Pictures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Illumination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DreamWorks Animation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Features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Title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our films are initially distributed for exhibition in movie theaters, while other titles are produced and distributed direct-to-video. Certain theatrical titles are also made available for viewing on demand following a shortened theatrical release window. After their initial release, we sell and license films globally through various methods. We license films, including titles following the theatrical release window and selections from our film library, to cable, broadcast and premium networks, to DTC streaming service providers, and to video on demand and pay-per-view services provided by multichannel video providers, including the Cable Communications and Sky segments. We also distribute films globally by selling them on DVDs and through digital distribution services.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Theatrical revenue is significantly affected by the timing of each release and the number of films we distribute, their acceptance by audiences, the number of exhibition screens, ticket prices and the percentage of ticket sale retention by the exhibitors and the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60" w:type="dxa"/>
            <w:vAlign w:val="bottom"/>
          </w:tcPr>
          <w:p>
            <w:pPr>
              <w:jc w:val="right"/>
              <w:ind w:right="5528"/>
              <w:spacing w:after="0"/>
              <w:rPr>
                <w:sz w:val="20"/>
                <w:szCs w:val="20"/>
                <w:color w:val="auto"/>
              </w:rPr>
            </w:pPr>
            <w:r>
              <w:rPr>
                <w:rFonts w:ascii="Arial" w:cs="Arial" w:eastAsia="Arial" w:hAnsi="Arial"/>
                <w:sz w:val="14"/>
                <w:szCs w:val="14"/>
                <w:b w:val="1"/>
                <w:bCs w:val="1"/>
                <w:color w:val="auto"/>
              </w:rPr>
              <w:t>8</w:t>
            </w:r>
          </w:p>
        </w:tc>
      </w:tr>
      <w:tr>
        <w:trPr>
          <w:trHeight w:val="329"/>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popularity of competing films at the time our films are released. The success of a film in movie theaters is generally a significant factor in determining the revenue a film is likely to generate in succeeding licensing windows. Revenue from the sale of content on DVDs and through digital distribution services is significantly affected by the timing and number of our theatrical releases and the popularity of our content, as well as the timing of release dates.</w:t>
      </w:r>
    </w:p>
    <w:p>
      <w:pPr>
        <w:spacing w:after="0" w:line="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develop and produce films both alone and jointly with other studios or production companies, as well as with other entities. Films are marketed and distributed worldwide primarily through NBCUniversal’s marketing and distribution operations. We also acquire distribution rights to films produced by third parties, which may be limited to particular geographic regions, specific forms of media or certain periods of time.</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film studios have entered into,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studio productions, we typically owe “residuals” payments to individuals hired under collective bargaining agreements to work on productions, which are generally calculated based on post-theatrical or content licensing revenue. We also owe “participations” payments to creative talent, to third parties under cofinancing agreements and to other parties involved in content production, which are generally based on the financial performance of the content.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Television Studios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television studios develop and produce original content, including scripted and unscripted television series. NBCUniversal’s television studios, branded as the Universal Studio Group, produces content under the following names:</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Universal Television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Universal Content Productions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Universal Television Alternative Studio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Universal International Studios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original content is primarily licensed initially to cable, broadcast and premium networks, as well as to DTC streaming service providers, including our Media segment. We also license content after its initial airing and license older television programs from our programming library, as well as sell owned and acquired content globally on DVDs and through digital distribution services. The production and distribution costs related to original television content generally exceed the revenue generated from the initial license, which means obtaining subsequent licenses following the initial license is critical to the content’s financial success. Similar to our film studios, we typically owe residuals and participations payments in connection with television studio productions.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Universal theme parks primarily comprise the Theme Parks segment:</w:t>
      </w:r>
    </w:p>
    <w:p>
      <w:pPr>
        <w:spacing w:after="0" w:line="117" w:lineRule="exact"/>
        <w:rPr>
          <w:sz w:val="20"/>
          <w:szCs w:val="20"/>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Universal Orlando Resort: </w:t>
      </w:r>
      <w:r>
        <w:rPr>
          <w:rFonts w:ascii="Arial" w:cs="Arial" w:eastAsia="Arial" w:hAnsi="Arial"/>
          <w:sz w:val="18"/>
          <w:szCs w:val="18"/>
          <w:color w:val="auto"/>
        </w:rPr>
        <w:t>Includes two theme parks, Universal Studios Florida and Islands of Adventure, and our water park, Volcano Bay,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located in Orlando Florida. Universal Orlando also includes Universal CityWalk Orlando, a dining, retail and entertainment complex, and features on-site themed hotels in which we own a noncontrolling interest. We are developing an additional theme park at Universal Orlando named Universal’s Epic Universe.</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Universal Studios Hollywood: </w:t>
      </w:r>
      <w:r>
        <w:rPr>
          <w:rFonts w:ascii="Arial" w:cs="Arial" w:eastAsia="Arial" w:hAnsi="Arial"/>
          <w:sz w:val="18"/>
          <w:szCs w:val="18"/>
          <w:color w:val="auto"/>
        </w:rPr>
        <w:t>Includes a theme park located in Hollywood, California and Universal CityWalk Hollywood.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Universal Studios Japan: </w:t>
      </w:r>
      <w:r>
        <w:rPr>
          <w:rFonts w:ascii="Arial" w:cs="Arial" w:eastAsia="Arial" w:hAnsi="Arial"/>
          <w:sz w:val="18"/>
          <w:szCs w:val="18"/>
          <w:color w:val="auto"/>
        </w:rPr>
        <w:t>Includes a theme park located in Osaka, Japan.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Universal Beijing Resort: </w:t>
      </w:r>
      <w:r>
        <w:rPr>
          <w:rFonts w:ascii="Arial" w:cs="Arial" w:eastAsia="Arial" w:hAnsi="Arial"/>
          <w:sz w:val="18"/>
          <w:szCs w:val="18"/>
          <w:color w:val="auto"/>
        </w:rPr>
        <w:t>Opened in September 2021 and includes a theme park located in Beijing, China, Universal Studios Beijing,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CityWalk Beijing and on-site themed hotels. Universal Beijing Resort is owned by us and a consortium of Chinese state-owned companies (see Note 7).</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generated primarily from guest spending at our theme parks, including ticket sales and in-park spending on food, beverages and merchandise, and from our consumer products business. Revenue for our theme parks generally depends on the overall environment for travel and tourism, including consumer spending on travel and other recreational activities. We also license the right to use the Universal Studios brand name and other intellectual property and provide other services to third parties, including the party that owns and operates the Universal Studios Singapore theme park on Sentosa Island, Singapore.</w:t>
      </w:r>
    </w:p>
    <w:p>
      <w:pPr>
        <w:spacing w:after="0" w:line="200" w:lineRule="exact"/>
        <w:rPr>
          <w:sz w:val="20"/>
          <w:szCs w:val="20"/>
          <w:color w:val="auto"/>
        </w:rPr>
      </w:pPr>
    </w:p>
    <w:p>
      <w:pPr>
        <w:spacing w:after="0" w:line="317" w:lineRule="exact"/>
        <w:rPr>
          <w:sz w:val="20"/>
          <w:szCs w:val="20"/>
          <w:color w:val="auto"/>
        </w:rPr>
      </w:pPr>
    </w:p>
    <w:p>
      <w:pPr>
        <w:ind w:left="5560"/>
        <w:spacing w:after="0"/>
        <w:tabs>
          <w:tab w:leader="none" w:pos="8580" w:val="left"/>
        </w:tabs>
        <w:rPr>
          <w:sz w:val="20"/>
          <w:szCs w:val="20"/>
          <w:color w:val="auto"/>
        </w:rPr>
      </w:pPr>
      <w:r>
        <w:rPr>
          <w:rFonts w:ascii="Arial" w:cs="Arial" w:eastAsia="Arial" w:hAnsi="Arial"/>
          <w:sz w:val="13"/>
          <w:szCs w:val="13"/>
          <w:b w:val="1"/>
          <w:bCs w:val="1"/>
          <w:color w:val="auto"/>
        </w:rPr>
        <w:t>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themed elements in our rides, attractions, and merchandising are based on intellectual property in our Studios and Media segments and intellectual property licensed from third parties under long-term agreements.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Media</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Media segment competes for viewers’ attention and audience share with all forms of programming provided to viewers, including cable, broadcast and premium networks; DTC streaming and other OTT service providers; local broadcast television stations; home entertainment products; video on demand and pay-per-view services; online activities, such as social networking and viewing user-generated content; gaming products; and other forms of entertainment, news and information.</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Media competes for the sale of advertising with other television networks and stations, digital platforms, and all other advertising platforms. The willingness of advertisers to purchase advertising from us may be adversely affected by lower audience ratings and viewership at the related networks, stations, channels, or digital platforms. Declines in audience ratings can be caused by increased competition for the leisure time of viewers and by audience fragmentation resulting from the increasing number of entertainment choices available, including content from DTC streaming and other OTT service providers, online media and other digital sources. Additionally, it is increasingly challenging to accurately measure fragmented audiences.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television and streaming platforms compete for the acquisition of content and for on-air and creative talent with other cable, broadcast and premium networks, DTC streaming and other OTT service providers, and local broadcast television stations. The market for content is very competitive, particularly for sports rights, where the cost is significant.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networks compete with other cable networks and programming providers for carriage of their programming by multichannel video providers and DTC streaming and other OTT service providers. Our broadcast networks compete with the other broadcast networks in markets across the United States to secure affiliations with independently owned television stations, which are necessary to ensure the effective distribution of broadcast network programming to a nationwide audience.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Studios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film and television studios compete for audiences for our film and television content with other major film and television studios, independent film producers and creators of content, as well as with alternative forms of entertainment. The competitive position of our film and television studios primarily depends on the number of films and shows and episodes produced, their distribution and marketing success, and consumer response. Our film and television studios also compete to obtain creative, performing and technical talent, including writers, actors, directors, and producers, as well as scripts for films and television shows, and for the distribution of, and consumer interest in, their content. We also compete with other major film and television studios and other producers of entertainment content for the exhibition of content in theaters, on demand, on premium networks and with DTC streaming and other OTT service providers.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006EBF"/>
        </w:rPr>
        <w:t>Theme Parks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Theme Parks competes with other multi-park entertainment companies as well as other providers of entertainment, lodging, tourism and recreational activities. To help maintain the competitiveness of our theme parks, we have invested and continue to invest significantly in existing and new theme park attractions, hotels and infrastructure, including the new theme parks in Beijing and Orlando.</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Sky is one of Europe’s leading </w:t>
      </w:r>
      <w:r>
        <w:rPr>
          <w:rFonts w:ascii="Arial" w:cs="Arial" w:eastAsia="Arial" w:hAnsi="Arial"/>
          <w:sz w:val="17"/>
          <w:szCs w:val="17"/>
          <w:color w:val="161616"/>
        </w:rPr>
        <w:t>entertainment companies operating in six territories, including three of the largest pay television markets in Western Europe:</w:t>
      </w:r>
      <w:r>
        <w:rPr>
          <w:rFonts w:ascii="Arial" w:cs="Arial" w:eastAsia="Arial" w:hAnsi="Arial"/>
          <w:sz w:val="17"/>
          <w:szCs w:val="17"/>
          <w:color w:val="auto"/>
        </w:rPr>
        <w:t xml:space="preserve"> </w:t>
      </w:r>
      <w:r>
        <w:rPr>
          <w:rFonts w:ascii="Arial" w:cs="Arial" w:eastAsia="Arial" w:hAnsi="Arial"/>
          <w:sz w:val="17"/>
          <w:szCs w:val="17"/>
          <w:color w:val="161616"/>
        </w:rPr>
        <w:t xml:space="preserve">the United Kingdom, Italy and Germany. The majority of our revenue is derived from our direct-to-consumer business, which has 23.0 million customer relationships, and primarily involves the distribution of a wide array of video channels to both residential and business customers. We also offer broadband, voice and wireless services individually and as bundled services in select countries. We own </w:t>
      </w:r>
      <w:r>
        <w:rPr>
          <w:rFonts w:ascii="Arial" w:cs="Arial" w:eastAsia="Arial" w:hAnsi="Arial"/>
          <w:sz w:val="17"/>
          <w:szCs w:val="17"/>
          <w:color w:val="000000"/>
        </w:rPr>
        <w:t>a diverse portfolio of pay television channels that feature</w:t>
      </w:r>
      <w:r>
        <w:rPr>
          <w:rFonts w:ascii="Arial" w:cs="Arial" w:eastAsia="Arial" w:hAnsi="Arial"/>
          <w:sz w:val="17"/>
          <w:szCs w:val="17"/>
          <w:color w:val="161616"/>
        </w:rPr>
        <w:t xml:space="preserve"> </w:t>
      </w:r>
      <w:r>
        <w:rPr>
          <w:rFonts w:ascii="Arial" w:cs="Arial" w:eastAsia="Arial" w:hAnsi="Arial"/>
          <w:sz w:val="17"/>
          <w:szCs w:val="17"/>
          <w:color w:val="000000"/>
        </w:rPr>
        <w:t xml:space="preserve">entertainment, news, sports and movies, which are included in our subscription video services and are also licensed through various distribution partnerships to third-party video providers to reach an additional 3 million households. </w:t>
      </w:r>
      <w:r>
        <w:rPr>
          <w:rFonts w:ascii="Arial" w:cs="Arial" w:eastAsia="Arial" w:hAnsi="Arial"/>
          <w:sz w:val="17"/>
          <w:szCs w:val="17"/>
          <w:color w:val="161616"/>
        </w:rPr>
        <w:t>We also generate revenue</w:t>
      </w:r>
      <w:r>
        <w:rPr>
          <w:rFonts w:ascii="Arial" w:cs="Arial" w:eastAsia="Arial" w:hAnsi="Arial"/>
          <w:sz w:val="17"/>
          <w:szCs w:val="17"/>
          <w:color w:val="000000"/>
        </w:rPr>
        <w:t xml:space="preserve"> from the licensing of owned and licensed programming to third-party video providers and from the sale of advertising.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Direct-to-Consumer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61616"/>
        </w:rPr>
        <w:t xml:space="preserve">Our direct-to-home (“DTH”) video services are delivered primarily through a combination of both satellite transmission and broadband connections that are marketed under the Sky brand </w:t>
      </w:r>
      <w:r>
        <w:rPr>
          <w:rFonts w:ascii="Arial" w:cs="Arial" w:eastAsia="Arial" w:hAnsi="Arial"/>
          <w:sz w:val="18"/>
          <w:szCs w:val="18"/>
          <w:color w:val="000000"/>
        </w:rPr>
        <w:t>in</w:t>
      </w:r>
      <w:r>
        <w:rPr>
          <w:rFonts w:ascii="Arial" w:cs="Arial" w:eastAsia="Arial" w:hAnsi="Arial"/>
          <w:sz w:val="18"/>
          <w:szCs w:val="18"/>
          <w:color w:val="161616"/>
        </w:rPr>
        <w:t xml:space="preserve"> the United Kingdom, Italy, Germany, Ireland and Austria. We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10</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61616"/>
        </w:rPr>
        <w:t xml:space="preserve">also offer a DTC streaming </w:t>
      </w:r>
      <w:r>
        <w:rPr>
          <w:rFonts w:ascii="Arial" w:cs="Arial" w:eastAsia="Arial" w:hAnsi="Arial"/>
          <w:sz w:val="18"/>
          <w:szCs w:val="18"/>
          <w:color w:val="000000"/>
        </w:rPr>
        <w:t>service providing video content over the internet that is marketed as NOW or Sky Ticket (“NOW”) in these countries, as well</w:t>
      </w:r>
      <w:r>
        <w:rPr>
          <w:rFonts w:ascii="Arial" w:cs="Arial" w:eastAsia="Arial" w:hAnsi="Arial"/>
          <w:sz w:val="18"/>
          <w:szCs w:val="18"/>
          <w:color w:val="161616"/>
        </w:rPr>
        <w:t xml:space="preserve"> </w:t>
      </w:r>
      <w:r>
        <w:rPr>
          <w:rFonts w:ascii="Arial" w:cs="Arial" w:eastAsia="Arial" w:hAnsi="Arial"/>
          <w:sz w:val="18"/>
          <w:szCs w:val="18"/>
          <w:color w:val="000000"/>
        </w:rPr>
        <w:t>as in Switzerland</w:t>
      </w:r>
      <w:r>
        <w:rPr>
          <w:rFonts w:ascii="Arial" w:cs="Arial" w:eastAsia="Arial" w:hAnsi="Arial"/>
          <w:sz w:val="18"/>
          <w:szCs w:val="18"/>
          <w:color w:val="161616"/>
        </w:rPr>
        <w:t>.</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offer a variety of DTH video services, primarily through our Sky Q platform, where customers have access to a diverse selection of our owned channels, channels owned by third parties and local free-to-air public broadcasting channels, as well as certain ad-supported Peacock programming beginning in the fourth quarter of 2021, launching first in the United Kingdom and Ireland. The Sky Q platform includes integrated search functionality and a voice-activated remote control and offers integrated access to certain third-party internet-based apps providing content and music, such as DTC streaming services Disney+ and Netflix. Our service offerings are tailored by country, with separate packages offered in each market. Basic packages include over 100 pay television channels in the United Kingdom and Ireland, over 50 channels in Italy, and over 30 channels in Germany and Austria. Specialty tiers for children’s, sports, movie and high-definition (“HD”) programming are available for additional fees. DTH customers may view programming live, record live programming through our DVR services or access our video on demand services with programming choices such as television series, movies and special-events programming that are available for free or to rent or own digitally. These viewing options are also available through our mobile app and online portal. Beginning in the fourth quarter of 2021, we introduced DTH video services over a broadband connection to customers who purchase Sky Glass smart televisions. Refer to Corporate and Other for additional information on Sky Glass.</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NOW streaming service offers packages ranging from daily to monthly access to entertainment, sports and movies programming. The entertainment package includes our owned entertainment channels and a broad range of on demand programming series, including child-friendly on demand programming, as well as certain ad-supported Peacock programming beginning in the fourth quarter of 2021, launching first in the United Kingdom and Ireland. The sports package provides access to our owned sports channels and the movie package includes access to a library of films.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Television Channels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operate a diversified portfolio of Sky-branded channels. Our owned channels include:</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Entertainment channels featuring premium content, including Sky Atlantic, Sky Max and Sky Showcase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Premium sports channels under the Sky Sports brand, with a majority of channels dedicated to a specific sport, including European football</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movie channels under the Sky Cinema brand, including family and children’s movie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Sky-branded free-to-air channels, including Sky News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Other Services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broadband and voice services in the United Kingdom, Ireland and Italy. We offer fiber-to-the-cabinet (“FTTC”), standard copper digital subscriber line (“DSL”) broadband and fiber-to-the-home (“FTTH”) services, with downstream speeds up to 500 megabits per second in the United Kingdom and up to 1 gigabit per second in Ireland and we offer FTTH and FTTC services in Italy, with downstream speeds up to 1 gigabit per second. We deploy wireless hubs to customers that combine an internet and voice modem with a Wi-Fi router to deliver reliable internet speeds and enhanced coverage through an in-home Wi-Fi network.</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wireless services for handsets and tablets in the United Kingdom using a combination of an arrangement to access network assets from Telefónica and our own mobile core network. Customers may activate multiple lines per account, choose to pay for services on various gigabyte plans, roll data over three years and stream with unlimited data on Sky mobile apps. Customers may either bring their own device or purchase devices from us with the option to pay upfront or finance the purchase interest-free over periods ranging from 24 to 48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including owned channels as part of our video services, we distribute some of our owned channels on third-party platforms through both wholesale arrangements and arrangements with partners who distribute our owned channels as agents to their respective customer bases. We also license owned and licensed content to third parties and Peacock. Additionally, through a partnership with ViacomCBS, we plan to launch SkyShowtime, a new DTC streaming service expected to be made available in select European markets starting in 2022.</w:t>
      </w:r>
    </w:p>
    <w:p>
      <w:pPr>
        <w:spacing w:after="0" w:line="200" w:lineRule="exact"/>
        <w:rPr>
          <w:sz w:val="20"/>
          <w:szCs w:val="20"/>
          <w:color w:val="auto"/>
        </w:rPr>
      </w:pPr>
    </w:p>
    <w:p>
      <w:pPr>
        <w:spacing w:after="0" w:line="287"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11</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advertising across our owned television channels and also represent the sales efforts of third-party channels. We also sell advertising on our digital platforms and offer various technology, tools and solutions relating to our advertising business.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and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rely on various telecommunications providers to deliver video, broadband, voice and wireless services to our customers.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 majority of customers, our DTH video platform is delivered via one-way digital satellite transmission that uses satellites leased from third parties for the distribution of television channels and is augmented by a set-top box with local DVR storage and high-speed, two-way broadband connectivity enabling interactive video services such as integrated search functionality, on demand, DVR and voice services. Our platform incorporates Wi-Fi connectivity for in-home distribution that allows wireless, multiroom consumption. We have also developed a range of back-end and client software applications that provide customers with access to our content across multiple third-party devices.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current regulatory regime in the United Kingdom, Ireland and Italy, we are able to access networks owned by third-party telecommunications providers for a fee to provide our broadband, voice, and wireless services in many cases, on regulated terms. We offer broadband and voice services in the United Kingdom using a combination of our own core fiber network and BT Openreach’s core and “last mile” network under a wholesale and fee-based arrangement and in Italy primarily using Open Fiber’s network. We offer wireless services to customers in the United Kingdom using a combination of an arrangement to access network assets from Telefónica and our own mobile core network .</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continue to focus on technology initiatives to design, develop and deploy next-generation media and content delivery platforms, including Sky Q and NOW, that deliver video content, provide advanced search capabilities, including through a voice-activated remote control, and provide access to and integration of certain other DTC streaming services. These platforms and, more recently, Sky Glass leverage our global technology platform. Sky Glass is a smart television that we launched in the fourth quarter of 2021 in the United Kingdom, with an operating system that provides a video service similar to Sky Q over a broadband connection, eliminating the need for a satellite dish or set-top box.</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 and Other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Programming</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owned television channels and NOW streaming service include content both owned by us and licensed from third parties and NBCUniversal. In some cases, licenses are on an exclusive basis. We have various multiyear contractual commitments for the licensing of programming, primarily sports rights and exclusive entertainment content. Our most significant sports rights commitments include European football broadcast rights for Premier League games through the 2024-25 season in the United Kingdom and Bundesliga games through the 2024-25 season in Germany. We also have broadcast rights to Formula One through 2024 in the United Kingdom and Germany and through 2022 in Italy, English and Wales Cricket Board cricket games through 2024 in the United Kingdom, and Union of European Football Associations Champions League (“UCL”) through the 2023-24 season in Italy, as well as non-exclusive broadcast rights to certain Serie A games through the 2023-24 season in Italy.</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significant commitments for the licensing of film and television entertainment content include exclusive rights with HBO, Paramount, Warner Bros. and NBCUniversal. We also produce and air live news and sports programming and produce certain original programming through Sky Studios. We are increasingly creating and investing in original scripted content that is broadcast across all of our territories and sold to other markets. We also are constructing a new studio production facility in Elstree, U.K.</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offer video services, in addition to our owned channels, we license substantial amounts of programming from third parties. The fees associated with these programming distribution agreements are generally based on the number of customers that are able to watch the programming and the platforms on which the content is provided. We seek to include in distribution agreements the rights to offer such programming through multiple delivery platforms, such as through our on demand services, mobile apps and our NOW streaming service.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purchase from a limited number of suppliers a significant amount of customer premise equipment, including set-top boxes, wireless hubs and network equipment to provide our video and broadband services to residential and business customers. We also purchase from a limited number of suppliers a significant number of wireless handsets and tablets that are sold to customers that receive our wireless services.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direct-to-consumer services to residential and business customers through our customer service teams, customer service centers, websites, telemarketing, and a limited number of retail stores, as well as through advertising via direct mail,</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12</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television and the internet. Our home service group performs various tasks, including installations, servicing and upgrades of customer premise equipment.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Customers can use self-service help and support and perform self-installations for certain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compete with a broad range of companies engaged in media, entertainment and communications services in Europe. For video services, we compete with cable operators, providers of both paid-for and free-to-air programming, other satellite television providers, digital terrestrial television providers, content aggregators, home entertainment products companies, and other suppliers and providers of sports, entertainment, news and information that deliver DTC and other OTT streaming services. For broadband and wireless services, we compete with service providers making use of new fiber-optic networks, telecommunications providers, other internet service providers and companies developing new technologies and devices. Our competitive position may be negatively impacted by an increase in the capacity of, or developments in, the means of delivery competitors use to provide their services as well as lowered prices, product innovations, new technologies or different value creation approaches. We also compete with organizations that are publicly funded, in whole or in part, to fulfill a public service broadcasting mandate.</w:t>
      </w:r>
    </w:p>
    <w:p>
      <w:pPr>
        <w:spacing w:after="0" w:line="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owned channels compete for the acquisition of content and for on-air and creative talent with other television networks and with DTC streaming and other OTT service providers. The market for content is very competitive, particularly for sports rights, where the cost for such content is significant.</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compete for the sale of advertising with other television networks and stations, digital platforms, and all other advertising platforms. Similar to the competitive environment in our Media segment, the willingness of advertisers to purchase advertising from us may be adversely affected by declines in television viewership and the increasing number of entertainment choices available.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including Sky Glass and XClass TV, which launched in the fourth quarter of 2021. Sky Glass and XClass TV are smart televisions with operating systems that leverage our global technology platforms similar to Sky Q, X1 and Flex. We sell Sky Glass televisions in Europe, with the United Kingdom as the first market, to consumers that also subscribe to Sky’s video services. XClass TVs are manufactured and sold by third parties and operate on our XClass TV operating system.</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auto"/>
        </w:rPr>
        <w:t>Seasonality and Cyclicality</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our businesses is typically subject to seasonal and cyclical variations. Cable Communications’ results are impacted by the seasonal nature of residential customers receiving our services in college and vacation markets. This generally results in fewer net customer relationship additions in the second quarter of each year.</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and operating costs and expenses (comprised of total costs and expenses, excluding depreciation and amortization expense) in our Media segment are cyclical as a result of our periodic broadcasts of major sporting events, such as the Olympic Games and the Super Bowl. In particular, advertising revenue increases due to increased demand for advertising time for these events and distribution revenue increases in the period of broadcasts of the Olympic Games. Operating costs and expenses also increase as a result of our production costs for these broadcasts and the amortization of the related rights fees.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in Cable Communications, Media and Sky is also subject to cyclical advertising patterns and changes in viewership levels. Advertising revenue in the United States is generally higher in the second and fourth quarters of each year and in even-numbered years due to increases in advertising in the spring and in the period leading up to and including the holiday season, and advertising related to candidates running for political office and issue-oriented advertising, respectively. Revenue in Media also fluctuates depending on the timing of when our programming is aired, which typically results in additional advertising revenue in the second and fourth quarters of each year. Advertising revenue in Sky typically has seasonally higher audience levels in winter months and increased competition in the summer during major sporting events where public service broadcasters lease the rights, such as the Olympic Games and the FIFA World Cup</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Studios fluctuates due to the timing, nature and number of films released in movie theaters, on DVDs, and through various other distribution platforms, including viewing on demand, DTC platforms or OTT service providers. Release dates are determined by several factors, including competition and the timing of vacation and holiday periods. As a result, revenue tends to be seasonal, with increases experienced each year during the summer months and around the holiday season. We incur</w:t>
      </w:r>
    </w:p>
    <w:p>
      <w:pPr>
        <w:spacing w:after="0" w:line="200" w:lineRule="exact"/>
        <w:rPr>
          <w:sz w:val="20"/>
          <w:szCs w:val="20"/>
          <w:color w:val="auto"/>
        </w:rPr>
      </w:pPr>
    </w:p>
    <w:p>
      <w:pPr>
        <w:spacing w:after="0" w:line="30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13</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significant marketing expenses before and throughout the release of a film in movie theaters and as a result, we typically incur losses on a film prior to and during the film’s exhibition in movie theaters. Content licensing revenue also fluctuates due to the timing of when our film and television content is made available to licensees.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in Theme Parks fluctuates with changes in theme park attendance that typically result from the seasonal nature of vacation travel and weather variations, local entertainment offerings and the opening of new attractions, as well as with changes in currency exchange rates. Theme Parks generally experiences peak attendance during the spring holiday period, the summer months when schools are closed and the Christmas holiday season.</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Sky’s results are also impacted by the seasonal nature of residential customers receiving our DTH and NOW streaming services, including the start of the new European football seasons and the Christmas holiday. This generally results in higher net customer relationship additions and higher marketing expense in the second half of each year to attract new customers.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Exclusive sports rights, such as European football, play a key role within Sky’s wider content strategy. In Europe, broadcasting rights for major sports are usually tendered through a competitive auction process, with the winning bidder or bidders acquiring rights over a three to five-year period. This creates some level of cyclicality, although the staggered timing of major sports rights auctions usually gives Sky time to react to any material changes in the competitive dynamics of the prevailing market. Certain of Sky’s significant sports rights agreements require payments at the start of each season, resulting in increases in sports rights payments in the third and fourth quarters of each year.</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auto"/>
        </w:rPr>
        <w:t>Legislation and Regulation</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all of our businesses are subject to various federal, state and local laws and regulations, with some also subject to international laws and regulations, the Communications Act of 1934, as amended (the “Communications Act”), and Federal Communications Commission (“FCC”) regulations and policies, affect significant aspects of our cable communications and broadcast businesses in the United States.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Beyond the significant regulations summarized below, 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These legislators and regulators have been active in considering legislation and rulemakings, at times looking to adopt regulatory approaches from different countries that may be more burdensome, and they, along with some state attorneys general and foreign governmental authorities, have also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 operations and further constrain our ability to compete.</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Legislative and regulatory activity is increasing under the Biden Administration, particularly with respect to broadband networks. For example, Congress has approved tens of billions of dollars in new funding for broadband deployment and adoption initiatives, and may consider other proposals that address communications issues, including whether it should rewrite the entire Communications Act to account for changes in the communications marketplace and whether it should enact new, permanent Open Internet/net neutrality requirements. Federal agencies likewise may consider adopting new regulations for communications services, including broadband. States and localities are also increasingly proposing new regulations impacting communications services, including broader regulation of broadband networks. Any of these regulations could significantly affect our business and compliance costs. In addition, United States and foreign regulators and courts could adopt new interpretations of existing competition laws or enact new competition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summarize the more significant legal and regulatory requirements and risks affecting our businesses.</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Communications-Related Regulations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Broadband</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broadband services are subject to a number of regulations and commitments. The FCC frequently considers imposing new broadband-related regulations such as those relating to an Open Internet, and from time to time, imposing new regulatory obligations on internet service providers (“ISPs”) such as us. States and localities also consider new broadband-related regulations, including those regarding government-owned broadband networks, net neutrality and connectivity during</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14</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COVID-19. New broadband regulations, if adopted, may have adverse effects on our businesses. We may also be subject to certain broadband-related commitments as a condition of receiving federal or state broadband funding.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Broadband Deployment and Adoption Initiatives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and may continue to be, broadband-deployment funding initiatives at the federal and state level, including as part of COVID-19 relief efforts as well as federal infrastructure legislation enacted in 2021, that could subsidize other service providers building networks within our footprint or potentially could subsidize expansion of our network to new areas. We cannot predict how such funds will be awarded or the impact of these initiatives on our businesses.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2021, the FCC launched the federal Emergency Broadband Benefit (“EBB”) program to provide a monthly discount toward broadband service for eligible low-income households during the COVID-19 pandemic. Congress recently created the Affordability Connectivity Program (“ACP”), a new longer-term program that replaced EBB. We participated in EBB and are participating in ACP. We cannot predict the extent to which eligible households will opt to use their ACP benefit towards our broadband services.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Open Internet Regulations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Various forms of Open Internet regulations can significantly affect our broadband services. In 2017, the FCC reversed its prior classification of broadband internet access service as a Title II “telecommunications service” under the Communications Act and classified it as an “information service” under Title I. In addition, it eliminated its prior “net neutrality” rules prohibiting ISPs from blocking access to lawful content on the internet; impairing or degrading lawful internet traffic on the basis of content, applications or services (“throttling”); prioritizing certain internet traffic in exchange for consideration or in favor of an affiliate (“paid or affiliated prioritization”); and generally prohibiting ISPs from unreasonably interfering with or unreasonably disadvantaging consumers’ ability to access and use the lawful internet content, applications, services or devices of their choosing or unreasonably interfering with or disadvantaging edge providers’ ability to make lawful content, applications, services, or devices available to consumers (“general conduct standard”). The FCC stated that jurisdiction to regulate ISP conduct would rest at the Federal Trade Commission (“FTC”), and it expressly preempted all state Open Internet laws. In addition, the FCC revised the transparency rule to add a requirement that ISPs disclose any blocking and throttling practices, and any paid or affiliated prioritization practices associated with their broadband offerings. We have disclosed that we do not block, throttle, or engage in paid or affiliated prioritization, and have committed not to block, throttle, or discriminate against lawful content. The FTC has authority to enforce these public commitments, and the FCC has authority to enforce compliance with its transparency rule.</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FCC’s 2017 decision was challenged and, in 2019, the U.S. Court of Appeals for the District of Columbia largely upheld the FCC’s decision, including the classification of broadband as a Title I information service and repeal of its prior rules. However, it vacated the FCC’s express preemption of all state Open Internet laws, but noted that state laws may nevertheless be preempted on a case-by-case basis if those regulations conflict with federal law or policy or under other theories and precedent on implied preemption.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Several states have passed or introduced legislation, or have adopted executive orders, that impose Open Internet requirements in a variety of ways, and new state legislation may be introduced and adopted in the future. Certain of these state initiatives have been challenged in court. Such attempts by the states to regulate have the potential to create differing and/or conflicting state regulations.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FCC under the Biden Administration likely will revisit the regulatory classification of broadband internet access service and reclassify it as a “telecommunications service,” which would authorize the FCC to subject it to traditional common carriage regulation under Title II of the Communications Act. Under a Title II framework, the FCC could potentially regulate our customer rates, speeds, data usage thresholds or other terms for internet services and could prohibit or seriously restrict arrangements between us and internet content, applications and service providers, including backbone interconnection arrangements. Any FCC action could impact state Open Internet initiatives and related legal challenges, and also could prompt further litigation. Congress may also consider legislation addressing these regulations and the regulatory framework for broadband internet access services. We cannot predict whether or how the rules might be changed, the impact of potential new legislation, or the outcome of any litigation.</w:t>
      </w:r>
    </w:p>
    <w:p>
      <w:pPr>
        <w:spacing w:after="0" w:line="200" w:lineRule="exact"/>
        <w:rPr>
          <w:sz w:val="20"/>
          <w:szCs w:val="20"/>
          <w:color w:val="auto"/>
        </w:rPr>
      </w:pPr>
    </w:p>
    <w:p>
      <w:pPr>
        <w:spacing w:after="0" w:line="28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Municipally Owned Broadband Networks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number of local municipalities operate municipally owned broadband networks, and there may be further efforts by local governments to expand or create government-owned networks, particularly in light of federal funding for broadband deployment. Certain states have enacted laws that restrict or prohibit local municipalities from operating municipally owned broadband networks, and there may be efforts in other state legislatures to restrict the development of government-owned networks, although others may choose to ease or facilitate such networks. Much of the federal funding authorized in 2021 for broadband deployment is conditioned on states agreeing to make it available for potential use by government-owned networks, although the funding prioritizes deployment to unserved areas and locations. We cannot predict how successful those efforts will be and how they might affect our businesses.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video marketplace continues to become even more competitive, particularly with DTC streaming and other OTT service providers. There are a number of laws and regulations that apply solely to multichannel video programming distributors (“MVPDs”) or cable operators such as our Cable Communications business, and to cable networks and local broadcast television stations operated by NBCUniversal. These laws and regulations can constrain our ability to compete, particularly against DTC streaming and other OTT service providers, which are not subject to these same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6EBF"/>
        </w:rPr>
        <w:t>Cable Pricing and Packaging</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our video services, including equipment and installation fees, are no longer subject to rate regulation by the FCC, certain state entities monitor and challenge in court the marketing and advertising of our services, and some have attempted to regulate the service packages we offer and our billing practices. We cannot predict the outcome of any current litigation with state entities or whether other states may pursue similar actions.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Cable Franchising</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Franchising authorities also may require adequate channel capacity, facilities and financial support for public, educational and governmental access programming, and other in-kind contributions.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Communications Act also contains provisions governing the franchising process, including renewal procedures designed to protect incumbent franchisees against arbitrary denials of renewal and unreasonable renewal conditions. We believe that our franchise renewal prospects are generally favorable but cannot guarantee the future renewal of any individual franchise. The FCC adopted an order in 2019 that prohibits state and local authorities from imposing duplicative franchise and/or fee requirements on the provision of broadband and other non-cable services over franchised cable systems and that ruled that in-kind contributions generally should be treated as franchise fees subject to a statutory cap on franchise fees of 5% of cable service revenue. While the order was upheld by a federal appellate court, that decision has been appealed to the U.S. Supreme Court. In addition, several localities have attempted, generally unsuccessfully to date, to impose franchise fees on DTC streaming and other OTT service providers.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006EBF"/>
        </w:rPr>
        <w:t>Program Carriage</w:t>
      </w:r>
    </w:p>
    <w:p>
      <w:pPr>
        <w:spacing w:after="0" w:line="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FCC regulations prohibit us from unreasonably restraining the ability of an unaffiliated video programming network to compete fairly by discriminating against the network on the basis of its non-affiliation in the selection, terms or conditions for its carriage. In addition, cable operators and other MVPDs in the United States are prohibited from requiring as a condition of carriage a financial interest in, or exclusive distribution rights for, a video programming network. We have been involved in program carriage disputes at the FCC, as well as in the courts, and may be subject to new complaints in the future.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16</w:t>
            </w:r>
          </w:p>
        </w:tc>
      </w:tr>
      <w:tr>
        <w:trPr>
          <w:trHeight w:val="330"/>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Program Access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Communications Act and FCC regulations generally prevent cable networks affiliated with cable operators from favoring affiliated cable operators over competing MVPDs. The FCC and Congress have considered proposals that would require companies that own multiple cable networks to make each of their networks available individually when negotiating distribution agreements with MVPDs and potentially with DTC streaming and other OTT service providers. We currently offer our cable networks on a packaged basis (in “tiers”) and, in various cases, individually. We have been involved in program access disputes at the FCC and may be subject to new complaints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6EBF"/>
        </w:rPr>
        <w:t>Must-Carry/Retransmission Consent</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Cable operators are required to carry, without compensation, programming transmitted by most local commercial and noncommercial broadcast television stations. As an alternative to this “must-carry” requirement, local broadcast television stations may choose to negotiate with the cable operator for “retransmission consent,” under which the station gives up its must-carry rights and instead seeks to negotiate a carriage agreement with the cable operator, which frequently will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payments and other concessions from local broadcast television stations. Failure to reach a retransmission consent agreement with a broadcaster could result in the loss of popular programming on our video services.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our broadcast television business, every three years, each local commercial broadcast television station must elect for each cable system in its DMA either must carry or retransmission consent. A similar regulatory scheme applies to satellite providers. For the three-year period from January 1, 2021 to December 31, 2023, all of our owned NBC and Telemundo local broadcast television stations elected retransmission consent. Although we have reached retransmission consent agreements with almost all MVPDs in the past, there can be no assurance that we will always be able to renew those agreements under favorable terms or at all.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6EBF"/>
        </w:rPr>
        <w:t>Broadcast Licensing</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Local broadcast television stations may be operated only in accordance with a license issued by the FCC upon a finding that the grant of the license will serve the public interest, convenience and necessity. The FCC grants broadcast television station licenses for specific periods of time, which may be renewed with or without conditions. The FCC renewed all of our broadcast television station licenses without conditions during the last license renewal cycle; the current television license renewal cycle began in 2020 and some of our licenses have been renewed. Although our licenses have been renewed in prior cycles, there can be no assurance that we will always obtain renewal grants.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6EBF"/>
        </w:rPr>
        <w:t>Broadcast Ownership Restrictions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Communications Act and FCC regulations impose certain limitations on local and national television ownership, as well as limits on foreign ownership in a broadcast television station. Some of these limitations currently are under review at the FCC, including the national television ownership limit, the local television ownership limit, and the prohibition on each of the four major broadcast television networks, ABC, CBS, Fox and NBC, from being under common ownership or control with another of the four.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Children’s Programming</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federal regulations, the amount of commercial content that may be shown on cable networks, broadcast networks and local broadcast television stations during programming originally produced and broadcast primarily for an audience of children 12 years of age and under is limited, and certain television station programming must serve the educational and informational needs of children 16 years of age and under.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FCC 5G Spectrum Proceedings</w:t>
      </w:r>
    </w:p>
    <w:p>
      <w:pPr>
        <w:spacing w:after="0" w:line="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FCC also has established or is in the process of evaluating and potentially modifying its rules to make available additional spectrum that will likely be used for licensed and unlicensed commercial services, including new 5G services, some of which has been or is in the process of being auctioned by the FCC. Because Cable Communications and NBCUniversal both use some of this spectrum to provide services, they must transition their operations to different frequencies in order to accommodate the reallocation of spectrum for 5G, which could disrupt our services and impose additional costs.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 contribution obligations, rural call completion, customer equipment back-up power, robocall</w:t>
      </w:r>
    </w:p>
    <w:p>
      <w:pPr>
        <w:spacing w:after="0" w:line="200" w:lineRule="exact"/>
        <w:rPr>
          <w:sz w:val="20"/>
          <w:szCs w:val="20"/>
          <w:color w:val="auto"/>
        </w:rPr>
      </w:pPr>
    </w:p>
    <w:p>
      <w:pPr>
        <w:spacing w:after="0" w:line="30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mitigation, service discontinuance and certain regulatory filing requirements. The FCC has not yet ruled on whether VoIP services such as ours should be classified as an “information service” or a “telecommunications service” under the Communications Act. The classification determination is important because telecommunications services are regulated more extensively than information services. One federal court of appeals in the 8th Circuit has held that VoIP is an information service and preempted state regulation of VoIP, and the U.S. Supreme Court has declined to review that determination, but that ruling remains limited to the seven states located in that circuit. State regulatory commissions and legislatures in other jurisdictions may continue to consider imposing regulatory requirements on our voice services as long as the regulatory classification of VoIP remains unsettled at the federal level.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a wireless voice and data service using our MVNO rights to provide the service over Verizon’s wireless network. MVNOs are subject to many of the same FCC regulations as facilities-based wireless carriers (e.g., E911 services, local number portability, etc.), as well as certain state or local regulations. The FCC or other regulatory authorities may adopt new or different regulations for MVNOs and/or mobile broadband providers in the future, which could adversely affect our wireless phone service offering or our business generally.</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International Communications-Related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Sky and certain NBCUniversal international businesses are subject to telecommunications and media-specific regulation described below in Europe, Latin America and other international jurisdictions, and all of our international businesses are subject to regulation under generally applicable laws, such as competition, consumer protection, data protection and taxation in the jurisdictions where they operate. Our international businesses are currently, and may be in the future, subject to proceedings or investigations from regulatory and antitrust authorities in the jurisdictions in which they operate. In addition, in connection with our acquisition of Sky, we have made certain legally binding commitments with respect to Sky’s operations, including for example, to maintain annual funding for Sky News in an amount no lower than Sky News’ 2017 fiscal year expenditures, as adjusted by inflation, until 2029.</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Services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Kingdom, Sky is required to ensure that agreements to provide its electronic program guide (“EPG”) and conditional access (“CA”) services to other programming providers are on fair, reasonable and non-discriminatory terms, among other things, so that those providers’ content is available on Sky’s satellite platform via the EPG on set-top boxes. Sky also has voluntarily committed to the United Kingdom’s communications regulator, the Office of Communications, or Ofcom, to provide access control services to third parties that enable them to provide interactive services. Sky is subject to similar EPG and CA obligations in Germany.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Channels and On-Demand Services</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Sky and NBCUniversal hold a number of licenses and authorizations for their portfolios of television channels and on-demand services. For example, in the United Kingdom, Sky’s channels are licensed and subject to various codes issued by Ofcom affecting the content and delivery of these channels. Sky and NBCUniversal also hold various broadcast licenses in certain E.U. and other countries. These content-related rules and regulations cover issues such as the acquisition and exploitation of sports rights, media concentration and plurality, television advertising, the protection of children, accessibility, airtime for commercials and teleshopping, sponsorship and ensuring clear distinctions between program content and advertising.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Broadband and Voice</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Sky provides broadband and voice services in the United Kingdom, Ireland and Italy pursuant to wholesale distribution agreements that third-party broadband and telecommunications companies either make available commercially or are required to make available under applicable laws in those jurisdictions. Material changes to these regulations could affect Sky’s business. As a provider of broadband services, Sky is subject to applicable laws and regulations relating to telecommunications security, including a U.K. law that requires providers to take certain measures with respect to potential security compromises. Sky is also subject to E.U. and other Open Internet/net neutrality regulations, which prohibit the blocking, throttling or discrimination of online content, applications and services and require ISPs to disclose their traffic management, throughput limitations and other practices impacting quality of service in customer contracts.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18</w:t>
            </w:r>
          </w:p>
        </w:tc>
      </w:tr>
      <w:tr>
        <w:trPr>
          <w:trHeight w:val="330"/>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Copyright, trademark, unfair competition, patent, trade secret and other proprietary-rights laws of the United States and other countries help protect our intellectual property rights. In particular, unauthorized copying, distribution and piracy of programming and films over the internet, through devices, software and websites, counterfeit DVDs and through other platforms interfere with the market for copyrighted works and present challenges for our content businesses. We have actively engaged in the enforcement of our intellectual property rights and likely will continue to expend substantial resources to protect our content. Although many legal protections exist to combat such practices, the extent of copyright protection is sometimes ambiguous and the use of technological protections can be controversial. Modifications to existing laws, a weakening of these protections or their enforcement or a failure of existing laws, in the United States or internationally, to adapt to new technologies could have an adverse effect on our ability to license and sell our programming.</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 copyright laws establish a cable compulsory copyright license that requires our video distribution business to contribute a specified percentage of revenue to a federal copyright royalty pool in exchange for retransmitting copyrighted material included in broadcast signals. We also pay standard industry licensing fees for the public performance of music in the programs we create or distribute. The cable compulsory copyright license and the royalties we pay are subject to audits and possible regulatory and legislative changes that could impact the royalty fees we pay and our ability to retransmit broadcast signals over cable systems. In addition, the landscape for music licensing is constantly changing, and music fees we pay are subject to new fee demands and negotiations. We cannot predict how changes to the compulsory copyright license and music licensing will impact the fees that we pay.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Security Regulation</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federal, state and foreign laws and regulations that impose various restrictions and obligations related to privacy and the handling of consumers’ personal information. In the United States, the Communications Act generally restricts cable operators’ nonconsensual collection and disclosure to third parties of cable customers’ personally identifiable information, except for rendering service, conducting legitimate business activities related to the service and responding to legal requests. We are also subject to various state and federal regulations that provide privacy protections for customer proprietary network information related to our voice services.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FTC generally exercises oversight of consumer privacy protections using its enforcement authority over unfair and deceptive acts or practices. For example, the FTC often partners with state attorneys general to enforce transparency requirements regarding the collection and use of consumer information. These enforcement efforts may require ongoing review on our part of new and rapidly evolving technologies and methods for delivering content and advertising to ensure that appropriate notice is given to consumers and consent is obtained where required in connection with the collection, use or sharing of personal information. We are also subject to stringent data security and data retention requirements that apply to website operators and online services directed to children 12 years of age and under, or that knowingly collect or post personal information from children 12 years of age and under.</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certain states have enacted detailed laws establishing explicit consumer privacy protections and data security requirements in their respective states. For example, the California Consumer Privacy Act (“CCPA”) gives California residents rights to receive certain disclosures regarding the collection, use and sharing of “Personal Information,” as well as rights to access, delete and restrict the sale of certain personal information collected about them. Moreover, all 50 states have security breach notification laws that generally require a business to give notice to consumers and government agencies when certain information has been disclosed to an unauthorized party due to a security breach.</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businesses are subject to the European Union’s General Data Protection Regulation (“GDPR”) and the United Kingdom’s Data Protection Act 2018 (“DPA”), which broadly regulate the processing of personal data collected from individuals in the European Union and United Kingdom, respectively. DPA, GDPR and the Member States’ legislation implementing the GDPR, related rules regulating the privacy of electronic communications services and networks (including “cookie” rules), and various initiatives by regulatory authorities pursuant to these laws affect how we are able to process certain personal data for particular purposes, what we must tell our customers about this processing, and what controls our customers have over such processing.</w:t>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Privacy and data security remained a priority legislative issue in 2021. For example, new laws have been enacted in Virginia and Colorado, which come into effect in 2023 and include many requirements similar to those in the CCPA for companies that collect personal information from consumers in those states. In addition, California voters approved a ballot initiative enacting the California Privacy Rights Act (“CPRA”), which updates the CCPA and establishes a new California Privacy Protection Agency to oversee implementation and enforcement of the state’s privacy laws. Changes enacted in the CPRA generally go into</w:t>
      </w:r>
    </w:p>
    <w:p>
      <w:pPr>
        <w:spacing w:after="0" w:line="200" w:lineRule="exact"/>
        <w:rPr>
          <w:sz w:val="20"/>
          <w:szCs w:val="20"/>
          <w:color w:val="auto"/>
        </w:rPr>
      </w:pPr>
    </w:p>
    <w:p>
      <w:pPr>
        <w:spacing w:after="0" w:line="305"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19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effect on January 1, 2023, though several aspects of the law remain subject to further rulemaking. Legislation similar to the laws enacted in Virginia and Colorado is under consideration in many other states, and various regulatory authorities are considering rulemakings around privacy and data collection. We cannot predict how these changes to the laws will affect our business, or whether any legislation or proposed rules currently under consideration will be enacted or adopted or what the impact of any such laws or regulations may be on our businesses.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U.S. states and localities have imposed or are considering imposing, through both legislative and administrative channels, new or additional taxes or fees on, or limiting or eliminating incentives or credits earned or monetized by, the businesses operated by our Cable Communications and NBCUniversal segments,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Cable Communications and NBCUniversal segments. In some situations, DBS providers and other competitors that deliver their services over a broadband connection do not face the same state tax and fee burdens. Congress has also considered, and may consider again, proposals to bar or limit states from imposing taxes on these DBS providers or other competitors that are equivalent to the taxes or fees that we pay. The Internet Tax Freedom Act (“ITFA”) prohibits most states and localities from imposing sales and other taxes on our internet access charges; however, some jurisdictions may challenge the ITFA or the application of the ITFA to our business, or may assert that certain taxes akin to right-of-way fees are not preempted by the ITFA.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Exit from the European Union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telecommunications and media regulatory framework applicable to our business in the United Kingdom is subject to greater uncertainty as a result of the United Kingdom’s withdrawal from the European Union. In 2021, the U.K. government signaled its intention of moving away from the E.U.’s approach in a number of policy areas, increasing the possibility of greater divergence between the regulation of our U.K. business and our other European businesses over time. We are not able to predict the extent of any such divergence at this point in time.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U.S. states and localities, and various regulatory authorities, actively regulate other aspects of our businesses, including our Studios and Theme Parks businesses, accessibility to our video and voice services and broadcast television programming for people with disabilities, customer service standards, inside wiring, cable equipment, pole attachments, universal service fees, regulatory fees, public safety, telemarketing, leased access, indecency, loudness of commercial advertisements, advertising, political broadcasting, sponsorship identification, Emergency Alert System, equal employment opportunity and other employment-related laws, environmental-related matters, our equipment supply chain, and technical standards relating to the operation of cable systems and television stations. In addition, our international businesses are subject to various similar regulations, including those that cover television broadcasting, programming and advertising. We are occasionally subject to enforcement actions and investigations at the FCC and other federal, state and local agencies, as well as foreign governments and regulatory authorities, which can result in us having to pay fines or being subject to other sanctions.</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auto"/>
        </w:rPr>
        <w:t>Human Capital Resources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2021, we had approximately 189,000 full-time and part-time employees calculated on a full-time equivalent basis. Of these employees, approximately 79,000, 74,000 and 34,000 were associated with Cable Communications, NBCUniversal and Sky, respectively. Approximately 30% of these employees were located in over 30 countries outside the United States, with larger workforce concentrations in the United Kingdom, China, Japan, Italy and Germany. We also use freelance and temporary employees in the normal course of our business. A small overall portion of our full-time U.S. employees are unionized; outside the United States, employees in certain countries, particularly in Europe, are represented by an employee representative organization, such as a union, works council or employee association. Our employee numbers reflect additional employees in our theme parks both due to the opening of our park in Beijing, China and reversing temporary workforce reductions implemented in 2020 due to capacity restrictions and closures at our parks resulting from COVID-19.</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company has been built on a foundation of respect, integrity and trust, and we are committed to creating and fostering a work environment that promotes those values. As a global media and technology company, we have a wide range of employees, including management professionals, technicians, engineers, call center employees, theme park employees, and media talent and production employees. Given the breadth of our employee base, we tailor our human capital management policies with a view to specific employee populations within our businesses. Some of our key workforce-related programs and initiatives include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20</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w:t>
      </w:r>
    </w:p>
    <w:p>
      <w:pPr>
        <w:spacing w:after="0" w:line="126" w:lineRule="exact"/>
        <w:rPr>
          <w:sz w:val="20"/>
          <w:szCs w:val="20"/>
          <w:color w:val="auto"/>
        </w:rPr>
      </w:pPr>
    </w:p>
    <w:p>
      <w:pPr>
        <w:ind w:left="66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commitment to diversity, equity and inclusion is longstanding. We believe that a diverse, equitable and inclusive company helps to foster creativity, innovation and success. We embrace diversity of background, perspective, culture and experience throughout our business.</w:t>
      </w:r>
    </w:p>
    <w:p>
      <w:pPr>
        <w:spacing w:after="0" w:line="38"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offer a variety of training programs and initiatives focused on creating a more inclusive workplace culture. These efforts include company-wide forums like our diversity, equity and inclusion speaker series which is designed to educate, inspire dialogue and foster employee engagement through a curated experience anchored by scholars, authors, thought leaders and expert speakers focusing on a variety of diversity, equity and inclusion topics.</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support nine employee resource groups, with 35,000 members in over 200 chapters, including a variety of uniquely tailored mentorship programs across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Engagement</w:t>
      </w:r>
    </w:p>
    <w:p>
      <w:pPr>
        <w:spacing w:after="0" w:line="126"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seek to create an engaged workforce through proactive listening and constructive dialogue, including through employee engagement surveys, as well as through the employee resource groups described above.</w:t>
      </w:r>
    </w:p>
    <w:p>
      <w:pPr>
        <w:spacing w:after="0" w:line="62" w:lineRule="exact"/>
        <w:rPr>
          <w:rFonts w:ascii="Arial" w:cs="Arial" w:eastAsia="Arial" w:hAnsi="Arial"/>
          <w:sz w:val="18"/>
          <w:szCs w:val="18"/>
          <w:color w:val="auto"/>
        </w:rPr>
      </w:pPr>
    </w:p>
    <w:p>
      <w:pPr>
        <w:jc w:val="both"/>
        <w:ind w:left="6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an open door policy and culture so employees can report any questions or concerns – whether involving a workplace issue, a concern about suspected illegal or unethical conduct or any other matter – trusting that we will take their concerns seriously and without fear of retaliation.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Development</w:t>
      </w:r>
    </w:p>
    <w:p>
      <w:pPr>
        <w:spacing w:after="0" w:line="126" w:lineRule="exact"/>
        <w:rPr>
          <w:sz w:val="20"/>
          <w:szCs w:val="20"/>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provide a wide variety of opportunities for professional growth for all employees with in-classroom and online trainings and on-the-job experience.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offer education tuition assistance to full-time employees in the United States.</w:t>
      </w:r>
    </w:p>
    <w:p>
      <w:pPr>
        <w:spacing w:after="0" w:line="117"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Board of Directors discusses succession planning for our CEO and the remainder of our senior executive management team at least once a year. Throughout the year, our senior executive management team, as well as a broader array of executives throughout our businesses, make presentations to the Board and its committees and interact with our directors informally outside of regularly scheduled Board meetings, which provides directors with meaningful insight into our current pool of talent, what attracts and retains our executives, and our company culture.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26" w:lineRule="exact"/>
        <w:rPr>
          <w:sz w:val="20"/>
          <w:szCs w:val="20"/>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offer a portfolio of services and tools to support our employees’ health and well-being (including dedicated health assistants, expert medical opinion services, diabetes treatment programs, tobacco cessation, and others).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2021, we enhanced benefits related to virtual care, telehealth options, and back-up family care resources and support services and launched new behavioral health and counseling tools to support emotional wellbeing.</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provide female and male employees the same paid parental leave options, including for adoption and surrogacy, and provide specialized support teams to help manage first months of parenthood.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response to COVID-19, we completed hundreds of thousands of COVID-19 tests, made physician-directed COVID-19 screening, testing, vaccination and treatment available at no out-of-pocket cost to benefit-enrolled employees and their dependents and we hosted onsite vaccine clinics.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Benefits</w:t>
      </w:r>
    </w:p>
    <w:p>
      <w:pPr>
        <w:spacing w:after="0" w:line="126"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focus on attracting and retaining employees by providing compensation and benefits packages that are competitive within the applicable market, taking into account the job position’s location and responsibilities.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provide competitive financial benefits such as a 401(k) retirement plan in the United States with a company match and other retirement arrangements internationally.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employee stock purchase plans in the United States, United Kingdom, Ireland and several other European countries where most of our full-time and part-time employees can purchase our stock at a discount.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generally grant awards of restricted stock units and stock options on an annual basis to a meaningful portion of our employees, with over 18,000 employees receiving such awards in 2021.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offer financial literacy training and counseling to support employees in making their own financial decisions.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21</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Available Information and Websites</w:t>
      </w: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phone number is (215) 286-1700, and our principal executive offices are located at One Comcast Center, Philadelphia, PA 19103-2838. Our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our website at www.comcastcorporation.com as soon as reasonably practicable after such reports are electronically filed with the SEC. The information posted on our websites is not incorporated into our SEC filings.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color w:val="auto"/>
        </w:rPr>
        <w:t>Caution Concerning Forward-Looking Statements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as a result of any of such factors, which could adversely affect our businesses, results of operations or financial condition. We undertake no obligation to update any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006EBF"/>
        </w:rPr>
        <w:t>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 Industry and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has had, and may continue to have, a material adverse effect on our businesses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impacts of COVID-19 and measures to prevent its spread across the globe have impacted our businesses in a number of ways. In particular, COVID-19 has had material negative impacts on NBCUniversal and Sky results of operations. For example, as a result of COVID-19, we have at times temporarily closed our theme parks or operated them with capacity restrictions. The creation and availability of our film and television programming globally also have been disrupted as a result of COVID-19, such as postponements or cancellations of sporting events, theatrical closures and suspensions of entertainment content production.</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impact of COVID-19 on our businesses also generally depends on the extent of restrictive governmental measures taken that affect day-to-day life, travel protocols and the length of time that such measures remain in place, global economic conditions, current and new variants and vaccination rates and efficacy. It is difficult to predict the extent and duration and the degree to which our results of operations will continue to be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COVID-19 may also have the effect of heightening many of the other risks set forth below.</w:t>
      </w:r>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businesses operate in highly competitive and dynamic industries, and our businesses and results of operations could be adversely affected if we do not compete effectively.</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businesses operate in intensely competitive, consumer-driven, rapidly changing environments and compete with a growing number of companies that provide a broad range of communications products and services as well as entertainment, sports, news and information content to consumers. There can be no assurance that we will be able to compete effectively against our competitors or that competition will not have an adverse effect on our businesses.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22</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most significant sources of competition; for a more detailed description of the competition facing our businesses, see Item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and refer to the “Competition” discussion within that section.</w:t>
      </w:r>
    </w:p>
    <w:p>
      <w:pPr>
        <w:spacing w:after="0" w:line="103" w:lineRule="exact"/>
        <w:rPr>
          <w:sz w:val="20"/>
          <w:szCs w:val="20"/>
          <w:color w:val="auto"/>
        </w:rPr>
      </w:pPr>
    </w:p>
    <w:p>
      <w:pPr>
        <w:jc w:val="both"/>
        <w:ind w:left="660" w:hanging="328"/>
        <w:spacing w:after="0" w:line="253"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Cable Communications’ and Sky’s broadband services compete primarily against wireline telecommunications companies, including many that are increasing deployment of fiber-based networks, wireless telecommunications companies offering internet services (such as 4G and 5G wireless broadband services), certain electric cooperatives and municipalities in the United States that own and operate their own broadband networks and DBS and newer satellite broadband providers. Broadband-deployment funding initiatives at the federal and state level, including as part of COVID-19 relief efforts as well as federal infrastructure legislation enacted in 2021, may result in other service providers deploying new subsidized internet access networks within our footprint. Competition for Cable Communications’ video services consists primarily of DTC streaming and other OTT service providers, DBS providers and telecommunications companies with fiber-based networks. Sky faces competition for its video services from cable and telecommunications providers in its European markets. Our voice and wireless services primarily compete with wireless and wireline telecommunications providers. Many of our competitors offer customers bundled products and services with favorable pricing, which has increased competition.</w:t>
      </w:r>
    </w:p>
    <w:p>
      <w:pPr>
        <w:spacing w:after="0" w:line="72"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NBCUniversal and Sky face substantial and increasing competition from providers of similar types of entertainment, sports, news and information content, as well as from other forms of entertainment and recreational activities. NBCUniversal and Sky must compete to obtain talent, popular content (including sports programming) and other resources required to successfully operate their businesses. This competition has intensified as DTC streaming and other OTT service providers seek to develop high-quality programming and acquire live sports programming to attract viewers.</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Consolidation of, or cooperation between, our competitors, including suppliers and distributors of content, may increase competition in all of these areas, as may the emergence of additional competitors with significant resources, greater efficiencies of scale, fewer regulatory burdens and more competitive pricing and packaging, who are competing with our businesses in all forms of content distribution and production. For example, such consolidation or cooperation may allow competitors to offer free or lower cost streaming services, potentially on an exclusive basis, through unlimited data-usage plans for internet or wireless phone services.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ability of our businesses to compete effectively also depends on our perceived image and reputation among our various constituencies, including our customers, consumers, advertisers, business partners, employees, investors and government authorities. In addition, our ability to compete will be negatively affected if we do not provide our customers with a satisfactory customer experience.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consumer behavior continue to adversely affect our businesses and challenge existing business models.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Distribution platforms for viewing and purchasing content over the internet have been, and will likely continue to be, developed that further increase the number of competitors that all our businesses face and challenge existing business models. As consumers increasingly turn to DTC streaming and other OTT services, the number of Cable Communications’ video customers and amount of subscriber fees paid to NBCUniversal’s television networks decrease, even as Cable Communications’ broadband services have become more important to consumers. DTC streaming and other OTT services have driven, and will continue to drive, changes in consumer behavior as consumers seek more control over when, where and how they consume content and access communications services, and how much they pay for such content.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Cable Communications continues to experience net video customer losses. In Europe, more of Sky’s new video customers have recently subscribed, and may continue to subscribe, to NOW, Sky’s DTC streaming service, instead of its traditional DTH video service. Although we have attempted to adapt our video service offerings and enhance our broadband services for changing consumer behaviors, for example, by deploying the X1 and Sky Q platforms, Flex, developing new smart televisions using our global technology platform at Sky and Cable Communications, and by offering Peacock, the continuing trend of content owners delivering their content directly to consumers rather than through, or in addition to, traditional video distribution channels continues to disrupt traditional distribution business models.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DTC streaming and other OTT service providers also has significantly increased the number of entertainment choices available to consumers, which has intensified audience fragmentation and disaggregated the way that content traditionally has been distributed and viewed by consumers. The use of DTC streaming and other OTT services reduce traditional television viewership, and coupled with time-shifting technologies, such as DVR and on demand services, have caused and likely will continue to cause audience ratings declines for our television programming channels. In addition, as more programming providers offer their content directly to consumers through their own apps or platforms, they may reduce the quantity and quality of the programming they license to NBCUniversal or Sky’s television channels or to Peacock.</w:t>
      </w:r>
    </w:p>
    <w:p>
      <w:pPr>
        <w:spacing w:after="0" w:line="200" w:lineRule="exact"/>
        <w:rPr>
          <w:sz w:val="20"/>
          <w:szCs w:val="20"/>
          <w:color w:val="auto"/>
        </w:rPr>
      </w:pPr>
    </w:p>
    <w:p>
      <w:pPr>
        <w:spacing w:after="0" w:line="294"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23</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effectively anticipate or adapt to emerging competitors or changes in consumer behavior, including among younger consumers, and shifting business models could have an adverse effect on our competitive position, businesses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advertisers’ expenditures or changes in advertising markets could negatively impact our businesses.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Cable Communications, NBCUniversal and Sky compete for the sale of advertising time with digital media distributors, websites and search engines, other television networks and stations, as well as with all other advertising platforms, such as radio and print. We derive substantial revenue from the sale of advertising, and a decline in expenditures by advertisers, including through traditional linear television distribution models, could negatively impact our results of operations. Declines can be caused by the economic prospects of specific advertisers or industries, increased competition for the leisure time of viewers, such as from social media and video games, audience fragmentation, increased viewing of content through DTC streaming and other OTT service providers, regulatory intervention regarding where and when advertising may be placed, or economic conditions generally. In addition, advertisers have shifted a portion of their total expenditures to digital media, which can deliver targeted advertising. Their willingness to purchase advertising from us may be adversely affected by lower audience ratings and reduced viewership, which many of NBCUniversal’s networks and some of Sky’s television channels have experienced and likely will continue to experience, or from the level of popularity or perceived acceptance of Peacock. Advertising sales and rates also are dependent on the methodology used for audience measurement and could be negatively affected if methodologies do not accurately reflect actual viewership levels.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Programming expenses for our video services are increasing, which could adversely affect Cable Communications’ video businesses.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expect programming expenses for our video services to continue to be the largest single expense item for our Cable Communications segment and to continue to increase on a per subscriber basis. Part of Cable Communications’ programming expenses include payments to certain local broadcast television stations in exchange for their required consent for the retransmission of broadcast network programming to video services customers; we expect to continue to be subject to increasing demands for payment and other concessions from local broadcast television stations. These market factors may be exacerbated by increased consolidation in the media industry, which may further increase our programming expenses. If we are unable to raise our customers’ rates or otherwise offset programming cost increases through the sale of additional services, cost management or other initiatives, the increasing cost of programming could have an adverse effect on our Cable Communications segment’s results of operations.</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Moreover, as our contracts with content providers expire, there can be no assurance that they will be renewed on acceptable terms, or at all, in which case we may be unable to provide such content as part of Cable Communications’ video services, and our businesses and results of operations could be adversely affected.</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NBCUniversal and Sky create and acquire media and entertainment content, the success of which depends substantially on consumer tastes and preferences that often change in unpredictable ways. The success of these businesses depends on our ability to consistently create, acquire, market and distribute television programming, filmed entertainment, theme park attractions and other content that meet the changing preferences of the broad domestic and international consumer markets. We have invested, and will continue to invest, substantial amounts in our content, including in the production of original content for NBCUniversal, including Peacock, and Sky, in our films and for new theme parks and theme park attractions, before learning the extent to which they will earn consumer acceptance. In addition, there can be no assurance that Peacock will continue to grow or sustain its revenue or user base or successfully compete as a standalone DTC streaming service.</w:t>
      </w:r>
    </w:p>
    <w:p>
      <w:pPr>
        <w:spacing w:after="0" w:line="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NBCUniversal and Sky also obtain a significant portion of their content from third parties, such as movie studios, television production companies, sports organizations and other suppliers, sometimes on an exclusive basis. Competition for popular content, particularly for sports programming, is intense, and at times, we may increase the price we are willing to pay or be outbid by our competitors for popular content. We also may be unable to license popular third-party content for NBCUniversal’s and Sky’s television programming channels if media companies determine that licensing the content to us is not in their strategic best interests. For example, content creators have launched and may continue to launch their own DTC streaming or other OTT services, forgoing license fees from us to provide their content directly to consumers, or they may license their content to our competitors on an exclusive basis.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Entering into or renewing contracts for such programming rights or acquiring additional rights has in the past and in the future may result in significantly increased costs. Particularly with respect to long-term contracts for sports programming rights for NBCUniversal and Sky, our results of operations and cash flows over the term of a contract depend on a number of factors,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24</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including the strength of the advertising market, audience size, the timing and amount of rights payments, and the ability to secure distribution from, impose surcharges on, or obtain carriage on multichannel video providers. There can be no assurance that revenue from these contracts will exceed our costs for the rights, as well as the other costs of producing and distributing the programming. If our content does not achieve sufficient consumer acceptance, or if we cannot obtain or retain rights to popular content on acceptable terms, or at all, NBCUniversal’s and Sky’s businesses may be adversely affected.</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programming distribution and licensing agreements, or the renewal of these agreements on less favorable terms, could adversely affect our businesses.</w:t>
      </w:r>
    </w:p>
    <w:p>
      <w:pPr>
        <w:spacing w:after="0" w:line="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NBCUniversal’s cable television networks depend on their ability to secure and maintain distribution agreements with traditional and virtual multichannel video providers. The number of subscribers to NBCUniversal’s cable television networks has been, and likely will continue to be, reduced as a result of fewer subscribers to multichannel video providers. In addition, NBCUniversal’s broadcast television networks depend on their ability to secure and maintain network affiliation agreements with third-party local broadcast television stations in the markets where we do not own the affiliated local broadcast television station. Our owned local broadcast television stations must elect, with respect to retransmission by certain multichannel video providers, either “must-carry” status, in which we require the provider to carry the station without generating any compensation to us, or “retransmission consent,” in which we give up our right to mandatory carriage and instead seek to negotiate the terms and conditions of carriage, including the amount of compensation, if any, paid to us by such provider. Sky also depends on its ability to secure and maintain wholesale distribution agreements for its television channels with multichannel video providers.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Increasingly, NBCUniversal and Sky license their prior season and library content on third-party distribution platforms, including to DTC streaming and other OTT service providers. If this programming does not attract sufficient viewers, these providers may not distribute NBCUniversal’s or Sky’s programming. In addition, at times we have opted to, and expect that we may in the future, not license certain popular owned content to third parties so we may offer it exclusively through Peacock, which would result in foregone licensing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all of these types of arrangements, NBCUniversal’s and Sky’s ability to renew agreements on favorable terms may be affected by industry consolidation and new participants entering the market for distribution of content on digital platforms. There can be no assurance that any of these agreements will be entered into or renewed in the future on acceptable terms. The inability to enter into or renew these agreements could reduce our revenues and the reach of our programming, which could adversely affect NBCUniversal’s and Sky’s businesses.</w:t>
      </w:r>
    </w:p>
    <w:p>
      <w:pPr>
        <w:spacing w:after="0" w:line="5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Sky relies on various third-party telecommunications providers to deliver its video, broadband, voice and wireless phone services to its customers. For example, Sky relies on satellite transponder capacity leased from third parties to provide most of its video services. In addition, under the current regulatory regimes in the United Kingdom, Ireland and Italy, Sky accesses networks owned by third-party telecommunications providers to offer its broadband and phone services, in many cases, on regulated terms, including price. If there is a change in regulation in these markets, the regulated terms could become less favorable. Moreover, while Sky receives wholesale fiber access on fair, reasonable and non-discriminatory terms, specific pricing terms are not regulated. As a result, if Sky is only able to enter into or renew its transmission agreements with satellite or telecommunications operators on less favorable terms, it would adversely affect Sky’s ability to compete, and if it is ultimately unable to do so on commercially viable terms or if these operators were to terminate their agreements, Sky may be unable to deliver certain of its services to customers in one or more of the markets in which it operates, which would adversely affect Sky’s businesses and results of operations.</w:t>
      </w:r>
    </w:p>
    <w:p>
      <w:pPr>
        <w:spacing w:after="0" w:line="200" w:lineRule="exact"/>
        <w:rPr>
          <w:sz w:val="20"/>
          <w:szCs w:val="20"/>
          <w:color w:val="auto"/>
        </w:rPr>
      </w:pPr>
    </w:p>
    <w:p>
      <w:pPr>
        <w:spacing w:after="0" w:line="29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businesses depend on using and protecting certain intellectual property rights and on not infringing the intellectual property rights of others.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from importing into the United States or other jurisdictions in which we operate hardware or software that uses such intellectual property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our businesses could be adversely affected.</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intellectual property constitutes a significant part of the value of NBCUniversal’s and Sky’s businesses, and their success is highly dependent on protecting the intellectual property rights of the content they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films through unauthorized distribution platforms continues to present challenges for NBCUniversal’s businesses, and certain entities may stream our broadcast television content illegally online without our consent and without paying us any compensation. It also presents similar challenges for Sky’s businesses, including as a result of illegal retransmission of sports events.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on third-party vendors to supply us with a significant amount of the hardware, software and operational support necessary to provide certain of our products and services. Some of these vendors represent our primary source of supply or grant us the right to incorporate their intellectual property into some of our hardware and software products. While we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For example, global supply chains in general have been, and may continue to be, disrupted as a result of COVID-19. If any of these vendors experience operating or financial difficulties or any other supply chain compliance-related issues, if our demand exceeds their capacity or if they breach or terminate their agreements with us or are otherwise unable to meet our specifications or provide the equipment, products or services we need in a timely manner (or at all), or at reasonable prices, our ability to provide some products or services may be adversely affected and we may incur additional costs.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success is, to a large extent, dependent on our ability to acquire, develop, adopt and leverage new and existing technologies, and our competitors’ use of certain types of technology and equipment may provide them with a competitive advantage. New technologies can materially impact our businesses in a number of ways, including affecting the demand for our products, the distribution methods of our products and content to our customers, the ways in which our customers can purchase and view our content and the growth of distribution platforms available to advertisers. For example, current and new wireless internet technologies such as 4G and 5G wireless broadband services continue to evolve rapidly and may allow for greater speed and reliability for those services as compared with prior technologies. In addition, some companies and U.S. municipalities are building advanced fiber-based networks that provide very fast internet access speeds. We expect advances in communications technology to continue to occur in the future. If we choose technology or equipment that is not as effective or attractive to consumers as that employed by our competitors, if we fail to employ technologies desired by consumers before our competitors do so, or if we fail to execute effectively on our technology initiatives, our businesses and results of operations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26</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could be adversely affected. We also will continue to incur additional costs as we execute our technology initiatives, such as the deployment of Flex and Sky Q set-top boxes, wireless gateways, developing smart televisions using our technology platform, and the operation of Peacock. There can be no assurance that we can execute on these and other initiatives in a manner sufficient to grow or maintain our revenue or to successfully compete in the future. We also may generate less revenue or incur increased costs if changes in our competitors’ product offerings require that we offer certain services or enhancements at a lower or no cost to our customers or that we increase our research and development expenditures.</w:t>
      </w:r>
    </w:p>
    <w:p>
      <w:pPr>
        <w:spacing w:after="0" w:line="6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Network and information systems and other technologies, including those that are related to our network management, customer service operations and programming delivery and are embedded in our products and services, are critical to our business activities. In the ordinary course of our business, there are constant attempts by third parties to cause systems-related events and security incidents and to identify and exploit vulnerabilities in security architecture and system design. These incidents include computer hackings, cyber attacks, computer viruses, worms or other destructive or disruptive software, denial of service attacks, phishing attacks, malicious social engineering, and other malicious activities. Incidents also may be caused inadvertently by us or our third-party vendors, such as process breakdowns and vulnerabilities in security architecture or system design.</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Cyber threats and attacks are constantly evolving and are growing in sophistication and frequency, which increases the difficulty of detecting and successfully defending against them. Some cyber attacks have had, and in the future can have, cascading impacts that unfold with increasing speed across networks, information systems and other technologies across the world and create latent vulnerabilities in our and third-party vendors’ systems and other technologies. Moreover, as we also obtain certain confidential, proprietary and personal information about our customers, personnel and vendors, and in some cases provide this information to third party vendors who agree to protect it, we face the risk that this information may become compromised through a cyber attack or data breach, misappropriation, misuse, leakage, falsification or accidental release or loss of information. Due to the nature of our businesses, we may be at a disproportionately heightened risk of these types of incidents occurring because we maintain certain information necessary to conduct our business in digital form. We also incorporate third-party software (including extensive open-source software), applications, and data hosting and cloud-based services into many aspects of our products, services and operations, all of which expose us to cyber attacks on such third-party suppliers and service providers.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develop and maintain systems, and operate extensive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have in the past, and could in the future, cause a variety of potential adverse business impacts. These include degradation or disruption of our network, products and services, excessive call volume to call centers, theft or misuse of our intellectual property or other assets, disruption of the security of our internal systems, products, services or satellite transmission signals, power outages, and the compromise of confidential or technical business information or damage to our or our customers’ or vendors’ data, equipment and reputation. Moreover, the amount and scope of insurance we maintain against losses resulting from any of the foregoing events likely would not be sufficient to fully cover our losses or otherwise adequately compensate us for disruptions to our business that may result. In addition, any such events could lead to litigation or cause regulators in the United States and internationally to impose significant fines or other remedial measures, including with respect to relevant customer privacy rules, or otherwise have an adverse effect on our company. Despite our efforts, we expect that we will continue to experience such incidents in the future, and there can be no assurance that any such incident will not have an adverse effect on our business, reputation or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substantial portion of our revenue comes from customers whose spending patterns may be affected by prevailing economic conditions. Weak economic conditions in the United States or globally could adversely affect demand for any of our products and services and have a negative impact on our results of operations. For example, weak economic conditions will likely impact our customers’ discretionary spending and as a result, they may reduce the level of services to which they subscribe or may discontinue subscribing to one or more of Cable Communications’ or Sky’s services altogether. This risk may be increased by the expanded availability of free or lower cost competitive services, such as certain DTC streaming and other OTT services, or substitute services for broadband and voice services, such as wireless and public Wi-Fi networks. Weak economic conditions also negatively impact our advertising revenue, the performance of our films and home entertainment releases, and attendance and spending in our theme parks. In particular, the success of our theme parks and theatrical releases largely depends on consumer demand for out-of-home entertainment experiences, which may be limited by weakened economic conditions (as well as natural disasters, infectious disease outbreaks (such as COVID-19), terrorist attacks or other similar events).</w:t>
      </w:r>
    </w:p>
    <w:p>
      <w:pPr>
        <w:spacing w:after="0" w:line="200" w:lineRule="exact"/>
        <w:rPr>
          <w:sz w:val="20"/>
          <w:szCs w:val="20"/>
          <w:color w:val="auto"/>
        </w:rPr>
      </w:pPr>
    </w:p>
    <w:p>
      <w:pPr>
        <w:spacing w:after="0" w:line="284"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Weak economic conditions and disruptions in the global financial markets may impact our ability to obtain financing or to refinance existing debt on acceptable terms, if at all, could increase the cost of our borrowings and may increase our exposure to currency fluctuations in countries where we operate. Further, inflationary pressures in the United States and globally may also have negative impacts on our cost structure and pricing models and may impact the ability of third parties (including advertisers, customers, suppliers, wholesale distributors, retailers and content creators, among others) to satisfy their obligations to us.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and other strategic initiatives present many risks, and we may not realize the financial and strategic goals that we had contemplated.</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make acquisitions and investments and may pursue other strategic initiatives, such as Peacock. In connection with such acquisitions and strategic initiatives, we may incur significant or unanticipated expenses, fail to realize anticipated benefits and synergies, have difficulty incorporating an acquired or new line of business, disrupt relationships with current and new employees, customers and vendors, incur significant debt, divert the attention of management from our current operations, or have to delay or not proceed with announced transactions or initiatives. Additionally, federal regulatory agencies such as the FCC or DOJ or international regulators may impose restrictions on the operation of our businesses as a result of our seeking regulatory approvals for any significant acquisitions and strategic initiatives or may dissuade us from pursuing certain transactions. The occurrence of any of these events could have an adverse effect on our business and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operate our businesses worldwide. There are risks inherent in doing business internationally, including global financial market turmoil; economic volatility and global economic slowdown; currency exchange rate fluctuations and inflationary pressures; political risks; the requirements of local laws and customs relating to the publication and distribution of content and the display and sale of advertising; import or export restrictions, tariffs, sanctions and trade regulations; difficulties in developing, staffing and managing foreign operations; issues related to occupational safety and adherence to diverse local labor laws and regulations; and potentially adverse tax developments. Additionally, although we employ foreign currency derivative instruments to hedge certain exposure to foreign currency exchange rate risks, including the British pound, Euro and Japanese yen, the use of such derivative instruments may not be sufficient to mitigate exchange rate fluctuations. Sky’s businesses in particular are also subject to risks relating to uncertainties and effects of the United Kingdom’s recent withdrawal from the European Union (referred to as “Brexit”), including financial, legal, tax and trade implications. In addition, doing business internationally subjects us to risks relating to political or social unrest, as well as corruption and government regulation, including U.S. laws such as the Foreign Corrupt Practices Act and the U.K. Bribery Act, that impose stringent requirements on how we conduct our foreign operations. Moreover, foreign enforcement of laws and contractual rights in certain countries where we do business can be inconsistent and unpredictable, which may affect our ability to enforce our rights or make investments that we believe otherwise make strategic sense. If any of these events occur or our conduct does not comply with such laws and regulations, our businesses may be adversely affected.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disasters, severe weather and other uncontrollable events could adversely affect our business, reputation and results of operations.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services, products and properties are vulnerable to damage from the occurrence of certain events, including natural disasters, severe weather events such as hurricanes and wild fires, and a range of other unforeseeable events such as infectious disease outbreaks, terrorist attacks or other similar events. Such events have in the past caused, and could in the future cause, a variety of adverse business impacts including degradation or disruption of our network, products and services, excessive call volume to call centers, a reduction in demand for our products, services and theme parks, disruption of our internal systems, products, services or satellite transmission signals, power outages, and damage to our or our customers’ or vendors’ equipment and properties. These events also may result in lost revenue and large expenditures to repair or replace damaged properties, products and services and could lead to litigation and fines, including if we inadvertently contributed to damages suffered by others. The amount and scope of insurance we maintain against losses resulting from these types of events likely would not be sufficient to fully cover our losses or otherwise adequately compensate us for disruptions to our business that may result. We expect that we will continue to experience some or all of these events in the future, and there can be no assurance that any such event will not have an adverse effect on our business, reputation or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28</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candidates to fill any vacancy created by the loss of any key management personnel, the loss of one or more of our key management personnel could have a negative impact on our businesses.</w:t>
      </w:r>
    </w:p>
    <w:p>
      <w:pPr>
        <w:spacing w:after="0" w:line="6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addition, NBCUniversal and Sky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Legal, Regulatory and Governance Matters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regulation by federal, state, local and foreign authorities, which impose additional costs and restrictions on our businesses.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all of our businesses are subject to various federal, state and local laws and regulations, compliance with certain laws and regulations is most material with respect to our Cable Communications and broadcast television businesses in the United States. In addition, our international businesses are subject to various laws and regulations in the jurisdiction of the foreign regulatory authorities where they operate.</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These legislators and regulators have been active in considering legislation and rulemakings, at times looking to adopt regulatory approaches from different countries that may be more burdensome, and they, along with some state attorneys general and foreign governmental authorities, have also been active in conducting inquiries and reviews regarding our services. State legislative and regulatory initiatives can create a patchwork of different and/or conflicting state requirements, such as with respect to privacy and Open Internet/net neutrality regulations, that can affect our business operations and further constrain our ability to compete.</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Legislative and regulatory activity is increasing under the Biden Administration, particularly with respect to broadband networks. For example, Congress has approved tens of billions of dollars in new funding for broadband deployment and adoption initiatives, and may consider other proposals that address communications issues, including whether it should rewrite the entire Communications Act to account for changes in the communications marketplace and whether it should enact new, permanent Open Internet/net neutrality requirements. Federal agencies likewise may consider adopting new regulations for communications services, including broadband. States and localities are also increasingly proposing new regulations impacting communications services, including broader regulation of broadband networks. Any of these regulations could significantly affect our business and compliance costs. In addition, United States and foreign regulators and courts could adopt new interpretations of existing competition laws or enact new competition laws or regulatory tools that could negatively impact our businesses. 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regulations applicable to our businesses could result in administrative enforcement actions, fines, and civil and criminal liability. Any changes to the legal and regulatory framework applicable to any of our services or businesses could have an adverse impact on our businesses and results of operations. For a more extensive discussion of the significant risks associated with the regulation of our businesses, see Item 1: Business and refer to the “Legislation and Regulation” discussion within that section.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Unfavorable litigation or governmental investigation results could require us to pay significant amounts or lead to onerous operating procedures.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from time to time to a number of lawsuits both in the United States and in foreign countries, including claims relating to competition, intellectual property rights (including patents), employment and labor matters, personal injury and property damage, free speech, customer privacy, regulatory requirements, advertising, marketing and selling practices, and credit and collection issues. Greater constraints on the use of arbitration to resolve certain of these disputes could adversely affect our business. We also spend substantial resources complying with various regulatory and government standards, including any related investigations and litigation. We may incur significant expenses defending any such suit or government charge and may be required to pay amounts or otherwise change our operations in ways that could adversely impact our businesses, results of operations or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disputes, whether involving employees or sports organizations, may disrupt our operations and adversely affect our businesses.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NBCUniversal’s writers, directors, actors, technical and production personnel, as well as some of our on-air and creative talent employees, are covered by collective bargaining agreements or works councils. Most of NBCUniversal’s</w:t>
      </w:r>
    </w:p>
    <w:p>
      <w:pPr>
        <w:spacing w:after="0" w:line="200" w:lineRule="exact"/>
        <w:rPr>
          <w:sz w:val="20"/>
          <w:szCs w:val="20"/>
          <w:color w:val="auto"/>
        </w:rPr>
      </w:pPr>
    </w:p>
    <w:p>
      <w:pPr>
        <w:spacing w:after="0" w:line="28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29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There can be no assurance that we will renew our collective bargaining agreements as they expire or that we can renew them on favorable terms or without any work stoppages.</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NBCUniversal’s Media segment and Sky have programming rights agreements of varying scope and duration with various sports organizations to broadcast and produce sporting events. Labor disputes in these and other sports organizations could have an adverse effect on our businesses.</w:t>
      </w:r>
    </w:p>
    <w:p>
      <w:pPr>
        <w:spacing w:after="0" w:line="1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3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Our Class B common stock has a non-dilutable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us,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color w:val="006EBF"/>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006EBF"/>
        </w:rPr>
        <w:t>Item 2: Properties</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substantially all of our physical assets were in good operating condition as of December 31, 2021. Our corporate headquarters and Cable Communications segment headquarters are located in Philadelphia, Pennsylvania at One Comcast Center. Additionally, the Comcast Technology Center, which is adjacent to the Comcast Center, is a center for Cable Communications’ technology and engineering workforce, as well as the home of our NBCUniversal and Telemundo owned local broadcast stations in Philadelphia, Pennsylvania. We also have leases for numerous business offices, warehouses and properties throughout the United States that house divisional information technology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physical assets consist of operating plant and equipment, including cable system signal receiving, encoding and decoding devices, headends and distribution networks. Our distribution network consists primarily of headends, content distribution servers,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The physical components of cable systems require periodic maintenance and replacement.</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cable system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broadband network consists of fiber-optic cables owned or leased by us and related equipment. We also operate national and regional data centers with equipment that is used to provide services, such as email and web services, to our broadband and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30</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voice customers, as well as cloud services to our video customers. In addition, we maintain network operations centers with equipment necessary to monitor and manage the status of our services and network.</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or lease buildings throughout the United States that contain customer service call centers, retail stores and customer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fiber-optics, broadcast studios, post-production services and interactive television services.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NBCUniversal’s corporate headquarters are located in New York, New York at 30 Rockefeller Plaza and surrounding campus and include offices and studios, which are used by Headquarters and Other and the Media segment. NBCUniversal owns substantially all of the space it occupies at 30 Rockefeller Plaza. NBCUniversal also leases space in 10 Rockefeller Plaza that includes </w:t>
      </w:r>
      <w:r>
        <w:rPr>
          <w:rFonts w:ascii="Arial" w:cs="Arial" w:eastAsia="Arial" w:hAnsi="Arial"/>
          <w:sz w:val="17"/>
          <w:szCs w:val="17"/>
          <w:i w:val="1"/>
          <w:iCs w:val="1"/>
          <w:color w:val="auto"/>
        </w:rPr>
        <w:t>The Today Show</w:t>
      </w:r>
      <w:r>
        <w:rPr>
          <w:rFonts w:ascii="Arial" w:cs="Arial" w:eastAsia="Arial" w:hAnsi="Arial"/>
          <w:sz w:val="17"/>
          <w:szCs w:val="17"/>
          <w:color w:val="auto"/>
        </w:rPr>
        <w:t xml:space="preserve"> studio, production facilities and offices used by the Media segment. Telemundo’s leased headquarters and production facilities are located in Miami, Florida and are used by the Media segment and Headquarters and Other. The Universal City location in California includes offices, studios, and theme park and retail operations that are owned by NBCUniversal and used by all NBCUniversal segments. Our owned CNBC headquarters and production facilities and disaster recovery center are located in Englewood Cliffs, New Jersey and are used by the Media segment and Headquarters and Other.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own or lease related facilities in Orlando, Florida; Hollywood, California; Osaka, Japan; and Beijing, China, that are used in the Theme Parks segment, and we are developing a new theme park in Orlando, Florida.</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Sky’s principal physical assets consist of operating plant and equipment, including leased satellite system signal receiving, encoding and decoding devices, and owned and leased headends and distribution networks, including coaxial, fiber-optic cables and other related equipment. In the United Kingdom, Sky uses a combination of its own core fiber network and wholesaling arrangements over third-party telecommunication providers’ networks as the core network and also accesses the “last mile” network from third-party network operators for a fee to provide its services to customers. The physical components of cable systems require periodic maintenance and replacement.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Sky’s corporate headquarters are located in Middlesex, U.K. Sky owns the space it occupies in Middlesex. Sky leases the Sky Deutschland headquarters located in Unterföhring, Germany and the Sky Italia headquarters located in Milan, Italy.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Sky owns and leases offices, production facilities and studios, broadcasting facilities, and customer support centers throughout Europe, including in the United Kingdom, Ireland, Germany, Italy and Austria. We are currently constructing a new studio production facility in Elstree, U.K., that Sky will lease upon completion.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Wells Fargo Center, a large, multipurpose arena in Philadelphia, Pennsylvania that we own was the principal physical operating asset used by our other businesses as of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color w:val="006EBF"/>
        </w:rPr>
        <w:t>Item 3: Legal Proceedings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See Note 15 included in this Annual Report on Form 10-K for a discussion of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color w:val="006EBF"/>
        </w:rPr>
        <w:t>Item 4: Mine Safety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31</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58" w:lineRule="exact"/>
        <w:rPr>
          <w:sz w:val="20"/>
          <w:szCs w:val="20"/>
          <w:color w:val="auto"/>
        </w:rPr>
      </w:pPr>
    </w:p>
    <w:p>
      <w:pPr>
        <w:ind w:right="200"/>
        <w:spacing w:after="0" w:line="261" w:lineRule="auto"/>
        <w:rPr>
          <w:sz w:val="20"/>
          <w:szCs w:val="20"/>
          <w:color w:val="auto"/>
        </w:rPr>
      </w:pPr>
      <w:r>
        <w:rPr>
          <w:rFonts w:ascii="Arial" w:cs="Arial" w:eastAsia="Arial" w:hAnsi="Arial"/>
          <w:sz w:val="25"/>
          <w:szCs w:val="25"/>
          <w:color w:val="006EBF"/>
        </w:rPr>
        <w:t>Item 5: Market for Registrant’s Common Equity, Related Stockholder Matters and Issuer Purchases of Equity Securities</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Comcast’s Class A common stock is listed on the NASDAQ Global Select Market under the symbol CMCSA. There is no established public trading market for Comcast’s Class B common stock. The Class B common stock can be converted, on a share for share basis, into Class A common stock.</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Dividends Declared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40" w:type="dxa"/>
            <w:vAlign w:val="bottom"/>
            <w:tcBorders>
              <w:top w:val="single" w:sz="8" w:color="auto"/>
              <w:bottom w:val="single" w:sz="8" w:color="auto"/>
            </w:tcBorders>
          </w:tcPr>
          <w:p>
            <w:pPr>
              <w:spacing w:after="0"/>
              <w:rPr>
                <w:sz w:val="15"/>
                <w:szCs w:val="15"/>
                <w:color w:val="auto"/>
              </w:rPr>
            </w:pPr>
          </w:p>
        </w:tc>
        <w:tc>
          <w:tcPr>
            <w:tcW w:w="2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top w:val="single" w:sz="8" w:color="auto"/>
              <w:bottom w:val="single" w:sz="8" w:color="auto"/>
            </w:tcBorders>
          </w:tcPr>
          <w:p>
            <w:pPr>
              <w:spacing w:after="0"/>
              <w:rPr>
                <w:sz w:val="15"/>
                <w:szCs w:val="15"/>
                <w:color w:val="auto"/>
              </w:rPr>
            </w:pPr>
          </w:p>
        </w:tc>
        <w:tc>
          <w:tcPr>
            <w:tcW w:w="258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1213"/>
              <w:spacing w:after="0"/>
              <w:rPr>
                <w:sz w:val="20"/>
                <w:szCs w:val="20"/>
                <w:color w:val="auto"/>
              </w:rPr>
            </w:pPr>
            <w:r>
              <w:rPr>
                <w:rFonts w:ascii="Arial" w:cs="Arial" w:eastAsia="Arial" w:hAnsi="Arial"/>
                <w:sz w:val="14"/>
                <w:szCs w:val="14"/>
                <w:color w:val="auto"/>
              </w:rPr>
              <w:t>2020</w:t>
            </w:r>
          </w:p>
        </w:tc>
        <w:tc>
          <w:tcPr>
            <w:tcW w:w="1320" w:type="dxa"/>
            <w:vAlign w:val="bottom"/>
            <w:tcBorders>
              <w:top w:val="single" w:sz="8" w:color="auto"/>
              <w:bottom w:val="single" w:sz="8" w:color="auto"/>
            </w:tcBorders>
          </w:tcPr>
          <w:p>
            <w:pPr>
              <w:spacing w:after="0"/>
              <w:rPr>
                <w:sz w:val="15"/>
                <w:szCs w:val="15"/>
                <w:color w:val="auto"/>
              </w:rPr>
            </w:pPr>
          </w:p>
        </w:tc>
      </w:tr>
      <w:tr>
        <w:trPr>
          <w:trHeight w:val="181"/>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Month Declared:</w:t>
            </w:r>
          </w:p>
        </w:tc>
        <w:tc>
          <w:tcPr>
            <w:tcW w:w="3140" w:type="dxa"/>
            <w:vAlign w:val="bottom"/>
            <w:tcBorders>
              <w:bottom w:val="single" w:sz="8" w:color="auto"/>
            </w:tcBorders>
            <w:gridSpan w:val="2"/>
          </w:tcPr>
          <w:p>
            <w:pPr>
              <w:ind w:left="1480"/>
              <w:spacing w:after="0"/>
              <w:rPr>
                <w:sz w:val="20"/>
                <w:szCs w:val="20"/>
                <w:color w:val="auto"/>
              </w:rPr>
            </w:pPr>
            <w:r>
              <w:rPr>
                <w:rFonts w:ascii="Arial" w:cs="Arial" w:eastAsia="Arial" w:hAnsi="Arial"/>
                <w:sz w:val="14"/>
                <w:szCs w:val="14"/>
                <w:b w:val="1"/>
                <w:bCs w:val="1"/>
                <w:color w:val="auto"/>
              </w:rPr>
              <w:t>Dividend Per Share</w:t>
            </w:r>
          </w:p>
        </w:tc>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Month Declared:</w:t>
            </w:r>
          </w:p>
        </w:tc>
        <w:tc>
          <w:tcPr>
            <w:tcW w:w="17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Dividend Per Share</w:t>
            </w:r>
          </w:p>
        </w:tc>
      </w:tr>
      <w:tr>
        <w:trPr>
          <w:trHeight w:val="220"/>
        </w:trPr>
        <w:tc>
          <w:tcPr>
            <w:tcW w:w="2440" w:type="dxa"/>
            <w:vAlign w:val="bottom"/>
          </w:tcPr>
          <w:p>
            <w:pPr>
              <w:ind w:left="20"/>
              <w:spacing w:after="0"/>
              <w:rPr>
                <w:sz w:val="20"/>
                <w:szCs w:val="20"/>
                <w:color w:val="auto"/>
              </w:rPr>
            </w:pPr>
            <w:r>
              <w:rPr>
                <w:rFonts w:ascii="Arial" w:cs="Arial" w:eastAsia="Arial" w:hAnsi="Arial"/>
                <w:sz w:val="18"/>
                <w:szCs w:val="18"/>
                <w:color w:val="auto"/>
              </w:rPr>
              <w:t>January</w:t>
            </w:r>
          </w:p>
        </w:tc>
        <w:tc>
          <w:tcPr>
            <w:tcW w:w="2120" w:type="dxa"/>
            <w:vAlign w:val="bottom"/>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0.25</w:t>
            </w:r>
          </w:p>
        </w:tc>
        <w:tc>
          <w:tcPr>
            <w:tcW w:w="2580" w:type="dxa"/>
            <w:vAlign w:val="bottom"/>
          </w:tcPr>
          <w:p>
            <w:pPr>
              <w:ind w:left="140"/>
              <w:spacing w:after="0"/>
              <w:rPr>
                <w:sz w:val="20"/>
                <w:szCs w:val="20"/>
                <w:color w:val="auto"/>
              </w:rPr>
            </w:pPr>
            <w:r>
              <w:rPr>
                <w:rFonts w:ascii="Arial" w:cs="Arial" w:eastAsia="Arial" w:hAnsi="Arial"/>
                <w:sz w:val="18"/>
                <w:szCs w:val="18"/>
                <w:color w:val="auto"/>
              </w:rPr>
              <w:t>January</w:t>
            </w:r>
          </w:p>
        </w:tc>
        <w:tc>
          <w:tcPr>
            <w:tcW w:w="1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May</w:t>
            </w:r>
          </w:p>
        </w:tc>
        <w:tc>
          <w:tcPr>
            <w:tcW w:w="2120" w:type="dxa"/>
            <w:vAlign w:val="bottom"/>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0.25</w:t>
            </w:r>
          </w:p>
        </w:tc>
        <w:tc>
          <w:tcPr>
            <w:tcW w:w="2580" w:type="dxa"/>
            <w:vAlign w:val="bottom"/>
          </w:tcPr>
          <w:p>
            <w:pPr>
              <w:ind w:left="140"/>
              <w:spacing w:after="0"/>
              <w:rPr>
                <w:sz w:val="20"/>
                <w:szCs w:val="20"/>
                <w:color w:val="auto"/>
              </w:rPr>
            </w:pPr>
            <w:r>
              <w:rPr>
                <w:rFonts w:ascii="Arial" w:cs="Arial" w:eastAsia="Arial" w:hAnsi="Arial"/>
                <w:sz w:val="18"/>
                <w:szCs w:val="18"/>
                <w:color w:val="auto"/>
              </w:rPr>
              <w:t>May</w:t>
            </w:r>
          </w:p>
        </w:tc>
        <w:tc>
          <w:tcPr>
            <w:tcW w:w="1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July</w:t>
            </w:r>
          </w:p>
        </w:tc>
        <w:tc>
          <w:tcPr>
            <w:tcW w:w="2120" w:type="dxa"/>
            <w:vAlign w:val="bottom"/>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0.25</w:t>
            </w:r>
          </w:p>
        </w:tc>
        <w:tc>
          <w:tcPr>
            <w:tcW w:w="2580" w:type="dxa"/>
            <w:vAlign w:val="bottom"/>
          </w:tcPr>
          <w:p>
            <w:pPr>
              <w:ind w:left="140"/>
              <w:spacing w:after="0"/>
              <w:rPr>
                <w:sz w:val="20"/>
                <w:szCs w:val="20"/>
                <w:color w:val="auto"/>
              </w:rPr>
            </w:pPr>
            <w:r>
              <w:rPr>
                <w:rFonts w:ascii="Arial" w:cs="Arial" w:eastAsia="Arial" w:hAnsi="Arial"/>
                <w:sz w:val="18"/>
                <w:szCs w:val="18"/>
                <w:color w:val="auto"/>
              </w:rPr>
              <w:t>July</w:t>
            </w:r>
          </w:p>
        </w:tc>
        <w:tc>
          <w:tcPr>
            <w:tcW w:w="1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34"/>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6"/>
              </w:rPr>
              <w:t>October (paid in January 2022)</w:t>
            </w:r>
          </w:p>
        </w:tc>
        <w:tc>
          <w:tcPr>
            <w:tcW w:w="21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0.25</w:t>
            </w:r>
          </w:p>
        </w:tc>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7"/>
              </w:rPr>
              <w:t>October (paid in January 2021)</w:t>
            </w:r>
          </w:p>
        </w:tc>
        <w:tc>
          <w:tcPr>
            <w:tcW w:w="1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r>
      <w:tr>
        <w:trPr>
          <w:trHeight w:val="223"/>
        </w:trPr>
        <w:tc>
          <w:tcPr>
            <w:tcW w:w="24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0C6DFF"/>
            </w:tcBorders>
          </w:tcPr>
          <w:p>
            <w:pPr>
              <w:ind w:left="14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tcPr>
          <w:p>
            <w:pPr>
              <w:jc w:val="right"/>
              <w:ind w:right="50"/>
              <w:spacing w:after="0"/>
              <w:rPr>
                <w:sz w:val="20"/>
                <w:szCs w:val="20"/>
                <w:color w:val="auto"/>
              </w:rPr>
            </w:pPr>
            <w:r>
              <w:rPr>
                <w:rFonts w:ascii="Arial" w:cs="Arial" w:eastAsia="Arial" w:hAnsi="Arial"/>
                <w:sz w:val="18"/>
                <w:szCs w:val="18"/>
                <w:b w:val="1"/>
                <w:bCs w:val="1"/>
                <w:color w:val="auto"/>
              </w:rPr>
              <w:t>1.00</w:t>
            </w:r>
          </w:p>
        </w:tc>
        <w:tc>
          <w:tcPr>
            <w:tcW w:w="2580" w:type="dxa"/>
            <w:vAlign w:val="bottom"/>
            <w:tcBorders>
              <w:bottom w:val="single" w:sz="8" w:color="0C6DFF"/>
            </w:tcBorders>
          </w:tcPr>
          <w:p>
            <w:pPr>
              <w:ind w:left="1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0C6DFF"/>
            </w:tcBorders>
          </w:tcPr>
          <w:p>
            <w:pPr>
              <w:jc w:val="right"/>
              <w:ind w:right="7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0.92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January 2022, our Board of Directors approved an 8% increase in our dividend to $1.08 per share on an annualized basis.</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Holders of Class A common stock in the aggregate hold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combined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December 31, 2021 are presented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ind w:left="20"/>
              <w:spacing w:after="0"/>
              <w:rPr>
                <w:sz w:val="20"/>
                <w:szCs w:val="20"/>
                <w:color w:val="auto"/>
              </w:rPr>
            </w:pPr>
            <w:r>
              <w:rPr>
                <w:rFonts w:ascii="Arial" w:cs="Arial" w:eastAsia="Arial" w:hAnsi="Arial"/>
                <w:sz w:val="14"/>
                <w:szCs w:val="14"/>
                <w:color w:val="auto"/>
              </w:rPr>
              <w:t>Stock Class</w:t>
            </w:r>
          </w:p>
        </w:tc>
        <w:tc>
          <w:tcPr>
            <w:tcW w:w="5080" w:type="dxa"/>
            <w:vAlign w:val="bottom"/>
          </w:tcPr>
          <w:p>
            <w:pPr>
              <w:jc w:val="right"/>
              <w:spacing w:after="0"/>
              <w:rPr>
                <w:sz w:val="20"/>
                <w:szCs w:val="20"/>
                <w:color w:val="auto"/>
              </w:rPr>
            </w:pPr>
            <w:r>
              <w:rPr>
                <w:rFonts w:ascii="Arial" w:cs="Arial" w:eastAsia="Arial" w:hAnsi="Arial"/>
                <w:sz w:val="14"/>
                <w:szCs w:val="14"/>
                <w:color w:val="auto"/>
              </w:rPr>
              <w:t>Record</w:t>
            </w:r>
          </w:p>
        </w:tc>
        <w:tc>
          <w:tcPr>
            <w:tcW w:w="0" w:type="dxa"/>
            <w:vAlign w:val="bottom"/>
          </w:tcPr>
          <w:p>
            <w:pPr>
              <w:spacing w:after="0"/>
              <w:rPr>
                <w:sz w:val="1"/>
                <w:szCs w:val="1"/>
                <w:color w:val="auto"/>
              </w:rPr>
            </w:pPr>
          </w:p>
        </w:tc>
      </w:tr>
      <w:tr>
        <w:trPr>
          <w:trHeight w:val="186"/>
        </w:trPr>
        <w:tc>
          <w:tcPr>
            <w:tcW w:w="6160" w:type="dxa"/>
            <w:vAlign w:val="bottom"/>
            <w:tcBorders>
              <w:bottom w:val="single" w:sz="8" w:color="auto"/>
            </w:tcBorders>
            <w:vMerge w:val="continue"/>
          </w:tcPr>
          <w:p>
            <w:pPr>
              <w:spacing w:after="0"/>
              <w:rPr>
                <w:sz w:val="16"/>
                <w:szCs w:val="16"/>
                <w:color w:val="auto"/>
              </w:rPr>
            </w:pP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Holders</w:t>
            </w:r>
          </w:p>
        </w:tc>
        <w:tc>
          <w:tcPr>
            <w:tcW w:w="0" w:type="dxa"/>
            <w:vAlign w:val="bottom"/>
          </w:tcPr>
          <w:p>
            <w:pPr>
              <w:spacing w:after="0"/>
              <w:rPr>
                <w:sz w:val="1"/>
                <w:szCs w:val="1"/>
                <w:color w:val="auto"/>
              </w:rPr>
            </w:pPr>
          </w:p>
        </w:tc>
      </w:tr>
      <w:tr>
        <w:trPr>
          <w:trHeight w:val="226"/>
        </w:trPr>
        <w:tc>
          <w:tcPr>
            <w:tcW w:w="616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5080" w:type="dxa"/>
            <w:vAlign w:val="bottom"/>
          </w:tcPr>
          <w:p>
            <w:pPr>
              <w:jc w:val="right"/>
              <w:spacing w:after="0"/>
              <w:rPr>
                <w:sz w:val="20"/>
                <w:szCs w:val="20"/>
                <w:color w:val="auto"/>
              </w:rPr>
            </w:pPr>
            <w:r>
              <w:rPr>
                <w:rFonts w:ascii="Arial" w:cs="Arial" w:eastAsia="Arial" w:hAnsi="Arial"/>
                <w:sz w:val="18"/>
                <w:szCs w:val="18"/>
                <w:color w:val="auto"/>
              </w:rPr>
              <w:t>352,581</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Class B Common Stock</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Total Number of</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Maximum Dollar Value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Shares</w:t>
            </w:r>
          </w:p>
        </w:tc>
        <w:tc>
          <w:tcPr>
            <w:tcW w:w="4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Total Dollar</w:t>
            </w:r>
          </w:p>
        </w:tc>
        <w:tc>
          <w:tcPr>
            <w:tcW w:w="48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of Shares That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Purchased as</w:t>
            </w:r>
          </w:p>
        </w:tc>
        <w:tc>
          <w:tcPr>
            <w:tcW w:w="4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Amount</w:t>
            </w:r>
          </w:p>
        </w:tc>
        <w:tc>
          <w:tcPr>
            <w:tcW w:w="48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May Yet Be Purchased</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Arial" w:cs="Arial" w:eastAsia="Arial" w:hAnsi="Arial"/>
                <w:sz w:val="14"/>
                <w:szCs w:val="14"/>
                <w:color w:val="auto"/>
              </w:rPr>
              <w:t>Total Number of</w:t>
            </w:r>
          </w:p>
        </w:tc>
        <w:tc>
          <w:tcPr>
            <w:tcW w:w="280" w:type="dxa"/>
            <w:vAlign w:val="bottom"/>
          </w:tcPr>
          <w:p>
            <w:pPr>
              <w:spacing w:after="0"/>
              <w:rPr>
                <w:sz w:val="12"/>
                <w:szCs w:val="12"/>
                <w:color w:val="auto"/>
              </w:rPr>
            </w:pPr>
          </w:p>
        </w:tc>
        <w:tc>
          <w:tcPr>
            <w:tcW w:w="1140" w:type="dxa"/>
            <w:vAlign w:val="bottom"/>
          </w:tcPr>
          <w:p>
            <w:pPr>
              <w:jc w:val="right"/>
              <w:ind w:right="355"/>
              <w:spacing w:after="0" w:line="149" w:lineRule="exact"/>
              <w:rPr>
                <w:sz w:val="20"/>
                <w:szCs w:val="20"/>
                <w:color w:val="auto"/>
              </w:rPr>
            </w:pPr>
            <w:r>
              <w:rPr>
                <w:rFonts w:ascii="Arial" w:cs="Arial" w:eastAsia="Arial" w:hAnsi="Arial"/>
                <w:sz w:val="14"/>
                <w:szCs w:val="14"/>
                <w:color w:val="auto"/>
              </w:rPr>
              <w:t>Average</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Part of Publicly</w:t>
            </w: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Purchased Under the Publicly</w:t>
            </w:r>
          </w:p>
        </w:tc>
        <w:tc>
          <w:tcPr>
            <w:tcW w:w="480" w:type="dxa"/>
            <w:vAlign w:val="bottom"/>
          </w:tcPr>
          <w:p>
            <w:pPr>
              <w:spacing w:after="0"/>
              <w:rPr>
                <w:sz w:val="12"/>
                <w:szCs w:val="12"/>
                <w:color w:val="auto"/>
              </w:rPr>
            </w:pPr>
          </w:p>
        </w:tc>
        <w:tc>
          <w:tcPr>
            <w:tcW w:w="1740" w:type="dxa"/>
            <w:vAlign w:val="bottom"/>
          </w:tcPr>
          <w:p>
            <w:pPr>
              <w:jc w:val="right"/>
              <w:spacing w:after="0" w:line="149" w:lineRule="exact"/>
              <w:rPr>
                <w:sz w:val="20"/>
                <w:szCs w:val="20"/>
                <w:color w:val="auto"/>
              </w:rPr>
            </w:pPr>
            <w:r>
              <w:rPr>
                <w:rFonts w:ascii="Arial" w:cs="Arial" w:eastAsia="Arial" w:hAnsi="Arial"/>
                <w:sz w:val="14"/>
                <w:szCs w:val="14"/>
                <w:color w:val="auto"/>
              </w:rPr>
              <w:t>Under the Publicly</w:t>
            </w:r>
          </w:p>
        </w:tc>
        <w:tc>
          <w:tcPr>
            <w:tcW w:w="0" w:type="dxa"/>
            <w:vAlign w:val="bottom"/>
          </w:tcPr>
          <w:p>
            <w:pPr>
              <w:spacing w:after="0"/>
              <w:rPr>
                <w:sz w:val="1"/>
                <w:szCs w:val="1"/>
                <w:color w:val="auto"/>
              </w:rPr>
            </w:pPr>
          </w:p>
        </w:tc>
      </w:tr>
      <w:tr>
        <w:trPr>
          <w:trHeight w:val="143"/>
        </w:trPr>
        <w:tc>
          <w:tcPr>
            <w:tcW w:w="250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1880" w:type="dxa"/>
            <w:vAlign w:val="bottom"/>
          </w:tcPr>
          <w:p>
            <w:pPr>
              <w:jc w:val="right"/>
              <w:spacing w:after="0" w:line="143" w:lineRule="exact"/>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2"/>
                <w:szCs w:val="12"/>
                <w:color w:val="auto"/>
              </w:rPr>
            </w:pPr>
          </w:p>
        </w:tc>
        <w:tc>
          <w:tcPr>
            <w:tcW w:w="1140" w:type="dxa"/>
            <w:vAlign w:val="bottom"/>
          </w:tcPr>
          <w:p>
            <w:pPr>
              <w:jc w:val="right"/>
              <w:ind w:right="355"/>
              <w:spacing w:after="0" w:line="143" w:lineRule="exact"/>
              <w:rPr>
                <w:sz w:val="20"/>
                <w:szCs w:val="20"/>
                <w:color w:val="auto"/>
              </w:rPr>
            </w:pPr>
            <w:r>
              <w:rPr>
                <w:rFonts w:ascii="Arial" w:cs="Arial" w:eastAsia="Arial" w:hAnsi="Arial"/>
                <w:sz w:val="14"/>
                <w:szCs w:val="14"/>
                <w:color w:val="auto"/>
              </w:rPr>
              <w:t>Price Per</w:t>
            </w:r>
          </w:p>
        </w:tc>
        <w:tc>
          <w:tcPr>
            <w:tcW w:w="1400" w:type="dxa"/>
            <w:vAlign w:val="bottom"/>
          </w:tcPr>
          <w:p>
            <w:pPr>
              <w:jc w:val="right"/>
              <w:spacing w:after="0" w:line="143" w:lineRule="exact"/>
              <w:rPr>
                <w:sz w:val="20"/>
                <w:szCs w:val="20"/>
                <w:color w:val="auto"/>
              </w:rPr>
            </w:pPr>
            <w:r>
              <w:rPr>
                <w:rFonts w:ascii="Arial" w:cs="Arial" w:eastAsia="Arial" w:hAnsi="Arial"/>
                <w:sz w:val="14"/>
                <w:szCs w:val="14"/>
                <w:color w:val="auto"/>
              </w:rPr>
              <w:t>Announced</w:t>
            </w:r>
          </w:p>
        </w:tc>
        <w:tc>
          <w:tcPr>
            <w:tcW w:w="420" w:type="dxa"/>
            <w:vAlign w:val="bottom"/>
          </w:tcPr>
          <w:p>
            <w:pPr>
              <w:spacing w:after="0"/>
              <w:rPr>
                <w:sz w:val="12"/>
                <w:szCs w:val="12"/>
                <w:color w:val="auto"/>
              </w:rPr>
            </w:pPr>
          </w:p>
        </w:tc>
        <w:tc>
          <w:tcPr>
            <w:tcW w:w="1400" w:type="dxa"/>
            <w:vAlign w:val="bottom"/>
          </w:tcPr>
          <w:p>
            <w:pPr>
              <w:jc w:val="right"/>
              <w:spacing w:after="0" w:line="143" w:lineRule="exact"/>
              <w:rPr>
                <w:sz w:val="20"/>
                <w:szCs w:val="20"/>
                <w:color w:val="auto"/>
              </w:rPr>
            </w:pPr>
            <w:r>
              <w:rPr>
                <w:rFonts w:ascii="Arial" w:cs="Arial" w:eastAsia="Arial" w:hAnsi="Arial"/>
                <w:sz w:val="14"/>
                <w:szCs w:val="14"/>
                <w:color w:val="auto"/>
              </w:rPr>
              <w:t>Announced</w:t>
            </w:r>
          </w:p>
        </w:tc>
        <w:tc>
          <w:tcPr>
            <w:tcW w:w="480" w:type="dxa"/>
            <w:vAlign w:val="bottom"/>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Arial" w:cs="Arial" w:eastAsia="Arial" w:hAnsi="Arial"/>
                <w:sz w:val="14"/>
                <w:szCs w:val="14"/>
                <w:color w:val="auto"/>
              </w:rPr>
              <w:t>Announced</w:t>
            </w:r>
          </w:p>
        </w:tc>
        <w:tc>
          <w:tcPr>
            <w:tcW w:w="0" w:type="dxa"/>
            <w:vAlign w:val="bottom"/>
          </w:tcPr>
          <w:p>
            <w:pPr>
              <w:spacing w:after="0"/>
              <w:rPr>
                <w:sz w:val="1"/>
                <w:szCs w:val="1"/>
                <w:color w:val="auto"/>
              </w:rPr>
            </w:pPr>
          </w:p>
        </w:tc>
      </w:tr>
      <w:tr>
        <w:trPr>
          <w:trHeight w:val="199"/>
        </w:trPr>
        <w:tc>
          <w:tcPr>
            <w:tcW w:w="250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Purchased</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Share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Authorization</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Authorization</w:t>
            </w: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4"/>
                <w:szCs w:val="14"/>
                <w:color w:val="auto"/>
              </w:rPr>
              <w:t>Authorization</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color w:val="auto"/>
              </w:rPr>
              <w:t>First Quarter 2021</w:t>
            </w:r>
          </w:p>
        </w:tc>
        <w:tc>
          <w:tcPr>
            <w:tcW w:w="216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13"/>
              <w:spacing w:after="0"/>
              <w:rPr>
                <w:sz w:val="20"/>
                <w:szCs w:val="20"/>
                <w:color w:val="auto"/>
              </w:rPr>
            </w:pPr>
            <w:r>
              <w:rPr>
                <w:rFonts w:ascii="Arial" w:cs="Arial" w:eastAsia="Arial" w:hAnsi="Arial"/>
                <w:sz w:val="18"/>
                <w:szCs w:val="18"/>
                <w:color w:val="auto"/>
              </w:rPr>
              <w:t>— $</w:t>
            </w:r>
          </w:p>
        </w:tc>
        <w:tc>
          <w:tcPr>
            <w:tcW w:w="1880" w:type="dxa"/>
            <w:vAlign w:val="bottom"/>
            <w:gridSpan w:val="2"/>
          </w:tcPr>
          <w:p>
            <w:pPr>
              <w:jc w:val="right"/>
              <w:ind w:right="270"/>
              <w:spacing w:after="0"/>
              <w:rPr>
                <w:sz w:val="20"/>
                <w:szCs w:val="20"/>
                <w:color w:val="auto"/>
              </w:rPr>
            </w:pPr>
            <w:r>
              <w:rPr>
                <w:rFonts w:ascii="Arial" w:cs="Arial" w:eastAsia="Arial" w:hAnsi="Arial"/>
                <w:sz w:val="18"/>
                <w:szCs w:val="18"/>
                <w:color w:val="auto"/>
              </w:rPr>
              <w:t>— $</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Second Quarter 2021</w:t>
            </w:r>
          </w:p>
        </w:tc>
        <w:tc>
          <w:tcPr>
            <w:tcW w:w="1880" w:type="dxa"/>
            <w:vAlign w:val="bottom"/>
          </w:tcPr>
          <w:p>
            <w:pPr>
              <w:jc w:val="right"/>
              <w:spacing w:after="0"/>
              <w:rPr>
                <w:sz w:val="20"/>
                <w:szCs w:val="20"/>
                <w:color w:val="auto"/>
              </w:rPr>
            </w:pPr>
            <w:r>
              <w:rPr>
                <w:rFonts w:ascii="Arial" w:cs="Arial" w:eastAsia="Arial" w:hAnsi="Arial"/>
                <w:sz w:val="18"/>
                <w:szCs w:val="18"/>
                <w:color w:val="auto"/>
              </w:rPr>
              <w:t>8,785,149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5"/>
              <w:spacing w:after="0"/>
              <w:rPr>
                <w:sz w:val="20"/>
                <w:szCs w:val="20"/>
                <w:color w:val="auto"/>
              </w:rPr>
            </w:pPr>
            <w:r>
              <w:rPr>
                <w:rFonts w:ascii="Arial" w:cs="Arial" w:eastAsia="Arial" w:hAnsi="Arial"/>
                <w:sz w:val="18"/>
                <w:szCs w:val="18"/>
                <w:color w:val="auto"/>
              </w:rPr>
              <w:t>56.91</w:t>
            </w:r>
          </w:p>
        </w:tc>
        <w:tc>
          <w:tcPr>
            <w:tcW w:w="1400" w:type="dxa"/>
            <w:vAlign w:val="bottom"/>
          </w:tcPr>
          <w:p>
            <w:pPr>
              <w:jc w:val="right"/>
              <w:spacing w:after="0"/>
              <w:rPr>
                <w:sz w:val="20"/>
                <w:szCs w:val="20"/>
                <w:color w:val="auto"/>
              </w:rPr>
            </w:pPr>
            <w:r>
              <w:rPr>
                <w:rFonts w:ascii="Arial" w:cs="Arial" w:eastAsia="Arial" w:hAnsi="Arial"/>
                <w:sz w:val="18"/>
                <w:szCs w:val="18"/>
                <w:color w:val="auto"/>
              </w:rPr>
              <w:t>8,785,149</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499,999,935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9,500,000,065</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Third Quarter 2021</w:t>
            </w:r>
          </w:p>
        </w:tc>
        <w:tc>
          <w:tcPr>
            <w:tcW w:w="1880" w:type="dxa"/>
            <w:vAlign w:val="bottom"/>
          </w:tcPr>
          <w:p>
            <w:pPr>
              <w:jc w:val="right"/>
              <w:spacing w:after="0"/>
              <w:rPr>
                <w:sz w:val="20"/>
                <w:szCs w:val="20"/>
                <w:color w:val="auto"/>
              </w:rPr>
            </w:pPr>
            <w:r>
              <w:rPr>
                <w:rFonts w:ascii="Arial" w:cs="Arial" w:eastAsia="Arial" w:hAnsi="Arial"/>
                <w:sz w:val="18"/>
                <w:szCs w:val="18"/>
                <w:color w:val="auto"/>
              </w:rPr>
              <w:t>25,881,698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5"/>
              <w:spacing w:after="0"/>
              <w:rPr>
                <w:sz w:val="20"/>
                <w:szCs w:val="20"/>
                <w:color w:val="auto"/>
              </w:rPr>
            </w:pPr>
            <w:r>
              <w:rPr>
                <w:rFonts w:ascii="Arial" w:cs="Arial" w:eastAsia="Arial" w:hAnsi="Arial"/>
                <w:sz w:val="18"/>
                <w:szCs w:val="18"/>
                <w:color w:val="auto"/>
              </w:rPr>
              <w:t>57.96</w:t>
            </w:r>
          </w:p>
        </w:tc>
        <w:tc>
          <w:tcPr>
            <w:tcW w:w="1400" w:type="dxa"/>
            <w:vAlign w:val="bottom"/>
          </w:tcPr>
          <w:p>
            <w:pPr>
              <w:jc w:val="right"/>
              <w:spacing w:after="0"/>
              <w:rPr>
                <w:sz w:val="20"/>
                <w:szCs w:val="20"/>
                <w:color w:val="auto"/>
              </w:rPr>
            </w:pPr>
            <w:r>
              <w:rPr>
                <w:rFonts w:ascii="Arial" w:cs="Arial" w:eastAsia="Arial" w:hAnsi="Arial"/>
                <w:sz w:val="18"/>
                <w:szCs w:val="18"/>
                <w:color w:val="auto"/>
              </w:rPr>
              <w:t>25,881,698</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1,500,000,038</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8,000,000,027</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October 1-31, 2021</w:t>
            </w:r>
          </w:p>
        </w:tc>
        <w:tc>
          <w:tcPr>
            <w:tcW w:w="1880" w:type="dxa"/>
            <w:vAlign w:val="bottom"/>
          </w:tcPr>
          <w:p>
            <w:pPr>
              <w:jc w:val="right"/>
              <w:spacing w:after="0"/>
              <w:rPr>
                <w:sz w:val="20"/>
                <w:szCs w:val="20"/>
                <w:color w:val="auto"/>
              </w:rPr>
            </w:pPr>
            <w:r>
              <w:rPr>
                <w:rFonts w:ascii="Arial" w:cs="Arial" w:eastAsia="Arial" w:hAnsi="Arial"/>
                <w:sz w:val="18"/>
                <w:szCs w:val="18"/>
                <w:color w:val="auto"/>
              </w:rPr>
              <w:t>12,911,147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5"/>
              <w:spacing w:after="0"/>
              <w:rPr>
                <w:sz w:val="20"/>
                <w:szCs w:val="20"/>
                <w:color w:val="auto"/>
              </w:rPr>
            </w:pPr>
            <w:r>
              <w:rPr>
                <w:rFonts w:ascii="Arial" w:cs="Arial" w:eastAsia="Arial" w:hAnsi="Arial"/>
                <w:sz w:val="18"/>
                <w:szCs w:val="18"/>
                <w:color w:val="auto"/>
              </w:rPr>
              <w:t>53.48</w:t>
            </w:r>
          </w:p>
        </w:tc>
        <w:tc>
          <w:tcPr>
            <w:tcW w:w="1400" w:type="dxa"/>
            <w:vAlign w:val="bottom"/>
          </w:tcPr>
          <w:p>
            <w:pPr>
              <w:jc w:val="right"/>
              <w:spacing w:after="0"/>
              <w:rPr>
                <w:sz w:val="20"/>
                <w:szCs w:val="20"/>
                <w:color w:val="auto"/>
              </w:rPr>
            </w:pPr>
            <w:r>
              <w:rPr>
                <w:rFonts w:ascii="Arial" w:cs="Arial" w:eastAsia="Arial" w:hAnsi="Arial"/>
                <w:sz w:val="18"/>
                <w:szCs w:val="18"/>
                <w:color w:val="auto"/>
              </w:rPr>
              <w:t>12,911,147</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690,452,411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7,309,547,616</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November 1-30, 2021</w:t>
            </w:r>
          </w:p>
        </w:tc>
        <w:tc>
          <w:tcPr>
            <w:tcW w:w="1880" w:type="dxa"/>
            <w:vAlign w:val="bottom"/>
          </w:tcPr>
          <w:p>
            <w:pPr>
              <w:jc w:val="right"/>
              <w:spacing w:after="0"/>
              <w:rPr>
                <w:sz w:val="20"/>
                <w:szCs w:val="20"/>
                <w:color w:val="auto"/>
              </w:rPr>
            </w:pPr>
            <w:r>
              <w:rPr>
                <w:rFonts w:ascii="Arial" w:cs="Arial" w:eastAsia="Arial" w:hAnsi="Arial"/>
                <w:sz w:val="18"/>
                <w:szCs w:val="18"/>
                <w:color w:val="auto"/>
              </w:rPr>
              <w:t>15,334,579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5"/>
              <w:spacing w:after="0"/>
              <w:rPr>
                <w:sz w:val="20"/>
                <w:szCs w:val="20"/>
                <w:color w:val="auto"/>
              </w:rPr>
            </w:pPr>
            <w:r>
              <w:rPr>
                <w:rFonts w:ascii="Arial" w:cs="Arial" w:eastAsia="Arial" w:hAnsi="Arial"/>
                <w:sz w:val="18"/>
                <w:szCs w:val="18"/>
                <w:color w:val="auto"/>
              </w:rPr>
              <w:t>52.79</w:t>
            </w:r>
          </w:p>
        </w:tc>
        <w:tc>
          <w:tcPr>
            <w:tcW w:w="1400" w:type="dxa"/>
            <w:vAlign w:val="bottom"/>
          </w:tcPr>
          <w:p>
            <w:pPr>
              <w:jc w:val="right"/>
              <w:spacing w:after="0"/>
              <w:rPr>
                <w:sz w:val="20"/>
                <w:szCs w:val="20"/>
                <w:color w:val="auto"/>
              </w:rPr>
            </w:pPr>
            <w:r>
              <w:rPr>
                <w:rFonts w:ascii="Arial" w:cs="Arial" w:eastAsia="Arial" w:hAnsi="Arial"/>
                <w:sz w:val="18"/>
                <w:szCs w:val="18"/>
                <w:color w:val="auto"/>
              </w:rPr>
              <w:t>15,334,579</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809,547,566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6,500,000,050</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December 1-31, 2021</w:t>
            </w:r>
          </w:p>
        </w:tc>
        <w:tc>
          <w:tcPr>
            <w:tcW w:w="1880" w:type="dxa"/>
            <w:vAlign w:val="bottom"/>
          </w:tcPr>
          <w:p>
            <w:pPr>
              <w:jc w:val="right"/>
              <w:spacing w:after="0"/>
              <w:rPr>
                <w:sz w:val="20"/>
                <w:szCs w:val="20"/>
                <w:color w:val="auto"/>
              </w:rPr>
            </w:pPr>
            <w:r>
              <w:rPr>
                <w:rFonts w:ascii="Arial" w:cs="Arial" w:eastAsia="Arial" w:hAnsi="Arial"/>
                <w:sz w:val="18"/>
                <w:szCs w:val="18"/>
                <w:color w:val="auto"/>
              </w:rPr>
              <w:t>10,297,809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15"/>
              <w:spacing w:after="0"/>
              <w:rPr>
                <w:sz w:val="20"/>
                <w:szCs w:val="20"/>
                <w:color w:val="auto"/>
              </w:rPr>
            </w:pPr>
            <w:r>
              <w:rPr>
                <w:rFonts w:ascii="Arial" w:cs="Arial" w:eastAsia="Arial" w:hAnsi="Arial"/>
                <w:sz w:val="18"/>
                <w:szCs w:val="18"/>
                <w:color w:val="auto"/>
              </w:rPr>
              <w:t>48.55</w:t>
            </w:r>
          </w:p>
        </w:tc>
        <w:tc>
          <w:tcPr>
            <w:tcW w:w="1400" w:type="dxa"/>
            <w:vAlign w:val="bottom"/>
          </w:tcPr>
          <w:p>
            <w:pPr>
              <w:jc w:val="right"/>
              <w:spacing w:after="0"/>
              <w:rPr>
                <w:sz w:val="20"/>
                <w:szCs w:val="20"/>
                <w:color w:val="auto"/>
              </w:rPr>
            </w:pPr>
            <w:r>
              <w:rPr>
                <w:rFonts w:ascii="Arial" w:cs="Arial" w:eastAsia="Arial" w:hAnsi="Arial"/>
                <w:sz w:val="18"/>
                <w:szCs w:val="18"/>
                <w:color w:val="auto"/>
              </w:rPr>
              <w:t>10,297,809</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500,000,046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6,000,000,004</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73,210,382</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415"/>
              <w:spacing w:after="0"/>
              <w:rPr>
                <w:sz w:val="20"/>
                <w:szCs w:val="20"/>
                <w:color w:val="auto"/>
              </w:rPr>
            </w:pPr>
            <w:r>
              <w:rPr>
                <w:rFonts w:ascii="Arial" w:cs="Arial" w:eastAsia="Arial" w:hAnsi="Arial"/>
                <w:sz w:val="18"/>
                <w:szCs w:val="18"/>
                <w:b w:val="1"/>
                <w:bCs w:val="1"/>
                <w:color w:val="auto"/>
              </w:rPr>
              <w:t>54.64</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73,210,382</w:t>
            </w:r>
          </w:p>
        </w:tc>
        <w:tc>
          <w:tcPr>
            <w:tcW w:w="420" w:type="dxa"/>
            <w:vAlign w:val="bottom"/>
          </w:tcPr>
          <w:p>
            <w:pPr>
              <w:jc w:val="right"/>
              <w:ind w:right="213"/>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3,999,999,996</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6,000,000,004</w:t>
            </w:r>
          </w:p>
        </w:tc>
        <w:tc>
          <w:tcPr>
            <w:tcW w:w="0" w:type="dxa"/>
            <w:vAlign w:val="bottom"/>
          </w:tcPr>
          <w:p>
            <w:pPr>
              <w:spacing w:after="0"/>
              <w:rPr>
                <w:sz w:val="1"/>
                <w:szCs w:val="1"/>
                <w:color w:val="auto"/>
              </w:rPr>
            </w:pPr>
          </w:p>
        </w:tc>
      </w:tr>
      <w:tr>
        <w:trPr>
          <w:trHeight w:val="27"/>
        </w:trPr>
        <w:tc>
          <w:tcPr>
            <w:tcW w:w="2500" w:type="dxa"/>
            <w:vAlign w:val="bottom"/>
            <w:tcBorders>
              <w:bottom w:val="single" w:sz="8" w:color="0C6DFF"/>
            </w:tcBorders>
          </w:tcPr>
          <w:p>
            <w:pPr>
              <w:spacing w:after="0"/>
              <w:rPr>
                <w:sz w:val="2"/>
                <w:szCs w:val="2"/>
                <w:color w:val="auto"/>
              </w:rPr>
            </w:pPr>
          </w:p>
        </w:tc>
        <w:tc>
          <w:tcPr>
            <w:tcW w:w="188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140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1400" w:type="dxa"/>
            <w:vAlign w:val="bottom"/>
            <w:tcBorders>
              <w:bottom w:val="single" w:sz="8" w:color="0C6DFF"/>
            </w:tcBorders>
          </w:tcPr>
          <w:p>
            <w:pPr>
              <w:spacing w:after="0"/>
              <w:rPr>
                <w:sz w:val="2"/>
                <w:szCs w:val="2"/>
                <w:color w:val="auto"/>
              </w:rPr>
            </w:pPr>
          </w:p>
        </w:tc>
        <w:tc>
          <w:tcPr>
            <w:tcW w:w="480" w:type="dxa"/>
            <w:vAlign w:val="bottom"/>
            <w:tcBorders>
              <w:bottom w:val="single" w:sz="8" w:color="0C6DFF"/>
            </w:tcBorders>
          </w:tcPr>
          <w:p>
            <w:pPr>
              <w:spacing w:after="0"/>
              <w:rPr>
                <w:sz w:val="2"/>
                <w:szCs w:val="2"/>
                <w:color w:val="auto"/>
              </w:rPr>
            </w:pPr>
          </w:p>
        </w:tc>
        <w:tc>
          <w:tcPr>
            <w:tcW w:w="174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260" w:hanging="252"/>
        <w:spacing w:after="0" w:line="257" w:lineRule="auto"/>
        <w:tabs>
          <w:tab w:leader="none" w:pos="257"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 May 25, 2021, our Board of Directors increased our share repurchase program authorization to $10 billion. In January 2022, our Board of Directors increased our share repurchase program authorization from the $6 billion remaining as of December 31, 2021 to $10 billion. Under the authorization, which does not have an expiration date, we expect to repurchase additional shares, which may be in the open market or in private transactions.</w:t>
      </w:r>
    </w:p>
    <w:p>
      <w:pPr>
        <w:spacing w:after="0" w:line="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total number of shares purchased during 2021 does not include any shares received in the administration of employee share-based compensation plans as there were none received in 2021.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32</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compares the annual percentage change in the cumulative total shareholder return on Comcast’s Class A common stock during the five years ended December 31, 2021 with the cumulative total returns on the Standard &amp; Poor’s 500 Stock Index and a select peer group consisting of us and other companies engaged in the cable, communications and media industries. This peer group consists of our Class A common stock and the common stock of AT&amp;T Inc., Charter Communications, Inc., DISH Network Corporation (Class A), Lumen Technologies, Inc., T-Mobile US, Inc. and Verizon Communications Inc. (the “transmission and distribution subgroup”); and Discovery, Inc. (Class A), ViacomCBS Inc. (Class B) and The Walt Disney Company (the “media subgroup”).</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peer group is constructed as a composite peer group in which the transmission and distribution subgroup is weighted 75% and the media subgroup is weighted 25% based on the respective revenue of our transmission and distribution and media businesses. The comparison assumes $100 was invested on December 31, 2016 in our Class A common stock and in each of the following indices and assumes the reinvestment of dividends.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254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228"/>
        </w:trPr>
        <w:tc>
          <w:tcPr>
            <w:tcW w:w="3480" w:type="dxa"/>
            <w:vAlign w:val="bottom"/>
          </w:tcPr>
          <w:p>
            <w:pPr>
              <w:ind w:left="20"/>
              <w:spacing w:after="0"/>
              <w:rPr>
                <w:sz w:val="20"/>
                <w:szCs w:val="20"/>
                <w:color w:val="auto"/>
              </w:rPr>
            </w:pPr>
            <w:r>
              <w:rPr>
                <w:rFonts w:ascii="Arial" w:cs="Arial" w:eastAsia="Arial" w:hAnsi="Arial"/>
                <w:sz w:val="18"/>
                <w:szCs w:val="18"/>
                <w:color w:val="auto"/>
              </w:rPr>
              <w:t>Comcast Class A</w:t>
            </w:r>
          </w:p>
        </w:tc>
        <w:tc>
          <w:tcPr>
            <w:tcW w:w="2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S&amp;P 500 Stock Index</w:t>
            </w:r>
          </w:p>
        </w:tc>
        <w:tc>
          <w:tcPr>
            <w:tcW w:w="2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Peer Group Index</w:t>
            </w:r>
          </w:p>
        </w:tc>
        <w:tc>
          <w:tcPr>
            <w:tcW w:w="2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6: [Reserved]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3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33</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006EBF"/>
        </w:rPr>
        <w:t>Item 7: Management’s Discussion and Analysis of Financial Condition and Results of Operations</w:t>
      </w:r>
    </w:p>
    <w:p>
      <w:pPr>
        <w:spacing w:after="0" w:line="115" w:lineRule="exact"/>
        <w:rPr>
          <w:sz w:val="20"/>
          <w:szCs w:val="20"/>
          <w:color w:val="auto"/>
        </w:rPr>
      </w:pPr>
    </w:p>
    <w:p>
      <w:pPr>
        <w:jc w:val="both"/>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Management’s discussion and analysis of financial condition and results of operations is provided as a supplement to, and should be read in conjunction with, the consolidated financial statements and related notes to enhance the understanding of our operations and our present business environment. For more information about our company’s operations and the risks facing our businesses, see Item 1: Business and Item 1A: Risk Factors, respectively. As discussed in Note 2, we changed the presentation of our segment operating results in 2021, and all amounts are presented on a consistent basis under the </w:t>
      </w:r>
      <w:hyperlink r:id="rId81">
        <w:r>
          <w:rPr>
            <w:rFonts w:ascii="Arial" w:cs="Arial" w:eastAsia="Arial" w:hAnsi="Arial"/>
            <w:sz w:val="18"/>
            <w:szCs w:val="18"/>
            <w:color w:val="auto"/>
          </w:rPr>
          <w:t xml:space="preserve">new segment structure. Refer to Item 7: Management’s Discussion and Analysis of Financial Condition and Results of Operations in our </w:t>
        </w:r>
        <w:r>
          <w:rPr>
            <w:rFonts w:ascii="Arial" w:cs="Arial" w:eastAsia="Arial" w:hAnsi="Arial"/>
            <w:sz w:val="18"/>
            <w:szCs w:val="18"/>
            <w:u w:val="single" w:color="auto"/>
            <w:color w:val="0000FF"/>
          </w:rPr>
          <w:t>2020 Annual</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Report on Form 10-K</w:t>
        </w:r>
        <w:r>
          <w:rPr>
            <w:rFonts w:ascii="Arial" w:cs="Arial" w:eastAsia="Arial" w:hAnsi="Arial"/>
            <w:sz w:val="18"/>
            <w:szCs w:val="18"/>
            <w:color w:val="0000FF"/>
          </w:rPr>
          <w:t xml:space="preserve"> </w:t>
        </w:r>
        <w:r>
          <w:rPr>
            <w:rFonts w:ascii="Arial" w:cs="Arial" w:eastAsia="Arial" w:hAnsi="Arial"/>
            <w:sz w:val="18"/>
            <w:szCs w:val="18"/>
            <w:color w:val="000000"/>
          </w:rPr>
          <w:t>for management’s discussion and analysis of financial condition and results of operations for the fiscal year 2020 compared to fiscal</w:t>
        </w:r>
      </w:hyperlink>
      <w:r>
        <w:rPr>
          <w:rFonts w:ascii="Arial" w:cs="Arial" w:eastAsia="Arial" w:hAnsi="Arial"/>
          <w:sz w:val="18"/>
          <w:szCs w:val="18"/>
          <w:color w:val="0000FF"/>
        </w:rPr>
        <w:t xml:space="preserve"> </w:t>
      </w:r>
      <w:r>
        <w:rPr>
          <w:rFonts w:ascii="Arial" w:cs="Arial" w:eastAsia="Arial" w:hAnsi="Arial"/>
          <w:sz w:val="18"/>
          <w:szCs w:val="18"/>
          <w:color w:val="000000"/>
        </w:rPr>
        <w:t>year 2019, with the exception of the discussion and analysis related to our NBCUniversal segments, which is included below for all periods based on the updated segment structure.</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58635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Consolidated Revenue, Net Income Attributable to Comcast Corporation and Adjusted EBITDA</w:t>
      </w:r>
      <w:r>
        <w:rPr>
          <w:rFonts w:ascii="Arial" w:cs="Arial" w:eastAsia="Arial" w:hAnsi="Arial"/>
          <w:sz w:val="23"/>
          <w:szCs w:val="23"/>
          <w:color w:val="006EBF"/>
          <w:vertAlign w:val="superscript"/>
        </w:rPr>
        <w:t>(a)</w:t>
      </w:r>
    </w:p>
    <w:p>
      <w:pPr>
        <w:ind w:left="20"/>
        <w:spacing w:after="0"/>
        <w:rPr>
          <w:sz w:val="20"/>
          <w:szCs w:val="20"/>
          <w:color w:val="auto"/>
        </w:rPr>
      </w:pPr>
      <w:r>
        <w:rPr>
          <w:rFonts w:ascii="Arial" w:cs="Arial" w:eastAsia="Arial" w:hAnsi="Arial"/>
          <w:sz w:val="14"/>
          <w:szCs w:val="14"/>
          <w:color w:val="auto"/>
        </w:rPr>
        <w:t>(in billions)</w:t>
      </w:r>
    </w:p>
    <w:p>
      <w:pPr>
        <w:spacing w:after="0" w:line="245" w:lineRule="exact"/>
        <w:rPr>
          <w:sz w:val="20"/>
          <w:szCs w:val="20"/>
          <w:color w:val="auto"/>
        </w:rPr>
      </w:pPr>
    </w:p>
    <w:p>
      <w:pPr>
        <w:ind w:left="1800"/>
        <w:spacing w:after="0"/>
        <w:tabs>
          <w:tab w:leader="none" w:pos="3620" w:val="left"/>
          <w:tab w:leader="none" w:pos="630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Net Income Attributable to</w:t>
      </w:r>
      <w:r>
        <w:rPr>
          <w:sz w:val="20"/>
          <w:szCs w:val="20"/>
          <w:color w:val="auto"/>
        </w:rPr>
        <w:tab/>
      </w:r>
      <w:r>
        <w:rPr>
          <w:rFonts w:ascii="Arial" w:cs="Arial" w:eastAsia="Arial" w:hAnsi="Arial"/>
          <w:sz w:val="13"/>
          <w:szCs w:val="13"/>
          <w:b w:val="1"/>
          <w:bCs w:val="1"/>
          <w:color w:val="auto"/>
        </w:rPr>
        <w:t>Adjusted EBITDA</w:t>
      </w:r>
    </w:p>
    <w:p>
      <w:pPr>
        <w:ind w:left="3800"/>
        <w:spacing w:after="0"/>
        <w:rPr>
          <w:sz w:val="20"/>
          <w:szCs w:val="20"/>
          <w:color w:val="auto"/>
        </w:rPr>
      </w:pPr>
      <w:r>
        <w:rPr>
          <w:rFonts w:ascii="Arial" w:cs="Arial" w:eastAsia="Arial" w:hAnsi="Arial"/>
          <w:sz w:val="14"/>
          <w:szCs w:val="14"/>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15175" cy="2468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1517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260" w:hanging="252"/>
        <w:spacing w:after="0" w:line="269" w:lineRule="auto"/>
        <w:tabs>
          <w:tab w:leader="none" w:pos="257"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Adjusted EBITDA is a financial measure that is not defined by generally accepted accounting principles in the United States (“GAAP”). Refer to the “Non-GAAP Financial Measure” section on page 52 for additional information, including our definition and our use of Adjusted EBITDA, and for a reconciliation from net income attributable to Comcast Corporation to Adjusted</w:t>
      </w:r>
    </w:p>
    <w:p>
      <w:pPr>
        <w:ind w:left="260"/>
        <w:spacing w:after="0"/>
        <w:rPr>
          <w:rFonts w:ascii="Arial" w:cs="Arial" w:eastAsia="Arial" w:hAnsi="Arial"/>
          <w:sz w:val="13"/>
          <w:szCs w:val="13"/>
          <w:color w:val="auto"/>
        </w:rPr>
      </w:pPr>
      <w:r>
        <w:rPr>
          <w:rFonts w:ascii="Arial" w:cs="Arial" w:eastAsia="Arial" w:hAnsi="Arial"/>
          <w:sz w:val="14"/>
          <w:szCs w:val="14"/>
          <w:color w:val="auto"/>
        </w:rPr>
        <w:t>EBITDA.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Cable Communications</w:t>
      </w:r>
    </w:p>
    <w:p>
      <w:pPr>
        <w:spacing w:after="0" w:line="50" w:lineRule="exact"/>
        <w:rPr>
          <w:sz w:val="20"/>
          <w:szCs w:val="20"/>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increased 7.1% to $64.3 billion, reflecting increases in broadband, wireless, business services, advertising, video and other revenue, partially offset by a decline in voice revenue.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increased 11.2% to $28.1 billion primarily due to increases in revenue, partially offset by increases in programming and technical and product support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margin increased from 42.1% to 43.7%.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customer relationships increased by 1.1 million, total broadband customers increased by 1.3 million, total wireless lines increased by 1.2 million and total video customers decreased by 1.7 million.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increased 4.9% to $6.9 billion, reflecting increased spending on scalable infrastructure and line extensions, partially offset by decreased spending on customer premise equipment and support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NBCUniversal</w:t>
      </w:r>
    </w:p>
    <w:p>
      <w:pPr>
        <w:spacing w:after="0" w:line="5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Total NBCUniversal revenue increased 26.1% to $34.3 billion and total NBCUniversal Adjusted EBITDA increased 6.0% to $5.7 billion.</w:t>
      </w:r>
    </w:p>
    <w:p>
      <w:pPr>
        <w:spacing w:after="0" w:line="128"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Media segment revenue increased 20.3% to $22.8 billion and Adjusted EBITDA decreased 18.0% to $4.6 billion, including the impact of our broadcast of the Tokyo Olympics in 2021. Excluding $1.8 billion of revenue associated with our broadcast of the Tokyo Olympics in 2021, revenue in the Media segment increased 11.0%, primarily due to increases in distribution revenue, advertising revenue and other revenue, including the effects of COVID-19 in the prior year period.</w:t>
      </w:r>
    </w:p>
    <w:p>
      <w:pPr>
        <w:spacing w:after="0" w:line="78" w:lineRule="exact"/>
        <w:rPr>
          <w:rFonts w:ascii="Arial" w:cs="Arial" w:eastAsia="Arial" w:hAnsi="Arial"/>
          <w:sz w:val="18"/>
          <w:szCs w:val="18"/>
          <w:color w:val="auto"/>
        </w:rPr>
      </w:pPr>
    </w:p>
    <w:p>
      <w:pPr>
        <w:jc w:val="both"/>
        <w:ind w:left="660" w:hanging="328"/>
        <w:spacing w:after="0" w:line="217"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18"/>
          <w:szCs w:val="18"/>
          <w:color w:val="auto"/>
        </w:rPr>
        <w:t>Media segment results include the operations of Peacock, which in 2021 generated revenue of $778 million and operating costs and expenses of $2.5 billion, compared to revenue of $118 million and operating costs and expenses of $781 million in 2020. We continued to invest in content and grow our customer base during 2021, and in the fourth quarter of 2021, we introduced certain ad-supported Peacock programming into Sky video services, launching first in the United Kingdom and Ireland.</w:t>
      </w:r>
    </w:p>
    <w:p>
      <w:pPr>
        <w:spacing w:after="0" w:line="202" w:lineRule="exact"/>
        <w:rPr>
          <w:rFonts w:ascii="Arial" w:cs="Arial" w:eastAsia="Arial" w:hAnsi="Arial"/>
          <w:sz w:val="20"/>
          <w:szCs w:val="20"/>
          <w:color w:val="auto"/>
        </w:rPr>
      </w:pPr>
    </w:p>
    <w:p>
      <w:pPr>
        <w:jc w:val="both"/>
        <w:ind w:left="660" w:hanging="328"/>
        <w:spacing w:after="0" w:line="244"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6"/>
          <w:szCs w:val="16"/>
          <w:color w:val="auto"/>
        </w:rPr>
        <w:t>Studios segment revenue increased 16.2% to $9.4 billion, due to increases in content licensing revenue, theatrical revenue and home entertainment and other revenue as our film and television production operations returned to full capacity. Studios revenue included licenses of content to our Media and other segments, including the impact of a new licensing agreement for content that became exclusively available for streaming on Peacock in 2021, and the impacts of initial content licenses associated with the launch of Peacock in 2020, which are eliminated in consolidation.</w:t>
      </w:r>
    </w:p>
    <w:p>
      <w:pPr>
        <w:spacing w:after="0" w:line="200"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Theme Parks segment revenue increased 141.2% to $5.1 billion and Adjusted EBITDA increased from $(0.5) billion to $1.3 billion, reflecting the operation of our theme parks in the current year period compared to temporary closures and capacity restrictions as a result of COVID-19 in the prior year period and the opening of our theme park in Beijing, China in September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Sky</w:t>
      </w:r>
    </w:p>
    <w:p>
      <w:pPr>
        <w:spacing w:after="0" w:line="50" w:lineRule="exact"/>
        <w:rPr>
          <w:sz w:val="20"/>
          <w:szCs w:val="20"/>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increased 9.1% to $20.3 billion. Excluding the impact of foreign currency, Sky revenue increased 3.1% due to increases in advertising and direct-to-consumer revenue, partially offset by a decrease in content revenue, which were affected by COVID-19 in the prior year period and reduced broadcast rights for Serie A in the current year period.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increased 20.8% to $2.4 billion. Excluding the impact of foreign currency, Sky Adjusted EBITDA increased 10.2% primarily due to increases in revenue and decreases in programming and production expenses, partially offset by increases in direct network costs and other expenses.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and Other Adjusted EBITDA losses decreased from $1.8 billion to $1.4 billion primarily due to costs incurred in the prior year period in response to COVID-19, including severance charges related to our businesses.</w:t>
      </w:r>
    </w:p>
    <w:p>
      <w:pPr>
        <w:spacing w:after="0" w:line="62" w:lineRule="exact"/>
        <w:rPr>
          <w:rFonts w:ascii="Arial" w:cs="Arial" w:eastAsia="Arial" w:hAnsi="Arial"/>
          <w:sz w:val="18"/>
          <w:szCs w:val="18"/>
          <w:color w:val="auto"/>
        </w:rPr>
      </w:pPr>
    </w:p>
    <w:p>
      <w:pPr>
        <w:jc w:val="both"/>
        <w:ind w:left="660" w:hanging="328"/>
        <w:spacing w:after="0" w:line="221" w:lineRule="auto"/>
        <w:tabs>
          <w:tab w:leader="none" w:pos="648" w:val="left"/>
        </w:tabs>
        <w:numPr>
          <w:ilvl w:val="0"/>
          <w:numId w:val="23"/>
        </w:numPr>
        <w:rPr>
          <w:rFonts w:ascii="Arial" w:cs="Arial" w:eastAsia="Arial" w:hAnsi="Arial"/>
          <w:sz w:val="20"/>
          <w:szCs w:val="20"/>
          <w:b w:val="1"/>
          <w:bCs w:val="1"/>
          <w:i w:val="1"/>
          <w:iCs w:val="1"/>
          <w:color w:val="auto"/>
        </w:rPr>
      </w:pPr>
      <w:r>
        <w:rPr>
          <w:rFonts w:ascii="Arial" w:cs="Arial" w:eastAsia="Arial" w:hAnsi="Arial"/>
          <w:sz w:val="18"/>
          <w:szCs w:val="18"/>
          <w:color w:val="auto"/>
        </w:rPr>
        <w:t>Resumed our share repurchase program in the second quarter of 2021. We repurchased a total of 73.2 million shares of our Class A common stock for $4.0 billion in 2021. Raised our dividend by $0.08 to $1.00 per share on an annualized basis in January 2021 and paid $4.5 billion of dividends in 2021.</w:t>
      </w:r>
    </w:p>
    <w:p>
      <w:pPr>
        <w:spacing w:after="0" w:line="203" w:lineRule="exact"/>
        <w:rPr>
          <w:rFonts w:ascii="Arial" w:cs="Arial" w:eastAsia="Arial" w:hAnsi="Arial"/>
          <w:sz w:val="20"/>
          <w:szCs w:val="20"/>
          <w:b w:val="1"/>
          <w:bCs w:val="1"/>
          <w:i w:val="1"/>
          <w:iCs w:val="1"/>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debt by $8.9 billion in 2021 and ended the year with $94.8 billion of total short-term and long-term debt and $8.7 billion of cash and cash equivalents.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COVID-19 and measures taken to prevent its spread across the globe have impacted our businesses in a number of ways, with the most significant effects in 2020, affecting the comparability of periods included in this report. COVID-19 has had material negative impacts on NBCUniversal and Sky results of operations primarily due to the temporary restrictions and closures at our theme parks and the impacts of professional sports, respectively. We expect the effects of the COVID-19 pandemic will continue to adversely impact our consolidated results of operations over the near to medium term, although the extent of such</w:t>
      </w:r>
    </w:p>
    <w:p>
      <w:pPr>
        <w:spacing w:after="0" w:line="200" w:lineRule="exact"/>
        <w:rPr>
          <w:sz w:val="20"/>
          <w:szCs w:val="20"/>
          <w:color w:val="auto"/>
        </w:rPr>
      </w:pPr>
    </w:p>
    <w:p>
      <w:pPr>
        <w:spacing w:after="0" w:line="30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impact will depend on restrictive governmental measures, U.S. and global economic conditions, expanded availability and acceptance of vaccines and consumer behavior in response to COVID-19. The following summary provides a discussion of current and potential future effects of the pandemic with direct impacts to our businesses.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NBCUniversal</w:t>
      </w:r>
    </w:p>
    <w:p>
      <w:pPr>
        <w:spacing w:after="0" w:line="50" w:lineRule="exact"/>
        <w:rPr>
          <w:sz w:val="20"/>
          <w:szCs w:val="20"/>
          <w:color w:val="auto"/>
        </w:rPr>
      </w:pPr>
    </w:p>
    <w:p>
      <w:pPr>
        <w:jc w:val="both"/>
        <w:ind w:left="660" w:hanging="328"/>
        <w:spacing w:after="0" w:line="271"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theme parks in Orlando and Hollywood operated without capacity restrictions, following periods with capacity restrictions in place in the second quarter of 2021. Our theme park in Hollywood began requiring proof of vaccination or a negative COVID-19 test result for park entry in accordance with local requirements in the fourth quarter of 2021. Our theme park in Japan began operating without capacity restrictions in the fourth quarter of 2021, following periods with capacity restrictions in place. Our newest theme park, Universal Beijing Resort, opened in September 2021 with capacity restrictions. The capacity restrictions and temporary closures of our theme parks had a significant impact on our revenue and Adjusted EBITDA on a consolidated basis. The results of operations at our theme parks may continue to be negatively impacted and we cannot predict if our parks will remain open or be subject to capacity restrictions, or the level of attendance at our reopened parks. The development of the Epic Universe theme park in Orlando resumed in 2021 after having been paused in 2020.</w:t>
      </w:r>
    </w:p>
    <w:p>
      <w:pPr>
        <w:spacing w:after="0" w:line="70" w:lineRule="exact"/>
        <w:rPr>
          <w:rFonts w:ascii="Arial" w:cs="Arial" w:eastAsia="Arial" w:hAnsi="Arial"/>
          <w:sz w:val="17"/>
          <w:szCs w:val="17"/>
          <w:color w:val="auto"/>
        </w:rPr>
      </w:pPr>
    </w:p>
    <w:p>
      <w:pPr>
        <w:jc w:val="both"/>
        <w:ind w:left="660" w:hanging="328"/>
        <w:spacing w:after="0" w:line="275"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to the start of seasons for certain professional sports leagues, including the 2020-21 NHL and NBA seasons, resulted in the shift of additional events into the first half of 2021 compared to a normal year. The delays impacted the timing of revenue and expense recognition, because both advertising revenue and costs associated with broadcasting these programs are recognized when events are broadcast. The timing of sports seasons generally returned to a normal calendar beginning in the third quarter of 2021. In addition, the Tokyo Olympics were postponed from the third quarter of 2020 to the third quarter of 2021, resulting in a corresponding delay of the associated revenue and costs.</w:t>
      </w:r>
    </w:p>
    <w:p>
      <w:pPr>
        <w:spacing w:after="0" w:line="68"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studio production operations have generally returned to full capacity. We delayed or altered the theatrical distribution strategy for certain of our films, both domestically and internationally as a result of the temporary closures and limited capacity operations of many movie theaters worldwide caused by COVID-19. Delays in theatrical releases affect both current and future periods as a result of corresponding delays in subsequent content licensing windows. Results of operations in our Studios segment may be negatively impacted over the near to medium term as a result of COVID-19.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6EBF"/>
        </w:rPr>
        <w:t>Sky</w:t>
      </w:r>
    </w:p>
    <w:p>
      <w:pPr>
        <w:spacing w:after="0" w:line="50" w:lineRule="exact"/>
        <w:rPr>
          <w:sz w:val="20"/>
          <w:szCs w:val="20"/>
          <w:color w:val="auto"/>
        </w:rPr>
      </w:pPr>
    </w:p>
    <w:p>
      <w:pPr>
        <w:jc w:val="both"/>
        <w:ind w:left="660" w:hanging="328"/>
        <w:spacing w:after="0" w:line="257"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8"/>
          <w:szCs w:val="18"/>
          <w:color w:val="auto"/>
        </w:rPr>
        <w:t>Direct-to-consumer revenue has been negatively impacted, and future periods may be negatively impacted, as a result of lower sports subscription revenue due to the closures and extent of reopening of our commercial customers</w:t>
      </w:r>
      <w:r>
        <w:rPr>
          <w:rFonts w:ascii="Arial" w:cs="Arial" w:eastAsia="Arial" w:hAnsi="Arial"/>
          <w:sz w:val="14"/>
          <w:szCs w:val="14"/>
          <w:color w:val="auto"/>
        </w:rPr>
        <w:t>’</w:t>
      </w:r>
      <w:r>
        <w:rPr>
          <w:rFonts w:ascii="Arial" w:cs="Arial" w:eastAsia="Arial" w:hAnsi="Arial"/>
          <w:sz w:val="18"/>
          <w:szCs w:val="18"/>
          <w:color w:val="auto"/>
        </w:rPr>
        <w:t xml:space="preserve"> locations. In addition, delays to the start of the 2020-21 seasons for certain sports, including European football, resulted in the shift of additional events and the significant costs associated with broadcasting these programs into the first and second quarters of 2021 compared to a normal year. The timing of sports seasons generally returned to a normal calendar beginning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36</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120" w:type="dxa"/>
            <w:vAlign w:val="bottom"/>
          </w:tcPr>
          <w:p>
            <w:pPr>
              <w:jc w:val="right"/>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 except per share data)</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2019</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2020 to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c>
          <w:tcPr>
            <w:tcW w:w="0" w:type="dxa"/>
            <w:vAlign w:val="bottom"/>
          </w:tcPr>
          <w:p>
            <w:pPr>
              <w:spacing w:after="0"/>
              <w:rPr>
                <w:sz w:val="1"/>
                <w:szCs w:val="1"/>
                <w:color w:val="auto"/>
              </w:rPr>
            </w:pPr>
          </w:p>
        </w:tc>
      </w:tr>
      <w:tr>
        <w:trPr>
          <w:trHeight w:val="228"/>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116,385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103,564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108,942</w:t>
            </w:r>
          </w:p>
        </w:tc>
        <w:tc>
          <w:tcPr>
            <w:tcW w:w="1480" w:type="dxa"/>
            <w:vAlign w:val="bottom"/>
          </w:tcPr>
          <w:p>
            <w:pPr>
              <w:jc w:val="right"/>
              <w:ind w:right="252"/>
              <w:spacing w:after="0"/>
              <w:rPr>
                <w:sz w:val="20"/>
                <w:szCs w:val="20"/>
                <w:color w:val="auto"/>
              </w:rPr>
            </w:pPr>
            <w:r>
              <w:rPr>
                <w:rFonts w:ascii="Arial" w:cs="Arial" w:eastAsia="Arial" w:hAnsi="Arial"/>
                <w:sz w:val="18"/>
                <w:szCs w:val="18"/>
                <w:b w:val="1"/>
                <w:bCs w:val="1"/>
                <w:color w:val="auto"/>
              </w:rPr>
              <w:t>12.4 %</w:t>
            </w: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38,450</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vMerge w:val="restart"/>
          </w:tcPr>
          <w:p>
            <w:pPr>
              <w:jc w:val="right"/>
              <w:ind w:right="492"/>
              <w:spacing w:after="0"/>
              <w:rPr>
                <w:sz w:val="20"/>
                <w:szCs w:val="20"/>
                <w:color w:val="auto"/>
              </w:rPr>
            </w:pPr>
            <w:r>
              <w:rPr>
                <w:rFonts w:ascii="Arial" w:cs="Arial" w:eastAsia="Arial" w:hAnsi="Arial"/>
                <w:sz w:val="18"/>
                <w:szCs w:val="18"/>
                <w:b w:val="1"/>
                <w:bCs w:val="1"/>
                <w:color w:val="auto"/>
              </w:rPr>
              <w:t>16.1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Pr>
          <w:p>
            <w:pPr>
              <w:ind w:left="140"/>
              <w:spacing w:after="0"/>
              <w:rPr>
                <w:sz w:val="20"/>
                <w:szCs w:val="20"/>
                <w:color w:val="auto"/>
              </w:rPr>
            </w:pPr>
            <w:r>
              <w:rPr>
                <w:rFonts w:ascii="Arial" w:cs="Arial" w:eastAsia="Arial" w:hAnsi="Arial"/>
                <w:sz w:val="18"/>
                <w:szCs w:val="18"/>
                <w:color w:val="auto"/>
              </w:rPr>
              <w:t>Programming and production</w:t>
            </w: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33,121</w:t>
            </w:r>
          </w:p>
        </w:tc>
        <w:tc>
          <w:tcPr>
            <w:tcW w:w="360" w:type="dxa"/>
            <w:vAlign w:val="bottom"/>
          </w:tcPr>
          <w:p>
            <w:pPr>
              <w:spacing w:after="0"/>
              <w:rPr>
                <w:sz w:val="19"/>
                <w:szCs w:val="19"/>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34,440</w:t>
            </w:r>
          </w:p>
        </w:tc>
        <w:tc>
          <w:tcPr>
            <w:tcW w:w="1480" w:type="dxa"/>
            <w:vAlign w:val="bottom"/>
            <w:vMerge w:val="continue"/>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35,619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33,109</w:t>
            </w:r>
          </w:p>
        </w:tc>
        <w:tc>
          <w:tcPr>
            <w:tcW w:w="360" w:type="dxa"/>
            <w:vAlign w:val="bottom"/>
          </w:tcPr>
          <w:p>
            <w:pPr>
              <w:spacing w:after="0"/>
              <w:rPr>
                <w:sz w:val="19"/>
                <w:szCs w:val="19"/>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32,807</w:t>
            </w:r>
          </w:p>
        </w:tc>
        <w:tc>
          <w:tcPr>
            <w:tcW w:w="1480" w:type="dxa"/>
            <w:vAlign w:val="bottom"/>
          </w:tcPr>
          <w:p>
            <w:pPr>
              <w:jc w:val="right"/>
              <w:ind w:right="492"/>
              <w:spacing w:after="0"/>
              <w:rPr>
                <w:sz w:val="20"/>
                <w:szCs w:val="20"/>
                <w:color w:val="auto"/>
              </w:rPr>
            </w:pPr>
            <w:r>
              <w:rPr>
                <w:rFonts w:ascii="Arial" w:cs="Arial" w:eastAsia="Arial" w:hAnsi="Arial"/>
                <w:sz w:val="18"/>
                <w:szCs w:val="18"/>
                <w:b w:val="1"/>
                <w:bCs w:val="1"/>
                <w:color w:val="auto"/>
              </w:rPr>
              <w:t>7.6</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Advertising, marketing and promotion</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7,695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6,741</w:t>
            </w:r>
          </w:p>
        </w:tc>
        <w:tc>
          <w:tcPr>
            <w:tcW w:w="360" w:type="dxa"/>
            <w:vAlign w:val="bottom"/>
          </w:tcPr>
          <w:p>
            <w:pPr>
              <w:spacing w:after="0"/>
              <w:rPr>
                <w:sz w:val="19"/>
                <w:szCs w:val="19"/>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7,617</w:t>
            </w:r>
          </w:p>
        </w:tc>
        <w:tc>
          <w:tcPr>
            <w:tcW w:w="1480" w:type="dxa"/>
            <w:vAlign w:val="bottom"/>
          </w:tcPr>
          <w:p>
            <w:pPr>
              <w:jc w:val="right"/>
              <w:ind w:right="492"/>
              <w:spacing w:after="0"/>
              <w:rPr>
                <w:sz w:val="20"/>
                <w:szCs w:val="20"/>
                <w:color w:val="auto"/>
              </w:rPr>
            </w:pPr>
            <w:r>
              <w:rPr>
                <w:rFonts w:ascii="Arial" w:cs="Arial" w:eastAsia="Arial" w:hAnsi="Arial"/>
                <w:sz w:val="18"/>
                <w:szCs w:val="18"/>
                <w:b w:val="1"/>
                <w:bCs w:val="1"/>
                <w:color w:val="auto"/>
              </w:rPr>
              <w:t>14.2</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8,628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8,320</w:t>
            </w:r>
          </w:p>
        </w:tc>
        <w:tc>
          <w:tcPr>
            <w:tcW w:w="360" w:type="dxa"/>
            <w:vAlign w:val="bottom"/>
          </w:tcPr>
          <w:p>
            <w:pPr>
              <w:spacing w:after="0"/>
              <w:rPr>
                <w:sz w:val="19"/>
                <w:szCs w:val="19"/>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8,663</w:t>
            </w:r>
          </w:p>
        </w:tc>
        <w:tc>
          <w:tcPr>
            <w:tcW w:w="1480" w:type="dxa"/>
            <w:vAlign w:val="bottom"/>
          </w:tcPr>
          <w:p>
            <w:pPr>
              <w:jc w:val="right"/>
              <w:ind w:right="492"/>
              <w:spacing w:after="0"/>
              <w:rPr>
                <w:sz w:val="20"/>
                <w:szCs w:val="20"/>
                <w:color w:val="auto"/>
              </w:rPr>
            </w:pPr>
            <w:r>
              <w:rPr>
                <w:rFonts w:ascii="Arial" w:cs="Arial" w:eastAsia="Arial" w:hAnsi="Arial"/>
                <w:sz w:val="18"/>
                <w:szCs w:val="18"/>
                <w:b w:val="1"/>
                <w:bCs w:val="1"/>
                <w:color w:val="auto"/>
              </w:rPr>
              <w:t>3.7</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5,176</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4,290</w:t>
            </w: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8.3</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95,568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86,071</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87,817</w:t>
            </w: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11.0</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20,817</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17,493</w:t>
            </w:r>
          </w:p>
        </w:tc>
        <w:tc>
          <w:tcPr>
            <w:tcW w:w="360" w:type="dxa"/>
            <w:vAlign w:val="bottom"/>
          </w:tcPr>
          <w:p>
            <w:pPr>
              <w:spacing w:after="0"/>
              <w:rPr>
                <w:sz w:val="18"/>
                <w:szCs w:val="18"/>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21,125</w:t>
            </w:r>
          </w:p>
        </w:tc>
        <w:tc>
          <w:tcPr>
            <w:tcW w:w="1480" w:type="dxa"/>
            <w:vAlign w:val="bottom"/>
          </w:tcPr>
          <w:p>
            <w:pPr>
              <w:jc w:val="right"/>
              <w:ind w:right="492"/>
              <w:spacing w:after="0"/>
              <w:rPr>
                <w:sz w:val="20"/>
                <w:szCs w:val="20"/>
                <w:color w:val="auto"/>
              </w:rPr>
            </w:pPr>
            <w:r>
              <w:rPr>
                <w:rFonts w:ascii="Arial" w:cs="Arial" w:eastAsia="Arial" w:hAnsi="Arial"/>
                <w:sz w:val="18"/>
                <w:szCs w:val="18"/>
                <w:b w:val="1"/>
                <w:bCs w:val="1"/>
                <w:color w:val="auto"/>
              </w:rPr>
              <w:t>19.0</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(4,281)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(4,588)</w:t>
            </w:r>
          </w:p>
        </w:tc>
        <w:tc>
          <w:tcPr>
            <w:tcW w:w="360" w:type="dxa"/>
            <w:vAlign w:val="bottom"/>
          </w:tcPr>
          <w:p>
            <w:pPr>
              <w:spacing w:after="0"/>
              <w:rPr>
                <w:sz w:val="19"/>
                <w:szCs w:val="19"/>
                <w:color w:val="auto"/>
              </w:rPr>
            </w:pPr>
          </w:p>
        </w:tc>
        <w:tc>
          <w:tcPr>
            <w:tcW w:w="1260" w:type="dxa"/>
            <w:vAlign w:val="bottom"/>
          </w:tcPr>
          <w:p>
            <w:pPr>
              <w:jc w:val="right"/>
              <w:ind w:right="271"/>
              <w:spacing w:after="0"/>
              <w:rPr>
                <w:sz w:val="20"/>
                <w:szCs w:val="20"/>
                <w:color w:val="auto"/>
              </w:rPr>
            </w:pPr>
            <w:r>
              <w:rPr>
                <w:rFonts w:ascii="Arial" w:cs="Arial" w:eastAsia="Arial" w:hAnsi="Arial"/>
                <w:sz w:val="18"/>
                <w:szCs w:val="18"/>
                <w:color w:val="auto"/>
              </w:rPr>
              <w:t>(4,567)</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(6.7)</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438</w:t>
            </w: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120.4</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19,093</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14,065</w:t>
            </w:r>
          </w:p>
        </w:tc>
        <w:tc>
          <w:tcPr>
            <w:tcW w:w="360" w:type="dxa"/>
            <w:vAlign w:val="bottom"/>
          </w:tcPr>
          <w:p>
            <w:pPr>
              <w:spacing w:after="0"/>
              <w:rPr>
                <w:sz w:val="18"/>
                <w:szCs w:val="18"/>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16,996</w:t>
            </w:r>
          </w:p>
        </w:tc>
        <w:tc>
          <w:tcPr>
            <w:tcW w:w="1480" w:type="dxa"/>
            <w:vAlign w:val="bottom"/>
          </w:tcPr>
          <w:p>
            <w:pPr>
              <w:jc w:val="right"/>
              <w:ind w:right="492"/>
              <w:spacing w:after="0"/>
              <w:rPr>
                <w:sz w:val="20"/>
                <w:szCs w:val="20"/>
                <w:color w:val="auto"/>
              </w:rPr>
            </w:pPr>
            <w:r>
              <w:rPr>
                <w:rFonts w:ascii="Arial" w:cs="Arial" w:eastAsia="Arial" w:hAnsi="Arial"/>
                <w:sz w:val="18"/>
                <w:szCs w:val="18"/>
                <w:b w:val="1"/>
                <w:bCs w:val="1"/>
                <w:color w:val="auto"/>
              </w:rPr>
              <w:t>35.7</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(5,259)</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(3,673)</w:t>
            </w: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56.3</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4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13,833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10,701</w:t>
            </w:r>
          </w:p>
        </w:tc>
        <w:tc>
          <w:tcPr>
            <w:tcW w:w="360" w:type="dxa"/>
            <w:vAlign w:val="bottom"/>
          </w:tcPr>
          <w:p>
            <w:pPr>
              <w:spacing w:after="0"/>
              <w:rPr>
                <w:sz w:val="19"/>
                <w:szCs w:val="19"/>
                <w:color w:val="auto"/>
              </w:rPr>
            </w:pPr>
          </w:p>
        </w:tc>
        <w:tc>
          <w:tcPr>
            <w:tcW w:w="1260" w:type="dxa"/>
            <w:vAlign w:val="bottom"/>
          </w:tcPr>
          <w:p>
            <w:pPr>
              <w:jc w:val="right"/>
              <w:ind w:right="331"/>
              <w:spacing w:after="0"/>
              <w:rPr>
                <w:sz w:val="20"/>
                <w:szCs w:val="20"/>
                <w:color w:val="auto"/>
              </w:rPr>
            </w:pPr>
            <w:r>
              <w:rPr>
                <w:rFonts w:ascii="Arial" w:cs="Arial" w:eastAsia="Arial" w:hAnsi="Arial"/>
                <w:sz w:val="18"/>
                <w:szCs w:val="18"/>
                <w:color w:val="auto"/>
              </w:rPr>
              <w:t>13,323</w:t>
            </w:r>
          </w:p>
        </w:tc>
        <w:tc>
          <w:tcPr>
            <w:tcW w:w="1480" w:type="dxa"/>
            <w:vAlign w:val="bottom"/>
          </w:tcPr>
          <w:p>
            <w:pPr>
              <w:jc w:val="right"/>
              <w:ind w:right="492"/>
              <w:spacing w:after="0"/>
              <w:rPr>
                <w:sz w:val="20"/>
                <w:szCs w:val="20"/>
                <w:color w:val="auto"/>
              </w:rPr>
            </w:pPr>
            <w:r>
              <w:rPr>
                <w:rFonts w:ascii="Arial" w:cs="Arial" w:eastAsia="Arial" w:hAnsi="Arial"/>
                <w:sz w:val="18"/>
                <w:szCs w:val="18"/>
                <w:b w:val="1"/>
                <w:bCs w:val="1"/>
                <w:color w:val="auto"/>
              </w:rPr>
              <w:t>29.3</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76"/>
        </w:trPr>
        <w:tc>
          <w:tcPr>
            <w:tcW w:w="4600" w:type="dxa"/>
            <w:vAlign w:val="bottom"/>
          </w:tcPr>
          <w:p>
            <w:pPr>
              <w:ind w:left="20"/>
              <w:spacing w:after="0" w:line="176" w:lineRule="exact"/>
              <w:rPr>
                <w:sz w:val="20"/>
                <w:szCs w:val="20"/>
                <w:color w:val="auto"/>
              </w:rPr>
            </w:pPr>
            <w:r>
              <w:rPr>
                <w:rFonts w:ascii="Arial" w:cs="Arial" w:eastAsia="Arial" w:hAnsi="Arial"/>
                <w:sz w:val="18"/>
                <w:szCs w:val="18"/>
                <w:color w:val="auto"/>
                <w:w w:val="92"/>
              </w:rPr>
              <w:t>Less: Net income (loss) attributable to noncontrolling interests</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(325)</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15"/>
                <w:szCs w:val="15"/>
                <w:color w:val="auto"/>
              </w:rPr>
            </w:pPr>
          </w:p>
        </w:tc>
        <w:tc>
          <w:tcPr>
            <w:tcW w:w="1260" w:type="dxa"/>
            <w:vAlign w:val="bottom"/>
            <w:vMerge w:val="restart"/>
          </w:tcPr>
          <w:p>
            <w:pPr>
              <w:jc w:val="right"/>
              <w:ind w:right="331"/>
              <w:spacing w:after="0"/>
              <w:rPr>
                <w:sz w:val="20"/>
                <w:szCs w:val="20"/>
                <w:color w:val="auto"/>
              </w:rPr>
            </w:pPr>
            <w:r>
              <w:rPr>
                <w:rFonts w:ascii="Arial" w:cs="Arial" w:eastAsia="Arial" w:hAnsi="Arial"/>
                <w:sz w:val="18"/>
                <w:szCs w:val="18"/>
                <w:color w:val="auto"/>
              </w:rPr>
              <w:t>266</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NM</w:t>
            </w:r>
          </w:p>
        </w:tc>
        <w:tc>
          <w:tcPr>
            <w:tcW w:w="1120" w:type="dxa"/>
            <w:vAlign w:val="bottom"/>
            <w:vMerge w:val="restart"/>
          </w:tcPr>
          <w:p>
            <w:pPr>
              <w:jc w:val="right"/>
              <w:ind w:right="9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and redeemable subsidiary preferred stock</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8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14,159</w:t>
            </w:r>
          </w:p>
        </w:tc>
        <w:tc>
          <w:tcPr>
            <w:tcW w:w="32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10,534</w:t>
            </w:r>
          </w:p>
        </w:tc>
        <w:tc>
          <w:tcPr>
            <w:tcW w:w="36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0C6DFF"/>
            </w:tcBorders>
          </w:tcPr>
          <w:p>
            <w:pPr>
              <w:jc w:val="right"/>
              <w:ind w:right="331"/>
              <w:spacing w:after="0"/>
              <w:rPr>
                <w:sz w:val="20"/>
                <w:szCs w:val="20"/>
                <w:color w:val="auto"/>
              </w:rPr>
            </w:pPr>
            <w:r>
              <w:rPr>
                <w:rFonts w:ascii="Arial" w:cs="Arial" w:eastAsia="Arial" w:hAnsi="Arial"/>
                <w:sz w:val="18"/>
                <w:szCs w:val="18"/>
                <w:color w:val="auto"/>
              </w:rPr>
              <w:t>13,057</w:t>
            </w:r>
          </w:p>
        </w:tc>
        <w:tc>
          <w:tcPr>
            <w:tcW w:w="1480" w:type="dxa"/>
            <w:vAlign w:val="bottom"/>
            <w:tcBorders>
              <w:bottom w:val="single" w:sz="8" w:color="0C6DFF"/>
            </w:tcBorders>
          </w:tcPr>
          <w:p>
            <w:pPr>
              <w:jc w:val="right"/>
              <w:ind w:right="252"/>
              <w:spacing w:after="0"/>
              <w:rPr>
                <w:sz w:val="20"/>
                <w:szCs w:val="20"/>
                <w:color w:val="auto"/>
              </w:rPr>
            </w:pPr>
            <w:r>
              <w:rPr>
                <w:rFonts w:ascii="Arial" w:cs="Arial" w:eastAsia="Arial" w:hAnsi="Arial"/>
                <w:sz w:val="18"/>
                <w:szCs w:val="18"/>
                <w:b w:val="1"/>
                <w:bCs w:val="1"/>
                <w:color w:val="auto"/>
              </w:rPr>
              <w:t>34.4 %</w:t>
            </w:r>
          </w:p>
        </w:tc>
        <w:tc>
          <w:tcPr>
            <w:tcW w:w="11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69"/>
        </w:trPr>
        <w:tc>
          <w:tcPr>
            <w:tcW w:w="4600" w:type="dxa"/>
            <w:vAlign w:val="bottom"/>
          </w:tcPr>
          <w:p>
            <w:pPr>
              <w:ind w:left="20"/>
              <w:spacing w:after="0" w:line="169" w:lineRule="exact"/>
              <w:rPr>
                <w:sz w:val="20"/>
                <w:szCs w:val="20"/>
                <w:color w:val="auto"/>
              </w:rPr>
            </w:pPr>
            <w:r>
              <w:rPr>
                <w:rFonts w:ascii="Arial" w:cs="Arial" w:eastAsia="Arial" w:hAnsi="Arial"/>
                <w:sz w:val="18"/>
                <w:szCs w:val="18"/>
                <w:b w:val="1"/>
                <w:bCs w:val="1"/>
                <w:color w:val="auto"/>
                <w:w w:val="91"/>
              </w:rPr>
              <w:t>Basic earnings per common share attributable to Comcast</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3.09</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331"/>
              <w:spacing w:after="0"/>
              <w:rPr>
                <w:sz w:val="20"/>
                <w:szCs w:val="20"/>
                <w:color w:val="auto"/>
              </w:rPr>
            </w:pPr>
            <w:r>
              <w:rPr>
                <w:rFonts w:ascii="Arial" w:cs="Arial" w:eastAsia="Arial" w:hAnsi="Arial"/>
                <w:sz w:val="18"/>
                <w:szCs w:val="18"/>
                <w:color w:val="auto"/>
              </w:rPr>
              <w:t>2.87</w:t>
            </w:r>
          </w:p>
        </w:tc>
        <w:tc>
          <w:tcPr>
            <w:tcW w:w="148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34.3 %</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5"/>
        </w:trPr>
        <w:tc>
          <w:tcPr>
            <w:tcW w:w="460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3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Diluted earnings per common share attributable to</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3.04</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2.28</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331"/>
              <w:spacing w:after="0"/>
              <w:rPr>
                <w:sz w:val="20"/>
                <w:szCs w:val="20"/>
                <w:color w:val="auto"/>
              </w:rPr>
            </w:pPr>
            <w:r>
              <w:rPr>
                <w:rFonts w:ascii="Arial" w:cs="Arial" w:eastAsia="Arial" w:hAnsi="Arial"/>
                <w:sz w:val="18"/>
                <w:szCs w:val="18"/>
                <w:color w:val="auto"/>
              </w:rPr>
              <w:t>2.83</w:t>
            </w:r>
          </w:p>
        </w:tc>
        <w:tc>
          <w:tcPr>
            <w:tcW w:w="148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33.3 %</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0C6DFF"/>
            </w:tcBorders>
          </w:tcPr>
          <w:p>
            <w:pPr>
              <w:ind w:left="180"/>
              <w:spacing w:after="0"/>
              <w:rPr>
                <w:sz w:val="20"/>
                <w:szCs w:val="20"/>
                <w:color w:val="auto"/>
              </w:rPr>
            </w:pPr>
            <w:r>
              <w:rPr>
                <w:rFonts w:ascii="Arial" w:cs="Arial" w:eastAsia="Arial" w:hAnsi="Arial"/>
                <w:sz w:val="18"/>
                <w:szCs w:val="18"/>
                <w:b w:val="1"/>
                <w:bCs w:val="1"/>
                <w:color w:val="auto"/>
              </w:rPr>
              <w:t>Comcast Corporation shareholders</w:t>
            </w:r>
          </w:p>
        </w:tc>
        <w:tc>
          <w:tcPr>
            <w:tcW w:w="380" w:type="dxa"/>
            <w:vAlign w:val="bottom"/>
            <w:tcBorders>
              <w:bottom w:val="single" w:sz="8" w:color="0C6DFF"/>
            </w:tcBorders>
            <w:vMerge w:val="continue"/>
          </w:tcPr>
          <w:p>
            <w:pPr>
              <w:spacing w:after="0"/>
              <w:rPr>
                <w:sz w:val="19"/>
                <w:szCs w:val="19"/>
                <w:color w:val="auto"/>
              </w:rPr>
            </w:pPr>
          </w:p>
        </w:tc>
        <w:tc>
          <w:tcPr>
            <w:tcW w:w="860" w:type="dxa"/>
            <w:vAlign w:val="bottom"/>
            <w:tcBorders>
              <w:bottom w:val="single" w:sz="8" w:color="0C6DFF"/>
            </w:tcBorders>
            <w:vMerge w:val="continue"/>
          </w:tcPr>
          <w:p>
            <w:pPr>
              <w:spacing w:after="0"/>
              <w:rPr>
                <w:sz w:val="19"/>
                <w:szCs w:val="19"/>
                <w:color w:val="auto"/>
              </w:rPr>
            </w:pPr>
          </w:p>
        </w:tc>
        <w:tc>
          <w:tcPr>
            <w:tcW w:w="320" w:type="dxa"/>
            <w:vAlign w:val="bottom"/>
            <w:tcBorders>
              <w:bottom w:val="single" w:sz="8" w:color="0C6DFF"/>
            </w:tcBorders>
            <w:vMerge w:val="continue"/>
          </w:tcPr>
          <w:p>
            <w:pPr>
              <w:spacing w:after="0"/>
              <w:rPr>
                <w:sz w:val="19"/>
                <w:szCs w:val="19"/>
                <w:color w:val="auto"/>
              </w:rPr>
            </w:pPr>
          </w:p>
        </w:tc>
        <w:tc>
          <w:tcPr>
            <w:tcW w:w="860" w:type="dxa"/>
            <w:vAlign w:val="bottom"/>
            <w:tcBorders>
              <w:bottom w:val="single" w:sz="8" w:color="0C6DFF"/>
            </w:tcBorders>
            <w:vMerge w:val="continue"/>
          </w:tcPr>
          <w:p>
            <w:pPr>
              <w:spacing w:after="0"/>
              <w:rPr>
                <w:sz w:val="19"/>
                <w:szCs w:val="19"/>
                <w:color w:val="auto"/>
              </w:rPr>
            </w:pPr>
          </w:p>
        </w:tc>
        <w:tc>
          <w:tcPr>
            <w:tcW w:w="360" w:type="dxa"/>
            <w:vAlign w:val="bottom"/>
            <w:tcBorders>
              <w:bottom w:val="single" w:sz="8" w:color="0C6DFF"/>
            </w:tcBorders>
            <w:vMerge w:val="continue"/>
          </w:tcPr>
          <w:p>
            <w:pPr>
              <w:spacing w:after="0"/>
              <w:rPr>
                <w:sz w:val="19"/>
                <w:szCs w:val="19"/>
                <w:color w:val="auto"/>
              </w:rPr>
            </w:pPr>
          </w:p>
        </w:tc>
        <w:tc>
          <w:tcPr>
            <w:tcW w:w="1260" w:type="dxa"/>
            <w:vAlign w:val="bottom"/>
            <w:tcBorders>
              <w:bottom w:val="single" w:sz="8" w:color="0C6DFF"/>
            </w:tcBorders>
            <w:vMerge w:val="continue"/>
          </w:tcPr>
          <w:p>
            <w:pPr>
              <w:spacing w:after="0"/>
              <w:rPr>
                <w:sz w:val="19"/>
                <w:szCs w:val="19"/>
                <w:color w:val="auto"/>
              </w:rPr>
            </w:pPr>
          </w:p>
        </w:tc>
        <w:tc>
          <w:tcPr>
            <w:tcW w:w="1480" w:type="dxa"/>
            <w:vAlign w:val="bottom"/>
            <w:tcBorders>
              <w:bottom w:val="single" w:sz="8" w:color="0C6DFF"/>
            </w:tcBorders>
            <w:vMerge w:val="continue"/>
          </w:tcPr>
          <w:p>
            <w:pPr>
              <w:spacing w:after="0"/>
              <w:rPr>
                <w:sz w:val="19"/>
                <w:szCs w:val="19"/>
                <w:color w:val="auto"/>
              </w:rPr>
            </w:pPr>
          </w:p>
        </w:tc>
        <w:tc>
          <w:tcPr>
            <w:tcW w:w="1120" w:type="dxa"/>
            <w:vAlign w:val="bottom"/>
            <w:tcBorders>
              <w:bottom w:val="single" w:sz="8" w:color="0C6D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46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0C6DFF"/>
            </w:tcBorders>
          </w:tcPr>
          <w:p>
            <w:pPr>
              <w:ind w:left="20"/>
              <w:spacing w:after="0" w:line="22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color w:val="auto"/>
                <w:vertAlign w:val="superscript"/>
              </w:rPr>
              <w:t>(a)</w:t>
            </w:r>
          </w:p>
        </w:tc>
        <w:tc>
          <w:tcPr>
            <w:tcW w:w="38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34,708</w:t>
            </w:r>
          </w:p>
        </w:tc>
        <w:tc>
          <w:tcPr>
            <w:tcW w:w="32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30,826</w:t>
            </w:r>
          </w:p>
        </w:tc>
        <w:tc>
          <w:tcPr>
            <w:tcW w:w="36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0C6DFF"/>
            </w:tcBorders>
          </w:tcPr>
          <w:p>
            <w:pPr>
              <w:jc w:val="right"/>
              <w:ind w:right="331"/>
              <w:spacing w:after="0"/>
              <w:rPr>
                <w:sz w:val="20"/>
                <w:szCs w:val="20"/>
                <w:color w:val="auto"/>
              </w:rPr>
            </w:pPr>
            <w:r>
              <w:rPr>
                <w:rFonts w:ascii="Arial" w:cs="Arial" w:eastAsia="Arial" w:hAnsi="Arial"/>
                <w:sz w:val="18"/>
                <w:szCs w:val="18"/>
                <w:color w:val="auto"/>
              </w:rPr>
              <w:t>34,258</w:t>
            </w:r>
          </w:p>
        </w:tc>
        <w:tc>
          <w:tcPr>
            <w:tcW w:w="1480" w:type="dxa"/>
            <w:vAlign w:val="bottom"/>
            <w:tcBorders>
              <w:bottom w:val="single" w:sz="8" w:color="0C6DFF"/>
            </w:tcBorders>
          </w:tcPr>
          <w:p>
            <w:pPr>
              <w:jc w:val="right"/>
              <w:ind w:right="252"/>
              <w:spacing w:after="0"/>
              <w:rPr>
                <w:sz w:val="20"/>
                <w:szCs w:val="20"/>
                <w:color w:val="auto"/>
              </w:rPr>
            </w:pPr>
            <w:r>
              <w:rPr>
                <w:rFonts w:ascii="Arial" w:cs="Arial" w:eastAsia="Arial" w:hAnsi="Arial"/>
                <w:sz w:val="18"/>
                <w:szCs w:val="18"/>
                <w:b w:val="1"/>
                <w:bCs w:val="1"/>
                <w:color w:val="auto"/>
              </w:rPr>
              <w:t>12.6 %</w:t>
            </w:r>
          </w:p>
        </w:tc>
        <w:tc>
          <w:tcPr>
            <w:tcW w:w="11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5" w:lineRule="exact"/>
        <w:rPr>
          <w:sz w:val="20"/>
          <w:szCs w:val="20"/>
          <w:color w:val="auto"/>
        </w:rPr>
      </w:pPr>
    </w:p>
    <w:p>
      <w:pPr>
        <w:ind w:left="260" w:hanging="252"/>
        <w:spacing w:after="0" w:line="273" w:lineRule="auto"/>
        <w:tabs>
          <w:tab w:leader="none" w:pos="25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 section on page 52 for additional information, including our definition and our use of Adjusted EBITDA, and for a reconciliation from net income attributable to Comcast Corporation to Adjusted EBITDA.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graph illustrates the contributions to the change in consolidated revenue made by our Cable Communications, NBCUniversal and Sky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48895</wp:posOffset>
            </wp:positionV>
            <wp:extent cx="4517390" cy="2288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451739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 in revenue from 2020 to 2021 were as follows: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Growth in our NBCUniversal segments driven by increased revenue in the Media, Theme Parks and Studios segments.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Growth in our Cable Communications segment driven by increased broadband, wireless, business services, advertising, video and other revenue, partially offset by decreased voice revenue.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Growth in our Sky segment driven by increased advertising and direct-to-consumer revenue, partially offset by decreased content revenue, as well as the impact of foreign currency translation.</w:t>
      </w:r>
    </w:p>
    <w:p>
      <w:pPr>
        <w:spacing w:after="0" w:line="62" w:lineRule="exact"/>
        <w:rPr>
          <w:sz w:val="20"/>
          <w:szCs w:val="20"/>
          <w:color w:val="auto"/>
        </w:rPr>
      </w:pPr>
    </w:p>
    <w:p>
      <w:pPr>
        <w:ind w:right="2120"/>
        <w:spacing w:after="0" w:line="375" w:lineRule="auto"/>
        <w:rPr>
          <w:sz w:val="20"/>
          <w:szCs w:val="20"/>
          <w:color w:val="auto"/>
        </w:rPr>
      </w:pPr>
      <w:r>
        <w:rPr>
          <w:rFonts w:ascii="Arial" w:cs="Arial" w:eastAsia="Arial" w:hAnsi="Arial"/>
          <w:sz w:val="18"/>
          <w:szCs w:val="18"/>
          <w:color w:val="auto"/>
        </w:rPr>
        <w:t xml:space="preserve">Revenue for our segments and other businesses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graph illustrates the contributions to the change in consolidated operating costs and expenses, representing total costs and expenses excluding depreciation and amortization expense, made by our Cable Communications, NBCUniversal and Sky segments, as well as by Corporate and Other activities, including adjustments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57150</wp:posOffset>
            </wp:positionV>
            <wp:extent cx="4517390" cy="25203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451739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 in operating costs and expenses from 2020 to 2021 were as follows:</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NBCUniversal expenses due to increases in our Media, Studios and Theme Parks segments.</w:t>
      </w:r>
    </w:p>
    <w:p>
      <w:pPr>
        <w:spacing w:after="0" w:line="117"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Cable Communications segment expenses due to increased programming expenses, technical and product support costs, franchise and other regulatory fees, and advertising, marketing and promotion expenses, partially offset by a decrease in other expenses and customer service expenses.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Sky segment expenses primarily due to increases in direct network costs and other expenses, partially offset by decreases in programming and production costs, as well as the impacts of foreign currency translation.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in Corporate and Other expenses primarily due to severance charges related to our businesses in the prior year period.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costs and expenses for 2020 also includes an adjustment of $177 million related to a legal settlement that was excluded from Adjusted EBITDA and our segment operating results.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costs and expenses for our segments and our corporate operations, business development initiatives and other businesses are discussed separately below under the heading “Segment Operating Results.”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Consolidated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16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20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6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2019</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2020 to 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r>
      <w:tr>
        <w:trPr>
          <w:trHeight w:val="224"/>
        </w:trPr>
        <w:tc>
          <w:tcPr>
            <w:tcW w:w="360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7,811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7,753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3"/>
              <w:spacing w:after="0"/>
              <w:rPr>
                <w:sz w:val="20"/>
                <w:szCs w:val="20"/>
                <w:color w:val="auto"/>
              </w:rPr>
            </w:pPr>
            <w:r>
              <w:rPr>
                <w:rFonts w:ascii="Arial" w:cs="Arial" w:eastAsia="Arial" w:hAnsi="Arial"/>
                <w:sz w:val="18"/>
                <w:szCs w:val="18"/>
                <w:color w:val="auto"/>
              </w:rPr>
              <w:t>7,994</w:t>
            </w:r>
          </w:p>
        </w:tc>
        <w:tc>
          <w:tcPr>
            <w:tcW w:w="1380" w:type="dxa"/>
            <w:vAlign w:val="bottom"/>
          </w:tcPr>
          <w:p>
            <w:pPr>
              <w:jc w:val="right"/>
              <w:ind w:right="195"/>
              <w:spacing w:after="0"/>
              <w:rPr>
                <w:sz w:val="20"/>
                <w:szCs w:val="20"/>
                <w:color w:val="auto"/>
              </w:rPr>
            </w:pPr>
            <w:r>
              <w:rPr>
                <w:rFonts w:ascii="Arial" w:cs="Arial" w:eastAsia="Arial" w:hAnsi="Arial"/>
                <w:sz w:val="18"/>
                <w:szCs w:val="18"/>
                <w:b w:val="1"/>
                <w:bCs w:val="1"/>
                <w:color w:val="auto"/>
              </w:rPr>
              <w:t>0.7 %</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2,466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2,307</w:t>
            </w:r>
          </w:p>
        </w:tc>
        <w:tc>
          <w:tcPr>
            <w:tcW w:w="34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Arial" w:cs="Arial" w:eastAsia="Arial" w:hAnsi="Arial"/>
                <w:sz w:val="18"/>
                <w:szCs w:val="18"/>
                <w:color w:val="auto"/>
              </w:rPr>
              <w:t>2,129</w:t>
            </w:r>
          </w:p>
        </w:tc>
        <w:tc>
          <w:tcPr>
            <w:tcW w:w="1380" w:type="dxa"/>
            <w:vAlign w:val="bottom"/>
          </w:tcPr>
          <w:p>
            <w:pPr>
              <w:jc w:val="right"/>
              <w:ind w:right="435"/>
              <w:spacing w:after="0"/>
              <w:rPr>
                <w:sz w:val="20"/>
                <w:szCs w:val="20"/>
                <w:color w:val="auto"/>
              </w:rPr>
            </w:pPr>
            <w:r>
              <w:rPr>
                <w:rFonts w:ascii="Arial" w:cs="Arial" w:eastAsia="Arial" w:hAnsi="Arial"/>
                <w:sz w:val="18"/>
                <w:szCs w:val="18"/>
                <w:b w:val="1"/>
                <w:bCs w:val="1"/>
                <w:color w:val="auto"/>
              </w:rPr>
              <w:t>6.9</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8.4</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Sky</w:t>
            </w:r>
          </w:p>
        </w:tc>
        <w:tc>
          <w:tcPr>
            <w:tcW w:w="1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3,379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3,034</w:t>
            </w:r>
          </w:p>
        </w:tc>
        <w:tc>
          <w:tcPr>
            <w:tcW w:w="34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Arial" w:cs="Arial" w:eastAsia="Arial" w:hAnsi="Arial"/>
                <w:sz w:val="18"/>
                <w:szCs w:val="18"/>
                <w:color w:val="auto"/>
              </w:rPr>
              <w:t>2,699</w:t>
            </w:r>
          </w:p>
        </w:tc>
        <w:tc>
          <w:tcPr>
            <w:tcW w:w="1380" w:type="dxa"/>
            <w:vAlign w:val="bottom"/>
          </w:tcPr>
          <w:p>
            <w:pPr>
              <w:jc w:val="right"/>
              <w:ind w:right="435"/>
              <w:spacing w:after="0"/>
              <w:rPr>
                <w:sz w:val="20"/>
                <w:szCs w:val="20"/>
                <w:color w:val="auto"/>
              </w:rPr>
            </w:pPr>
            <w:r>
              <w:rPr>
                <w:rFonts w:ascii="Arial" w:cs="Arial" w:eastAsia="Arial" w:hAnsi="Arial"/>
                <w:sz w:val="18"/>
                <w:szCs w:val="18"/>
                <w:b w:val="1"/>
                <w:bCs w:val="1"/>
                <w:color w:val="auto"/>
              </w:rPr>
              <w:t>11.4</w:t>
            </w:r>
          </w:p>
        </w:tc>
        <w:tc>
          <w:tcPr>
            <w:tcW w:w="1160" w:type="dxa"/>
            <w:vAlign w:val="bottom"/>
          </w:tcPr>
          <w:p>
            <w:pPr>
              <w:jc w:val="right"/>
              <w:ind w:right="475"/>
              <w:spacing w:after="0"/>
              <w:rPr>
                <w:sz w:val="20"/>
                <w:szCs w:val="20"/>
                <w:color w:val="auto"/>
              </w:rPr>
            </w:pPr>
            <w:r>
              <w:rPr>
                <w:rFonts w:ascii="Arial" w:cs="Arial" w:eastAsia="Arial" w:hAnsi="Arial"/>
                <w:sz w:val="18"/>
                <w:szCs w:val="18"/>
                <w:color w:val="auto"/>
              </w:rPr>
              <w:t>12.4</w:t>
            </w:r>
          </w:p>
        </w:tc>
      </w:tr>
      <w:tr>
        <w:trPr>
          <w:trHeight w:val="234"/>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and Other</w:t>
            </w:r>
          </w:p>
        </w:tc>
        <w:tc>
          <w:tcPr>
            <w:tcW w:w="1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131</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NM</w:t>
            </w: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(96.0)</w:t>
            </w:r>
          </w:p>
        </w:tc>
      </w:tr>
      <w:tr>
        <w:trPr>
          <w:trHeight w:val="223"/>
        </w:trPr>
        <w:tc>
          <w:tcPr>
            <w:tcW w:w="360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168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13,804</w:t>
            </w:r>
          </w:p>
        </w:tc>
        <w:tc>
          <w:tcPr>
            <w:tcW w:w="34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13,100</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0C6DFF"/>
            </w:tcBorders>
          </w:tcPr>
          <w:p>
            <w:pPr>
              <w:jc w:val="right"/>
              <w:ind w:right="313"/>
              <w:spacing w:after="0"/>
              <w:rPr>
                <w:sz w:val="20"/>
                <w:szCs w:val="20"/>
                <w:color w:val="auto"/>
              </w:rPr>
            </w:pPr>
            <w:r>
              <w:rPr>
                <w:rFonts w:ascii="Arial" w:cs="Arial" w:eastAsia="Arial" w:hAnsi="Arial"/>
                <w:sz w:val="18"/>
                <w:szCs w:val="18"/>
                <w:color w:val="auto"/>
              </w:rPr>
              <w:t>12,953</w:t>
            </w:r>
          </w:p>
        </w:tc>
        <w:tc>
          <w:tcPr>
            <w:tcW w:w="1380" w:type="dxa"/>
            <w:vAlign w:val="bottom"/>
            <w:tcBorders>
              <w:bottom w:val="single" w:sz="8" w:color="0C6DFF"/>
            </w:tcBorders>
          </w:tcPr>
          <w:p>
            <w:pPr>
              <w:jc w:val="right"/>
              <w:ind w:right="195"/>
              <w:spacing w:after="0"/>
              <w:rPr>
                <w:sz w:val="20"/>
                <w:szCs w:val="20"/>
                <w:color w:val="auto"/>
              </w:rPr>
            </w:pPr>
            <w:r>
              <w:rPr>
                <w:rFonts w:ascii="Arial" w:cs="Arial" w:eastAsia="Arial" w:hAnsi="Arial"/>
                <w:sz w:val="18"/>
                <w:szCs w:val="18"/>
                <w:b w:val="1"/>
                <w:bCs w:val="1"/>
                <w:color w:val="auto"/>
              </w:rPr>
              <w:t>5.4 %</w:t>
            </w:r>
          </w:p>
        </w:tc>
        <w:tc>
          <w:tcPr>
            <w:tcW w:w="11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 depreciation and amortization expense increased in 2021 primarily due to the impacts of foreign currency and increased amortization of software. NBCUniversal depreciation and amortization expense increased primarily due to the opening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Universal Beijing Resort in September 2021. Cable Communications depreciation and amortization expense increased primarily due to increased spending on scalable infrastructure and line extensions.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from acquisition-related intangible assets totaled $2.4 billion, $2.3 billion and $2.0 billion for 2021, 2020 and 2019, respectively. Amounts primarily relate to customer relationship intangible assets recorded in connection with the Sky transaction in the fourth quarter of 2018 and the NBCUniversal transaction in 2011.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in 2021 compared to 2020 primarily due to $360 million of charges recorded in 2020 related to the early redemption of senior notes compared to $204 million of charges related to early redemptions in 2021, as well as a decrease in average debt outstanding and lower weighted-average interest rates.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9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24"/>
        </w:trPr>
        <w:tc>
          <w:tcPr>
            <w:tcW w:w="6140" w:type="dxa"/>
            <w:vAlign w:val="bottom"/>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19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ind w:left="214"/>
              <w:spacing w:after="0"/>
              <w:rPr>
                <w:sz w:val="20"/>
                <w:szCs w:val="20"/>
                <w:color w:val="auto"/>
              </w:rPr>
            </w:pPr>
            <w:r>
              <w:rPr>
                <w:rFonts w:ascii="Arial" w:cs="Arial" w:eastAsia="Arial" w:hAnsi="Arial"/>
                <w:sz w:val="18"/>
                <w:szCs w:val="18"/>
                <w:color w:val="auto"/>
                <w:w w:val="95"/>
              </w:rPr>
              <w:t>(505)</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Realized and unrealized gains (losses) on equity securities, net</w:t>
            </w:r>
          </w:p>
        </w:tc>
        <w:tc>
          <w:tcPr>
            <w:tcW w:w="1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1,014</w:t>
            </w:r>
          </w:p>
        </w:tc>
        <w:tc>
          <w:tcPr>
            <w:tcW w:w="440" w:type="dxa"/>
            <w:vAlign w:val="bottom"/>
          </w:tcPr>
          <w:p>
            <w:pPr>
              <w:spacing w:after="0"/>
              <w:rPr>
                <w:sz w:val="19"/>
                <w:szCs w:val="19"/>
                <w:color w:val="auto"/>
              </w:rPr>
            </w:pPr>
          </w:p>
        </w:tc>
        <w:tc>
          <w:tcPr>
            <w:tcW w:w="740" w:type="dxa"/>
            <w:vAlign w:val="bottom"/>
          </w:tcPr>
          <w:p>
            <w:pPr>
              <w:jc w:val="center"/>
              <w:ind w:left="234"/>
              <w:spacing w:after="0"/>
              <w:rPr>
                <w:sz w:val="20"/>
                <w:szCs w:val="20"/>
                <w:color w:val="auto"/>
              </w:rPr>
            </w:pPr>
            <w:r>
              <w:rPr>
                <w:rFonts w:ascii="Arial" w:cs="Arial" w:eastAsia="Arial" w:hAnsi="Arial"/>
                <w:sz w:val="18"/>
                <w:szCs w:val="18"/>
                <w:color w:val="auto"/>
                <w:w w:val="86"/>
              </w:rPr>
              <w:t>656</w:t>
            </w:r>
          </w:p>
        </w:tc>
      </w:tr>
      <w:tr>
        <w:trPr>
          <w:trHeight w:val="234"/>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(loss), net</w:t>
            </w:r>
          </w:p>
        </w:tc>
        <w:tc>
          <w:tcPr>
            <w:tcW w:w="19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86"/>
              </w:rPr>
              <w:t>287</w:t>
            </w:r>
          </w:p>
        </w:tc>
      </w:tr>
      <w:tr>
        <w:trPr>
          <w:trHeight w:val="223"/>
        </w:trPr>
        <w:tc>
          <w:tcPr>
            <w:tcW w:w="614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investment and other income (loss), net</w:t>
            </w:r>
          </w:p>
        </w:tc>
        <w:tc>
          <w:tcPr>
            <w:tcW w:w="198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2,557</w:t>
            </w:r>
          </w:p>
        </w:tc>
        <w:tc>
          <w:tcPr>
            <w:tcW w:w="40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1,160</w:t>
            </w:r>
          </w:p>
        </w:tc>
        <w:tc>
          <w:tcPr>
            <w:tcW w:w="44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0C6DFF"/>
            </w:tcBorders>
          </w:tcPr>
          <w:p>
            <w:pPr>
              <w:jc w:val="center"/>
              <w:ind w:left="234"/>
              <w:spacing w:after="0"/>
              <w:rPr>
                <w:sz w:val="20"/>
                <w:szCs w:val="20"/>
                <w:color w:val="auto"/>
              </w:rPr>
            </w:pPr>
            <w:r>
              <w:rPr>
                <w:rFonts w:ascii="Arial" w:cs="Arial" w:eastAsia="Arial" w:hAnsi="Arial"/>
                <w:sz w:val="18"/>
                <w:szCs w:val="18"/>
                <w:color w:val="auto"/>
                <w:w w:val="86"/>
              </w:rPr>
              <w:t>438</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change in investment and other income (loss), net in 2021 compared to 2020 was primarily due to equity in net income (losses) of investees, net related to our investment in Atairos and realized and unrealized gains (losses) on equity securities, net. The income (losses) at Atairos were driven by fair value adjustments on its underlying investments with income (loss) of $1.8 billion, $286 million and $(64) million 2021, 2020 and 2019, respectively. Realized and unrealized gains (losses) on equity securities, net in 2021 primarily included gains related to nonmarketable equity securities and losses on certain marketable securities, compared to the prior year period which primarily included gains on nonmarketable securities.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Consolidated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in 2021 and 2020 was 27.5% and 23.9%, respectively.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2021, the effective income tax rate included $498 million of expense relating to the impact of tax law changes enacted in the United Kingdom in the second quarter of 2021, which, among other provisions, will increase the corporate tax rate to 25% from 19% effective April 1, 2023. The rate change resulted in an increase in our net deferred tax liabilities and a corresponding increase in income tax expense. Our income tax expense will reflect the new rate in the United Kingdom in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 2020, the effective income tax rate included $145 million of expense relating to the impact of tax law changes in the third quarter of 2020.</w:t>
      </w:r>
    </w:p>
    <w:p>
      <w:pPr>
        <w:spacing w:after="0" w:line="166" w:lineRule="exact"/>
        <w:rPr>
          <w:sz w:val="20"/>
          <w:szCs w:val="20"/>
          <w:color w:val="auto"/>
        </w:rPr>
      </w:pPr>
    </w:p>
    <w:p>
      <w:pPr>
        <w:ind w:left="20" w:right="880"/>
        <w:spacing w:after="0" w:line="274" w:lineRule="auto"/>
        <w:rPr>
          <w:sz w:val="20"/>
          <w:szCs w:val="20"/>
          <w:color w:val="auto"/>
        </w:rPr>
      </w:pPr>
      <w:r>
        <w:rPr>
          <w:rFonts w:ascii="Arial" w:cs="Arial" w:eastAsia="Arial" w:hAnsi="Arial"/>
          <w:sz w:val="22"/>
          <w:szCs w:val="22"/>
          <w:b w:val="1"/>
          <w:bCs w:val="1"/>
          <w:color w:val="006EBF"/>
        </w:rPr>
        <w:t>Consolidated Net Income (Loss) Attributable to Noncontrolling Interests and Redeemable Subsidiary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15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changes in net income (loss) attributable to noncontrolling interests and redeemable subsidiary preferred stock in 2021 compared to 2020 was primarily due to losses at Universal Beijing Resort, which increased due to pre-opening costs prior to its opening in September 2021 (see Note 7).</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Adjusted EBITDA as the measure of profit or loss for our operating segments.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2 for our definition of Adjusted EBITDA and a reconciliation from the aggregate amount of Adjusted EBITDA for our reportable business segments to consolidated income before income taxes.</w:t>
      </w:r>
    </w:p>
    <w:p>
      <w:pPr>
        <w:spacing w:after="0" w:line="200" w:lineRule="exact"/>
        <w:rPr>
          <w:sz w:val="20"/>
          <w:szCs w:val="20"/>
          <w:color w:val="auto"/>
        </w:rPr>
      </w:pPr>
    </w:p>
    <w:p>
      <w:pPr>
        <w:spacing w:after="0" w:line="29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39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6EB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151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6EBF"/>
        </w:rPr>
        <w:t>Revenue and Adjusted EBITDA</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Residential Customer Relationships</w:t>
      </w:r>
    </w:p>
    <w:p>
      <w:pPr>
        <w:spacing w:after="0" w:line="173" w:lineRule="exact"/>
        <w:rPr>
          <w:sz w:val="20"/>
          <w:szCs w:val="20"/>
          <w:color w:val="auto"/>
        </w:rPr>
      </w:pPr>
    </w:p>
    <w:p>
      <w:pPr>
        <w:sectPr>
          <w:pgSz w:w="11900" w:h="16838" w:orient="portrait"/>
          <w:cols w:equalWidth="0" w:num="2">
            <w:col w:w="4180" w:space="720"/>
            <w:col w:w="63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132715</wp:posOffset>
            </wp:positionV>
            <wp:extent cx="7115175" cy="24949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15175" cy="2494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720"/>
            <w:col w:w="63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(in millions)</w:t>
            </w:r>
          </w:p>
        </w:tc>
        <w:tc>
          <w:tcPr>
            <w:tcW w:w="1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4"/>
                <w:szCs w:val="14"/>
                <w:color w:val="auto"/>
              </w:rPr>
            </w:pPr>
          </w:p>
        </w:tc>
        <w:tc>
          <w:tcPr>
            <w:tcW w:w="1200" w:type="dxa"/>
            <w:vAlign w:val="bottom"/>
            <w:vMerge w:val="restart"/>
          </w:tcPr>
          <w:p>
            <w:pPr>
              <w:jc w:val="right"/>
              <w:ind w:right="311"/>
              <w:spacing w:after="0"/>
              <w:rPr>
                <w:sz w:val="20"/>
                <w:szCs w:val="20"/>
                <w:color w:val="auto"/>
              </w:rPr>
            </w:pPr>
            <w:r>
              <w:rPr>
                <w:rFonts w:ascii="Arial" w:cs="Arial" w:eastAsia="Arial" w:hAnsi="Arial"/>
                <w:sz w:val="14"/>
                <w:szCs w:val="14"/>
                <w:color w:val="auto"/>
              </w:rPr>
              <w:t>2019</w:t>
            </w:r>
          </w:p>
        </w:tc>
        <w:tc>
          <w:tcPr>
            <w:tcW w:w="1560" w:type="dxa"/>
            <w:vAlign w:val="bottom"/>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 to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c>
          <w:tcPr>
            <w:tcW w:w="0" w:type="dxa"/>
            <w:vAlign w:val="bottom"/>
          </w:tcPr>
          <w:p>
            <w:pPr>
              <w:spacing w:after="0"/>
              <w:rPr>
                <w:sz w:val="1"/>
                <w:szCs w:val="1"/>
                <w:color w:val="auto"/>
              </w:rPr>
            </w:pP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Residential:</w:t>
            </w: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22,979</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11.6 %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360"/>
              <w:spacing w:after="0"/>
              <w:rPr>
                <w:sz w:val="20"/>
                <w:szCs w:val="20"/>
                <w:color w:val="auto"/>
              </w:rPr>
            </w:pPr>
            <w:r>
              <w:rPr>
                <w:rFonts w:ascii="Arial" w:cs="Arial" w:eastAsia="Arial" w:hAnsi="Arial"/>
                <w:sz w:val="18"/>
                <w:szCs w:val="18"/>
                <w:color w:val="auto"/>
              </w:rPr>
              <w:t>Broadband</w:t>
            </w:r>
          </w:p>
        </w:tc>
        <w:tc>
          <w:tcPr>
            <w:tcW w:w="1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20,599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18,752</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Video</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22,079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21,937</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22,270</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0.6</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Voice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3,417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3,532</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3,879</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(3.3)</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Wireless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2,380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1,574</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1,167</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51.2</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8,933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8,191</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7,795</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9.1</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Advertising</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2,820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2,594</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2,465</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8.7</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1,719</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1,754</w:t>
            </w: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5.9</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64,328</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60,051</w:t>
            </w:r>
          </w:p>
        </w:tc>
        <w:tc>
          <w:tcPr>
            <w:tcW w:w="34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58,082</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7.1</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20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14,285</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vMerge w:val="restart"/>
          </w:tcPr>
          <w:p>
            <w:pPr>
              <w:jc w:val="right"/>
              <w:ind w:right="532"/>
              <w:spacing w:after="0"/>
              <w:rPr>
                <w:sz w:val="20"/>
                <w:szCs w:val="20"/>
                <w:color w:val="auto"/>
              </w:rPr>
            </w:pPr>
            <w:r>
              <w:rPr>
                <w:rFonts w:ascii="Arial" w:cs="Arial" w:eastAsia="Arial" w:hAnsi="Arial"/>
                <w:sz w:val="18"/>
                <w:szCs w:val="18"/>
                <w:b w:val="1"/>
                <w:bCs w:val="1"/>
                <w:color w:val="auto"/>
              </w:rPr>
              <w:t>5.8</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Arial" w:cs="Arial" w:eastAsia="Arial" w:hAnsi="Arial"/>
                <w:sz w:val="18"/>
                <w:szCs w:val="18"/>
                <w:color w:val="auto"/>
              </w:rPr>
              <w:t>Programming</w:t>
            </w:r>
          </w:p>
        </w:tc>
        <w:tc>
          <w:tcPr>
            <w:tcW w:w="1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13,498</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13,389</w:t>
            </w:r>
          </w:p>
        </w:tc>
        <w:tc>
          <w:tcPr>
            <w:tcW w:w="1560" w:type="dxa"/>
            <w:vAlign w:val="bottom"/>
            <w:vMerge w:val="continue"/>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Technical and product support</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8,566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8,022</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7,973</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6.8</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Customer service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2,347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2,432</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2,494</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(3.5)</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Advertising, marketing and promotion</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3,938</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3,759</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4,014</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4.8</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Franchise and other regulatory fees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1,806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1,625</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1,582</w:t>
            </w:r>
          </w:p>
        </w:tc>
        <w:tc>
          <w:tcPr>
            <w:tcW w:w="1560" w:type="dxa"/>
            <w:vAlign w:val="bottom"/>
          </w:tcPr>
          <w:p>
            <w:pPr>
              <w:jc w:val="right"/>
              <w:ind w:right="532"/>
              <w:spacing w:after="0"/>
              <w:rPr>
                <w:sz w:val="20"/>
                <w:szCs w:val="20"/>
                <w:color w:val="auto"/>
              </w:rPr>
            </w:pPr>
            <w:r>
              <w:rPr>
                <w:rFonts w:ascii="Arial" w:cs="Arial" w:eastAsia="Arial" w:hAnsi="Arial"/>
                <w:sz w:val="18"/>
                <w:szCs w:val="18"/>
                <w:b w:val="1"/>
                <w:bCs w:val="1"/>
                <w:color w:val="auto"/>
              </w:rPr>
              <w:t>11.1</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5,290</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5,364</w:t>
            </w:r>
          </w:p>
        </w:tc>
        <w:tc>
          <w:tcPr>
            <w:tcW w:w="15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(2.8)</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36,231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34,781</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34,816</w:t>
            </w: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4.2</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28,097</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25,270</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0C6DFF"/>
            </w:tcBorders>
          </w:tcPr>
          <w:p>
            <w:pPr>
              <w:jc w:val="right"/>
              <w:ind w:right="371"/>
              <w:spacing w:after="0"/>
              <w:rPr>
                <w:sz w:val="20"/>
                <w:szCs w:val="20"/>
                <w:color w:val="auto"/>
              </w:rPr>
            </w:pPr>
            <w:r>
              <w:rPr>
                <w:rFonts w:ascii="Arial" w:cs="Arial" w:eastAsia="Arial" w:hAnsi="Arial"/>
                <w:sz w:val="18"/>
                <w:szCs w:val="18"/>
                <w:color w:val="auto"/>
              </w:rPr>
              <w:t>23,266</w:t>
            </w:r>
          </w:p>
        </w:tc>
        <w:tc>
          <w:tcPr>
            <w:tcW w:w="1560" w:type="dxa"/>
            <w:vAlign w:val="bottom"/>
            <w:tcBorders>
              <w:bottom w:val="single" w:sz="8" w:color="0C6DFF"/>
            </w:tcBorders>
          </w:tcPr>
          <w:p>
            <w:pPr>
              <w:jc w:val="right"/>
              <w:ind w:right="312"/>
              <w:spacing w:after="0"/>
              <w:rPr>
                <w:sz w:val="20"/>
                <w:szCs w:val="20"/>
                <w:color w:val="auto"/>
              </w:rPr>
            </w:pPr>
            <w:r>
              <w:rPr>
                <w:rFonts w:ascii="Arial" w:cs="Arial" w:eastAsia="Arial" w:hAnsi="Arial"/>
                <w:sz w:val="18"/>
                <w:szCs w:val="18"/>
                <w:b w:val="1"/>
                <w:bCs w:val="1"/>
                <w:color w:val="auto"/>
              </w:rPr>
              <w:t>11.2 %</w:t>
            </w:r>
          </w:p>
        </w:tc>
        <w:tc>
          <w:tcPr>
            <w:tcW w:w="1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684"/>
        </w:trPr>
        <w:tc>
          <w:tcPr>
            <w:tcW w:w="380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120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40</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8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Customer Metrics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2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520" w:type="dxa"/>
            <w:vAlign w:val="bottom"/>
            <w:tcBorders>
              <w:top w:val="single" w:sz="8" w:color="auto"/>
              <w:bottom w:val="single" w:sz="8" w:color="auto"/>
            </w:tcBorders>
            <w:gridSpan w:val="2"/>
          </w:tcPr>
          <w:p>
            <w:pPr>
              <w:jc w:val="right"/>
              <w:ind w:right="131"/>
              <w:spacing w:after="0"/>
              <w:rPr>
                <w:sz w:val="20"/>
                <w:szCs w:val="20"/>
                <w:color w:val="auto"/>
              </w:rPr>
            </w:pPr>
            <w:r>
              <w:rPr>
                <w:rFonts w:ascii="Arial" w:cs="Arial" w:eastAsia="Arial" w:hAnsi="Arial"/>
                <w:sz w:val="14"/>
                <w:szCs w:val="14"/>
                <w:color w:val="auto"/>
              </w:rPr>
              <w:t>Net Additions / (Losses)</w:t>
            </w:r>
          </w:p>
        </w:tc>
        <w:tc>
          <w:tcPr>
            <w:tcW w:w="6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4"/>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Customer relationships</w:t>
            </w:r>
          </w:p>
        </w:tc>
        <w:tc>
          <w:tcPr>
            <w:tcW w:w="188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31,728</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1,036</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tcPr>
          <w:p>
            <w:pPr>
              <w:ind w:left="180"/>
              <w:spacing w:after="0"/>
              <w:rPr>
                <w:sz w:val="20"/>
                <w:szCs w:val="20"/>
                <w:color w:val="auto"/>
              </w:rPr>
            </w:pPr>
            <w:r>
              <w:rPr>
                <w:rFonts w:ascii="Arial" w:cs="Arial" w:eastAsia="Arial" w:hAnsi="Arial"/>
                <w:sz w:val="18"/>
                <w:szCs w:val="18"/>
                <w:color w:val="auto"/>
              </w:rPr>
              <w:t>Residential customer relationships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30,692</w:t>
            </w:r>
          </w:p>
        </w:tc>
        <w:tc>
          <w:tcPr>
            <w:tcW w:w="820" w:type="dxa"/>
            <w:vAlign w:val="bottom"/>
          </w:tcPr>
          <w:p>
            <w:pPr>
              <w:jc w:val="right"/>
              <w:spacing w:after="0"/>
              <w:rPr>
                <w:sz w:val="20"/>
                <w:szCs w:val="20"/>
                <w:color w:val="auto"/>
              </w:rPr>
            </w:pPr>
            <w:r>
              <w:rPr>
                <w:rFonts w:ascii="Arial" w:cs="Arial" w:eastAsia="Arial" w:hAnsi="Arial"/>
                <w:sz w:val="18"/>
                <w:szCs w:val="18"/>
                <w:color w:val="auto"/>
              </w:rPr>
              <w:t>29,123</w:t>
            </w:r>
          </w:p>
        </w:tc>
        <w:tc>
          <w:tcPr>
            <w:tcW w:w="1320" w:type="dxa"/>
            <w:vAlign w:val="bottom"/>
            <w:vMerge w:val="continue"/>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1,569</w:t>
            </w:r>
          </w:p>
        </w:tc>
        <w:tc>
          <w:tcPr>
            <w:tcW w:w="680" w:type="dxa"/>
            <w:vAlign w:val="bottom"/>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Business services customer relationships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2,489</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2,426</w:t>
            </w:r>
          </w:p>
        </w:tc>
        <w:tc>
          <w:tcPr>
            <w:tcW w:w="820" w:type="dxa"/>
            <w:vAlign w:val="bottom"/>
          </w:tcPr>
          <w:p>
            <w:pPr>
              <w:jc w:val="right"/>
              <w:spacing w:after="0"/>
              <w:rPr>
                <w:sz w:val="20"/>
                <w:szCs w:val="20"/>
                <w:color w:val="auto"/>
              </w:rPr>
            </w:pPr>
            <w:r>
              <w:rPr>
                <w:rFonts w:ascii="Arial" w:cs="Arial" w:eastAsia="Arial" w:hAnsi="Arial"/>
                <w:sz w:val="18"/>
                <w:szCs w:val="18"/>
                <w:color w:val="auto"/>
              </w:rPr>
              <w:t>2,396</w:t>
            </w:r>
          </w:p>
        </w:tc>
        <w:tc>
          <w:tcPr>
            <w:tcW w:w="1320" w:type="dxa"/>
            <w:vAlign w:val="bottom"/>
          </w:tcPr>
          <w:p>
            <w:pPr>
              <w:jc w:val="right"/>
              <w:ind w:right="232"/>
              <w:spacing w:after="0"/>
              <w:rPr>
                <w:sz w:val="20"/>
                <w:szCs w:val="20"/>
                <w:color w:val="auto"/>
              </w:rPr>
            </w:pPr>
            <w:r>
              <w:rPr>
                <w:rFonts w:ascii="Arial" w:cs="Arial" w:eastAsia="Arial" w:hAnsi="Arial"/>
                <w:sz w:val="18"/>
                <w:szCs w:val="18"/>
                <w:b w:val="1"/>
                <w:bCs w:val="1"/>
                <w:color w:val="auto"/>
              </w:rPr>
              <w:t>63</w:t>
            </w: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30</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4"/>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34,218</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33,119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31,519</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1,099</w:t>
            </w: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1,599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2"/>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Residential customer relationships mix</w:t>
            </w:r>
          </w:p>
        </w:tc>
        <w:tc>
          <w:tcPr>
            <w:tcW w:w="188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14,330</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1,922</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180"/>
              <w:spacing w:after="0"/>
              <w:rPr>
                <w:sz w:val="20"/>
                <w:szCs w:val="20"/>
                <w:color w:val="auto"/>
              </w:rPr>
            </w:pPr>
            <w:r>
              <w:rPr>
                <w:rFonts w:ascii="Arial" w:cs="Arial" w:eastAsia="Arial" w:hAnsi="Arial"/>
                <w:sz w:val="18"/>
                <w:szCs w:val="18"/>
                <w:color w:val="auto"/>
              </w:rPr>
              <w:t>One product customers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12,408</w:t>
            </w:r>
          </w:p>
        </w:tc>
        <w:tc>
          <w:tcPr>
            <w:tcW w:w="820" w:type="dxa"/>
            <w:vAlign w:val="bottom"/>
          </w:tcPr>
          <w:p>
            <w:pPr>
              <w:jc w:val="right"/>
              <w:spacing w:after="0"/>
              <w:rPr>
                <w:sz w:val="20"/>
                <w:szCs w:val="20"/>
                <w:color w:val="auto"/>
              </w:rPr>
            </w:pPr>
            <w:r>
              <w:rPr>
                <w:rFonts w:ascii="Arial" w:cs="Arial" w:eastAsia="Arial" w:hAnsi="Arial"/>
                <w:sz w:val="18"/>
                <w:szCs w:val="18"/>
                <w:color w:val="auto"/>
              </w:rPr>
              <w:t>10,221</w:t>
            </w:r>
          </w:p>
        </w:tc>
        <w:tc>
          <w:tcPr>
            <w:tcW w:w="1320" w:type="dxa"/>
            <w:vAlign w:val="bottom"/>
            <w:vMerge w:val="continue"/>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2,187</w:t>
            </w:r>
          </w:p>
        </w:tc>
        <w:tc>
          <w:tcPr>
            <w:tcW w:w="680" w:type="dxa"/>
            <w:vAlign w:val="bottom"/>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Two product customers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8,407</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8,734</w:t>
            </w:r>
          </w:p>
        </w:tc>
        <w:tc>
          <w:tcPr>
            <w:tcW w:w="820" w:type="dxa"/>
            <w:vAlign w:val="bottom"/>
          </w:tcPr>
          <w:p>
            <w:pPr>
              <w:jc w:val="right"/>
              <w:spacing w:after="0"/>
              <w:rPr>
                <w:sz w:val="20"/>
                <w:szCs w:val="20"/>
                <w:color w:val="auto"/>
              </w:rPr>
            </w:pPr>
            <w:r>
              <w:rPr>
                <w:rFonts w:ascii="Arial" w:cs="Arial" w:eastAsia="Arial" w:hAnsi="Arial"/>
                <w:sz w:val="18"/>
                <w:szCs w:val="18"/>
                <w:color w:val="auto"/>
              </w:rPr>
              <w:t>8,923</w:t>
            </w:r>
          </w:p>
        </w:tc>
        <w:tc>
          <w:tcPr>
            <w:tcW w:w="1320" w:type="dxa"/>
            <w:vAlign w:val="bottom"/>
          </w:tcPr>
          <w:p>
            <w:pPr>
              <w:jc w:val="right"/>
              <w:ind w:right="192"/>
              <w:spacing w:after="0"/>
              <w:rPr>
                <w:sz w:val="20"/>
                <w:szCs w:val="20"/>
                <w:color w:val="auto"/>
              </w:rPr>
            </w:pPr>
            <w:r>
              <w:rPr>
                <w:rFonts w:ascii="Arial" w:cs="Arial" w:eastAsia="Arial" w:hAnsi="Arial"/>
                <w:sz w:val="18"/>
                <w:szCs w:val="18"/>
                <w:b w:val="1"/>
                <w:bCs w:val="1"/>
                <w:color w:val="auto"/>
              </w:rPr>
              <w:t>(328)</w:t>
            </w:r>
          </w:p>
        </w:tc>
        <w:tc>
          <w:tcPr>
            <w:tcW w:w="1200" w:type="dxa"/>
            <w:vAlign w:val="bottom"/>
          </w:tcPr>
          <w:p>
            <w:pPr>
              <w:jc w:val="right"/>
              <w:ind w:right="331"/>
              <w:spacing w:after="0"/>
              <w:rPr>
                <w:sz w:val="20"/>
                <w:szCs w:val="20"/>
                <w:color w:val="auto"/>
              </w:rPr>
            </w:pPr>
            <w:r>
              <w:rPr>
                <w:rFonts w:ascii="Arial" w:cs="Arial" w:eastAsia="Arial" w:hAnsi="Arial"/>
                <w:sz w:val="18"/>
                <w:szCs w:val="18"/>
                <w:color w:val="auto"/>
              </w:rPr>
              <w:t>(188)</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Three or more product customers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8,992</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9,550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9,979</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(558)</w:t>
            </w: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(429)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2"/>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Broadband</w:t>
            </w:r>
          </w:p>
        </w:tc>
        <w:tc>
          <w:tcPr>
            <w:tcW w:w="188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29,583</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1,257</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28,326</w:t>
            </w:r>
          </w:p>
        </w:tc>
        <w:tc>
          <w:tcPr>
            <w:tcW w:w="820" w:type="dxa"/>
            <w:vAlign w:val="bottom"/>
          </w:tcPr>
          <w:p>
            <w:pPr>
              <w:jc w:val="right"/>
              <w:spacing w:after="0"/>
              <w:rPr>
                <w:sz w:val="20"/>
                <w:szCs w:val="20"/>
                <w:color w:val="auto"/>
              </w:rPr>
            </w:pPr>
            <w:r>
              <w:rPr>
                <w:rFonts w:ascii="Arial" w:cs="Arial" w:eastAsia="Arial" w:hAnsi="Arial"/>
                <w:sz w:val="18"/>
                <w:szCs w:val="18"/>
                <w:color w:val="auto"/>
              </w:rPr>
              <w:t>26,388</w:t>
            </w:r>
          </w:p>
        </w:tc>
        <w:tc>
          <w:tcPr>
            <w:tcW w:w="1320" w:type="dxa"/>
            <w:vAlign w:val="bottom"/>
            <w:vMerge w:val="continue"/>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1,937</w:t>
            </w:r>
          </w:p>
        </w:tc>
        <w:tc>
          <w:tcPr>
            <w:tcW w:w="680" w:type="dxa"/>
            <w:vAlign w:val="bottom"/>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2,318</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2,248</w:t>
            </w:r>
          </w:p>
        </w:tc>
        <w:tc>
          <w:tcPr>
            <w:tcW w:w="820" w:type="dxa"/>
            <w:vAlign w:val="bottom"/>
          </w:tcPr>
          <w:p>
            <w:pPr>
              <w:jc w:val="right"/>
              <w:spacing w:after="0"/>
              <w:rPr>
                <w:sz w:val="20"/>
                <w:szCs w:val="20"/>
                <w:color w:val="auto"/>
              </w:rPr>
            </w:pPr>
            <w:r>
              <w:rPr>
                <w:rFonts w:ascii="Arial" w:cs="Arial" w:eastAsia="Arial" w:hAnsi="Arial"/>
                <w:sz w:val="18"/>
                <w:szCs w:val="18"/>
                <w:color w:val="auto"/>
              </w:rPr>
              <w:t>2,215</w:t>
            </w:r>
          </w:p>
        </w:tc>
        <w:tc>
          <w:tcPr>
            <w:tcW w:w="1320" w:type="dxa"/>
            <w:vAlign w:val="bottom"/>
          </w:tcPr>
          <w:p>
            <w:pPr>
              <w:jc w:val="right"/>
              <w:ind w:right="232"/>
              <w:spacing w:after="0"/>
              <w:rPr>
                <w:sz w:val="20"/>
                <w:szCs w:val="20"/>
                <w:color w:val="auto"/>
              </w:rPr>
            </w:pPr>
            <w:r>
              <w:rPr>
                <w:rFonts w:ascii="Arial" w:cs="Arial" w:eastAsia="Arial" w:hAnsi="Arial"/>
                <w:sz w:val="18"/>
                <w:szCs w:val="18"/>
                <w:b w:val="1"/>
                <w:bCs w:val="1"/>
                <w:color w:val="auto"/>
              </w:rPr>
              <w:t>70</w:t>
            </w: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34</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4"/>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broadband customers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31,901</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30,574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28,603</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1,327</w:t>
            </w: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1,971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2"/>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Video</w:t>
            </w:r>
          </w:p>
        </w:tc>
        <w:tc>
          <w:tcPr>
            <w:tcW w:w="188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17,495</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(1,498)</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2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18,993</w:t>
            </w:r>
          </w:p>
        </w:tc>
        <w:tc>
          <w:tcPr>
            <w:tcW w:w="820" w:type="dxa"/>
            <w:vAlign w:val="bottom"/>
          </w:tcPr>
          <w:p>
            <w:pPr>
              <w:jc w:val="right"/>
              <w:spacing w:after="0"/>
              <w:rPr>
                <w:sz w:val="20"/>
                <w:szCs w:val="20"/>
                <w:color w:val="auto"/>
              </w:rPr>
            </w:pPr>
            <w:r>
              <w:rPr>
                <w:rFonts w:ascii="Arial" w:cs="Arial" w:eastAsia="Arial" w:hAnsi="Arial"/>
                <w:sz w:val="18"/>
                <w:szCs w:val="18"/>
                <w:color w:val="auto"/>
              </w:rPr>
              <w:t>20,288</w:t>
            </w:r>
          </w:p>
        </w:tc>
        <w:tc>
          <w:tcPr>
            <w:tcW w:w="1320" w:type="dxa"/>
            <w:vAlign w:val="bottom"/>
            <w:vMerge w:val="continue"/>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color w:val="auto"/>
              </w:rPr>
              <w:t>(1,295)</w:t>
            </w:r>
          </w:p>
        </w:tc>
        <w:tc>
          <w:tcPr>
            <w:tcW w:w="68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681</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852</w:t>
            </w:r>
          </w:p>
        </w:tc>
        <w:tc>
          <w:tcPr>
            <w:tcW w:w="820" w:type="dxa"/>
            <w:vAlign w:val="bottom"/>
          </w:tcPr>
          <w:p>
            <w:pPr>
              <w:jc w:val="right"/>
              <w:spacing w:after="0"/>
              <w:rPr>
                <w:sz w:val="20"/>
                <w:szCs w:val="20"/>
                <w:color w:val="auto"/>
              </w:rPr>
            </w:pPr>
            <w:r>
              <w:rPr>
                <w:rFonts w:ascii="Arial" w:cs="Arial" w:eastAsia="Arial" w:hAnsi="Arial"/>
                <w:sz w:val="18"/>
                <w:szCs w:val="18"/>
                <w:color w:val="auto"/>
              </w:rPr>
              <w:t>966</w:t>
            </w:r>
          </w:p>
        </w:tc>
        <w:tc>
          <w:tcPr>
            <w:tcW w:w="1320" w:type="dxa"/>
            <w:vAlign w:val="bottom"/>
          </w:tcPr>
          <w:p>
            <w:pPr>
              <w:jc w:val="right"/>
              <w:ind w:right="192"/>
              <w:spacing w:after="0"/>
              <w:rPr>
                <w:sz w:val="20"/>
                <w:szCs w:val="20"/>
                <w:color w:val="auto"/>
              </w:rPr>
            </w:pPr>
            <w:r>
              <w:rPr>
                <w:rFonts w:ascii="Arial" w:cs="Arial" w:eastAsia="Arial" w:hAnsi="Arial"/>
                <w:sz w:val="18"/>
                <w:szCs w:val="18"/>
                <w:b w:val="1"/>
                <w:bCs w:val="1"/>
                <w:color w:val="auto"/>
              </w:rPr>
              <w:t>(171)</w:t>
            </w:r>
          </w:p>
        </w:tc>
        <w:tc>
          <w:tcPr>
            <w:tcW w:w="1200" w:type="dxa"/>
            <w:vAlign w:val="bottom"/>
          </w:tcPr>
          <w:p>
            <w:pPr>
              <w:jc w:val="right"/>
              <w:ind w:right="331"/>
              <w:spacing w:after="0"/>
              <w:rPr>
                <w:sz w:val="20"/>
                <w:szCs w:val="20"/>
                <w:color w:val="auto"/>
              </w:rPr>
            </w:pPr>
            <w:r>
              <w:rPr>
                <w:rFonts w:ascii="Arial" w:cs="Arial" w:eastAsia="Arial" w:hAnsi="Arial"/>
                <w:sz w:val="18"/>
                <w:szCs w:val="18"/>
                <w:color w:val="auto"/>
              </w:rPr>
              <w:t>(114)</w:t>
            </w: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4"/>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video customers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18,176</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19,846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21,254</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(1,669)</w:t>
            </w: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(1,408)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2"/>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Voice</w:t>
            </w:r>
          </w:p>
        </w:tc>
        <w:tc>
          <w:tcPr>
            <w:tcW w:w="188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9,062</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(583)</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880" w:type="dxa"/>
            <w:vAlign w:val="bottom"/>
            <w:vMerge w:val="continue"/>
          </w:tcPr>
          <w:p>
            <w:pPr>
              <w:spacing w:after="0"/>
              <w:rPr>
                <w:sz w:val="19"/>
                <w:szCs w:val="19"/>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9,645</w:t>
            </w:r>
          </w:p>
        </w:tc>
        <w:tc>
          <w:tcPr>
            <w:tcW w:w="820" w:type="dxa"/>
            <w:vAlign w:val="bottom"/>
          </w:tcPr>
          <w:p>
            <w:pPr>
              <w:jc w:val="right"/>
              <w:spacing w:after="0"/>
              <w:rPr>
                <w:sz w:val="20"/>
                <w:szCs w:val="20"/>
                <w:color w:val="auto"/>
              </w:rPr>
            </w:pPr>
            <w:r>
              <w:rPr>
                <w:rFonts w:ascii="Arial" w:cs="Arial" w:eastAsia="Arial" w:hAnsi="Arial"/>
                <w:sz w:val="18"/>
                <w:szCs w:val="18"/>
                <w:color w:val="auto"/>
              </w:rPr>
              <w:t>9,934</w:t>
            </w:r>
          </w:p>
        </w:tc>
        <w:tc>
          <w:tcPr>
            <w:tcW w:w="1320" w:type="dxa"/>
            <w:vAlign w:val="bottom"/>
            <w:vMerge w:val="continue"/>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color w:val="auto"/>
              </w:rPr>
              <w:t>(289)</w:t>
            </w: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880" w:type="dxa"/>
            <w:vAlign w:val="bottom"/>
          </w:tcPr>
          <w:p>
            <w:pPr>
              <w:jc w:val="right"/>
              <w:ind w:right="211"/>
              <w:spacing w:after="0"/>
              <w:rPr>
                <w:sz w:val="20"/>
                <w:szCs w:val="20"/>
                <w:color w:val="auto"/>
              </w:rPr>
            </w:pPr>
            <w:r>
              <w:rPr>
                <w:rFonts w:ascii="Arial" w:cs="Arial" w:eastAsia="Arial" w:hAnsi="Arial"/>
                <w:sz w:val="18"/>
                <w:szCs w:val="18"/>
                <w:b w:val="1"/>
                <w:bCs w:val="1"/>
                <w:color w:val="auto"/>
              </w:rPr>
              <w:t>1,391</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1,357</w:t>
            </w:r>
          </w:p>
        </w:tc>
        <w:tc>
          <w:tcPr>
            <w:tcW w:w="820" w:type="dxa"/>
            <w:vAlign w:val="bottom"/>
          </w:tcPr>
          <w:p>
            <w:pPr>
              <w:jc w:val="right"/>
              <w:spacing w:after="0"/>
              <w:rPr>
                <w:sz w:val="20"/>
                <w:szCs w:val="20"/>
                <w:color w:val="auto"/>
              </w:rPr>
            </w:pPr>
            <w:r>
              <w:rPr>
                <w:rFonts w:ascii="Arial" w:cs="Arial" w:eastAsia="Arial" w:hAnsi="Arial"/>
                <w:sz w:val="18"/>
                <w:szCs w:val="18"/>
                <w:color w:val="auto"/>
              </w:rPr>
              <w:t>1,342</w:t>
            </w:r>
          </w:p>
        </w:tc>
        <w:tc>
          <w:tcPr>
            <w:tcW w:w="1320" w:type="dxa"/>
            <w:vAlign w:val="bottom"/>
          </w:tcPr>
          <w:p>
            <w:pPr>
              <w:jc w:val="right"/>
              <w:ind w:right="232"/>
              <w:spacing w:after="0"/>
              <w:rPr>
                <w:sz w:val="20"/>
                <w:szCs w:val="20"/>
                <w:color w:val="auto"/>
              </w:rPr>
            </w:pPr>
            <w:r>
              <w:rPr>
                <w:rFonts w:ascii="Arial" w:cs="Arial" w:eastAsia="Arial" w:hAnsi="Arial"/>
                <w:sz w:val="18"/>
                <w:szCs w:val="18"/>
                <w:b w:val="1"/>
                <w:bCs w:val="1"/>
                <w:color w:val="auto"/>
              </w:rPr>
              <w:t>34</w:t>
            </w: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15</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4"/>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voice customers</w:t>
            </w:r>
          </w:p>
        </w:tc>
        <w:tc>
          <w:tcPr>
            <w:tcW w:w="1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10,454</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11,002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11,276</w:t>
            </w:r>
          </w:p>
        </w:tc>
        <w:tc>
          <w:tcPr>
            <w:tcW w:w="13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(548)</w:t>
            </w: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(275)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2"/>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Wireless</w:t>
            </w:r>
          </w:p>
        </w:tc>
        <w:tc>
          <w:tcPr>
            <w:tcW w:w="188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rPr>
              <w:t>3,980</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1,154</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Wireless lines</w:t>
            </w:r>
          </w:p>
        </w:tc>
        <w:tc>
          <w:tcPr>
            <w:tcW w:w="18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2,826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3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774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Customer metrics are presented based on actual amounts.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HD video or DVR services, we count and report customers based on the number of potential billable relationships within each MDU. For MDUs whose residents are not able to receive additional services, the MDU is counted as a single customer. Residential broadband and video customer metrics include certain customers that have prepaid for services. Business customers are generally counted based on the number of locations receiving services within our distribution system, with certain offerings such as Ethernet network services counted as individual customer relationships. Wireless lines represent the number of activated, eligible wireless devices on customers’ accounts. Individual customer relationships may have multiple wireless lines. Customer metrics for 2021 and 2020 do not include customers in certain temporary COVID-19 programs, including an Internet Essentials promotion for new qualifying customers to receive 60 days of free broadband services. This 60-day free Internet Essentials promotional offer ended at the end of December 2021. Customers under this program are excluded from our customer metrics until they begin paying for their service. Total residential customer relationships and broadband customers were updated in the first quarter of 2021 due to a conforming change to methodology, resulting in a reduction of approximately 26,000 customers. There was no impact to net additions and information for all periods presented have been recast on a comparable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8"/>
              </w:rPr>
              <w:t>% Change 2021 to</w:t>
            </w:r>
          </w:p>
        </w:tc>
        <w:tc>
          <w:tcPr>
            <w:tcW w:w="1160" w:type="dxa"/>
            <w:vAlign w:val="bottom"/>
          </w:tcPr>
          <w:p>
            <w:pPr>
              <w:jc w:val="right"/>
              <w:spacing w:after="0"/>
              <w:rPr>
                <w:sz w:val="20"/>
                <w:szCs w:val="20"/>
                <w:color w:val="auto"/>
              </w:rPr>
            </w:pPr>
            <w:r>
              <w:rPr>
                <w:rFonts w:ascii="Arial" w:cs="Arial" w:eastAsia="Arial" w:hAnsi="Arial"/>
                <w:sz w:val="14"/>
                <w:szCs w:val="14"/>
                <w:color w:val="auto"/>
                <w:w w:val="96"/>
              </w:rPr>
              <w:t>% Change 2020 to</w:t>
            </w:r>
          </w:p>
        </w:tc>
        <w:tc>
          <w:tcPr>
            <w:tcW w:w="0" w:type="dxa"/>
            <w:vAlign w:val="bottom"/>
          </w:tcPr>
          <w:p>
            <w:pPr>
              <w:spacing w:after="0"/>
              <w:rPr>
                <w:sz w:val="1"/>
                <w:szCs w:val="1"/>
                <w:color w:val="auto"/>
              </w:rPr>
            </w:pPr>
          </w:p>
        </w:tc>
      </w:tr>
      <w:tr>
        <w:trPr>
          <w:trHeight w:val="188"/>
        </w:trPr>
        <w:tc>
          <w:tcPr>
            <w:tcW w:w="50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0"/>
        </w:trPr>
        <w:tc>
          <w:tcPr>
            <w:tcW w:w="5000" w:type="dxa"/>
            <w:vAlign w:val="bottom"/>
          </w:tcPr>
          <w:p>
            <w:pPr>
              <w:ind w:left="20"/>
              <w:spacing w:after="0"/>
              <w:rPr>
                <w:sz w:val="20"/>
                <w:szCs w:val="20"/>
                <w:color w:val="auto"/>
              </w:rPr>
            </w:pPr>
            <w:r>
              <w:rPr>
                <w:rFonts w:ascii="Arial" w:cs="Arial" w:eastAsia="Arial" w:hAnsi="Arial"/>
                <w:sz w:val="18"/>
                <w:szCs w:val="18"/>
                <w:color w:val="auto"/>
              </w:rPr>
              <w:t>Average monthly total revenue per customer relationship</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159.22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154.84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156.37</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2.8 %</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monthly Adjusted EBITDA per customer relationship</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69.55</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62.64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broadband, video and voice services is also impacted by changes in the allocation of revenue among services sold in a bundle, the allocation does not impact average monthly total revenue per customer relationship. Each of our services has a different contribution to operating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310"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41</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leading provider of broadband, video, voice, wireless, and other services to residential customers in the United States under the Xfinity brand; we also provide these and other services to business customers and sell advertising. Our residential and business customers are marketed individually and as bundled services at a discounted rate.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Residential</w:t>
      </w:r>
    </w:p>
    <w:p>
      <w:pPr>
        <w:spacing w:after="0" w:line="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from our residential customers includes amounts earned for providing our broadband, video, voice and wireless services, including equipment and installation services. Broadband revenue also includes revenue earned related to our customers’ use of Flex and streaming services, and wireless revenue also includes the sale of devices. Revenue from each of our residential services is impacted by changes in the allocation of revenue among services sold in a bundle. Franchise and regulatory fees billed to our customers are included with the relevant service, which primarily relate to video and voice services.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Broadband</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in 2021 primarily due to an increase in the number of residential broadband customers. The remaining increase in revenue was due to an increase in average rates. Average rates in 2020 were negatively impacted by waived fees due to COVID-19 and the impacts of customer adjustments. Refer to “Video” below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customer base will continue to grow as consumers choose our broadband service and seek higher-speed offerings.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Video</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was flat in 2021 primarily due to a decline in the number of residential video customers, offset by an increase in average rates. Average rates in 2020 were negatively impacted by customer adjustments accrued as a result of provisions in our programming distribution agreements with regional sports networks related to canceled sporting events. For customers receiving bundled services, the revenue reduction was allocated across each of the services in the bundle.</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that the number of residential video customers will continue to decline, negatively impacting video revenue as a result of the competitive environment and shifting video consumption patterns.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Voice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Revenue decreased in 2021 primarily due to a decline in the number of residential voice customers, partially offset by increases in average rates.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number of residential voice customers and voice revenue will continue to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Wireless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in 2021 primarily due to an increase in the number of customer lines and device sales.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our business customers includes our service offerings for small business locations, which primarily include broadband, voice and video services, as well as our solutions for medium-sized customers and larger enterprises, and cellular backhaul services to mobile network operators.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in 2021 primarily due to increases in average rates and an increase in the number of customers receiving our services, which included the negative impacts of COVID-19 on small businesses in the prior year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consists of the sale of advertising on linear television and digital platforms to local, regional and national advertisers, including where we represent the advertising sales efforts of other multichannel video providers and revenue from our advanced advertising business.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in 2021 reflecting an overall market recovery in the current year period and increases in revenue from our advanced advertising business, partially offset by decreases in political advertising compared to the prior year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primarily relates to our security and automation services and also includes revenue related to residential customer late fees and related to other services, such as the licensing of our technology platforms to other multichannel video providers.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in 2021 primarily due to increases in revenue from licensing of our technology platforms and from our security and automation services.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42</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Expenses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Programming expenses, which represent our most significant operating expense, are the fees we incur to provide content to our customers. These expenses represent the programming license fees charged by content providers, including the fees related to the distribution of cable and broadcast network programming and fees charged for retransmission of the signals from local broadcast television stations.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increased in 2021 primarily due to increases in retransmission consent and sports programming rates, and the impacts in 2020 of adjustment provisions in our programming distribution agreements with regional sports networks related to canceled sporting events as a result of COVID-19. These increases were partially offset by declines in the number of video subscribers.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that our programming expenses will be impacted by rate increases, although to a lesser extent in 2022 compared to 2021 due to the timing of contract renewals, which will be offset by expected declines in the number of residential video customers.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Technical and Product Support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include costs to complete service call and installation activities; costs for network operations, product development, fulfillment and provisioning; the cost of wireless handsets, tablets and smart watches sold to customers; and monthly wholesale wireless access fees.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increased in 2021 primarily due to increased costs associated with our wireless phone service from increases in the sale of devices and the number of customers receiving service, partially offset by lower personnel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Customer Service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 the personnel and other costs associated with handling the sale of services to customers and customer service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Expenses decreased in 2021 primarily due to lower labor costs as a result of reduced call volumes.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 the costs associated with attracting new customers and promoting our service offerings.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Expenses increased in 2021 primarily due to increased spending associated with attracting new customers and promoting our service offerings, including advertising expenses associated with the Tokyo Olympics, as well as decreased spending as a result of COVID-19 in the prior year period.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006EBF"/>
        </w:rPr>
        <w:t>Franchise and Other Regulatory Fees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Expenses represent the fees we are required to pay to federal, state and local authorities, including fees under the terms of our cable franchise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in 2021 primarily due to increases in regulatory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Other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primarily include administrative personnel costs; fees paid to third-party channels for which Cable represents the advertising sales efforts; other business support costs, including building and office expenses, taxes and billing costs; and bad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Expenses decreased in 2021 primarily due to a decrease in bad debt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margin is Adjusted EBITDA as a percentage of revenue. We believe this metric is useful particularly as we continue to focus on growing our higher-margin businesses and improving overall operating cost management. Our operating margin was 43.7%, 42.1% and 40.1% in 2021, 2020 and 2019, respectively. While the accrued adjustments for regional sports networks did not impact Adjusted EBITDA, they resulted in an increase to operating margins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43</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2021 NBCUniversal Segments Operating Results</w:t>
      </w:r>
      <w:r>
        <w:rPr>
          <w:rFonts w:ascii="Arial" w:cs="Arial" w:eastAsia="Arial" w:hAnsi="Arial"/>
          <w:sz w:val="23"/>
          <w:szCs w:val="23"/>
          <w:color w:val="006EBF"/>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1" w:lineRule="exact"/>
        <w:rPr>
          <w:sz w:val="20"/>
          <w:szCs w:val="20"/>
          <w:color w:val="auto"/>
        </w:rPr>
      </w:pPr>
    </w:p>
    <w:p>
      <w:pPr>
        <w:ind w:left="1680"/>
        <w:spacing w:after="0"/>
        <w:tabs>
          <w:tab w:leader="none" w:pos="6460" w:val="left"/>
        </w:tabs>
        <w:rPr>
          <w:sz w:val="20"/>
          <w:szCs w:val="20"/>
          <w:color w:val="auto"/>
        </w:rPr>
      </w:pPr>
      <w:r>
        <w:rPr>
          <w:rFonts w:ascii="Arial" w:cs="Arial" w:eastAsia="Arial" w:hAnsi="Arial"/>
          <w:sz w:val="18"/>
          <w:szCs w:val="18"/>
          <w:b w:val="1"/>
          <w:bCs w:val="1"/>
          <w:color w:val="006EBF"/>
        </w:rPr>
        <w:t>Revenue</w:t>
      </w:r>
      <w:r>
        <w:rPr>
          <w:sz w:val="20"/>
          <w:szCs w:val="20"/>
          <w:color w:val="auto"/>
        </w:rPr>
        <w:tab/>
      </w:r>
      <w:r>
        <w:rPr>
          <w:rFonts w:ascii="Arial" w:cs="Arial" w:eastAsia="Arial" w:hAnsi="Arial"/>
          <w:sz w:val="18"/>
          <w:szCs w:val="18"/>
          <w:b w:val="1"/>
          <w:bCs w:val="1"/>
          <w:color w:val="006EBF"/>
        </w:rPr>
        <w:t>Adjusted EBITDA</w:t>
      </w:r>
    </w:p>
    <w:p>
      <w:pPr>
        <w:spacing w:after="0" w:line="162" w:lineRule="exact"/>
        <w:rPr>
          <w:sz w:val="20"/>
          <w:szCs w:val="20"/>
          <w:color w:val="auto"/>
        </w:rPr>
      </w:pPr>
    </w:p>
    <w:p>
      <w:pPr>
        <w:ind w:left="1680"/>
        <w:spacing w:after="0"/>
        <w:tabs>
          <w:tab w:leader="none" w:pos="6460" w:val="left"/>
        </w:tabs>
        <w:rPr>
          <w:sz w:val="20"/>
          <w:szCs w:val="20"/>
          <w:color w:val="auto"/>
        </w:rPr>
      </w:pPr>
      <w:r>
        <w:rPr>
          <w:rFonts w:ascii="Arial" w:cs="Arial" w:eastAsia="Arial" w:hAnsi="Arial"/>
          <w:sz w:val="14"/>
          <w:szCs w:val="14"/>
          <w:color w:val="auto"/>
        </w:rPr>
        <w:t>(in billions)</w:t>
      </w:r>
      <w:r>
        <w:rPr>
          <w:sz w:val="20"/>
          <w:szCs w:val="20"/>
          <w:color w:val="auto"/>
        </w:rPr>
        <w:tab/>
      </w: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66610" cy="32835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6610" cy="328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right="20" w:hanging="252"/>
        <w:spacing w:after="0" w:line="273" w:lineRule="auto"/>
        <w:tabs>
          <w:tab w:leader="none" w:pos="257"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Segment details in the charts exclude the results of NBCUniversal Headquarters and Other and Eliminations and therefore the amounts do not equal the total. Revenue and Adjusted EBITDA charts are not presented on the same scale.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2019</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2020 to 2021</w:t>
            </w:r>
          </w:p>
        </w:tc>
        <w:tc>
          <w:tcPr>
            <w:tcW w:w="118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color w:val="auto"/>
                <w:w w:val="92"/>
              </w:rPr>
              <w:t>2019 to 2020</w:t>
            </w:r>
          </w:p>
        </w:tc>
        <w:tc>
          <w:tcPr>
            <w:tcW w:w="0" w:type="dxa"/>
            <w:vAlign w:val="bottom"/>
          </w:tcPr>
          <w:p>
            <w:pPr>
              <w:spacing w:after="0"/>
              <w:rPr>
                <w:sz w:val="1"/>
                <w:szCs w:val="1"/>
                <w:color w:val="auto"/>
              </w:rPr>
            </w:pPr>
          </w:p>
        </w:tc>
      </w:tr>
      <w:tr>
        <w:trPr>
          <w:trHeight w:val="228"/>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5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22,780</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20.3 %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40"/>
              <w:spacing w:after="0"/>
              <w:rPr>
                <w:sz w:val="20"/>
                <w:szCs w:val="20"/>
                <w:color w:val="auto"/>
              </w:rPr>
            </w:pPr>
            <w:r>
              <w:rPr>
                <w:rFonts w:ascii="Arial" w:cs="Arial" w:eastAsia="Arial" w:hAnsi="Arial"/>
                <w:sz w:val="18"/>
                <w:szCs w:val="18"/>
                <w:color w:val="auto"/>
              </w:rPr>
              <w:t>Media</w:t>
            </w:r>
          </w:p>
        </w:tc>
        <w:tc>
          <w:tcPr>
            <w:tcW w:w="15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18,936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19,947</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Studios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9,449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8,134</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9,352</w:t>
            </w:r>
          </w:p>
        </w:tc>
        <w:tc>
          <w:tcPr>
            <w:tcW w:w="1560" w:type="dxa"/>
            <w:vAlign w:val="bottom"/>
          </w:tcPr>
          <w:p>
            <w:pPr>
              <w:jc w:val="right"/>
              <w:ind w:right="533"/>
              <w:spacing w:after="0"/>
              <w:rPr>
                <w:sz w:val="20"/>
                <w:szCs w:val="20"/>
                <w:color w:val="auto"/>
              </w:rPr>
            </w:pPr>
            <w:r>
              <w:rPr>
                <w:rFonts w:ascii="Arial" w:cs="Arial" w:eastAsia="Arial" w:hAnsi="Arial"/>
                <w:sz w:val="18"/>
                <w:szCs w:val="18"/>
                <w:b w:val="1"/>
                <w:bCs w:val="1"/>
                <w:color w:val="auto"/>
              </w:rPr>
              <w:t>16.2</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Theme Parks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5,051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2,094</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6,213</w:t>
            </w:r>
          </w:p>
        </w:tc>
        <w:tc>
          <w:tcPr>
            <w:tcW w:w="1560" w:type="dxa"/>
            <w:vAlign w:val="bottom"/>
          </w:tcPr>
          <w:p>
            <w:pPr>
              <w:jc w:val="right"/>
              <w:ind w:right="533"/>
              <w:spacing w:after="0"/>
              <w:rPr>
                <w:sz w:val="20"/>
                <w:szCs w:val="20"/>
                <w:color w:val="auto"/>
              </w:rPr>
            </w:pPr>
            <w:r>
              <w:rPr>
                <w:rFonts w:ascii="Arial" w:cs="Arial" w:eastAsia="Arial" w:hAnsi="Arial"/>
                <w:sz w:val="18"/>
                <w:szCs w:val="18"/>
                <w:b w:val="1"/>
                <w:bCs w:val="1"/>
                <w:color w:val="auto"/>
              </w:rPr>
              <w:t>141.2</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Headquarters and Other</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31</w:t>
            </w:r>
          </w:p>
        </w:tc>
        <w:tc>
          <w:tcPr>
            <w:tcW w:w="1560" w:type="dxa"/>
            <w:vAlign w:val="bottom"/>
          </w:tcPr>
          <w:p>
            <w:pPr>
              <w:jc w:val="right"/>
              <w:ind w:right="533"/>
              <w:spacing w:after="0"/>
              <w:rPr>
                <w:sz w:val="20"/>
                <w:szCs w:val="20"/>
                <w:color w:val="auto"/>
              </w:rPr>
            </w:pPr>
            <w:r>
              <w:rPr>
                <w:rFonts w:ascii="Arial" w:cs="Arial" w:eastAsia="Arial" w:hAnsi="Arial"/>
                <w:sz w:val="18"/>
                <w:szCs w:val="18"/>
                <w:b w:val="1"/>
                <w:bCs w:val="1"/>
                <w:color w:val="auto"/>
              </w:rPr>
              <w:t>63.8</w:t>
            </w:r>
          </w:p>
        </w:tc>
        <w:tc>
          <w:tcPr>
            <w:tcW w:w="1180" w:type="dxa"/>
            <w:vAlign w:val="bottom"/>
          </w:tcPr>
          <w:p>
            <w:pPr>
              <w:jc w:val="center"/>
              <w:ind w:left="333"/>
              <w:spacing w:after="0"/>
              <w:rPr>
                <w:sz w:val="20"/>
                <w:szCs w:val="20"/>
                <w:color w:val="auto"/>
              </w:rPr>
            </w:pPr>
            <w:r>
              <w:rPr>
                <w:rFonts w:ascii="Arial" w:cs="Arial" w:eastAsia="Arial" w:hAnsi="Arial"/>
                <w:sz w:val="18"/>
                <w:szCs w:val="18"/>
                <w:color w:val="auto"/>
                <w:w w:val="91"/>
              </w:rPr>
              <w:t>69.6</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Eliminations</w:t>
            </w:r>
          </w:p>
        </w:tc>
        <w:tc>
          <w:tcPr>
            <w:tcW w:w="1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(3,048)</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(1,585)</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(51.9)</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154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34,319</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27,211</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0C6DFF"/>
            </w:tcBorders>
          </w:tcPr>
          <w:p>
            <w:pPr>
              <w:jc w:val="right"/>
              <w:ind w:right="371"/>
              <w:spacing w:after="0"/>
              <w:rPr>
                <w:sz w:val="20"/>
                <w:szCs w:val="20"/>
                <w:color w:val="auto"/>
              </w:rPr>
            </w:pPr>
            <w:r>
              <w:rPr>
                <w:rFonts w:ascii="Arial" w:cs="Arial" w:eastAsia="Arial" w:hAnsi="Arial"/>
                <w:sz w:val="18"/>
                <w:szCs w:val="18"/>
                <w:color w:val="auto"/>
              </w:rPr>
              <w:t>33,958</w:t>
            </w:r>
          </w:p>
        </w:tc>
        <w:tc>
          <w:tcPr>
            <w:tcW w:w="1560" w:type="dxa"/>
            <w:vAlign w:val="bottom"/>
            <w:tcBorders>
              <w:bottom w:val="single" w:sz="8" w:color="0C6DFF"/>
            </w:tcBorders>
          </w:tcPr>
          <w:p>
            <w:pPr>
              <w:jc w:val="right"/>
              <w:ind w:right="313"/>
              <w:spacing w:after="0"/>
              <w:rPr>
                <w:sz w:val="20"/>
                <w:szCs w:val="20"/>
                <w:color w:val="auto"/>
              </w:rPr>
            </w:pPr>
            <w:r>
              <w:rPr>
                <w:rFonts w:ascii="Arial" w:cs="Arial" w:eastAsia="Arial" w:hAnsi="Arial"/>
                <w:sz w:val="18"/>
                <w:szCs w:val="18"/>
                <w:b w:val="1"/>
                <w:bCs w:val="1"/>
                <w:color w:val="auto"/>
              </w:rPr>
              <w:t>26.1 %</w:t>
            </w:r>
          </w:p>
        </w:tc>
        <w:tc>
          <w:tcPr>
            <w:tcW w:w="1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5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4,569</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(18.0)%</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40"/>
              <w:spacing w:after="0"/>
              <w:rPr>
                <w:sz w:val="20"/>
                <w:szCs w:val="20"/>
                <w:color w:val="auto"/>
              </w:rPr>
            </w:pPr>
            <w:r>
              <w:rPr>
                <w:rFonts w:ascii="Arial" w:cs="Arial" w:eastAsia="Arial" w:hAnsi="Arial"/>
                <w:sz w:val="18"/>
                <w:szCs w:val="18"/>
                <w:color w:val="auto"/>
              </w:rPr>
              <w:t>Media</w:t>
            </w:r>
          </w:p>
        </w:tc>
        <w:tc>
          <w:tcPr>
            <w:tcW w:w="15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5,574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5,834</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Studios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1,041</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1,058</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(15.1)</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Theme Parks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1,267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w:t>
            </w:r>
          </w:p>
        </w:tc>
        <w:tc>
          <w:tcPr>
            <w:tcW w:w="340" w:type="dxa"/>
            <w:vAlign w:val="bottom"/>
          </w:tcPr>
          <w:p>
            <w:pPr>
              <w:spacing w:after="0"/>
              <w:rPr>
                <w:sz w:val="19"/>
                <w:szCs w:val="19"/>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2,498</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Headquarters and Other</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(840)</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w:t>
            </w:r>
          </w:p>
        </w:tc>
        <w:tc>
          <w:tcPr>
            <w:tcW w:w="340" w:type="dxa"/>
            <w:vAlign w:val="bottom"/>
          </w:tcPr>
          <w:p>
            <w:pPr>
              <w:spacing w:after="0"/>
              <w:rPr>
                <w:sz w:val="19"/>
                <w:szCs w:val="19"/>
                <w:color w:val="auto"/>
              </w:rPr>
            </w:pPr>
          </w:p>
        </w:tc>
        <w:tc>
          <w:tcPr>
            <w:tcW w:w="1200" w:type="dxa"/>
            <w:vAlign w:val="bottom"/>
          </w:tcPr>
          <w:p>
            <w:pPr>
              <w:jc w:val="right"/>
              <w:ind w:right="331"/>
              <w:spacing w:after="0"/>
              <w:rPr>
                <w:sz w:val="20"/>
                <w:szCs w:val="20"/>
                <w:color w:val="auto"/>
              </w:rPr>
            </w:pPr>
            <w:r>
              <w:rPr>
                <w:rFonts w:ascii="Arial" w:cs="Arial" w:eastAsia="Arial" w:hAnsi="Arial"/>
                <w:sz w:val="18"/>
                <w:szCs w:val="18"/>
                <w:color w:val="auto"/>
              </w:rPr>
              <w:t>(690)</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(49.3)</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Eliminations</w:t>
            </w:r>
          </w:p>
        </w:tc>
        <w:tc>
          <w:tcPr>
            <w:tcW w:w="1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11</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6.5</w:t>
            </w:r>
          </w:p>
        </w:tc>
        <w:tc>
          <w:tcPr>
            <w:tcW w:w="118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154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5,675</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5,355</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0C6DFF"/>
            </w:tcBorders>
          </w:tcPr>
          <w:p>
            <w:pPr>
              <w:jc w:val="right"/>
              <w:ind w:right="371"/>
              <w:spacing w:after="0"/>
              <w:rPr>
                <w:sz w:val="20"/>
                <w:szCs w:val="20"/>
                <w:color w:val="auto"/>
              </w:rPr>
            </w:pPr>
            <w:r>
              <w:rPr>
                <w:rFonts w:ascii="Arial" w:cs="Arial" w:eastAsia="Arial" w:hAnsi="Arial"/>
                <w:sz w:val="18"/>
                <w:szCs w:val="18"/>
                <w:color w:val="auto"/>
              </w:rPr>
              <w:t>8,711</w:t>
            </w:r>
          </w:p>
        </w:tc>
        <w:tc>
          <w:tcPr>
            <w:tcW w:w="1560" w:type="dxa"/>
            <w:vAlign w:val="bottom"/>
            <w:tcBorders>
              <w:bottom w:val="single" w:sz="8" w:color="0C6DFF"/>
            </w:tcBorders>
          </w:tcPr>
          <w:p>
            <w:pPr>
              <w:jc w:val="right"/>
              <w:ind w:right="313"/>
              <w:spacing w:after="0"/>
              <w:rPr>
                <w:sz w:val="20"/>
                <w:szCs w:val="20"/>
                <w:color w:val="auto"/>
              </w:rPr>
            </w:pPr>
            <w:r>
              <w:rPr>
                <w:rFonts w:ascii="Arial" w:cs="Arial" w:eastAsia="Arial" w:hAnsi="Arial"/>
                <w:sz w:val="18"/>
                <w:szCs w:val="18"/>
                <w:b w:val="1"/>
                <w:bCs w:val="1"/>
                <w:color w:val="auto"/>
              </w:rPr>
              <w:t>6.0 %</w:t>
            </w:r>
          </w:p>
        </w:tc>
        <w:tc>
          <w:tcPr>
            <w:tcW w:w="1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Media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ind w:left="48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6"/>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2019</w:t>
            </w: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 to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c>
          <w:tcPr>
            <w:tcW w:w="0" w:type="dxa"/>
            <w:vAlign w:val="bottom"/>
          </w:tcPr>
          <w:p>
            <w:pPr>
              <w:spacing w:after="0"/>
              <w:rPr>
                <w:sz w:val="1"/>
                <w:szCs w:val="1"/>
                <w:color w:val="auto"/>
              </w:rPr>
            </w:pPr>
          </w:p>
        </w:tc>
      </w:tr>
      <w:tr>
        <w:trPr>
          <w:trHeight w:val="228"/>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10,291</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24.1 %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Arial" w:cs="Arial" w:eastAsia="Arial" w:hAnsi="Arial"/>
                <w:sz w:val="18"/>
                <w:szCs w:val="18"/>
                <w:color w:val="auto"/>
              </w:rPr>
              <w:t>Advertising</w:t>
            </w:r>
          </w:p>
        </w:tc>
        <w:tc>
          <w:tcPr>
            <w:tcW w:w="12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8,296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9,267</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10,449</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8,795</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8,887</w:t>
            </w:r>
          </w:p>
        </w:tc>
        <w:tc>
          <w:tcPr>
            <w:tcW w:w="1560" w:type="dxa"/>
            <w:vAlign w:val="bottom"/>
          </w:tcPr>
          <w:p>
            <w:pPr>
              <w:ind w:left="620"/>
              <w:spacing w:after="0"/>
              <w:rPr>
                <w:sz w:val="20"/>
                <w:szCs w:val="20"/>
                <w:color w:val="auto"/>
              </w:rPr>
            </w:pPr>
            <w:r>
              <w:rPr>
                <w:rFonts w:ascii="Arial" w:cs="Arial" w:eastAsia="Arial" w:hAnsi="Arial"/>
                <w:sz w:val="18"/>
                <w:szCs w:val="18"/>
                <w:b w:val="1"/>
                <w:bCs w:val="1"/>
                <w:color w:val="auto"/>
              </w:rPr>
              <w:t>18.8</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1,793</w:t>
            </w: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10.5</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22,780</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18,936</w:t>
            </w:r>
          </w:p>
        </w:tc>
        <w:tc>
          <w:tcPr>
            <w:tcW w:w="34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19,947</w:t>
            </w:r>
          </w:p>
        </w:tc>
        <w:tc>
          <w:tcPr>
            <w:tcW w:w="1560" w:type="dxa"/>
            <w:vAlign w:val="bottom"/>
          </w:tcPr>
          <w:p>
            <w:pPr>
              <w:ind w:left="620"/>
              <w:spacing w:after="0"/>
              <w:rPr>
                <w:sz w:val="20"/>
                <w:szCs w:val="20"/>
                <w:color w:val="auto"/>
              </w:rPr>
            </w:pPr>
            <w:r>
              <w:rPr>
                <w:rFonts w:ascii="Arial" w:cs="Arial" w:eastAsia="Arial" w:hAnsi="Arial"/>
                <w:sz w:val="18"/>
                <w:szCs w:val="18"/>
                <w:b w:val="1"/>
                <w:bCs w:val="1"/>
                <w:color w:val="auto"/>
              </w:rPr>
              <w:t>20.3</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20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13,337</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43.1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Arial" w:cs="Arial" w:eastAsia="Arial" w:hAnsi="Arial"/>
                <w:sz w:val="18"/>
                <w:szCs w:val="18"/>
                <w:color w:val="auto"/>
              </w:rPr>
              <w:t>Programming and production</w:t>
            </w:r>
          </w:p>
        </w:tc>
        <w:tc>
          <w:tcPr>
            <w:tcW w:w="1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9,319</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9,907</w:t>
            </w:r>
          </w:p>
        </w:tc>
        <w:tc>
          <w:tcPr>
            <w:tcW w:w="1560" w:type="dxa"/>
            <w:vAlign w:val="bottom"/>
            <w:vMerge w:val="continue"/>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Other operating and administrative</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3,611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3,209</w:t>
            </w:r>
          </w:p>
        </w:tc>
        <w:tc>
          <w:tcPr>
            <w:tcW w:w="34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color w:val="auto"/>
              </w:rPr>
              <w:t>3,286</w:t>
            </w:r>
          </w:p>
        </w:tc>
        <w:tc>
          <w:tcPr>
            <w:tcW w:w="1560" w:type="dxa"/>
            <w:vAlign w:val="bottom"/>
          </w:tcPr>
          <w:p>
            <w:pPr>
              <w:ind w:left="620"/>
              <w:spacing w:after="0"/>
              <w:rPr>
                <w:sz w:val="20"/>
                <w:szCs w:val="20"/>
                <w:color w:val="auto"/>
              </w:rPr>
            </w:pPr>
            <w:r>
              <w:rPr>
                <w:rFonts w:ascii="Arial" w:cs="Arial" w:eastAsia="Arial" w:hAnsi="Arial"/>
                <w:sz w:val="18"/>
                <w:szCs w:val="18"/>
                <w:b w:val="1"/>
                <w:bCs w:val="1"/>
                <w:color w:val="auto"/>
              </w:rPr>
              <w:t>12.5</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Advertising, marketing and promotion</w:t>
            </w:r>
          </w:p>
        </w:tc>
        <w:tc>
          <w:tcPr>
            <w:tcW w:w="1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1,264</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920</w:t>
            </w: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51.4</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18,212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14,113</w:t>
            </w: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36.3</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4,569</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5,574</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0C6DFF"/>
            </w:tcBorders>
          </w:tcPr>
          <w:p>
            <w:pPr>
              <w:jc w:val="right"/>
              <w:ind w:right="372"/>
              <w:spacing w:after="0"/>
              <w:rPr>
                <w:sz w:val="20"/>
                <w:szCs w:val="20"/>
                <w:color w:val="auto"/>
              </w:rPr>
            </w:pPr>
            <w:r>
              <w:rPr>
                <w:rFonts w:ascii="Arial" w:cs="Arial" w:eastAsia="Arial" w:hAnsi="Arial"/>
                <w:sz w:val="18"/>
                <w:szCs w:val="18"/>
                <w:color w:val="auto"/>
              </w:rPr>
              <w:t>5,834</w:t>
            </w:r>
          </w:p>
        </w:tc>
        <w:tc>
          <w:tcPr>
            <w:tcW w:w="1560" w:type="dxa"/>
            <w:vAlign w:val="bottom"/>
            <w:tcBorders>
              <w:bottom w:val="single" w:sz="8" w:color="0C6DFF"/>
            </w:tcBorders>
          </w:tcPr>
          <w:p>
            <w:pPr>
              <w:jc w:val="right"/>
              <w:ind w:right="313"/>
              <w:spacing w:after="0"/>
              <w:rPr>
                <w:sz w:val="20"/>
                <w:szCs w:val="20"/>
                <w:color w:val="auto"/>
              </w:rPr>
            </w:pPr>
            <w:r>
              <w:rPr>
                <w:rFonts w:ascii="Arial" w:cs="Arial" w:eastAsia="Arial" w:hAnsi="Arial"/>
                <w:sz w:val="18"/>
                <w:szCs w:val="18"/>
                <w:b w:val="1"/>
                <w:bCs w:val="1"/>
                <w:color w:val="auto"/>
              </w:rPr>
              <w:t>(18.0)%</w:t>
            </w:r>
          </w:p>
        </w:tc>
        <w:tc>
          <w:tcPr>
            <w:tcW w:w="1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consists of the sale of advertising on our television networks, Peacock and digital properties.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ind w:left="540"/>
              <w:spacing w:after="0"/>
              <w:rPr>
                <w:sz w:val="20"/>
                <w:szCs w:val="20"/>
                <w:color w:val="auto"/>
              </w:rPr>
            </w:pPr>
            <w:r>
              <w:rPr>
                <w:rFonts w:ascii="Arial" w:cs="Arial" w:eastAsia="Arial" w:hAnsi="Arial"/>
                <w:sz w:val="14"/>
                <w:szCs w:val="14"/>
                <w:color w:val="auto"/>
                <w:w w:val="94"/>
              </w:rPr>
              <w:t>% Change</w:t>
            </w:r>
          </w:p>
        </w:tc>
      </w:tr>
      <w:tr>
        <w:trPr>
          <w:trHeight w:val="206"/>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2019</w:t>
            </w: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 to 2021</w:t>
            </w:r>
          </w:p>
        </w:tc>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w w:val="92"/>
              </w:rPr>
              <w:t>2019 to 2020</w:t>
            </w:r>
          </w:p>
        </w:tc>
      </w:tr>
      <w:tr>
        <w:trPr>
          <w:trHeight w:val="224"/>
        </w:trPr>
        <w:tc>
          <w:tcPr>
            <w:tcW w:w="37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10,291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8,296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9,267</w:t>
            </w:r>
          </w:p>
        </w:tc>
        <w:tc>
          <w:tcPr>
            <w:tcW w:w="1560" w:type="dxa"/>
            <w:vAlign w:val="bottom"/>
          </w:tcPr>
          <w:p>
            <w:pPr>
              <w:jc w:val="right"/>
              <w:ind w:right="319"/>
              <w:spacing w:after="0"/>
              <w:rPr>
                <w:sz w:val="20"/>
                <w:szCs w:val="20"/>
                <w:color w:val="auto"/>
              </w:rPr>
            </w:pPr>
            <w:r>
              <w:rPr>
                <w:rFonts w:ascii="Arial" w:cs="Arial" w:eastAsia="Arial" w:hAnsi="Arial"/>
                <w:sz w:val="18"/>
                <w:szCs w:val="18"/>
                <w:b w:val="1"/>
                <w:bCs w:val="1"/>
                <w:color w:val="auto"/>
              </w:rPr>
              <w:t>24.1 %</w:t>
            </w:r>
          </w:p>
        </w:tc>
        <w:tc>
          <w:tcPr>
            <w:tcW w:w="1180" w:type="dxa"/>
            <w:vAlign w:val="bottom"/>
          </w:tcPr>
          <w:p>
            <w:pPr>
              <w:ind w:left="580"/>
              <w:spacing w:after="0"/>
              <w:rPr>
                <w:sz w:val="20"/>
                <w:szCs w:val="20"/>
                <w:color w:val="auto"/>
              </w:rPr>
            </w:pPr>
            <w:r>
              <w:rPr>
                <w:rFonts w:ascii="Arial" w:cs="Arial" w:eastAsia="Arial" w:hAnsi="Arial"/>
                <w:sz w:val="18"/>
                <w:szCs w:val="18"/>
                <w:color w:val="auto"/>
                <w:w w:val="91"/>
              </w:rPr>
              <w:t>(10.5)%</w:t>
            </w:r>
          </w:p>
        </w:tc>
      </w:tr>
      <w:tr>
        <w:trPr>
          <w:trHeight w:val="234"/>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Advertising, excluding Tokyo Olympics</w:t>
            </w:r>
          </w:p>
        </w:tc>
        <w:tc>
          <w:tcPr>
            <w:tcW w:w="1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9,054</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9,267</w:t>
            </w: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b w:val="1"/>
                <w:bCs w:val="1"/>
                <w:color w:val="auto"/>
              </w:rPr>
              <w:t>9.1</w:t>
            </w:r>
          </w:p>
        </w:tc>
        <w:tc>
          <w:tcPr>
            <w:tcW w:w="11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(10.5)</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increased in 2021 compared to 2020 primarily due to our broadcast of the Tokyo Olympics. Excluding $1.2 billion of revenue associated with our broadcast of the Tokyo Olympics, advertising revenue increased due to higher pricing in the current year period, reduced spending from advertisers in the prior year period as a result of COVID-19, increased advertising revenue in Peacock and an increased number of sporting events, partially offset by continued audience ratings declines at our networks.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decreased in 2020 compared to 2019 primarily due to continued audience rating declines at our networks and reduced spending from advertisers as a result of COVID-19, including as a result of the reduced number of sporting events, partially offset by higher prices for advertising units sold and advertising revenue in Peacock following its launch in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Distribution</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includes the fees received from the distribution of our cable and broadcast television network programming to traditional and virtual multichannel video providers and from NBC-affiliated and Telemundo-affiliated local broadcast television stations. Distribution revenue also includes distribution revenue associated with our periodic broadcasts of the Olympic Games and subscription fees received from Peacock subscribers.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ind w:left="48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20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2019</w:t>
            </w:r>
          </w:p>
        </w:tc>
        <w:tc>
          <w:tcPr>
            <w:tcW w:w="15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2020 to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r>
      <w:tr>
        <w:trPr>
          <w:trHeight w:val="224"/>
        </w:trPr>
        <w:tc>
          <w:tcPr>
            <w:tcW w:w="37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10,449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8,795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8,887</w:t>
            </w:r>
          </w:p>
        </w:tc>
        <w:tc>
          <w:tcPr>
            <w:tcW w:w="1560" w:type="dxa"/>
            <w:vAlign w:val="bottom"/>
          </w:tcPr>
          <w:p>
            <w:pPr>
              <w:ind w:left="620"/>
              <w:spacing w:after="0"/>
              <w:rPr>
                <w:sz w:val="20"/>
                <w:szCs w:val="20"/>
                <w:color w:val="auto"/>
              </w:rPr>
            </w:pPr>
            <w:r>
              <w:rPr>
                <w:rFonts w:ascii="Arial" w:cs="Arial" w:eastAsia="Arial" w:hAnsi="Arial"/>
                <w:sz w:val="18"/>
                <w:szCs w:val="18"/>
                <w:b w:val="1"/>
                <w:bCs w:val="1"/>
                <w:color w:val="auto"/>
              </w:rPr>
              <w:t>18.8 %</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Distribution, excluding Tokyo Olympics</w:t>
            </w:r>
          </w:p>
        </w:tc>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9,928</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8,887</w:t>
            </w: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12.9</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(1.0)</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increased in 2021 compared to 2020, including the impact of our broadcast of the Tokyo Olympics. Excluding $522 million of revenue associated with our broadcast of the Tokyo Olympics, distribution revenue increased due to contractual rates increases, increased distribution revenue at Peacock, and credits accrued in 2020 at some of our regional sports networks from fewer games played due to COVID-19 as certain of our distribution agreements with multichannel video providers require contractual adjustments if a minimum number of sporting events does not occur. This increase was partially offset by declines in the number of subscribers at our networks.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decreased in 2020 compared to 2019 primarily due to declines in the number of subscribers at our networks and credits accrued at some of our regional sports networks resulting from the reduced number of games played by professional sports leagues due to COVID-19, partially offset by contractual rate increases.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Revenue primarily relates to the licensing of our owned programming and revenue generated by various digital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in 2021 compared to 2020 primarily due to increased revenue from our digital properties and increased content licensing.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in 2020 compared to 2019 primarily due to timing of content provided under our licensing agreements, offset by decreased revenue from our digital properties.</w:t>
      </w:r>
    </w:p>
    <w:p>
      <w:pPr>
        <w:spacing w:after="0" w:line="6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expect the number of subscribers and audience ratings at our networks will continue to decline as a result of the competitive environment and shifting video consumption patterns. Media segment total revenue included $778 million and $118 million related to Peacock in 2021 and 2020, respectively.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Operating Costs and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include the amortization of owned and licensed programming, including sports rights, direct production costs, production overhead, on-air talent costs and costs associated with the distribution of our programming to third-party networks and other distribution platforms.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Expenses increased in 2021 primarily due to costs associated with our broadcast of the Tokyo Olympics, higher programming costs at Peacock and higher costs related to other sporting events due to COVID-19 timing impacts.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decreased in 2020 due to decreases in sports programming costs driven by decreases in the number of sports events as a result of the postponement and cancellation of events due to COVID-19, delays in airing of new programs and cost saving initiatives, partially offset by higher programming costs at Peacock.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 salaries, employee benefits, rent and other overhead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in 2021 primarily due to increased costs related to Peacock, partially offset by cost saving initiatives.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decreased in 2020 primarily due to decreased costs associated with our digital properties and cost saving initiatives, partially offset by increased costs related to Peacock.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consist primarily of the costs associated with promoting content on our networks, Peacock and digital properties, as well as costs associated with promoting our platforms and digital properties.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in 2021 primarily due to higher marketing related to Peacock and higher spending related to our networks.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decreased in 2020 primarily due to lower spending on marketing related to our networks, partially offset by higher marketing expenses related to Peacock.</w:t>
      </w:r>
    </w:p>
    <w:p>
      <w:pPr>
        <w:spacing w:after="0" w:line="6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Media segment total operating costs and expenses included $2.5 billion and $781 million related to Peacock in 2021 and 2020, respectively. We expect to continue to incur significant costs related to additional content and marketing as we invest in the platform and attract new customers.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46</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Studios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6"/>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2019</w:t>
            </w:r>
          </w:p>
        </w:tc>
        <w:tc>
          <w:tcPr>
            <w:tcW w:w="15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 to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c>
          <w:tcPr>
            <w:tcW w:w="0" w:type="dxa"/>
            <w:vAlign w:val="bottom"/>
          </w:tcPr>
          <w:p>
            <w:pPr>
              <w:spacing w:after="0"/>
              <w:rPr>
                <w:sz w:val="1"/>
                <w:szCs w:val="1"/>
                <w:color w:val="auto"/>
              </w:rPr>
            </w:pPr>
          </w:p>
        </w:tc>
      </w:tr>
      <w:tr>
        <w:trPr>
          <w:trHeight w:val="228"/>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7,565</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60" w:type="dxa"/>
            <w:vAlign w:val="bottom"/>
            <w:vMerge w:val="restart"/>
          </w:tcPr>
          <w:p>
            <w:pPr>
              <w:jc w:val="right"/>
              <w:ind w:right="313"/>
              <w:spacing w:after="0"/>
              <w:rPr>
                <w:sz w:val="20"/>
                <w:szCs w:val="20"/>
                <w:color w:val="auto"/>
              </w:rPr>
            </w:pPr>
            <w:r>
              <w:rPr>
                <w:rFonts w:ascii="Arial" w:cs="Arial" w:eastAsia="Arial" w:hAnsi="Arial"/>
                <w:sz w:val="18"/>
                <w:szCs w:val="18"/>
                <w:b w:val="1"/>
                <w:bCs w:val="1"/>
                <w:color w:val="auto"/>
              </w:rPr>
              <w:t>15.4 %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Arial" w:cs="Arial" w:eastAsia="Arial" w:hAnsi="Arial"/>
                <w:sz w:val="18"/>
                <w:szCs w:val="18"/>
                <w:color w:val="auto"/>
              </w:rPr>
              <w:t>Content licensing</w:t>
            </w:r>
          </w:p>
        </w:tc>
        <w:tc>
          <w:tcPr>
            <w:tcW w:w="12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6,557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6,373</w:t>
            </w:r>
          </w:p>
        </w:tc>
        <w:tc>
          <w:tcPr>
            <w:tcW w:w="1560" w:type="dxa"/>
            <w:vAlign w:val="bottom"/>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Theatrical</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691</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w:t>
            </w:r>
          </w:p>
        </w:tc>
        <w:tc>
          <w:tcPr>
            <w:tcW w:w="3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1,469</w:t>
            </w:r>
          </w:p>
        </w:tc>
        <w:tc>
          <w:tcPr>
            <w:tcW w:w="1560" w:type="dxa"/>
            <w:vAlign w:val="bottom"/>
          </w:tcPr>
          <w:p>
            <w:pPr>
              <w:jc w:val="right"/>
              <w:ind w:right="533"/>
              <w:spacing w:after="0"/>
              <w:rPr>
                <w:sz w:val="20"/>
                <w:szCs w:val="20"/>
                <w:color w:val="auto"/>
              </w:rPr>
            </w:pPr>
            <w:r>
              <w:rPr>
                <w:rFonts w:ascii="Arial" w:cs="Arial" w:eastAsia="Arial" w:hAnsi="Arial"/>
                <w:sz w:val="18"/>
                <w:szCs w:val="18"/>
                <w:b w:val="1"/>
                <w:bCs w:val="1"/>
                <w:color w:val="auto"/>
              </w:rPr>
              <w:t>65.4</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Home entertainment and other</w:t>
            </w: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1,193</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1,510</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2.9</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9,449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8,134</w:t>
            </w:r>
          </w:p>
        </w:tc>
        <w:tc>
          <w:tcPr>
            <w:tcW w:w="380" w:type="dxa"/>
            <w:vAlign w:val="bottom"/>
          </w:tcPr>
          <w:p>
            <w:pPr>
              <w:spacing w:after="0"/>
              <w:rPr>
                <w:sz w:val="18"/>
                <w:szCs w:val="18"/>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9,352</w:t>
            </w:r>
          </w:p>
        </w:tc>
        <w:tc>
          <w:tcPr>
            <w:tcW w:w="1560" w:type="dxa"/>
            <w:vAlign w:val="bottom"/>
          </w:tcPr>
          <w:p>
            <w:pPr>
              <w:jc w:val="right"/>
              <w:ind w:right="533"/>
              <w:spacing w:after="0"/>
              <w:rPr>
                <w:sz w:val="20"/>
                <w:szCs w:val="20"/>
                <w:color w:val="auto"/>
              </w:rPr>
            </w:pPr>
            <w:r>
              <w:rPr>
                <w:rFonts w:ascii="Arial" w:cs="Arial" w:eastAsia="Arial" w:hAnsi="Arial"/>
                <w:sz w:val="18"/>
                <w:szCs w:val="18"/>
                <w:b w:val="1"/>
                <w:bCs w:val="1"/>
                <w:color w:val="auto"/>
              </w:rPr>
              <w:t>16.2</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12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6,820</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60" w:type="dxa"/>
            <w:vAlign w:val="bottom"/>
            <w:vMerge w:val="restart"/>
          </w:tcPr>
          <w:p>
            <w:pPr>
              <w:jc w:val="right"/>
              <w:ind w:right="533"/>
              <w:spacing w:after="0"/>
              <w:rPr>
                <w:sz w:val="20"/>
                <w:szCs w:val="20"/>
                <w:color w:val="auto"/>
              </w:rPr>
            </w:pPr>
            <w:r>
              <w:rPr>
                <w:rFonts w:ascii="Arial" w:cs="Arial" w:eastAsia="Arial" w:hAnsi="Arial"/>
                <w:sz w:val="18"/>
                <w:szCs w:val="18"/>
                <w:b w:val="1"/>
                <w:bCs w:val="1"/>
                <w:color w:val="auto"/>
              </w:rPr>
              <w:t>26.0</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00" w:type="dxa"/>
            <w:vAlign w:val="bottom"/>
          </w:tcPr>
          <w:p>
            <w:pPr>
              <w:ind w:left="140"/>
              <w:spacing w:after="0"/>
              <w:rPr>
                <w:sz w:val="20"/>
                <w:szCs w:val="20"/>
                <w:color w:val="auto"/>
              </w:rPr>
            </w:pPr>
            <w:r>
              <w:rPr>
                <w:rFonts w:ascii="Arial" w:cs="Arial" w:eastAsia="Arial" w:hAnsi="Arial"/>
                <w:sz w:val="18"/>
                <w:szCs w:val="18"/>
                <w:color w:val="auto"/>
              </w:rPr>
              <w:t>Programming and production</w:t>
            </w:r>
          </w:p>
        </w:tc>
        <w:tc>
          <w:tcPr>
            <w:tcW w:w="1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5,413</w:t>
            </w:r>
          </w:p>
        </w:tc>
        <w:tc>
          <w:tcPr>
            <w:tcW w:w="3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5,903</w:t>
            </w:r>
          </w:p>
        </w:tc>
        <w:tc>
          <w:tcPr>
            <w:tcW w:w="1560" w:type="dxa"/>
            <w:vAlign w:val="bottom"/>
            <w:vMerge w:val="continue"/>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Other operating and administrative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w:t>
            </w:r>
          </w:p>
        </w:tc>
        <w:tc>
          <w:tcPr>
            <w:tcW w:w="380" w:type="dxa"/>
            <w:vAlign w:val="bottom"/>
          </w:tcPr>
          <w:p>
            <w:pPr>
              <w:spacing w:after="0"/>
              <w:rPr>
                <w:sz w:val="19"/>
                <w:szCs w:val="19"/>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849</w:t>
            </w:r>
          </w:p>
        </w:tc>
        <w:tc>
          <w:tcPr>
            <w:tcW w:w="1560" w:type="dxa"/>
            <w:vAlign w:val="bottom"/>
          </w:tcPr>
          <w:p>
            <w:pPr>
              <w:jc w:val="right"/>
              <w:ind w:right="493"/>
              <w:spacing w:after="0"/>
              <w:rPr>
                <w:sz w:val="20"/>
                <w:szCs w:val="20"/>
                <w:color w:val="auto"/>
              </w:rPr>
            </w:pPr>
            <w:r>
              <w:rPr>
                <w:rFonts w:ascii="Arial" w:cs="Arial" w:eastAsia="Arial" w:hAnsi="Arial"/>
                <w:sz w:val="18"/>
                <w:szCs w:val="18"/>
                <w:b w:val="1"/>
                <w:bCs w:val="1"/>
                <w:color w:val="auto"/>
              </w:rPr>
              <w:t>(18.0)</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Advertising, marketing and promotion</w:t>
            </w: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1,542</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24.3</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8,565</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8,294</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20.7</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884</w:t>
            </w:r>
          </w:p>
        </w:tc>
        <w:tc>
          <w:tcPr>
            <w:tcW w:w="38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1,041</w:t>
            </w:r>
          </w:p>
        </w:tc>
        <w:tc>
          <w:tcPr>
            <w:tcW w:w="38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0C6DFF"/>
            </w:tcBorders>
          </w:tcPr>
          <w:p>
            <w:pPr>
              <w:jc w:val="right"/>
              <w:ind w:right="372"/>
              <w:spacing w:after="0"/>
              <w:rPr>
                <w:sz w:val="20"/>
                <w:szCs w:val="20"/>
                <w:color w:val="auto"/>
              </w:rPr>
            </w:pPr>
            <w:r>
              <w:rPr>
                <w:rFonts w:ascii="Arial" w:cs="Arial" w:eastAsia="Arial" w:hAnsi="Arial"/>
                <w:sz w:val="18"/>
                <w:szCs w:val="18"/>
                <w:color w:val="auto"/>
              </w:rPr>
              <w:t>1,058</w:t>
            </w:r>
          </w:p>
        </w:tc>
        <w:tc>
          <w:tcPr>
            <w:tcW w:w="1560" w:type="dxa"/>
            <w:vAlign w:val="bottom"/>
            <w:tcBorders>
              <w:bottom w:val="single" w:sz="8" w:color="0C6DFF"/>
            </w:tcBorders>
          </w:tcPr>
          <w:p>
            <w:pPr>
              <w:jc w:val="right"/>
              <w:ind w:right="313"/>
              <w:spacing w:after="0"/>
              <w:rPr>
                <w:sz w:val="20"/>
                <w:szCs w:val="20"/>
                <w:color w:val="auto"/>
              </w:rPr>
            </w:pPr>
            <w:r>
              <w:rPr>
                <w:rFonts w:ascii="Arial" w:cs="Arial" w:eastAsia="Arial" w:hAnsi="Arial"/>
                <w:sz w:val="18"/>
                <w:szCs w:val="18"/>
                <w:b w:val="1"/>
                <w:bCs w:val="1"/>
                <w:color w:val="auto"/>
              </w:rPr>
              <w:t>(15.1)%</w:t>
            </w:r>
          </w:p>
        </w:tc>
        <w:tc>
          <w:tcPr>
            <w:tcW w:w="1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relates to the licensing of our owned film and television content in the United States and internationally to cable, broadcast and premium networks and DTC streaming service providers, as well as through video on demand and pay-per-view services provided by multichannel video providers and OTT service providers.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increased in 2021 primarily due to the timing of when content was made available by our television studios under licensing agreements, including additional sales of content as production levels returned to normal in 2021 and a new licensing agreement for content that became exclusively available for streaming on Peacock in 2021, which more than offset the benefit from initial content licenses associated with the launch of Peacock in 2020. Revenue in 2021 also was negatively impacted by delays in theatrical releases due to COVID-19 for our film studios.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increased in 2020 primarily due to the timing of when content was made available under licensing agreements, including initial licenses of content associated with the launch of Peacock, and increased sales of titles made available on demand, including certain 2020 releases after theater closures due to COVID-19, partially offset by decreases in revenue from our television studios due to delays in production.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6EBF"/>
        </w:rPr>
        <w:t>Theatrical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Revenue relates to the worldwide distribution of our films for exhibition in movie theaters.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Revenue increased in 2021 primarily due to current year releases, including </w:t>
      </w:r>
      <w:r>
        <w:rPr>
          <w:rFonts w:ascii="Arial" w:cs="Arial" w:eastAsia="Arial" w:hAnsi="Arial"/>
          <w:sz w:val="18"/>
          <w:szCs w:val="18"/>
          <w:i w:val="1"/>
          <w:iCs w:val="1"/>
          <w:color w:val="auto"/>
        </w:rPr>
        <w:t>F9</w:t>
      </w:r>
      <w:r>
        <w:rPr>
          <w:rFonts w:ascii="Arial" w:cs="Arial" w:eastAsia="Arial" w:hAnsi="Arial"/>
          <w:sz w:val="18"/>
          <w:szCs w:val="18"/>
          <w:color w:val="auto"/>
        </w:rPr>
        <w:t>, and the impact of theater closures as a result of COVID-19 in the prior year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in 2020 primarily due to theater closures as a result of COVID-19.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Home Entertainment and Other</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consists of the sale of content on DVDs and through digital distribution services, as well as the production and licensing of live stage plays and the distribution of filmed entertainment produced by third parties. The overall DVD market continues to experience declines due to the maturation of the DVD format from increasing shifts in consumer behavior toward digital distribution services and subscription rental services, both of which generate less revenue per transaction than DVD sales, as well as due to piracy.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in 2021 primarily due to increased sales of television titles in the current year period.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decreased in 2020 primarily due to COVID-19, including from our live stage plays, which were impacted by theater and entertainment venue closures, and a reduced number of releases in 2020.</w:t>
      </w:r>
    </w:p>
    <w:p>
      <w:pPr>
        <w:spacing w:after="0" w:line="200" w:lineRule="exact"/>
        <w:rPr>
          <w:sz w:val="20"/>
          <w:szCs w:val="20"/>
          <w:color w:val="auto"/>
        </w:rPr>
      </w:pPr>
    </w:p>
    <w:p>
      <w:pPr>
        <w:spacing w:after="0" w:line="28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Operating Costs and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include the amortization of capitalized film and television production and acquisition costs, residuals and participations payments, and distribution expenses. The costs associated with producing film and television content have generally increased in recent years and may continue to increase in the future.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Expenses increased in 2021 due to higher costs associated with content licensing sales, including the new licensing agreement for content that became exclusively available for streaming on Peacock in 2021, higher costs associated with theatrical releases in the current year period and the impact of updated accounting guidance related to episodic television series, which was adopted and had a favorable impact on programming and production expense in the prior year period.</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Expenses decreased in 2020 due to higher costs associated with theatrical releases in 2019, lower production costs as a result of delays in production and the impact of updated accounting guidance related to episodic television series, partially offset by higher costs associated with content licensing sales.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 salaries, employee benefits, rent and other overhead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Expenses decreased in 2021 primarily due to cost saving initiatives.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decreased in 2020 primarily due to lower costs associated with live stage plays, which were impacted by theater and entertainment venue closures as a result of COVID-19.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consist primarily of expenses associated with advertising for our theatrical releases and the marketing of DVDs. The costs associated with marketing films have generally increased in recent years and may continue to increase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in 2021 primarily due to higher spending on theatrical film releases in the current 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Expenses decreased in 2020 primarily due to lower spending on theatrical film releases as a result of COVID-19.</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20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2020 to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6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5,051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6,213</w:t>
            </w:r>
          </w:p>
        </w:tc>
        <w:tc>
          <w:tcPr>
            <w:tcW w:w="1580" w:type="dxa"/>
            <w:vAlign w:val="bottom"/>
          </w:tcPr>
          <w:p>
            <w:pPr>
              <w:jc w:val="right"/>
              <w:ind w:right="317"/>
              <w:spacing w:after="0"/>
              <w:rPr>
                <w:sz w:val="20"/>
                <w:szCs w:val="20"/>
                <w:color w:val="auto"/>
              </w:rPr>
            </w:pPr>
            <w:r>
              <w:rPr>
                <w:rFonts w:ascii="Arial" w:cs="Arial" w:eastAsia="Arial" w:hAnsi="Arial"/>
                <w:sz w:val="18"/>
                <w:szCs w:val="18"/>
                <w:b w:val="1"/>
                <w:bCs w:val="1"/>
                <w:color w:val="auto"/>
              </w:rPr>
              <w:t>141.2 %</w:t>
            </w:r>
          </w:p>
        </w:tc>
        <w:tc>
          <w:tcPr>
            <w:tcW w:w="118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4"/>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1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3,783</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3,715</w:t>
            </w:r>
          </w:p>
        </w:tc>
        <w:tc>
          <w:tcPr>
            <w:tcW w:w="158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b w:val="1"/>
                <w:bCs w:val="1"/>
                <w:color w:val="auto"/>
              </w:rPr>
              <w:t>47.1</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(30.8)</w:t>
            </w:r>
          </w:p>
        </w:tc>
      </w:tr>
      <w:tr>
        <w:trPr>
          <w:trHeight w:val="223"/>
        </w:trPr>
        <w:tc>
          <w:tcPr>
            <w:tcW w:w="344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60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1,267</w:t>
            </w:r>
          </w:p>
        </w:tc>
        <w:tc>
          <w:tcPr>
            <w:tcW w:w="38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(477)</w:t>
            </w:r>
          </w:p>
        </w:tc>
        <w:tc>
          <w:tcPr>
            <w:tcW w:w="40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0C6DFF"/>
            </w:tcBorders>
          </w:tcPr>
          <w:p>
            <w:pPr>
              <w:jc w:val="right"/>
              <w:ind w:right="375"/>
              <w:spacing w:after="0"/>
              <w:rPr>
                <w:sz w:val="20"/>
                <w:szCs w:val="20"/>
                <w:color w:val="auto"/>
              </w:rPr>
            </w:pPr>
            <w:r>
              <w:rPr>
                <w:rFonts w:ascii="Arial" w:cs="Arial" w:eastAsia="Arial" w:hAnsi="Arial"/>
                <w:sz w:val="18"/>
                <w:szCs w:val="18"/>
                <w:color w:val="auto"/>
              </w:rPr>
              <w:t>2,498</w:t>
            </w:r>
          </w:p>
        </w:tc>
        <w:tc>
          <w:tcPr>
            <w:tcW w:w="1580" w:type="dxa"/>
            <w:vAlign w:val="bottom"/>
            <w:tcBorders>
              <w:bottom w:val="single" w:sz="8" w:color="0C6DFF"/>
            </w:tcBorders>
          </w:tcPr>
          <w:p>
            <w:pPr>
              <w:jc w:val="center"/>
              <w:spacing w:after="0"/>
              <w:rPr>
                <w:sz w:val="20"/>
                <w:szCs w:val="20"/>
                <w:color w:val="auto"/>
              </w:rPr>
            </w:pPr>
            <w:r>
              <w:rPr>
                <w:rFonts w:ascii="Arial" w:cs="Arial" w:eastAsia="Arial" w:hAnsi="Arial"/>
                <w:sz w:val="18"/>
                <w:szCs w:val="18"/>
                <w:b w:val="1"/>
                <w:bCs w:val="1"/>
                <w:color w:val="auto"/>
              </w:rPr>
              <w:t>NM</w:t>
            </w:r>
          </w:p>
        </w:tc>
        <w:tc>
          <w:tcPr>
            <w:tcW w:w="1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(119.1)%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Revenue primarily relates to guest spending at our theme parks, including ticket sales and in-park spending and our consumer products business.</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increased in 2021 primarily due to improved operating conditions compared to 2020 when each of our theme parks were either operating at a limited capacity or closed as a result of COVID-19 and from the operations of Universal Beijing Resort, which opened in September 2021. All of our theme parks temporarily closed beginning in mid to late first quarter of 2020. Our theme park in Orlando reopened with capacity restrictions in the second quarter of 2020 and began operating without capacity restrictions during the second quarter of 2021. Our theme park in Hollywood reopened with capacity restrictions early in the second quarter of 2021 and began operating without capacity restrictions by the end of that quarter. Our theme park in Japan reopened with capacity restrictions in the second quarter of 2020, had a temporary closure in the second quarter of 2021 and began operating without capacity restrictions in the fourth quarter of 2021. Our newest theme park in Beijing opened in September 2021 with capacity restrictions.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in 2020 due to the temporary closures and capacity restrictions at our theme parks as a result of COVID-19.</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48</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consist primarily of theme park operations, including repairs and maintenance and related administrative expenses; food, beverage and merchandise costs; labor costs; and sales and marketing costs.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Expenses increased in 2021 primarily due to increased operating costs at our theme parks, as compared to the temporary closures and capacity restrictions in the prior year period. Expenses also include increased pre-opening costs and operating costs associated with Universal Beijing Resort.</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decreased in 2020 primarily due to temporary closures and capacity restrictions and lower marketing-related costs, partially offset by pre-opening costs associated with Universal Beijing Resort.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006EBF"/>
        </w:rPr>
        <w:t>Headquarters and Other Results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tcPr>
          <w:p>
            <w:pPr>
              <w:jc w:val="right"/>
              <w:ind w:right="337"/>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20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15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 to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5"/>
              <w:spacing w:after="0"/>
              <w:rPr>
                <w:sz w:val="20"/>
                <w:szCs w:val="20"/>
                <w:color w:val="auto"/>
              </w:rPr>
            </w:pPr>
            <w:r>
              <w:rPr>
                <w:rFonts w:ascii="Arial" w:cs="Arial" w:eastAsia="Arial" w:hAnsi="Arial"/>
                <w:sz w:val="18"/>
                <w:szCs w:val="18"/>
                <w:color w:val="auto"/>
              </w:rPr>
              <w:t>31</w:t>
            </w:r>
          </w:p>
        </w:tc>
        <w:tc>
          <w:tcPr>
            <w:tcW w:w="1560" w:type="dxa"/>
            <w:vAlign w:val="bottom"/>
          </w:tcPr>
          <w:p>
            <w:pPr>
              <w:jc w:val="right"/>
              <w:ind w:right="317"/>
              <w:spacing w:after="0"/>
              <w:rPr>
                <w:sz w:val="20"/>
                <w:szCs w:val="20"/>
                <w:color w:val="auto"/>
              </w:rPr>
            </w:pPr>
            <w:r>
              <w:rPr>
                <w:rFonts w:ascii="Arial" w:cs="Arial" w:eastAsia="Arial" w:hAnsi="Arial"/>
                <w:sz w:val="18"/>
                <w:szCs w:val="18"/>
                <w:b w:val="1"/>
                <w:bCs w:val="1"/>
                <w:color w:val="auto"/>
              </w:rPr>
              <w:t>63.8 %</w:t>
            </w:r>
          </w:p>
        </w:tc>
        <w:tc>
          <w:tcPr>
            <w:tcW w:w="1180" w:type="dxa"/>
            <w:vAlign w:val="bottom"/>
          </w:tcPr>
          <w:p>
            <w:pPr>
              <w:jc w:val="right"/>
              <w:spacing w:after="0"/>
              <w:rPr>
                <w:sz w:val="20"/>
                <w:szCs w:val="20"/>
                <w:color w:val="auto"/>
              </w:rPr>
            </w:pPr>
            <w:r>
              <w:rPr>
                <w:rFonts w:ascii="Arial" w:cs="Arial" w:eastAsia="Arial" w:hAnsi="Arial"/>
                <w:sz w:val="18"/>
                <w:szCs w:val="18"/>
                <w:color w:val="auto"/>
              </w:rPr>
              <w:t>69.6 %</w:t>
            </w:r>
          </w:p>
        </w:tc>
      </w:tr>
      <w:tr>
        <w:trPr>
          <w:trHeight w:val="234"/>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16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721</w:t>
            </w:r>
          </w:p>
        </w:tc>
        <w:tc>
          <w:tcPr>
            <w:tcW w:w="156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b w:val="1"/>
                <w:bCs w:val="1"/>
                <w:color w:val="auto"/>
              </w:rPr>
              <w:t>50.5</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(14.5)</w:t>
            </w:r>
          </w:p>
        </w:tc>
      </w:tr>
      <w:tr>
        <w:trPr>
          <w:trHeight w:val="223"/>
        </w:trPr>
        <w:tc>
          <w:tcPr>
            <w:tcW w:w="34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62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(840)</w:t>
            </w:r>
          </w:p>
        </w:tc>
        <w:tc>
          <w:tcPr>
            <w:tcW w:w="42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(563)</w:t>
            </w:r>
          </w:p>
        </w:tc>
        <w:tc>
          <w:tcPr>
            <w:tcW w:w="42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0C6DFF"/>
            </w:tcBorders>
          </w:tcPr>
          <w:p>
            <w:pPr>
              <w:jc w:val="right"/>
              <w:ind w:right="335"/>
              <w:spacing w:after="0"/>
              <w:rPr>
                <w:sz w:val="20"/>
                <w:szCs w:val="20"/>
                <w:color w:val="auto"/>
              </w:rPr>
            </w:pPr>
            <w:r>
              <w:rPr>
                <w:rFonts w:ascii="Arial" w:cs="Arial" w:eastAsia="Arial" w:hAnsi="Arial"/>
                <w:sz w:val="18"/>
                <w:szCs w:val="18"/>
                <w:color w:val="auto"/>
              </w:rPr>
              <w:t>(690)</w:t>
            </w:r>
          </w:p>
        </w:tc>
        <w:tc>
          <w:tcPr>
            <w:tcW w:w="1560" w:type="dxa"/>
            <w:vAlign w:val="bottom"/>
            <w:tcBorders>
              <w:bottom w:val="single" w:sz="8" w:color="0C6DFF"/>
            </w:tcBorders>
          </w:tcPr>
          <w:p>
            <w:pPr>
              <w:jc w:val="right"/>
              <w:ind w:right="317"/>
              <w:spacing w:after="0"/>
              <w:rPr>
                <w:sz w:val="20"/>
                <w:szCs w:val="20"/>
                <w:color w:val="auto"/>
              </w:rPr>
            </w:pPr>
            <w:r>
              <w:rPr>
                <w:rFonts w:ascii="Arial" w:cs="Arial" w:eastAsia="Arial" w:hAnsi="Arial"/>
                <w:sz w:val="18"/>
                <w:szCs w:val="18"/>
                <w:b w:val="1"/>
                <w:bCs w:val="1"/>
                <w:color w:val="auto"/>
              </w:rPr>
              <w:t>(49.3)%</w:t>
            </w:r>
          </w:p>
        </w:tc>
        <w:tc>
          <w:tcPr>
            <w:tcW w:w="1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18.4 %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Expenses include overhead, personnel costs and costs associated with corporate initiatives, which were affected by COVID-19 in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006EBF"/>
        </w:rPr>
        <w:t>Eliminations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80" w:type="dxa"/>
            <w:vAlign w:val="bottom"/>
          </w:tcPr>
          <w:p>
            <w:pPr>
              <w:jc w:val="right"/>
              <w:ind w:right="357"/>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ind w:left="540"/>
              <w:spacing w:after="0"/>
              <w:rPr>
                <w:sz w:val="20"/>
                <w:szCs w:val="20"/>
                <w:color w:val="auto"/>
              </w:rPr>
            </w:pPr>
            <w:r>
              <w:rPr>
                <w:rFonts w:ascii="Arial" w:cs="Arial" w:eastAsia="Arial" w:hAnsi="Arial"/>
                <w:sz w:val="14"/>
                <w:szCs w:val="14"/>
                <w:color w:val="auto"/>
                <w:w w:val="94"/>
              </w:rPr>
              <w:t>% Change</w:t>
            </w:r>
          </w:p>
        </w:tc>
      </w:tr>
      <w:tr>
        <w:trPr>
          <w:trHeight w:val="20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15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 to 2021</w:t>
            </w:r>
          </w:p>
        </w:tc>
        <w:tc>
          <w:tcPr>
            <w:tcW w:w="1180" w:type="dxa"/>
            <w:vAlign w:val="bottom"/>
            <w:tcBorders>
              <w:bottom w:val="single" w:sz="8" w:color="auto"/>
            </w:tcBorders>
          </w:tcPr>
          <w:p>
            <w:pPr>
              <w:jc w:val="center"/>
              <w:ind w:left="297"/>
              <w:spacing w:after="0"/>
              <w:rPr>
                <w:sz w:val="20"/>
                <w:szCs w:val="20"/>
                <w:color w:val="auto"/>
              </w:rPr>
            </w:pPr>
            <w:r>
              <w:rPr>
                <w:rFonts w:ascii="Arial" w:cs="Arial" w:eastAsia="Arial" w:hAnsi="Arial"/>
                <w:sz w:val="14"/>
                <w:szCs w:val="14"/>
                <w:color w:val="auto"/>
                <w:w w:val="92"/>
              </w:rPr>
              <w:t>2019 to 2020</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(3,048)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5"/>
              <w:spacing w:after="0"/>
              <w:rPr>
                <w:sz w:val="20"/>
                <w:szCs w:val="20"/>
                <w:color w:val="auto"/>
              </w:rPr>
            </w:pPr>
            <w:r>
              <w:rPr>
                <w:rFonts w:ascii="Arial" w:cs="Arial" w:eastAsia="Arial" w:hAnsi="Arial"/>
                <w:sz w:val="18"/>
                <w:szCs w:val="18"/>
                <w:color w:val="auto"/>
              </w:rPr>
              <w:t>(1,585)</w:t>
            </w:r>
          </w:p>
        </w:tc>
        <w:tc>
          <w:tcPr>
            <w:tcW w:w="1580" w:type="dxa"/>
            <w:vAlign w:val="bottom"/>
          </w:tcPr>
          <w:p>
            <w:pPr>
              <w:jc w:val="right"/>
              <w:ind w:right="317"/>
              <w:spacing w:after="0"/>
              <w:rPr>
                <w:sz w:val="20"/>
                <w:szCs w:val="20"/>
                <w:color w:val="auto"/>
              </w:rPr>
            </w:pPr>
            <w:r>
              <w:rPr>
                <w:rFonts w:ascii="Arial" w:cs="Arial" w:eastAsia="Arial" w:hAnsi="Arial"/>
                <w:sz w:val="18"/>
                <w:szCs w:val="18"/>
                <w:b w:val="1"/>
                <w:bCs w:val="1"/>
                <w:color w:val="auto"/>
              </w:rPr>
              <w:t>51.9 %</w:t>
            </w:r>
          </w:p>
        </w:tc>
        <w:tc>
          <w:tcPr>
            <w:tcW w:w="1180" w:type="dxa"/>
            <w:vAlign w:val="bottom"/>
          </w:tcPr>
          <w:p>
            <w:pPr>
              <w:ind w:left="640"/>
              <w:spacing w:after="0"/>
              <w:rPr>
                <w:sz w:val="20"/>
                <w:szCs w:val="20"/>
                <w:color w:val="auto"/>
              </w:rPr>
            </w:pPr>
            <w:r>
              <w:rPr>
                <w:rFonts w:ascii="Arial" w:cs="Arial" w:eastAsia="Arial" w:hAnsi="Arial"/>
                <w:sz w:val="18"/>
                <w:szCs w:val="18"/>
                <w:color w:val="auto"/>
                <w:w w:val="92"/>
              </w:rPr>
              <w:t>26.6 %</w:t>
            </w:r>
          </w:p>
        </w:tc>
      </w:tr>
      <w:tr>
        <w:trPr>
          <w:trHeight w:val="234"/>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1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(2,843)</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(1,596)</w:t>
            </w:r>
          </w:p>
        </w:tc>
        <w:tc>
          <w:tcPr>
            <w:tcW w:w="158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b w:val="1"/>
                <w:bCs w:val="1"/>
                <w:color w:val="auto"/>
              </w:rPr>
              <w:t>59.0</w:t>
            </w: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12.0</w:t>
            </w:r>
          </w:p>
        </w:tc>
      </w:tr>
      <w:tr>
        <w:trPr>
          <w:trHeight w:val="223"/>
        </w:trPr>
        <w:tc>
          <w:tcPr>
            <w:tcW w:w="344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56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(205)</w:t>
            </w:r>
          </w:p>
        </w:tc>
        <w:tc>
          <w:tcPr>
            <w:tcW w:w="360" w:type="dxa"/>
            <w:vAlign w:val="bottom"/>
            <w:tcBorders>
              <w:bottom w:val="single" w:sz="8" w:color="0C6D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(220)</w:t>
            </w:r>
          </w:p>
        </w:tc>
        <w:tc>
          <w:tcPr>
            <w:tcW w:w="36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0C6DFF"/>
            </w:tcBorders>
          </w:tcPr>
          <w:p>
            <w:pPr>
              <w:jc w:val="right"/>
              <w:ind w:right="375"/>
              <w:spacing w:after="0"/>
              <w:rPr>
                <w:sz w:val="20"/>
                <w:szCs w:val="20"/>
                <w:color w:val="auto"/>
              </w:rPr>
            </w:pPr>
            <w:r>
              <w:rPr>
                <w:rFonts w:ascii="Arial" w:cs="Arial" w:eastAsia="Arial" w:hAnsi="Arial"/>
                <w:sz w:val="18"/>
                <w:szCs w:val="18"/>
                <w:color w:val="auto"/>
              </w:rPr>
              <w:t>11</w:t>
            </w:r>
          </w:p>
        </w:tc>
        <w:tc>
          <w:tcPr>
            <w:tcW w:w="1580" w:type="dxa"/>
            <w:vAlign w:val="bottom"/>
            <w:tcBorders>
              <w:bottom w:val="single" w:sz="8" w:color="0C6DFF"/>
            </w:tcBorders>
          </w:tcPr>
          <w:p>
            <w:pPr>
              <w:jc w:val="right"/>
              <w:ind w:right="317"/>
              <w:spacing w:after="0"/>
              <w:rPr>
                <w:sz w:val="20"/>
                <w:szCs w:val="20"/>
                <w:color w:val="auto"/>
              </w:rPr>
            </w:pPr>
            <w:r>
              <w:rPr>
                <w:rFonts w:ascii="Arial" w:cs="Arial" w:eastAsia="Arial" w:hAnsi="Arial"/>
                <w:sz w:val="18"/>
                <w:szCs w:val="18"/>
                <w:b w:val="1"/>
                <w:bCs w:val="1"/>
                <w:color w:val="auto"/>
              </w:rPr>
              <w:t>(6.5)%</w:t>
            </w:r>
          </w:p>
        </w:tc>
        <w:tc>
          <w:tcPr>
            <w:tcW w:w="1180" w:type="dxa"/>
            <w:vAlign w:val="bottom"/>
            <w:tcBorders>
              <w:bottom w:val="single" w:sz="8" w:color="0C6DFF"/>
            </w:tcBorders>
          </w:tcPr>
          <w:p>
            <w:pPr>
              <w:jc w:val="center"/>
              <w:ind w:left="337"/>
              <w:spacing w:after="0"/>
              <w:rPr>
                <w:sz w:val="20"/>
                <w:szCs w:val="20"/>
                <w:color w:val="auto"/>
              </w:rPr>
            </w:pPr>
            <w:r>
              <w:rPr>
                <w:rFonts w:ascii="Arial" w:cs="Arial" w:eastAsia="Arial" w:hAnsi="Arial"/>
                <w:sz w:val="18"/>
                <w:szCs w:val="18"/>
                <w:color w:val="auto"/>
                <w:w w:val="99"/>
              </w:rPr>
              <w:t>NM</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represent eliminations of transactions between our NBCUniversal segments, which are affected by the timing of recognition of content licenses between our Studios and Media segments. Current year amounts include the impact of a new licensing agreement for content that became exclusively available for streaming on Peacock during the first quarter of 2021, and prior year amounts include the impacts of initial licenses of content associated with the launch of Peacock.</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2021, 2020 and 2019, approximately 42%, 34% and 27%, respectively, of Studios segment content licensing revenue resulted from transactions with other segments, primarily with the Media segment. Eliminations will increase or decrease to the extent that additional content is made available to our other segments. Refer to Note 2 for further discussion of transactions between our segments.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Sky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4"/>
                <w:szCs w:val="14"/>
                <w:color w:val="auto"/>
              </w:rPr>
            </w:pPr>
          </w:p>
        </w:tc>
        <w:tc>
          <w:tcPr>
            <w:tcW w:w="1000" w:type="dxa"/>
            <w:vAlign w:val="bottom"/>
            <w:vMerge w:val="restart"/>
          </w:tcPr>
          <w:p>
            <w:pPr>
              <w:jc w:val="right"/>
              <w:ind w:right="493"/>
              <w:spacing w:after="0"/>
              <w:rPr>
                <w:sz w:val="20"/>
                <w:szCs w:val="20"/>
                <w:color w:val="auto"/>
              </w:rPr>
            </w:pPr>
            <w:r>
              <w:rPr>
                <w:rFonts w:ascii="Arial" w:cs="Arial" w:eastAsia="Arial" w:hAnsi="Arial"/>
                <w:sz w:val="14"/>
                <w:szCs w:val="14"/>
                <w:color w:val="auto"/>
              </w:rPr>
              <w:t>2019</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 to 2021</w:t>
            </w: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jc w:val="right"/>
              <w:ind w:right="115"/>
              <w:spacing w:after="0" w:line="130" w:lineRule="exact"/>
              <w:rPr>
                <w:sz w:val="20"/>
                <w:szCs w:val="20"/>
                <w:color w:val="auto"/>
              </w:rPr>
            </w:pPr>
            <w:r>
              <w:rPr>
                <w:rFonts w:ascii="Arial" w:cs="Arial" w:eastAsia="Arial" w:hAnsi="Arial"/>
                <w:sz w:val="14"/>
                <w:szCs w:val="14"/>
                <w:b w:val="1"/>
                <w:bCs w:val="1"/>
                <w:color w:val="auto"/>
                <w:w w:val="95"/>
              </w:rPr>
              <w:t>Constant</w:t>
            </w:r>
          </w:p>
        </w:tc>
        <w:tc>
          <w:tcPr>
            <w:tcW w:w="118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5"/>
        </w:trPr>
        <w:tc>
          <w:tcPr>
            <w:tcW w:w="444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(in millions)</w:t>
            </w:r>
          </w:p>
        </w:tc>
        <w:tc>
          <w:tcPr>
            <w:tcW w:w="2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Actual</w:t>
            </w:r>
          </w:p>
        </w:tc>
        <w:tc>
          <w:tcPr>
            <w:tcW w:w="240" w:type="dxa"/>
            <w:vAlign w:val="bottom"/>
          </w:tcPr>
          <w:p>
            <w:pPr>
              <w:spacing w:after="0"/>
              <w:rPr>
                <w:sz w:val="11"/>
                <w:szCs w:val="11"/>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color w:val="auto"/>
              </w:rPr>
              <w:t>Actual</w:t>
            </w:r>
          </w:p>
        </w:tc>
        <w:tc>
          <w:tcPr>
            <w:tcW w:w="12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w w:val="94"/>
              </w:rPr>
              <w:t>Currency</w:t>
            </w:r>
          </w:p>
        </w:tc>
        <w:tc>
          <w:tcPr>
            <w:tcW w:w="1180" w:type="dxa"/>
            <w:vAlign w:val="bottom"/>
            <w:vMerge w:val="restart"/>
          </w:tcPr>
          <w:p>
            <w:pPr>
              <w:jc w:val="right"/>
              <w:ind w:right="315"/>
              <w:spacing w:after="0"/>
              <w:rPr>
                <w:sz w:val="20"/>
                <w:szCs w:val="20"/>
                <w:color w:val="auto"/>
              </w:rPr>
            </w:pPr>
            <w:r>
              <w:rPr>
                <w:rFonts w:ascii="Arial" w:cs="Arial" w:eastAsia="Arial" w:hAnsi="Arial"/>
                <w:sz w:val="14"/>
                <w:szCs w:val="14"/>
                <w:color w:val="auto"/>
              </w:rPr>
              <w:t>Actual</w:t>
            </w: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2"/>
              </w:rPr>
              <w:t>Change</w:t>
            </w:r>
            <w:r>
              <w:rPr>
                <w:rFonts w:ascii="Arial" w:cs="Arial" w:eastAsia="Arial" w:hAnsi="Arial"/>
                <w:sz w:val="9"/>
                <w:szCs w:val="9"/>
                <w:b w:val="1"/>
                <w:bCs w:val="1"/>
                <w:color w:val="auto"/>
                <w:w w:val="92"/>
              </w:rPr>
              <w:t>(a)</w:t>
            </w:r>
          </w:p>
        </w:tc>
        <w:tc>
          <w:tcPr>
            <w:tcW w:w="11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Change</w:t>
            </w:r>
            <w:r>
              <w:rPr>
                <w:rFonts w:ascii="Arial" w:cs="Arial" w:eastAsia="Arial" w:hAnsi="Arial"/>
                <w:sz w:val="9"/>
                <w:szCs w:val="9"/>
                <w:color w:val="auto"/>
                <w:w w:val="96"/>
              </w:rPr>
              <w:t>(a)</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16,455</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20" w:type="dxa"/>
            <w:vAlign w:val="bottom"/>
            <w:vMerge w:val="restart"/>
          </w:tcPr>
          <w:p>
            <w:pPr>
              <w:jc w:val="right"/>
              <w:ind w:right="355"/>
              <w:spacing w:after="0"/>
              <w:rPr>
                <w:sz w:val="20"/>
                <w:szCs w:val="20"/>
                <w:color w:val="auto"/>
              </w:rPr>
            </w:pPr>
            <w:r>
              <w:rPr>
                <w:rFonts w:ascii="Arial" w:cs="Arial" w:eastAsia="Arial" w:hAnsi="Arial"/>
                <w:sz w:val="18"/>
                <w:szCs w:val="18"/>
                <w:b w:val="1"/>
                <w:bCs w:val="1"/>
                <w:color w:val="auto"/>
              </w:rPr>
              <w:t>8.1 %</w:t>
            </w:r>
          </w:p>
        </w:tc>
        <w:tc>
          <w:tcPr>
            <w:tcW w:w="80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2.0 %</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140"/>
              <w:spacing w:after="0"/>
              <w:rPr>
                <w:sz w:val="20"/>
                <w:szCs w:val="20"/>
                <w:color w:val="auto"/>
              </w:rPr>
            </w:pPr>
            <w:r>
              <w:rPr>
                <w:rFonts w:ascii="Arial" w:cs="Arial" w:eastAsia="Arial" w:hAnsi="Arial"/>
                <w:sz w:val="18"/>
                <w:szCs w:val="18"/>
                <w:color w:val="auto"/>
              </w:rPr>
              <w:t>Direct-to-consumer</w:t>
            </w:r>
          </w:p>
        </w:tc>
        <w:tc>
          <w:tcPr>
            <w:tcW w:w="2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15,538</w:t>
            </w:r>
          </w:p>
        </w:tc>
        <w:tc>
          <w:tcPr>
            <w:tcW w:w="1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(2.0)%</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Content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1,341</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1,373</w:t>
            </w:r>
          </w:p>
        </w:tc>
        <w:tc>
          <w:tcPr>
            <w:tcW w:w="240" w:type="dxa"/>
            <w:vAlign w:val="bottom"/>
          </w:tcPr>
          <w:p>
            <w:pPr>
              <w:spacing w:after="0"/>
              <w:rPr>
                <w:sz w:val="19"/>
                <w:szCs w:val="19"/>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1,432</w:t>
            </w:r>
          </w:p>
        </w:tc>
        <w:tc>
          <w:tcPr>
            <w:tcW w:w="1220" w:type="dxa"/>
            <w:vAlign w:val="bottom"/>
          </w:tcPr>
          <w:p>
            <w:pPr>
              <w:jc w:val="right"/>
              <w:ind w:right="535"/>
              <w:spacing w:after="0"/>
              <w:rPr>
                <w:sz w:val="20"/>
                <w:szCs w:val="20"/>
                <w:color w:val="auto"/>
              </w:rPr>
            </w:pPr>
            <w:r>
              <w:rPr>
                <w:rFonts w:ascii="Arial" w:cs="Arial" w:eastAsia="Arial" w:hAnsi="Arial"/>
                <w:sz w:val="18"/>
                <w:szCs w:val="18"/>
                <w:b w:val="1"/>
                <w:bCs w:val="1"/>
                <w:color w:val="auto"/>
              </w:rPr>
              <w:t>(2.3)</w:t>
            </w:r>
          </w:p>
        </w:tc>
        <w:tc>
          <w:tcPr>
            <w:tcW w:w="800" w:type="dxa"/>
            <w:vAlign w:val="bottom"/>
          </w:tcPr>
          <w:p>
            <w:pPr>
              <w:jc w:val="right"/>
              <w:ind w:right="295"/>
              <w:spacing w:after="0"/>
              <w:rPr>
                <w:sz w:val="20"/>
                <w:szCs w:val="20"/>
                <w:color w:val="auto"/>
              </w:rPr>
            </w:pPr>
            <w:r>
              <w:rPr>
                <w:rFonts w:ascii="Arial" w:cs="Arial" w:eastAsia="Arial" w:hAnsi="Arial"/>
                <w:sz w:val="18"/>
                <w:szCs w:val="18"/>
                <w:b w:val="1"/>
                <w:bCs w:val="1"/>
                <w:color w:val="auto"/>
              </w:rPr>
              <w:t>(7.4)</w:t>
            </w:r>
          </w:p>
        </w:tc>
        <w:tc>
          <w:tcPr>
            <w:tcW w:w="1180" w:type="dxa"/>
            <w:vAlign w:val="bottom"/>
          </w:tcPr>
          <w:p>
            <w:pPr>
              <w:jc w:val="right"/>
              <w:ind w:right="475"/>
              <w:spacing w:after="0"/>
              <w:rPr>
                <w:sz w:val="20"/>
                <w:szCs w:val="20"/>
                <w:color w:val="auto"/>
              </w:rPr>
            </w:pPr>
            <w:r>
              <w:rPr>
                <w:rFonts w:ascii="Arial" w:cs="Arial" w:eastAsia="Arial" w:hAnsi="Arial"/>
                <w:sz w:val="18"/>
                <w:szCs w:val="18"/>
                <w:color w:val="auto"/>
              </w:rPr>
              <w:t>(4.1)</w:t>
            </w: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2,489</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2,249</w:t>
            </w:r>
          </w:p>
        </w:tc>
        <w:tc>
          <w:tcPr>
            <w:tcW w:w="122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b w:val="1"/>
                <w:bCs w:val="1"/>
                <w:color w:val="auto"/>
              </w:rPr>
              <w:t>24.6</w:t>
            </w: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auto"/>
                <w:w w:val="96"/>
              </w:rPr>
              <w:t>18.4</w:t>
            </w: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(11.2)</w:t>
            </w: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89"/>
              </w:rPr>
              <w:t>(12.0)</w:t>
            </w:r>
          </w:p>
        </w:tc>
        <w:tc>
          <w:tcPr>
            <w:tcW w:w="0" w:type="dxa"/>
            <w:vAlign w:val="bottom"/>
          </w:tcPr>
          <w:p>
            <w:pPr>
              <w:spacing w:after="0"/>
              <w:rPr>
                <w:sz w:val="1"/>
                <w:szCs w:val="1"/>
                <w:color w:val="auto"/>
              </w:rPr>
            </w:pPr>
          </w:p>
        </w:tc>
      </w:tr>
      <w:tr>
        <w:trPr>
          <w:trHeight w:val="218"/>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20,285</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18,594</w:t>
            </w:r>
          </w:p>
        </w:tc>
        <w:tc>
          <w:tcPr>
            <w:tcW w:w="240" w:type="dxa"/>
            <w:vAlign w:val="bottom"/>
          </w:tcPr>
          <w:p>
            <w:pPr>
              <w:spacing w:after="0"/>
              <w:rPr>
                <w:sz w:val="18"/>
                <w:szCs w:val="18"/>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19,219</w:t>
            </w:r>
          </w:p>
        </w:tc>
        <w:tc>
          <w:tcPr>
            <w:tcW w:w="1220" w:type="dxa"/>
            <w:vAlign w:val="bottom"/>
          </w:tcPr>
          <w:p>
            <w:pPr>
              <w:jc w:val="right"/>
              <w:ind w:right="595"/>
              <w:spacing w:after="0"/>
              <w:rPr>
                <w:sz w:val="20"/>
                <w:szCs w:val="20"/>
                <w:color w:val="auto"/>
              </w:rPr>
            </w:pPr>
            <w:r>
              <w:rPr>
                <w:rFonts w:ascii="Arial" w:cs="Arial" w:eastAsia="Arial" w:hAnsi="Arial"/>
                <w:sz w:val="18"/>
                <w:szCs w:val="18"/>
                <w:b w:val="1"/>
                <w:bCs w:val="1"/>
                <w:color w:val="auto"/>
              </w:rPr>
              <w:t>9.1</w:t>
            </w:r>
          </w:p>
        </w:tc>
        <w:tc>
          <w:tcPr>
            <w:tcW w:w="800" w:type="dxa"/>
            <w:vAlign w:val="bottom"/>
          </w:tcPr>
          <w:p>
            <w:pPr>
              <w:jc w:val="right"/>
              <w:ind w:right="355"/>
              <w:spacing w:after="0"/>
              <w:rPr>
                <w:sz w:val="20"/>
                <w:szCs w:val="20"/>
                <w:color w:val="auto"/>
              </w:rPr>
            </w:pPr>
            <w:r>
              <w:rPr>
                <w:rFonts w:ascii="Arial" w:cs="Arial" w:eastAsia="Arial" w:hAnsi="Arial"/>
                <w:sz w:val="18"/>
                <w:szCs w:val="18"/>
                <w:b w:val="1"/>
                <w:bCs w:val="1"/>
                <w:color w:val="auto"/>
              </w:rPr>
              <w:t>3.1</w:t>
            </w:r>
          </w:p>
        </w:tc>
        <w:tc>
          <w:tcPr>
            <w:tcW w:w="1180" w:type="dxa"/>
            <w:vAlign w:val="bottom"/>
          </w:tcPr>
          <w:p>
            <w:pPr>
              <w:jc w:val="right"/>
              <w:ind w:right="475"/>
              <w:spacing w:after="0"/>
              <w:rPr>
                <w:sz w:val="20"/>
                <w:szCs w:val="20"/>
                <w:color w:val="auto"/>
              </w:rPr>
            </w:pPr>
            <w:r>
              <w:rPr>
                <w:rFonts w:ascii="Arial" w:cs="Arial" w:eastAsia="Arial" w:hAnsi="Arial"/>
                <w:sz w:val="18"/>
                <w:szCs w:val="18"/>
                <w:color w:val="auto"/>
              </w:rPr>
              <w:t>(3.3)</w:t>
            </w: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4"/>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8,949</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vMerge w:val="restart"/>
          </w:tcPr>
          <w:p>
            <w:pPr>
              <w:jc w:val="right"/>
              <w:ind w:right="595"/>
              <w:spacing w:after="0"/>
              <w:rPr>
                <w:sz w:val="20"/>
                <w:szCs w:val="20"/>
                <w:color w:val="auto"/>
              </w:rPr>
            </w:pPr>
            <w:r>
              <w:rPr>
                <w:rFonts w:ascii="Arial" w:cs="Arial" w:eastAsia="Arial" w:hAnsi="Arial"/>
                <w:sz w:val="18"/>
                <w:szCs w:val="18"/>
                <w:b w:val="1"/>
                <w:bCs w:val="1"/>
                <w:color w:val="auto"/>
              </w:rPr>
              <w:t>3.5</w:t>
            </w:r>
          </w:p>
        </w:tc>
        <w:tc>
          <w:tcPr>
            <w:tcW w:w="800" w:type="dxa"/>
            <w:vAlign w:val="bottom"/>
            <w:vMerge w:val="restart"/>
          </w:tcPr>
          <w:p>
            <w:pPr>
              <w:jc w:val="right"/>
              <w:ind w:right="295"/>
              <w:spacing w:after="0"/>
              <w:rPr>
                <w:sz w:val="20"/>
                <w:szCs w:val="20"/>
                <w:color w:val="auto"/>
              </w:rPr>
            </w:pPr>
            <w:r>
              <w:rPr>
                <w:rFonts w:ascii="Arial" w:cs="Arial" w:eastAsia="Arial" w:hAnsi="Arial"/>
                <w:sz w:val="18"/>
                <w:szCs w:val="18"/>
                <w:b w:val="1"/>
                <w:bCs w:val="1"/>
                <w:color w:val="auto"/>
              </w:rPr>
              <w:t>(1.3)</w:t>
            </w: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140"/>
              <w:spacing w:after="0"/>
              <w:rPr>
                <w:sz w:val="20"/>
                <w:szCs w:val="20"/>
                <w:color w:val="auto"/>
              </w:rPr>
            </w:pPr>
            <w:r>
              <w:rPr>
                <w:rFonts w:ascii="Arial" w:cs="Arial" w:eastAsia="Arial" w:hAnsi="Arial"/>
                <w:sz w:val="18"/>
                <w:szCs w:val="18"/>
                <w:color w:val="auto"/>
              </w:rPr>
              <w:t>Programming and production</w:t>
            </w: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8,649</w:t>
            </w:r>
          </w:p>
        </w:tc>
        <w:tc>
          <w:tcPr>
            <w:tcW w:w="240" w:type="dxa"/>
            <w:vAlign w:val="bottom"/>
          </w:tcPr>
          <w:p>
            <w:pPr>
              <w:spacing w:after="0"/>
              <w:rPr>
                <w:sz w:val="19"/>
                <w:szCs w:val="19"/>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8,865</w:t>
            </w:r>
          </w:p>
        </w:tc>
        <w:tc>
          <w:tcPr>
            <w:tcW w:w="1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180" w:type="dxa"/>
            <w:vAlign w:val="bottom"/>
          </w:tcPr>
          <w:p>
            <w:pPr>
              <w:jc w:val="right"/>
              <w:ind w:right="475"/>
              <w:spacing w:after="0"/>
              <w:rPr>
                <w:sz w:val="20"/>
                <w:szCs w:val="20"/>
                <w:color w:val="auto"/>
              </w:rPr>
            </w:pPr>
            <w:r>
              <w:rPr>
                <w:rFonts w:ascii="Arial" w:cs="Arial" w:eastAsia="Arial" w:hAnsi="Arial"/>
                <w:sz w:val="18"/>
                <w:szCs w:val="18"/>
                <w:color w:val="auto"/>
              </w:rPr>
              <w:t>(2.4)</w:t>
            </w: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Direct network costs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2,612</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2,086</w:t>
            </w:r>
          </w:p>
        </w:tc>
        <w:tc>
          <w:tcPr>
            <w:tcW w:w="240" w:type="dxa"/>
            <w:vAlign w:val="bottom"/>
          </w:tcPr>
          <w:p>
            <w:pPr>
              <w:spacing w:after="0"/>
              <w:rPr>
                <w:sz w:val="19"/>
                <w:szCs w:val="19"/>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1,746</w:t>
            </w:r>
          </w:p>
        </w:tc>
        <w:tc>
          <w:tcPr>
            <w:tcW w:w="1220" w:type="dxa"/>
            <w:vAlign w:val="bottom"/>
          </w:tcPr>
          <w:p>
            <w:pPr>
              <w:jc w:val="right"/>
              <w:ind w:right="595"/>
              <w:spacing w:after="0"/>
              <w:rPr>
                <w:sz w:val="20"/>
                <w:szCs w:val="20"/>
                <w:color w:val="auto"/>
              </w:rPr>
            </w:pPr>
            <w:r>
              <w:rPr>
                <w:rFonts w:ascii="Arial" w:cs="Arial" w:eastAsia="Arial" w:hAnsi="Arial"/>
                <w:sz w:val="18"/>
                <w:szCs w:val="18"/>
                <w:b w:val="1"/>
                <w:bCs w:val="1"/>
                <w:color w:val="auto"/>
              </w:rPr>
              <w:t>25.2</w:t>
            </w:r>
          </w:p>
        </w:tc>
        <w:tc>
          <w:tcPr>
            <w:tcW w:w="800" w:type="dxa"/>
            <w:vAlign w:val="bottom"/>
          </w:tcPr>
          <w:p>
            <w:pPr>
              <w:jc w:val="right"/>
              <w:ind w:right="355"/>
              <w:spacing w:after="0"/>
              <w:rPr>
                <w:sz w:val="20"/>
                <w:szCs w:val="20"/>
                <w:color w:val="auto"/>
              </w:rPr>
            </w:pPr>
            <w:r>
              <w:rPr>
                <w:rFonts w:ascii="Arial" w:cs="Arial" w:eastAsia="Arial" w:hAnsi="Arial"/>
                <w:sz w:val="18"/>
                <w:szCs w:val="18"/>
                <w:b w:val="1"/>
                <w:bCs w:val="1"/>
                <w:color w:val="auto"/>
                <w:w w:val="96"/>
              </w:rPr>
              <w:t>17.1</w:t>
            </w:r>
          </w:p>
        </w:tc>
        <w:tc>
          <w:tcPr>
            <w:tcW w:w="1180" w:type="dxa"/>
            <w:vAlign w:val="bottom"/>
          </w:tcPr>
          <w:p>
            <w:pPr>
              <w:jc w:val="right"/>
              <w:ind w:right="515"/>
              <w:spacing w:after="0"/>
              <w:rPr>
                <w:sz w:val="20"/>
                <w:szCs w:val="20"/>
                <w:color w:val="auto"/>
              </w:rPr>
            </w:pPr>
            <w:r>
              <w:rPr>
                <w:rFonts w:ascii="Arial" w:cs="Arial" w:eastAsia="Arial" w:hAnsi="Arial"/>
                <w:sz w:val="18"/>
                <w:szCs w:val="18"/>
                <w:color w:val="auto"/>
              </w:rPr>
              <w:t>19.5</w:t>
            </w:r>
          </w:p>
        </w:tc>
        <w:tc>
          <w:tcPr>
            <w:tcW w:w="620" w:type="dxa"/>
            <w:vAlign w:val="bottom"/>
          </w:tcPr>
          <w:p>
            <w:pPr>
              <w:jc w:val="right"/>
              <w:ind w:right="135"/>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6,364</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5,509</w:t>
            </w:r>
          </w:p>
        </w:tc>
        <w:tc>
          <w:tcPr>
            <w:tcW w:w="122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b w:val="1"/>
                <w:bCs w:val="1"/>
                <w:color w:val="auto"/>
              </w:rPr>
              <w:t>7.8</w:t>
            </w: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auto"/>
              </w:rPr>
              <w:t>2.0</w:t>
            </w: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7.2</w:t>
            </w: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17,925</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16,120</w:t>
            </w:r>
          </w:p>
        </w:tc>
        <w:tc>
          <w:tcPr>
            <w:tcW w:w="122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b w:val="1"/>
                <w:bCs w:val="1"/>
                <w:color w:val="auto"/>
              </w:rPr>
              <w:t>7.7</w:t>
            </w: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auto"/>
              </w:rPr>
              <w:t>2.2</w:t>
            </w: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3.2</w:t>
            </w: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0C6D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2,359</w:t>
            </w:r>
          </w:p>
        </w:tc>
        <w:tc>
          <w:tcPr>
            <w:tcW w:w="200" w:type="dxa"/>
            <w:vAlign w:val="bottom"/>
            <w:tcBorders>
              <w:bottom w:val="single" w:sz="8" w:color="0C6DFF"/>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1,954</w:t>
            </w:r>
          </w:p>
        </w:tc>
        <w:tc>
          <w:tcPr>
            <w:tcW w:w="240" w:type="dxa"/>
            <w:vAlign w:val="bottom"/>
            <w:tcBorders>
              <w:bottom w:val="single" w:sz="8" w:color="0C6D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0C6DFF"/>
            </w:tcBorders>
          </w:tcPr>
          <w:p>
            <w:pPr>
              <w:jc w:val="right"/>
              <w:ind w:right="193"/>
              <w:spacing w:after="0"/>
              <w:rPr>
                <w:sz w:val="20"/>
                <w:szCs w:val="20"/>
                <w:color w:val="auto"/>
              </w:rPr>
            </w:pPr>
            <w:r>
              <w:rPr>
                <w:rFonts w:ascii="Arial" w:cs="Arial" w:eastAsia="Arial" w:hAnsi="Arial"/>
                <w:sz w:val="18"/>
                <w:szCs w:val="18"/>
                <w:color w:val="auto"/>
              </w:rPr>
              <w:t>3,099</w:t>
            </w:r>
          </w:p>
        </w:tc>
        <w:tc>
          <w:tcPr>
            <w:tcW w:w="1220" w:type="dxa"/>
            <w:vAlign w:val="bottom"/>
            <w:tcBorders>
              <w:bottom w:val="single" w:sz="8" w:color="0C6DFF"/>
            </w:tcBorders>
          </w:tcPr>
          <w:p>
            <w:pPr>
              <w:jc w:val="right"/>
              <w:ind w:right="355"/>
              <w:spacing w:after="0"/>
              <w:rPr>
                <w:sz w:val="20"/>
                <w:szCs w:val="20"/>
                <w:color w:val="auto"/>
              </w:rPr>
            </w:pPr>
            <w:r>
              <w:rPr>
                <w:rFonts w:ascii="Arial" w:cs="Arial" w:eastAsia="Arial" w:hAnsi="Arial"/>
                <w:sz w:val="18"/>
                <w:szCs w:val="18"/>
                <w:b w:val="1"/>
                <w:bCs w:val="1"/>
                <w:color w:val="auto"/>
              </w:rPr>
              <w:t>20.8 %</w:t>
            </w:r>
          </w:p>
        </w:tc>
        <w:tc>
          <w:tcPr>
            <w:tcW w:w="800" w:type="dxa"/>
            <w:vAlign w:val="bottom"/>
            <w:tcBorders>
              <w:bottom w:val="single" w:sz="8" w:color="0C6DFF"/>
            </w:tcBorders>
          </w:tcPr>
          <w:p>
            <w:pPr>
              <w:jc w:val="right"/>
              <w:ind w:right="115"/>
              <w:spacing w:after="0"/>
              <w:rPr>
                <w:sz w:val="20"/>
                <w:szCs w:val="20"/>
                <w:color w:val="auto"/>
              </w:rPr>
            </w:pPr>
            <w:r>
              <w:rPr>
                <w:rFonts w:ascii="Arial" w:cs="Arial" w:eastAsia="Arial" w:hAnsi="Arial"/>
                <w:sz w:val="18"/>
                <w:szCs w:val="18"/>
                <w:b w:val="1"/>
                <w:bCs w:val="1"/>
                <w:color w:val="auto"/>
              </w:rPr>
              <w:t>10.2 %</w:t>
            </w:r>
          </w:p>
        </w:tc>
        <w:tc>
          <w:tcPr>
            <w:tcW w:w="1180" w:type="dxa"/>
            <w:vAlign w:val="bottom"/>
            <w:tcBorders>
              <w:bottom w:val="single" w:sz="8" w:color="0C6DFF"/>
            </w:tcBorders>
          </w:tcPr>
          <w:p>
            <w:pPr>
              <w:jc w:val="right"/>
              <w:ind w:right="315"/>
              <w:spacing w:after="0"/>
              <w:rPr>
                <w:sz w:val="20"/>
                <w:szCs w:val="20"/>
                <w:color w:val="auto"/>
              </w:rPr>
            </w:pPr>
            <w:r>
              <w:rPr>
                <w:rFonts w:ascii="Arial" w:cs="Arial" w:eastAsia="Arial" w:hAnsi="Arial"/>
                <w:sz w:val="18"/>
                <w:szCs w:val="18"/>
                <w:color w:val="auto"/>
              </w:rPr>
              <w:t>(37.0)%</w:t>
            </w:r>
          </w:p>
        </w:tc>
        <w:tc>
          <w:tcPr>
            <w:tcW w:w="6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w w:val="91"/>
              </w:rPr>
              <w:t>(37.6)%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49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right="20" w:hanging="252"/>
        <w:spacing w:after="0" w:line="273" w:lineRule="auto"/>
        <w:tabs>
          <w:tab w:leader="none" w:pos="257"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52 for additional information, including our definition and our use of constant currency, and for a reconciliation of Sky’s constant currency growth rates.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Customer Metrics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560" w:type="dxa"/>
            <w:vAlign w:val="bottom"/>
            <w:tcBorders>
              <w:top w:val="single" w:sz="8" w:color="auto"/>
              <w:bottom w:val="single" w:sz="8" w:color="auto"/>
            </w:tcBorders>
            <w:gridSpan w:val="2"/>
          </w:tcPr>
          <w:p>
            <w:pPr>
              <w:jc w:val="right"/>
              <w:ind w:right="182"/>
              <w:spacing w:after="0"/>
              <w:rPr>
                <w:sz w:val="20"/>
                <w:szCs w:val="20"/>
                <w:color w:val="auto"/>
              </w:rPr>
            </w:pPr>
            <w:r>
              <w:rPr>
                <w:rFonts w:ascii="Arial" w:cs="Arial" w:eastAsia="Arial" w:hAnsi="Arial"/>
                <w:sz w:val="14"/>
                <w:szCs w:val="14"/>
                <w:color w:val="auto"/>
              </w:rPr>
              <w:t>Net Additions / (Losses)</w:t>
            </w:r>
          </w:p>
        </w:tc>
        <w:tc>
          <w:tcPr>
            <w:tcW w:w="640" w:type="dxa"/>
            <w:vAlign w:val="bottom"/>
            <w:tcBorders>
              <w:top w:val="single" w:sz="8" w:color="auto"/>
              <w:bottom w:val="single" w:sz="8" w:color="auto"/>
            </w:tcBorders>
          </w:tcPr>
          <w:p>
            <w:pPr>
              <w:spacing w:after="0"/>
              <w:rPr>
                <w:sz w:val="15"/>
                <w:szCs w:val="15"/>
                <w:color w:val="auto"/>
              </w:rPr>
            </w:pPr>
          </w:p>
        </w:tc>
      </w:tr>
      <w:tr>
        <w:trPr>
          <w:trHeight w:val="180"/>
        </w:trPr>
        <w:tc>
          <w:tcPr>
            <w:tcW w:w="4840" w:type="dxa"/>
            <w:vAlign w:val="bottom"/>
          </w:tcPr>
          <w:p>
            <w:pPr>
              <w:spacing w:after="0"/>
              <w:rPr>
                <w:sz w:val="15"/>
                <w:szCs w:val="15"/>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14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2020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184"/>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Actual</w:t>
            </w: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Actual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Actual</w:t>
            </w:r>
          </w:p>
        </w:tc>
        <w:tc>
          <w:tcPr>
            <w:tcW w:w="14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Actual</w:t>
            </w: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Actual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Actual</w:t>
            </w:r>
          </w:p>
        </w:tc>
      </w:tr>
      <w:tr>
        <w:trPr>
          <w:trHeight w:val="224"/>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1300" w:type="dxa"/>
            <w:vAlign w:val="bottom"/>
            <w:tcBorders>
              <w:bottom w:val="single" w:sz="8" w:color="auto"/>
            </w:tcBorders>
          </w:tcPr>
          <w:p>
            <w:pPr>
              <w:jc w:val="right"/>
              <w:ind w:right="222"/>
              <w:spacing w:after="0"/>
              <w:rPr>
                <w:sz w:val="20"/>
                <w:szCs w:val="20"/>
                <w:color w:val="auto"/>
              </w:rPr>
            </w:pPr>
            <w:r>
              <w:rPr>
                <w:rFonts w:ascii="Arial" w:cs="Arial" w:eastAsia="Arial" w:hAnsi="Arial"/>
                <w:sz w:val="18"/>
                <w:szCs w:val="18"/>
                <w:b w:val="1"/>
                <w:bCs w:val="1"/>
                <w:color w:val="auto"/>
              </w:rPr>
              <w:t>23,027</w:t>
            </w:r>
          </w:p>
        </w:tc>
        <w:tc>
          <w:tcPr>
            <w:tcW w:w="108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color w:val="auto"/>
              </w:rPr>
              <w:t>23,224</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23,280</w:t>
            </w:r>
          </w:p>
        </w:tc>
        <w:tc>
          <w:tcPr>
            <w:tcW w:w="140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(198)</w:t>
            </w: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color w:val="auto"/>
              </w:rPr>
              <w:t>(56)</w:t>
            </w: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394</w:t>
            </w:r>
          </w:p>
        </w:tc>
      </w:tr>
    </w:tbl>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Customer metrics are presented based on actual amounts. Customer relationships represent the number of residential customers that subscribe to at least one of Sky’s four primary services of video, broadband, voice and wireless phone service. Sky reports business customers, including hotels, bars, workplaces and restaurants, generally based on the number of locations receiving our services. In the first quarter of 2021, we implemented conforming changes to our methodology for counting commercial customers in Italy and Germany, which are counted as described above, consistent with the methodology for customers in the United Kingdom. Previously, customers were counted based on a residential equivalent unit in Italy or the number of active venues or rooms in Germany. This change resulted in a reduction in Sky’s total customer relationships of 714,000 as of December 31, 2020. The impact of the change in methodology to customer relationship net additions for any period was not material. For comparative purposes, we have updated Sky’s historical total customer relationships and average monthly direct-to-consumer revenue per customer relationship to reflect this adjustment.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2019</w:t>
            </w:r>
          </w:p>
        </w:tc>
        <w:tc>
          <w:tcPr>
            <w:tcW w:w="236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 Change 2020 to 2021</w:t>
            </w:r>
          </w:p>
        </w:tc>
        <w:tc>
          <w:tcPr>
            <w:tcW w:w="212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4"/>
                <w:szCs w:val="14"/>
                <w:color w:val="auto"/>
              </w:rPr>
              <w:t>% Change 2019 to 2020</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jc w:val="right"/>
              <w:ind w:right="164"/>
              <w:spacing w:after="0" w:line="135" w:lineRule="exact"/>
              <w:rPr>
                <w:sz w:val="20"/>
                <w:szCs w:val="20"/>
                <w:color w:val="auto"/>
              </w:rPr>
            </w:pPr>
            <w:r>
              <w:rPr>
                <w:rFonts w:ascii="Arial" w:cs="Arial" w:eastAsia="Arial" w:hAnsi="Arial"/>
                <w:sz w:val="14"/>
                <w:szCs w:val="14"/>
                <w:b w:val="1"/>
                <w:bCs w:val="1"/>
                <w:color w:val="auto"/>
              </w:rPr>
              <w:t>Constant</w:t>
            </w:r>
          </w:p>
        </w:tc>
        <w:tc>
          <w:tcPr>
            <w:tcW w:w="12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Actual</w:t>
            </w:r>
          </w:p>
        </w:tc>
        <w:tc>
          <w:tcPr>
            <w:tcW w:w="320" w:type="dxa"/>
            <w:vAlign w:val="bottom"/>
          </w:tcPr>
          <w:p>
            <w:pPr>
              <w:spacing w:after="0"/>
              <w:rPr>
                <w:sz w:val="11"/>
                <w:szCs w:val="11"/>
                <w:color w:val="auto"/>
              </w:rPr>
            </w:pPr>
          </w:p>
        </w:tc>
        <w:tc>
          <w:tcPr>
            <w:tcW w:w="920" w:type="dxa"/>
            <w:vAlign w:val="bottom"/>
            <w:vMerge w:val="restart"/>
          </w:tcPr>
          <w:p>
            <w:pPr>
              <w:jc w:val="right"/>
              <w:ind w:right="162"/>
              <w:spacing w:after="0"/>
              <w:rPr>
                <w:sz w:val="20"/>
                <w:szCs w:val="20"/>
                <w:color w:val="auto"/>
              </w:rPr>
            </w:pPr>
            <w:r>
              <w:rPr>
                <w:rFonts w:ascii="Arial" w:cs="Arial" w:eastAsia="Arial" w:hAnsi="Arial"/>
                <w:sz w:val="14"/>
                <w:szCs w:val="14"/>
                <w:color w:val="auto"/>
              </w:rPr>
              <w:t>Actual</w:t>
            </w:r>
          </w:p>
        </w:tc>
        <w:tc>
          <w:tcPr>
            <w:tcW w:w="12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Actual</w:t>
            </w:r>
          </w:p>
        </w:tc>
        <w:tc>
          <w:tcPr>
            <w:tcW w:w="1140" w:type="dxa"/>
            <w:vAlign w:val="bottom"/>
          </w:tcPr>
          <w:p>
            <w:pPr>
              <w:jc w:val="right"/>
              <w:ind w:right="164"/>
              <w:spacing w:after="0" w:line="135" w:lineRule="exact"/>
              <w:rPr>
                <w:sz w:val="20"/>
                <w:szCs w:val="20"/>
                <w:color w:val="auto"/>
              </w:rPr>
            </w:pPr>
            <w:r>
              <w:rPr>
                <w:rFonts w:ascii="Arial" w:cs="Arial" w:eastAsia="Arial" w:hAnsi="Arial"/>
                <w:sz w:val="14"/>
                <w:szCs w:val="14"/>
                <w:b w:val="1"/>
                <w:bCs w:val="1"/>
                <w:color w:val="auto"/>
              </w:rPr>
              <w:t>Currency</w:t>
            </w:r>
          </w:p>
        </w:tc>
        <w:tc>
          <w:tcPr>
            <w:tcW w:w="1240" w:type="dxa"/>
            <w:vAlign w:val="bottom"/>
            <w:vMerge w:val="restart"/>
          </w:tcPr>
          <w:p>
            <w:pPr>
              <w:jc w:val="right"/>
              <w:ind w:right="242"/>
              <w:spacing w:after="0"/>
              <w:rPr>
                <w:sz w:val="20"/>
                <w:szCs w:val="20"/>
                <w:color w:val="auto"/>
              </w:rPr>
            </w:pPr>
            <w:r>
              <w:rPr>
                <w:rFonts w:ascii="Arial" w:cs="Arial" w:eastAsia="Arial" w:hAnsi="Arial"/>
                <w:sz w:val="14"/>
                <w:szCs w:val="14"/>
                <w:color w:val="auto"/>
              </w:rPr>
              <w:t>Actual</w:t>
            </w:r>
          </w:p>
        </w:tc>
        <w:tc>
          <w:tcPr>
            <w:tcW w:w="880" w:type="dxa"/>
            <w:vAlign w:val="bottom"/>
          </w:tcPr>
          <w:p>
            <w:pPr>
              <w:jc w:val="right"/>
              <w:spacing w:after="0" w:line="13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164"/>
              <w:spacing w:after="0" w:line="189" w:lineRule="exact"/>
              <w:rPr>
                <w:sz w:val="20"/>
                <w:szCs w:val="20"/>
                <w:color w:val="auto"/>
              </w:rPr>
            </w:pPr>
            <w:r>
              <w:rPr>
                <w:rFonts w:ascii="Arial" w:cs="Arial" w:eastAsia="Arial" w:hAnsi="Arial"/>
                <w:sz w:val="14"/>
                <w:szCs w:val="14"/>
                <w:b w:val="1"/>
                <w:bCs w:val="1"/>
                <w:color w:val="auto"/>
              </w:rPr>
              <w:t>Growth</w:t>
            </w:r>
            <w:r>
              <w:rPr>
                <w:rFonts w:ascii="Arial" w:cs="Arial" w:eastAsia="Arial" w:hAnsi="Arial"/>
                <w:sz w:val="18"/>
                <w:szCs w:val="18"/>
                <w:b w:val="1"/>
                <w:bCs w:val="1"/>
                <w:color w:val="auto"/>
                <w:vertAlign w:val="superscript"/>
              </w:rPr>
              <w:t>(a)</w:t>
            </w:r>
          </w:p>
        </w:tc>
        <w:tc>
          <w:tcPr>
            <w:tcW w:w="12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color w:val="auto"/>
              </w:rPr>
              <w:t>Growth</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line="169" w:lineRule="exact"/>
              <w:rPr>
                <w:sz w:val="20"/>
                <w:szCs w:val="20"/>
                <w:color w:val="auto"/>
              </w:rPr>
            </w:pPr>
            <w:r>
              <w:rPr>
                <w:rFonts w:ascii="Arial" w:cs="Arial" w:eastAsia="Arial" w:hAnsi="Arial"/>
                <w:sz w:val="18"/>
                <w:szCs w:val="18"/>
                <w:color w:val="auto"/>
                <w:w w:val="94"/>
              </w:rPr>
              <w:t>Average monthly direct-to-consumer revenue</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tcPr>
          <w:p>
            <w:pPr>
              <w:jc w:val="right"/>
              <w:ind w:right="2"/>
              <w:spacing w:after="0"/>
              <w:rPr>
                <w:sz w:val="20"/>
                <w:szCs w:val="20"/>
                <w:color w:val="auto"/>
              </w:rPr>
            </w:pPr>
            <w:r>
              <w:rPr>
                <w:rFonts w:ascii="Arial" w:cs="Arial" w:eastAsia="Arial" w:hAnsi="Arial"/>
                <w:sz w:val="18"/>
                <w:szCs w:val="18"/>
                <w:b w:val="1"/>
                <w:bCs w:val="1"/>
                <w:color w:val="auto"/>
              </w:rPr>
              <w:t>59.29</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ind w:right="2"/>
              <w:spacing w:after="0"/>
              <w:rPr>
                <w:sz w:val="20"/>
                <w:szCs w:val="20"/>
                <w:color w:val="auto"/>
              </w:rPr>
            </w:pPr>
            <w:r>
              <w:rPr>
                <w:rFonts w:ascii="Arial" w:cs="Arial" w:eastAsia="Arial" w:hAnsi="Arial"/>
                <w:sz w:val="18"/>
                <w:szCs w:val="18"/>
                <w:color w:val="auto"/>
              </w:rPr>
              <w:t>54.56</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202"/>
              <w:spacing w:after="0"/>
              <w:rPr>
                <w:sz w:val="20"/>
                <w:szCs w:val="20"/>
                <w:color w:val="auto"/>
              </w:rPr>
            </w:pPr>
            <w:r>
              <w:rPr>
                <w:rFonts w:ascii="Arial" w:cs="Arial" w:eastAsia="Arial" w:hAnsi="Arial"/>
                <w:sz w:val="18"/>
                <w:szCs w:val="18"/>
                <w:color w:val="auto"/>
              </w:rPr>
              <w:t>56.09</w:t>
            </w:r>
          </w:p>
        </w:tc>
        <w:tc>
          <w:tcPr>
            <w:tcW w:w="1220" w:type="dxa"/>
            <w:vAlign w:val="bottom"/>
            <w:vMerge w:val="restart"/>
          </w:tcPr>
          <w:p>
            <w:pPr>
              <w:jc w:val="right"/>
              <w:ind w:right="222"/>
              <w:spacing w:after="0"/>
              <w:rPr>
                <w:sz w:val="20"/>
                <w:szCs w:val="20"/>
                <w:color w:val="auto"/>
              </w:rPr>
            </w:pPr>
            <w:r>
              <w:rPr>
                <w:rFonts w:ascii="Arial" w:cs="Arial" w:eastAsia="Arial" w:hAnsi="Arial"/>
                <w:sz w:val="18"/>
                <w:szCs w:val="18"/>
                <w:color w:val="auto"/>
              </w:rPr>
              <w:t>8.7 %</w:t>
            </w:r>
          </w:p>
        </w:tc>
        <w:tc>
          <w:tcPr>
            <w:tcW w:w="1140" w:type="dxa"/>
            <w:vAlign w:val="bottom"/>
            <w:vMerge w:val="restart"/>
          </w:tcPr>
          <w:p>
            <w:pPr>
              <w:jc w:val="right"/>
              <w:ind w:right="164"/>
              <w:spacing w:after="0"/>
              <w:rPr>
                <w:sz w:val="20"/>
                <w:szCs w:val="20"/>
                <w:color w:val="auto"/>
              </w:rPr>
            </w:pPr>
            <w:r>
              <w:rPr>
                <w:rFonts w:ascii="Arial" w:cs="Arial" w:eastAsia="Arial" w:hAnsi="Arial"/>
                <w:sz w:val="18"/>
                <w:szCs w:val="18"/>
                <w:color w:val="auto"/>
              </w:rPr>
              <w:t>2.6 %</w:t>
            </w:r>
          </w:p>
        </w:tc>
        <w:tc>
          <w:tcPr>
            <w:tcW w:w="1240" w:type="dxa"/>
            <w:vAlign w:val="bottom"/>
            <w:vMerge w:val="restart"/>
          </w:tcPr>
          <w:p>
            <w:pPr>
              <w:jc w:val="right"/>
              <w:ind w:right="242"/>
              <w:spacing w:after="0"/>
              <w:rPr>
                <w:sz w:val="20"/>
                <w:szCs w:val="20"/>
                <w:color w:val="auto"/>
              </w:rPr>
            </w:pPr>
            <w:r>
              <w:rPr>
                <w:rFonts w:ascii="Arial" w:cs="Arial" w:eastAsia="Arial" w:hAnsi="Arial"/>
                <w:sz w:val="18"/>
                <w:szCs w:val="18"/>
                <w:color w:val="auto"/>
              </w:rPr>
              <w:t>(2.7)%</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 customer relationship</w:t>
            </w:r>
          </w:p>
        </w:tc>
        <w:tc>
          <w:tcPr>
            <w:tcW w:w="3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20" w:hanging="252"/>
        <w:spacing w:after="0" w:line="273" w:lineRule="auto"/>
        <w:tabs>
          <w:tab w:leader="none" w:pos="257"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Constant currency is a non-GAAP financial measure. Refer to the “Non-GAAP Financial Measures” section on page 52 for additional information, including our definition and our use of constant currency, and for a reconciliation of Sky’s constant currency growth rates.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Average monthly direct-to-consumer revenue per customer relationship is impacted by rate adjustments and changes in the types and levels of services received by Sky’s customers. Each of Sky’s services has a different contribution to Adjusted EBITDA. We believe average monthly direct-to-consumer revenue per customer relationship is useful in understanding the trends in our business across all of our direct-to-consumer service offerings.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Direct-to-Consumer</w:t>
      </w:r>
    </w:p>
    <w:p>
      <w:pPr>
        <w:spacing w:after="0" w:line="5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Revenue primarily relates to video services provided to both residential and business customers, as well as broadband, voice and wireless services. Video service revenue includes both DTH video services and our NOW streaming service. Revenue from our wireless customers also includes the sale of devices.</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increased in 2021 compared to 2020. Excluding the impact of foreign currency, revenue increased primarily due to an increase in average revenue per customer relationship. This increase reflected the impacts of the postponement of sporting events in the prior year period as a result of COVID-19, an increase in the sale of wireless handsets and rate increases in the United Kingdom, which were partially offset by declines in average rates in Italy. Customer relationships remained relatively consistent with the prior year period as decreases in Italy were offset by increases in the United Kingdom and Germany. The declines in customer relationships and average revenue per customer relationship in Italy primarily resulted from reduced broadcast rights for Serie A, which we had held through the end of the 2020-21 season. Beginning with the 2021-22 season in the third quarter of 2021 and through the 2023-24 season, we have nonexclusive broadcast rights to fewer matches, which has resulted and we expect will continue to result in declines in revenue and customer relationships in Italy.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006EBF"/>
        </w:rPr>
        <w:t>Content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Revenue relates to the distribution of our owned television channels on third-party platforms and the licensing of owned and licensed content.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decreased in 2021 compared to 2020. Excluding the impact of foreign currency, revenue decreased primarily due to lower sports programming licensing revenue driven by changes in licensing agreements in Italy and Germany, partially offset by higher revenue from the distribution of Sky’s sports programming on third-party platforms due to the impacts of COVID-19 in the prior year period.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50</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consists of the sale of advertising on linear television and digital platforms, including where we represent the sales efforts of third-party channels, as well revenue from various technology, tools and solutions relating to our advertising business.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in 2021 compared to 2020. Excluding the impact of foreign currency, revenue increased primarily reflecting an overall market recovery compared to the prior year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primarily relate to content broadcast on our channels. These costs include the amortization of owned and licensed programming, including sports rights, direct production costs, production overhead and on-air talent costs. These expenses also include the fees associated with programming distribution agreements for channels owned by third parties.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increased in 2021 compared to 2020. Excluding the impact of foreign currency, expenses decreased primarily due to lower costs associated with Serie A and entertainment programming in the current year period, partially offset by an increase in the number of sporting events in the current year period due to COVID-19, which delayed the starts of the 2020-21 European football seasons.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Direct Network Costs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primarily include costs directly related to the supply of broadband and voice services, including wireless services for wireless handsets and tablets, to our customers. This includes call costs, monthly wholesale access fees and other variable costs associated with our network. In addition, it includes the cost of wireless handsets sold to customers.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increased in 2021 compared to 2020. Excluding the impact of foreign currency, expenses increased primarily due to an increase in costs associated with Sky’s wireless phone and broadband services as a result of increases in the sale of wireless handsets and the number of customers receiving these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Other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include costs related to marketing, fees paid to third-party channels for which Sky represents the advertising sales efforts, subscriber management, supply chain, transmission, technology, fixed networks and general administrative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increased in 2021 compared to 2020. Excluding the impact of foreign currency, expenses increased primarily due to higher fees paid to third-party channels related to advertising sales, partially offset by lower personnel costs.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80" w:type="dxa"/>
            <w:vAlign w:val="bottom"/>
          </w:tcPr>
          <w:p>
            <w:pPr>
              <w:jc w:val="right"/>
              <w:ind w:right="357"/>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206"/>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2019</w:t>
            </w:r>
          </w:p>
        </w:tc>
        <w:tc>
          <w:tcPr>
            <w:tcW w:w="15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 to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461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333</w:t>
            </w:r>
          </w:p>
        </w:tc>
        <w:tc>
          <w:tcPr>
            <w:tcW w:w="1580" w:type="dxa"/>
            <w:vAlign w:val="bottom"/>
          </w:tcPr>
          <w:p>
            <w:pPr>
              <w:jc w:val="right"/>
              <w:ind w:right="317"/>
              <w:spacing w:after="0"/>
              <w:rPr>
                <w:sz w:val="20"/>
                <w:szCs w:val="20"/>
                <w:color w:val="auto"/>
              </w:rPr>
            </w:pPr>
            <w:r>
              <w:rPr>
                <w:rFonts w:ascii="Arial" w:cs="Arial" w:eastAsia="Arial" w:hAnsi="Arial"/>
                <w:sz w:val="18"/>
                <w:szCs w:val="18"/>
                <w:b w:val="1"/>
                <w:bCs w:val="1"/>
                <w:color w:val="auto"/>
              </w:rPr>
              <w:t>86.1 %</w:t>
            </w:r>
          </w:p>
        </w:tc>
        <w:tc>
          <w:tcPr>
            <w:tcW w:w="118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4"/>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1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1,819</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1,153</w:t>
            </w:r>
          </w:p>
        </w:tc>
        <w:tc>
          <w:tcPr>
            <w:tcW w:w="158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b w:val="1"/>
                <w:bCs w:val="1"/>
                <w:color w:val="auto"/>
              </w:rPr>
              <w:t>(10.5)</w:t>
            </w: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76.3</w:t>
            </w:r>
          </w:p>
        </w:tc>
      </w:tr>
      <w:tr>
        <w:trPr>
          <w:trHeight w:val="223"/>
        </w:trPr>
        <w:tc>
          <w:tcPr>
            <w:tcW w:w="344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56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(1,358)</w:t>
            </w:r>
          </w:p>
        </w:tc>
        <w:tc>
          <w:tcPr>
            <w:tcW w:w="360" w:type="dxa"/>
            <w:vAlign w:val="bottom"/>
            <w:tcBorders>
              <w:bottom w:val="single" w:sz="8" w:color="0C6D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(1,785)</w:t>
            </w:r>
          </w:p>
        </w:tc>
        <w:tc>
          <w:tcPr>
            <w:tcW w:w="40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0C6DFF"/>
            </w:tcBorders>
          </w:tcPr>
          <w:p>
            <w:pPr>
              <w:jc w:val="right"/>
              <w:ind w:right="335"/>
              <w:spacing w:after="0"/>
              <w:rPr>
                <w:sz w:val="20"/>
                <w:szCs w:val="20"/>
                <w:color w:val="auto"/>
              </w:rPr>
            </w:pPr>
            <w:r>
              <w:rPr>
                <w:rFonts w:ascii="Arial" w:cs="Arial" w:eastAsia="Arial" w:hAnsi="Arial"/>
                <w:sz w:val="18"/>
                <w:szCs w:val="18"/>
                <w:color w:val="auto"/>
              </w:rPr>
              <w:t>(820)</w:t>
            </w:r>
          </w:p>
        </w:tc>
        <w:tc>
          <w:tcPr>
            <w:tcW w:w="1580" w:type="dxa"/>
            <w:vAlign w:val="bottom"/>
            <w:tcBorders>
              <w:bottom w:val="single" w:sz="8" w:color="0C6DFF"/>
            </w:tcBorders>
          </w:tcPr>
          <w:p>
            <w:pPr>
              <w:jc w:val="right"/>
              <w:ind w:right="317"/>
              <w:spacing w:after="0"/>
              <w:rPr>
                <w:sz w:val="20"/>
                <w:szCs w:val="20"/>
                <w:color w:val="auto"/>
              </w:rPr>
            </w:pPr>
            <w:r>
              <w:rPr>
                <w:rFonts w:ascii="Arial" w:cs="Arial" w:eastAsia="Arial" w:hAnsi="Arial"/>
                <w:sz w:val="18"/>
                <w:szCs w:val="18"/>
                <w:b w:val="1"/>
                <w:bCs w:val="1"/>
                <w:color w:val="auto"/>
              </w:rPr>
              <w:t>23.9 %</w:t>
            </w:r>
          </w:p>
        </w:tc>
        <w:tc>
          <w:tcPr>
            <w:tcW w:w="1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(117.8)%</w:t>
            </w:r>
          </w:p>
        </w:tc>
      </w:tr>
    </w:tbl>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Corporate and other primarily includes overhead and personnel costs, the results of other business initiatives and Comcast Spectacor, which owns the Philadelphia Flyers and the Wells Fargo Center arena in Philadelphia, Pennsylvania. Other business initiatives include costs associated with the launch of Sky Glass and the related hardware sales, as well as costs associated with the launch of XClass TV.</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in 2021 primarily due to increases at Comcast Spectacor as a result of the impacts of COVID-19 in the prior year period and sales of Sky Glass televisions.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Expenses decreased in 2021 primarily due to costs incurred in the prior year periods in response to COVID-19, including severance charges related to our businesses, partially offset by costs related to Sky Glass and XClass TV. In 2020, our businesses implemented separate cost savings initiatives, with the most significant relating to severance at NBCUniversal in connection with the realignment of the operating structure in our television businesses as well as overall reductions in the cost base. The costs of these initiatives were presented in Corporate and Other. Payments related to NBCUniversal employee severance were substantially complete in 2021 and the substantial majority of the related costs savings were being realized in operating costs and expenses as of the end of 2021. A portion of these cost savings may be reallocated to investments in content and other strategic initiatives. We expect to incur increased costs in 2022 related to the launch of Sky Glass and XClass TV.</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51</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tcPr>
          <w:p>
            <w:pPr>
              <w:jc w:val="center"/>
              <w:ind w:left="117"/>
              <w:spacing w:after="0"/>
              <w:rPr>
                <w:sz w:val="20"/>
                <w:szCs w:val="20"/>
                <w:color w:val="auto"/>
              </w:rPr>
            </w:pPr>
            <w:r>
              <w:rPr>
                <w:rFonts w:ascii="Arial" w:cs="Arial" w:eastAsia="Arial" w:hAnsi="Arial"/>
                <w:sz w:val="14"/>
                <w:szCs w:val="14"/>
                <w:b w:val="1"/>
                <w:bCs w:val="1"/>
                <w:color w:val="auto"/>
                <w:w w:val="94"/>
              </w:rPr>
              <w:t>% Change</w:t>
            </w:r>
          </w:p>
        </w:tc>
        <w:tc>
          <w:tcPr>
            <w:tcW w:w="126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206"/>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auto"/>
              </w:rPr>
              <w:t>2019</w:t>
            </w:r>
          </w:p>
        </w:tc>
        <w:tc>
          <w:tcPr>
            <w:tcW w:w="1600" w:type="dxa"/>
            <w:vAlign w:val="bottom"/>
            <w:tcBorders>
              <w:bottom w:val="single" w:sz="8" w:color="auto"/>
            </w:tcBorders>
          </w:tcPr>
          <w:p>
            <w:pPr>
              <w:jc w:val="center"/>
              <w:ind w:left="77"/>
              <w:spacing w:after="0"/>
              <w:rPr>
                <w:sz w:val="20"/>
                <w:szCs w:val="20"/>
                <w:color w:val="auto"/>
              </w:rPr>
            </w:pPr>
            <w:r>
              <w:rPr>
                <w:rFonts w:ascii="Arial" w:cs="Arial" w:eastAsia="Arial" w:hAnsi="Arial"/>
                <w:sz w:val="14"/>
                <w:szCs w:val="14"/>
                <w:b w:val="1"/>
                <w:bCs w:val="1"/>
                <w:color w:val="auto"/>
                <w:w w:val="91"/>
              </w:rPr>
              <w:t>2020 to 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to 2020</w:t>
            </w:r>
          </w:p>
        </w:tc>
      </w:tr>
      <w:tr>
        <w:trPr>
          <w:trHeight w:val="224"/>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(3,008)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(2,540)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75"/>
              <w:spacing w:after="0"/>
              <w:rPr>
                <w:sz w:val="20"/>
                <w:szCs w:val="20"/>
                <w:color w:val="auto"/>
              </w:rPr>
            </w:pPr>
            <w:r>
              <w:rPr>
                <w:rFonts w:ascii="Arial" w:cs="Arial" w:eastAsia="Arial" w:hAnsi="Arial"/>
                <w:sz w:val="18"/>
                <w:szCs w:val="18"/>
                <w:color w:val="auto"/>
              </w:rPr>
              <w:t>(2,650)</w:t>
            </w:r>
          </w:p>
        </w:tc>
        <w:tc>
          <w:tcPr>
            <w:tcW w:w="1600" w:type="dxa"/>
            <w:vAlign w:val="bottom"/>
          </w:tcPr>
          <w:p>
            <w:pPr>
              <w:ind w:left="720"/>
              <w:spacing w:after="0"/>
              <w:rPr>
                <w:sz w:val="20"/>
                <w:szCs w:val="20"/>
                <w:color w:val="auto"/>
              </w:rPr>
            </w:pPr>
            <w:r>
              <w:rPr>
                <w:rFonts w:ascii="Arial" w:cs="Arial" w:eastAsia="Arial" w:hAnsi="Arial"/>
                <w:sz w:val="18"/>
                <w:szCs w:val="18"/>
                <w:b w:val="1"/>
                <w:bCs w:val="1"/>
                <w:color w:val="auto"/>
              </w:rPr>
              <w:t>18.5 %</w:t>
            </w: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4"/>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1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(2,942)</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(2,652)</w:t>
            </w:r>
          </w:p>
        </w:tc>
        <w:tc>
          <w:tcPr>
            <w:tcW w:w="16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14.4</w:t>
            </w: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(3.1)</w:t>
            </w:r>
          </w:p>
        </w:tc>
      </w:tr>
      <w:tr>
        <w:trPr>
          <w:trHeight w:val="223"/>
        </w:trPr>
        <w:tc>
          <w:tcPr>
            <w:tcW w:w="342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5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(65)</w:t>
            </w:r>
          </w:p>
        </w:tc>
        <w:tc>
          <w:tcPr>
            <w:tcW w:w="360" w:type="dxa"/>
            <w:vAlign w:val="bottom"/>
            <w:tcBorders>
              <w:bottom w:val="single" w:sz="8" w:color="0C6DFF"/>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0C6DFF"/>
            </w:tcBorders>
          </w:tcPr>
          <w:p>
            <w:pPr>
              <w:jc w:val="right"/>
              <w:ind w:right="315"/>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0C6DFF"/>
            </w:tcBorders>
          </w:tcPr>
          <w:p>
            <w:pPr>
              <w:ind w:left="340"/>
              <w:spacing w:after="0"/>
              <w:rPr>
                <w:sz w:val="20"/>
                <w:szCs w:val="20"/>
                <w:color w:val="auto"/>
              </w:rPr>
            </w:pPr>
            <w:r>
              <w:rPr>
                <w:rFonts w:ascii="Arial" w:cs="Arial" w:eastAsia="Arial" w:hAnsi="Arial"/>
                <w:sz w:val="18"/>
                <w:szCs w:val="18"/>
                <w:b w:val="1"/>
                <w:bCs w:val="1"/>
                <w:color w:val="auto"/>
              </w:rPr>
              <w:t>NM</w:t>
            </w:r>
          </w:p>
        </w:tc>
        <w:tc>
          <w:tcPr>
            <w:tcW w:w="1260" w:type="dxa"/>
            <w:vAlign w:val="bottom"/>
            <w:tcBorders>
              <w:bottom w:val="single" w:sz="8" w:color="0C6DFF"/>
            </w:tcBorders>
          </w:tcPr>
          <w:p>
            <w:pPr>
              <w:jc w:val="right"/>
              <w:ind w:right="537"/>
              <w:spacing w:after="0"/>
              <w:rPr>
                <w:sz w:val="20"/>
                <w:szCs w:val="20"/>
                <w:color w:val="auto"/>
              </w:rPr>
            </w:pPr>
            <w:r>
              <w:rPr>
                <w:rFonts w:ascii="Arial" w:cs="Arial" w:eastAsia="Arial" w:hAnsi="Arial"/>
                <w:sz w:val="18"/>
                <w:szCs w:val="18"/>
                <w:color w:val="auto"/>
              </w:rPr>
              <w:t>NM</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represent eliminations of transactions between Cable Communications, NBCUniversal, Sky and other businesses. Eliminations of transactions between NBCUniversal are presented separately. Current year amounts reflect an increase in eliminations associated with the Tokyo Olympics. Refer to Note 2 for a description of transactions between our segments.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from Net Income Attributable to Comcast Corporation to Adjusted EBITDA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6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18"/>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14,159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10,534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13,057</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w w:val="95"/>
              </w:rPr>
              <w:t>Net income (loss) attributable to noncontrolling interests and redeemable subsidiary preferred stock</w:t>
            </w:r>
          </w:p>
        </w:tc>
        <w:tc>
          <w:tcPr>
            <w:tcW w:w="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5,259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3,364</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3,673</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Investment and other (income) loss, net</w:t>
            </w:r>
          </w:p>
        </w:tc>
        <w:tc>
          <w:tcPr>
            <w:tcW w:w="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(2,557)</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4,281</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4,588</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4,567</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8,628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8,320</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8,663</w:t>
            </w:r>
          </w:p>
        </w:tc>
      </w:tr>
      <w:tr>
        <w:trPr>
          <w:trHeight w:val="228"/>
        </w:trPr>
        <w:tc>
          <w:tcPr>
            <w:tcW w:w="75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6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5,176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4,780</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4,290</w:t>
            </w:r>
          </w:p>
        </w:tc>
      </w:tr>
      <w:tr>
        <w:trPr>
          <w:trHeight w:val="236"/>
        </w:trPr>
        <w:tc>
          <w:tcPr>
            <w:tcW w:w="756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Adjustments</w:t>
            </w:r>
            <w:r>
              <w:rPr>
                <w:rFonts w:ascii="Arial" w:cs="Arial" w:eastAsia="Arial" w:hAnsi="Arial"/>
                <w:sz w:val="23"/>
                <w:szCs w:val="23"/>
                <w:color w:val="auto"/>
                <w:vertAlign w:val="superscript"/>
              </w:rPr>
              <w:t>(a)</w:t>
            </w: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75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68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34,708</w:t>
            </w:r>
          </w:p>
        </w:tc>
        <w:tc>
          <w:tcPr>
            <w:tcW w:w="30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30,826</w:t>
            </w:r>
          </w:p>
        </w:tc>
        <w:tc>
          <w:tcPr>
            <w:tcW w:w="32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34,258</w:t>
            </w:r>
          </w:p>
        </w:tc>
      </w:tr>
    </w:tbl>
    <w:p>
      <w:pPr>
        <w:spacing w:after="0" w:line="89" w:lineRule="exact"/>
        <w:rPr>
          <w:sz w:val="20"/>
          <w:szCs w:val="20"/>
          <w:color w:val="auto"/>
        </w:rPr>
      </w:pPr>
    </w:p>
    <w:p>
      <w:pPr>
        <w:ind w:left="260" w:hanging="252"/>
        <w:spacing w:after="0" w:line="273" w:lineRule="auto"/>
        <w:tabs>
          <w:tab w:leader="none" w:pos="25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represent the impacts of certain events, gains, losses or other charges that are excluded from Adjusted EBITDA, including Sky transaction-related costs and costs related to our investment portfolio. Year to date 2020 also includes $177 million related to a legal settlement.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52</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year over year to evaluate its underlying performance.</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and constant currency growth rates are calculated by comparing the prior year results adjusted to reflect the average exchange rates from the current year rather than the actual exchange rates that were in effect during the respective prior year.</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of Sky Constant Currency Growth Rates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2020</w:t>
            </w:r>
          </w:p>
        </w:tc>
        <w:tc>
          <w:tcPr>
            <w:tcW w:w="1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 Change 2020 to</w:t>
            </w: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2020</w:t>
            </w: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2019</w:t>
            </w:r>
          </w:p>
        </w:tc>
        <w:tc>
          <w:tcPr>
            <w:tcW w:w="11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 Change 2019 to</w:t>
            </w: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30"/>
        </w:trPr>
        <w:tc>
          <w:tcPr>
            <w:tcW w:w="4480" w:type="dxa"/>
            <w:vAlign w:val="bottom"/>
            <w:vMerge w:val="restart"/>
          </w:tcPr>
          <w:p>
            <w:pPr>
              <w:ind w:left="20"/>
              <w:spacing w:after="0"/>
              <w:rPr>
                <w:sz w:val="20"/>
                <w:szCs w:val="20"/>
                <w:color w:val="auto"/>
              </w:rPr>
            </w:pPr>
            <w:r>
              <w:rPr>
                <w:rFonts w:ascii="Arial" w:cs="Arial" w:eastAsia="Arial" w:hAnsi="Arial"/>
                <w:sz w:val="14"/>
                <w:szCs w:val="14"/>
                <w:color w:val="auto"/>
              </w:rPr>
              <w:t>Year ended December 31 (in millions, except per customer data)</w:t>
            </w:r>
          </w:p>
        </w:tc>
        <w:tc>
          <w:tcPr>
            <w:tcW w:w="3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1"/>
                <w:szCs w:val="11"/>
                <w:color w:val="auto"/>
              </w:rPr>
            </w:pPr>
          </w:p>
        </w:tc>
        <w:tc>
          <w:tcPr>
            <w:tcW w:w="20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 xml:space="preserve">Constant </w:t>
            </w:r>
            <w:r>
              <w:rPr>
                <w:rFonts w:ascii="Arial" w:cs="Arial" w:eastAsia="Arial" w:hAnsi="Arial"/>
                <w:sz w:val="14"/>
                <w:szCs w:val="14"/>
                <w:b w:val="1"/>
                <w:bCs w:val="1"/>
                <w:color w:val="auto"/>
              </w:rPr>
              <w:t>Constant Currency</w:t>
            </w:r>
          </w:p>
        </w:tc>
        <w:tc>
          <w:tcPr>
            <w:tcW w:w="3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Actual</w:t>
            </w:r>
          </w:p>
        </w:tc>
        <w:tc>
          <w:tcPr>
            <w:tcW w:w="30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Constant</w:t>
            </w:r>
          </w:p>
        </w:tc>
        <w:tc>
          <w:tcPr>
            <w:tcW w:w="1160" w:type="dxa"/>
            <w:vAlign w:val="bottom"/>
          </w:tcPr>
          <w:p>
            <w:pPr>
              <w:jc w:val="right"/>
              <w:spacing w:after="0" w:line="130" w:lineRule="exact"/>
              <w:rPr>
                <w:sz w:val="20"/>
                <w:szCs w:val="20"/>
                <w:color w:val="auto"/>
              </w:rPr>
            </w:pPr>
            <w:r>
              <w:rPr>
                <w:rFonts w:ascii="Arial" w:cs="Arial" w:eastAsia="Arial" w:hAnsi="Arial"/>
                <w:sz w:val="14"/>
                <w:szCs w:val="14"/>
                <w:color w:val="auto"/>
                <w:w w:val="95"/>
              </w:rPr>
              <w:t>Constant Currency</w:t>
            </w:r>
          </w:p>
        </w:tc>
        <w:tc>
          <w:tcPr>
            <w:tcW w:w="0" w:type="dxa"/>
            <w:vAlign w:val="bottom"/>
          </w:tcPr>
          <w:p>
            <w:pPr>
              <w:spacing w:after="0"/>
              <w:rPr>
                <w:sz w:val="1"/>
                <w:szCs w:val="1"/>
                <w:color w:val="auto"/>
              </w:rPr>
            </w:pPr>
          </w:p>
        </w:tc>
      </w:tr>
      <w:tr>
        <w:trPr>
          <w:trHeight w:val="188"/>
        </w:trPr>
        <w:tc>
          <w:tcPr>
            <w:tcW w:w="44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Currency</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Currency</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16,455</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2.0 %</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140"/>
              <w:spacing w:after="0"/>
              <w:rPr>
                <w:sz w:val="20"/>
                <w:szCs w:val="20"/>
                <w:color w:val="auto"/>
              </w:rPr>
            </w:pPr>
            <w:r>
              <w:rPr>
                <w:rFonts w:ascii="Arial" w:cs="Arial" w:eastAsia="Arial" w:hAnsi="Arial"/>
                <w:sz w:val="18"/>
                <w:szCs w:val="18"/>
                <w:color w:val="auto"/>
              </w:rPr>
              <w:t>Direct-to-consumer</w:t>
            </w: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16,125</w:t>
            </w:r>
          </w:p>
        </w:tc>
        <w:tc>
          <w:tcPr>
            <w:tcW w:w="1260" w:type="dxa"/>
            <w:vAlign w:val="bottom"/>
            <w:vMerge w:val="continue"/>
          </w:tcPr>
          <w:p>
            <w:pPr>
              <w:spacing w:after="0"/>
              <w:rPr>
                <w:sz w:val="19"/>
                <w:szCs w:val="19"/>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15,698</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Content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1,341</w:t>
            </w:r>
          </w:p>
        </w:tc>
        <w:tc>
          <w:tcPr>
            <w:tcW w:w="3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1,448</w:t>
            </w:r>
          </w:p>
        </w:tc>
        <w:tc>
          <w:tcPr>
            <w:tcW w:w="1260" w:type="dxa"/>
            <w:vAlign w:val="bottom"/>
          </w:tcPr>
          <w:p>
            <w:pPr>
              <w:jc w:val="right"/>
              <w:ind w:right="194"/>
              <w:spacing w:after="0"/>
              <w:rPr>
                <w:sz w:val="20"/>
                <w:szCs w:val="20"/>
                <w:color w:val="auto"/>
              </w:rPr>
            </w:pPr>
            <w:r>
              <w:rPr>
                <w:rFonts w:ascii="Arial" w:cs="Arial" w:eastAsia="Arial" w:hAnsi="Arial"/>
                <w:sz w:val="18"/>
                <w:szCs w:val="18"/>
                <w:b w:val="1"/>
                <w:bCs w:val="1"/>
                <w:color w:val="auto"/>
              </w:rPr>
              <w:t>(7.4)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1,373</w:t>
            </w: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1,443</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2,489</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2,101</w:t>
            </w: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18.4</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2,270</w:t>
            </w: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20,285</w:t>
            </w:r>
          </w:p>
        </w:tc>
        <w:tc>
          <w:tcPr>
            <w:tcW w:w="3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b w:val="1"/>
                <w:bCs w:val="1"/>
                <w:color w:val="auto"/>
              </w:rPr>
              <w:t>19,675</w:t>
            </w:r>
          </w:p>
        </w:tc>
        <w:tc>
          <w:tcPr>
            <w:tcW w:w="1260" w:type="dxa"/>
            <w:vAlign w:val="bottom"/>
          </w:tcPr>
          <w:p>
            <w:pPr>
              <w:jc w:val="right"/>
              <w:ind w:right="234"/>
              <w:spacing w:after="0"/>
              <w:rPr>
                <w:sz w:val="20"/>
                <w:szCs w:val="20"/>
                <w:color w:val="auto"/>
              </w:rPr>
            </w:pPr>
            <w:r>
              <w:rPr>
                <w:rFonts w:ascii="Arial" w:cs="Arial" w:eastAsia="Arial" w:hAnsi="Arial"/>
                <w:sz w:val="18"/>
                <w:szCs w:val="18"/>
                <w:b w:val="1"/>
                <w:bCs w:val="1"/>
                <w:color w:val="auto"/>
              </w:rPr>
              <w:t>3.1</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18,594</w:t>
            </w:r>
          </w:p>
        </w:tc>
        <w:tc>
          <w:tcPr>
            <w:tcW w:w="3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19,411</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8,949</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14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9,064</w:t>
            </w:r>
          </w:p>
        </w:tc>
        <w:tc>
          <w:tcPr>
            <w:tcW w:w="12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8,649</w:t>
            </w: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8,967</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Direct network costs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2,612</w:t>
            </w:r>
          </w:p>
        </w:tc>
        <w:tc>
          <w:tcPr>
            <w:tcW w:w="3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2,230</w:t>
            </w:r>
          </w:p>
        </w:tc>
        <w:tc>
          <w:tcPr>
            <w:tcW w:w="1260" w:type="dxa"/>
            <w:vAlign w:val="bottom"/>
          </w:tcPr>
          <w:p>
            <w:pPr>
              <w:jc w:val="right"/>
              <w:ind w:right="234"/>
              <w:spacing w:after="0"/>
              <w:rPr>
                <w:sz w:val="20"/>
                <w:szCs w:val="20"/>
                <w:color w:val="auto"/>
              </w:rPr>
            </w:pPr>
            <w:r>
              <w:rPr>
                <w:rFonts w:ascii="Arial" w:cs="Arial" w:eastAsia="Arial" w:hAnsi="Arial"/>
                <w:sz w:val="18"/>
                <w:szCs w:val="18"/>
                <w:b w:val="1"/>
                <w:bCs w:val="1"/>
                <w:color w:val="auto"/>
              </w:rPr>
              <w:t>17.1</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2,086</w:t>
            </w:r>
          </w:p>
        </w:tc>
        <w:tc>
          <w:tcPr>
            <w:tcW w:w="3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1,759</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6,364</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6,239</w:t>
            </w: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5,556</w:t>
            </w: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17,925</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17,533</w:t>
            </w: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2.2</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16,640</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16,282</w:t>
            </w:r>
          </w:p>
        </w:tc>
        <w:tc>
          <w:tcPr>
            <w:tcW w:w="11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2,359</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2,142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10.2 %</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3,129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169"/>
        </w:trPr>
        <w:tc>
          <w:tcPr>
            <w:tcW w:w="44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Average monthly direct-to-consumer revenue per</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59.29</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57.79</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2.6 %</w:t>
            </w: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54.56</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ind w:right="14"/>
              <w:spacing w:after="0"/>
              <w:rPr>
                <w:sz w:val="20"/>
                <w:szCs w:val="20"/>
                <w:color w:val="auto"/>
              </w:rPr>
            </w:pPr>
            <w:r>
              <w:rPr>
                <w:rFonts w:ascii="Arial" w:cs="Arial" w:eastAsia="Arial" w:hAnsi="Arial"/>
                <w:sz w:val="18"/>
                <w:szCs w:val="18"/>
                <w:color w:val="auto"/>
              </w:rPr>
              <w:t>56.67</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customer relationship</w:t>
            </w:r>
          </w:p>
        </w:tc>
        <w:tc>
          <w:tcPr>
            <w:tcW w:w="300" w:type="dxa"/>
            <w:vAlign w:val="bottom"/>
            <w:tcBorders>
              <w:bottom w:val="single" w:sz="8" w:color="0C6DFF"/>
            </w:tcBorders>
            <w:vMerge w:val="continue"/>
          </w:tcPr>
          <w:p>
            <w:pPr>
              <w:spacing w:after="0"/>
              <w:rPr>
                <w:sz w:val="19"/>
                <w:szCs w:val="19"/>
                <w:color w:val="auto"/>
              </w:rPr>
            </w:pPr>
          </w:p>
        </w:tc>
        <w:tc>
          <w:tcPr>
            <w:tcW w:w="740" w:type="dxa"/>
            <w:vAlign w:val="bottom"/>
            <w:tcBorders>
              <w:bottom w:val="single" w:sz="8" w:color="0C6DFF"/>
            </w:tcBorders>
            <w:vMerge w:val="continue"/>
          </w:tcPr>
          <w:p>
            <w:pPr>
              <w:spacing w:after="0"/>
              <w:rPr>
                <w:sz w:val="19"/>
                <w:szCs w:val="19"/>
                <w:color w:val="auto"/>
              </w:rPr>
            </w:pPr>
          </w:p>
        </w:tc>
        <w:tc>
          <w:tcPr>
            <w:tcW w:w="300" w:type="dxa"/>
            <w:vAlign w:val="bottom"/>
            <w:tcBorders>
              <w:bottom w:val="single" w:sz="8" w:color="0C6DFF"/>
            </w:tcBorders>
            <w:vMerge w:val="continue"/>
          </w:tcPr>
          <w:p>
            <w:pPr>
              <w:spacing w:after="0"/>
              <w:rPr>
                <w:sz w:val="19"/>
                <w:szCs w:val="19"/>
                <w:color w:val="auto"/>
              </w:rPr>
            </w:pPr>
          </w:p>
        </w:tc>
        <w:tc>
          <w:tcPr>
            <w:tcW w:w="800" w:type="dxa"/>
            <w:vAlign w:val="bottom"/>
            <w:tcBorders>
              <w:bottom w:val="single" w:sz="8" w:color="0C6DFF"/>
            </w:tcBorders>
            <w:vMerge w:val="continue"/>
          </w:tcPr>
          <w:p>
            <w:pPr>
              <w:spacing w:after="0"/>
              <w:rPr>
                <w:sz w:val="19"/>
                <w:szCs w:val="19"/>
                <w:color w:val="auto"/>
              </w:rPr>
            </w:pPr>
          </w:p>
        </w:tc>
        <w:tc>
          <w:tcPr>
            <w:tcW w:w="1260" w:type="dxa"/>
            <w:vAlign w:val="bottom"/>
            <w:tcBorders>
              <w:bottom w:val="single" w:sz="8" w:color="0C6DFF"/>
            </w:tcBorders>
            <w:vMerge w:val="continue"/>
          </w:tcPr>
          <w:p>
            <w:pPr>
              <w:spacing w:after="0"/>
              <w:rPr>
                <w:sz w:val="19"/>
                <w:szCs w:val="19"/>
                <w:color w:val="auto"/>
              </w:rPr>
            </w:pPr>
          </w:p>
        </w:tc>
        <w:tc>
          <w:tcPr>
            <w:tcW w:w="360" w:type="dxa"/>
            <w:vAlign w:val="bottom"/>
            <w:tcBorders>
              <w:bottom w:val="single" w:sz="8" w:color="0C6DFF"/>
            </w:tcBorders>
            <w:vMerge w:val="continue"/>
          </w:tcPr>
          <w:p>
            <w:pPr>
              <w:spacing w:after="0"/>
              <w:rPr>
                <w:sz w:val="19"/>
                <w:szCs w:val="19"/>
                <w:color w:val="auto"/>
              </w:rPr>
            </w:pPr>
          </w:p>
        </w:tc>
        <w:tc>
          <w:tcPr>
            <w:tcW w:w="760" w:type="dxa"/>
            <w:vAlign w:val="bottom"/>
            <w:tcBorders>
              <w:bottom w:val="single" w:sz="8" w:color="0C6DFF"/>
            </w:tcBorders>
            <w:vMerge w:val="continue"/>
          </w:tcPr>
          <w:p>
            <w:pPr>
              <w:spacing w:after="0"/>
              <w:rPr>
                <w:sz w:val="19"/>
                <w:szCs w:val="19"/>
                <w:color w:val="auto"/>
              </w:rPr>
            </w:pPr>
          </w:p>
        </w:tc>
        <w:tc>
          <w:tcPr>
            <w:tcW w:w="300" w:type="dxa"/>
            <w:vAlign w:val="bottom"/>
            <w:tcBorders>
              <w:bottom w:val="single" w:sz="8" w:color="0C6DFF"/>
            </w:tcBorders>
            <w:vMerge w:val="continue"/>
          </w:tcPr>
          <w:p>
            <w:pPr>
              <w:spacing w:after="0"/>
              <w:rPr>
                <w:sz w:val="19"/>
                <w:szCs w:val="19"/>
                <w:color w:val="auto"/>
              </w:rPr>
            </w:pPr>
          </w:p>
        </w:tc>
        <w:tc>
          <w:tcPr>
            <w:tcW w:w="780" w:type="dxa"/>
            <w:vAlign w:val="bottom"/>
            <w:tcBorders>
              <w:bottom w:val="single" w:sz="8" w:color="0C6DFF"/>
            </w:tcBorders>
            <w:vMerge w:val="continue"/>
          </w:tcPr>
          <w:p>
            <w:pPr>
              <w:spacing w:after="0"/>
              <w:rPr>
                <w:sz w:val="19"/>
                <w:szCs w:val="19"/>
                <w:color w:val="auto"/>
              </w:rPr>
            </w:pPr>
          </w:p>
        </w:tc>
        <w:tc>
          <w:tcPr>
            <w:tcW w:w="1160" w:type="dxa"/>
            <w:vAlign w:val="bottom"/>
            <w:tcBorders>
              <w:bottom w:val="single" w:sz="8" w:color="0C6DFF"/>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8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28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29,146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24,737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25,697</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8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(13,446)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(12,047)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(14,841)</w:t>
            </w:r>
          </w:p>
        </w:tc>
      </w:tr>
      <w:tr>
        <w:trPr>
          <w:trHeight w:val="23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used in financing activities</w:t>
            </w:r>
          </w:p>
        </w:tc>
        <w:tc>
          <w:tcPr>
            <w:tcW w:w="2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(18,618)</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w:t>
            </w:r>
          </w:p>
        </w:tc>
      </w:tr>
      <w:tr>
        <w:trPr>
          <w:trHeight w:val="51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2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11,740</w:t>
            </w:r>
          </w:p>
        </w:tc>
      </w:tr>
      <w:tr>
        <w:trPr>
          <w:trHeight w:val="23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and long-term debt</w:t>
            </w:r>
          </w:p>
        </w:tc>
        <w:tc>
          <w:tcPr>
            <w:tcW w:w="2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94,850</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103,760</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Refer to “Contractual Obligations” discussion below for additional information regarding our cash requirements.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significant availability under our revolving credit facility and our commercial paper program to meet our short-term liquidity requirements. Our commercial paper program provides a lower-cost source of borrowing to fund our short-term working capital requirements. As of December 31, 2021, amounts available under our revolving credit facility, net of amounts outstanding under our commercial paper program and outstanding letters of credit and bank guarantees, totaled $11.0 billion. We entered into a new revolving credit facility in March 2021 (see Note 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53</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customary covenants and restrictions set forth in agreements related to debt issued at Comcast and certain of our subsidiaries, including the indentures governing our public debt securities and the credit agreement governing the Comcast revolving credit facility. Our credit facility contains a financial covenant pertaining to leverage, which is the ratio of debt to EBITDA, as defined in the credit facility. Compliance with this financial covenant is tested on a quarterly basis under the terms of the credit facility. As of December 31, 2021, we met this financial covenant by a significant margin and we expect to remain in compliance with this financial covenant and other covenants related to our debt. The covenants and restrictions in our revolving credit facility do not apply to certain entities, including Sky and our international theme parks.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Cash Provided by Operating Activities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7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3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18"/>
        </w:trPr>
        <w:tc>
          <w:tcPr>
            <w:tcW w:w="5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20,817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17,493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21,125</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13,804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12,953</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Noncash share-based compensation</w:t>
            </w:r>
          </w:p>
        </w:tc>
        <w:tc>
          <w:tcPr>
            <w:tcW w:w="2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1,315</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(1,499)</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(2,335)</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Payments of interest</w:t>
            </w:r>
          </w:p>
        </w:tc>
        <w:tc>
          <w:tcPr>
            <w:tcW w:w="2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(3,908)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(4,254)</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Payments of income taxes</w:t>
            </w:r>
          </w:p>
        </w:tc>
        <w:tc>
          <w:tcPr>
            <w:tcW w:w="27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(2,628)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(3,231)</w:t>
            </w:r>
          </w:p>
        </w:tc>
      </w:tr>
      <w:tr>
        <w:trPr>
          <w:trHeight w:val="234"/>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Proceeds from investments and other</w:t>
            </w:r>
          </w:p>
        </w:tc>
        <w:tc>
          <w:tcPr>
            <w:tcW w:w="27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23"/>
        </w:trPr>
        <w:tc>
          <w:tcPr>
            <w:tcW w:w="538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700" w:type="dxa"/>
            <w:vAlign w:val="bottom"/>
            <w:tcBorders>
              <w:bottom w:val="single" w:sz="8" w:color="0C6DFF"/>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29,146</w:t>
            </w:r>
          </w:p>
        </w:tc>
        <w:tc>
          <w:tcPr>
            <w:tcW w:w="34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24,737</w:t>
            </w:r>
          </w:p>
        </w:tc>
        <w:tc>
          <w:tcPr>
            <w:tcW w:w="36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25,697</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resulting from changes in operating assets and liabilities in 2021 compared to 2020 was primarily related to the timing of amortization and related payments for our film and television costs, including increased production spending, offset by an increased number of sporting events in 2021, as well as increases in accounts receivable and decreases in deferred revenue, which included the impacts of our broadcast of the Tokyo Olympics. These decreases were partially offset by increases related to the operations of our theme parks.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income tax payments in 2021 was primarily due to the tax deductions resulting from our senior notes exchange (refer to “Financing Activities” below for additional information), which reduced tax payments by $1.3 billion in the current year period and more than offset the higher taxable income from operations in 2021.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proceeds from investments and other in 2021 was primarily due to increased cash distributions received from equity method investments (see Note 8).</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most significant recurring investing activity has been capital expenditures, which are discussed further below. The increase in cash used in investing activities in 2021 compared to 2020 was primarily due to proceeds received from the sale of our investment in AirTouch in 2020, the acquisition of Masergy in 2021 and increased cash paid for intangible assets related to software development, partially offset by decreases in purchases of investments, decreases in costs related to the construction of Universal Beijing Resort and the purchase of spectrum in the prior year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6EBF"/>
        </w:rPr>
        <w:t>Capital Expenditures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were flat in 2021 primarily due to reduced spending in our Theme Parks segment as a result of COVID-19, offset by increases in spending in our Cable Communications segment. The costs associated with the construction of Universal Beijing Resort are presented separately in our consolidated statement of cash flows. See Note 7.</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significant capital expenditures are in our Cable Communications segment, and we expect that this will continue in the future. Cable Communications’ capital expenditures increased primarily due to increased spending on scalable infrastructure and line extensions, partially offset by decreased spending on customer premise equipment and support capital. The table below summarizes the capital expenditures we incurred in our Cable Communications segment in 2021, 2020 and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3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24"/>
        </w:trPr>
        <w:tc>
          <w:tcPr>
            <w:tcW w:w="4980" w:type="dxa"/>
            <w:vAlign w:val="bottom"/>
          </w:tcPr>
          <w:p>
            <w:pPr>
              <w:ind w:left="20"/>
              <w:spacing w:after="0"/>
              <w:rPr>
                <w:sz w:val="20"/>
                <w:szCs w:val="20"/>
                <w:color w:val="auto"/>
              </w:rPr>
            </w:pPr>
            <w:r>
              <w:rPr>
                <w:rFonts w:ascii="Arial" w:cs="Arial" w:eastAsia="Arial" w:hAnsi="Arial"/>
                <w:sz w:val="18"/>
                <w:szCs w:val="18"/>
                <w:color w:val="auto"/>
              </w:rPr>
              <w:t>Customer premise equipment</w:t>
            </w:r>
          </w:p>
        </w:tc>
        <w:tc>
          <w:tcPr>
            <w:tcW w:w="31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2,203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2,659</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Scalable infrastructure</w:t>
            </w:r>
          </w:p>
        </w:tc>
        <w:tc>
          <w:tcPr>
            <w:tcW w:w="3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2,658</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Line extensions</w:t>
            </w:r>
          </w:p>
        </w:tc>
        <w:tc>
          <w:tcPr>
            <w:tcW w:w="3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1,565</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34"/>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Support capital</w:t>
            </w:r>
          </w:p>
        </w:tc>
        <w:tc>
          <w:tcPr>
            <w:tcW w:w="3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23"/>
        </w:trPr>
        <w:tc>
          <w:tcPr>
            <w:tcW w:w="498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6,930</w:t>
            </w:r>
          </w:p>
        </w:tc>
        <w:tc>
          <w:tcPr>
            <w:tcW w:w="40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6,605</w:t>
            </w:r>
          </w:p>
        </w:tc>
        <w:tc>
          <w:tcPr>
            <w:tcW w:w="40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6,909</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our capital expenditures for 2022 will be focused on the increased investment in scalable infrastructure to increase network capacity and in line extensions for the expansion of both business services and residential in our 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Communications segment; and the continued deployment of wireless gateways, X1 and Sky Q. In addition, we expect to continue investment in existing and new attractions at our Universal theme parks in the future, including the development of our additional theme park in Orlando, Florida, which resumed in 2021. Capital expenditures for subsequent years will depend on numerous factors, including competition, changes in technology, regulatory changes, the timing and rate of deployment of new services, the capacity required for existing services, the timing of new attractions at our theme parks and potential acquisitions.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financing activities in 2021 consisted primarily of repayments of debt and the related early redemption payments presented in other financing activities, repurchases of common stock under our share repurchase program and employee plans, dividend payments, and payments related to the redemption of NBCUniversal Enterprise redeemable subsidiary preferred stock presented in other financing activities, partially offset by proceeds from borrowings. Net cash used in financing activities in 2020 consisted primarily of repayments of debt and the related early redemption payments presented in other financing activities, dividend payments, and payments related to the redemption and repayment of subsidiary preferred shares in the second quarter of 2020 presented in other financing activities, partially offset by proceeds from borrowings and proceeds from the settlement of cross-currency swaps related to our debt presented in other financing activities.</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2021, we completed a debt exchange transaction. We issued $15.0 billion aggregate principal amount of new senior notes, which have maturities ranging from 2051 to 2063 and a weighted-average interest rate of 2.93%, and made cash payments of $0.5 billion in exchange for $11.2 billion aggregate principal amount of certain series of outstanding senior notes with maturities ranging from 2033 to 2058 and a weighted-average interest rate of 5.04%. The debt exchange resulted in an overall reduction in the weighted-average interest rate for our total outstanding debt of 0.27% and extended the overall weighted-average maturity by 2 years. The debt exchange transaction was accounted for as a debt modification, and therefore following the exchange, the book value of the new senior notes is equal to the book value of the exchanged senior notes reduced by the amount of the cash payments, and the difference between the principal and carrying amounts of the new senior notes will accrue through interest expense over the period to maturity of the new senior notes.</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2021, we made debt repayments of $11.5 billion, including $4.9 billion of optional repayments of term loans due 2022 to 2023 and the early redemption of $3.3 billion of senior notes maturing in 2024 and 2025, as well as amounts due at maturity and the cash payments in the debt exchange transaction.</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2021, we issued €1.75 billion ($2.1 billion using exchange rates on the date of issuance) aggregate principal amount of fixed-rate Euro senior notes maturing in 2026 and 2029. In 2021, we had borrowings of $0.6 billion under the Universal Beijing Resort term loan.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See Notes 6 and 7 for additional information on our financing activities.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Share Repurchases and Dividends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2021, we restarted our share repurchase program, which had been paused since the beginning of 2019. Effective May 25, 2021, our Board of Directors increased our share repurchase program authorization to $10 billion. During 2021, we repurchased a total of 73.2 million shares of our Class A common stock for $4.0 billion. In January 2022, our Board of Directors increased our share repurchase program authorization from the $6 billion remaining as of December 31, 2021 to $10 billion. Under the authorization, which does not have an expiration date, we expect to repurchase additional shares, which may be in the open market or in private transactions.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declared quarterly dividends totaling $4.6 billion in 2021. We paid dividends of $4.5 billion in 2021. In January 2022, our Board of Directors approved an 8% increase in our dividend to $1.08 per share on an annualized basis. We expect to continue to pay quarterly dividends, although each dividend is subject to approval by our Board of Directors.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 below summarizes our share repurchases under our publicly announced share repurchase program authorization and dividends paid in 2021, 2020 and 2019. In addition, we paid $674 million and $534 million in 2021 and 2020, respectively, related to employee taxes associated with the administration of our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0891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Share Repurchases Under Share Repurchase Program Authorization and Dividends Paid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611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1517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most significant contractual obligations as of December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Arial" w:cs="Arial" w:eastAsia="Arial" w:hAnsi="Arial"/>
                <w:sz w:val="14"/>
                <w:szCs w:val="14"/>
                <w:color w:val="auto"/>
              </w:rPr>
              <w:t>As of December 31, 2021 (in billions)</w:t>
            </w:r>
          </w:p>
        </w:tc>
        <w:tc>
          <w:tcPr>
            <w:tcW w:w="28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w w:val="96"/>
              </w:rPr>
              <w:t>Within the next 12</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w w:val="92"/>
              </w:rPr>
              <w:t>Beyond the next</w:t>
            </w:r>
          </w:p>
        </w:tc>
        <w:tc>
          <w:tcPr>
            <w:tcW w:w="0" w:type="dxa"/>
            <w:vAlign w:val="bottom"/>
          </w:tcPr>
          <w:p>
            <w:pPr>
              <w:spacing w:after="0"/>
              <w:rPr>
                <w:sz w:val="1"/>
                <w:szCs w:val="1"/>
                <w:color w:val="auto"/>
              </w:rPr>
            </w:pPr>
          </w:p>
        </w:tc>
      </w:tr>
      <w:tr>
        <w:trPr>
          <w:trHeight w:val="186"/>
        </w:trPr>
        <w:tc>
          <w:tcPr>
            <w:tcW w:w="5460" w:type="dxa"/>
            <w:vAlign w:val="bottom"/>
            <w:tcBorders>
              <w:bottom w:val="single" w:sz="8" w:color="auto"/>
            </w:tcBorders>
            <w:vMerge w:val="continue"/>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months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 months</w:t>
            </w:r>
          </w:p>
        </w:tc>
        <w:tc>
          <w:tcPr>
            <w:tcW w:w="0" w:type="dxa"/>
            <w:vAlign w:val="bottom"/>
          </w:tcPr>
          <w:p>
            <w:pPr>
              <w:spacing w:after="0"/>
              <w:rPr>
                <w:sz w:val="1"/>
                <w:szCs w:val="1"/>
                <w:color w:val="auto"/>
              </w:rPr>
            </w:pPr>
          </w:p>
        </w:tc>
      </w:tr>
      <w:tr>
        <w:trPr>
          <w:trHeight w:val="226"/>
        </w:trPr>
        <w:tc>
          <w:tcPr>
            <w:tcW w:w="5460" w:type="dxa"/>
            <w:vAlign w:val="bottom"/>
          </w:tcPr>
          <w:p>
            <w:pPr>
              <w:ind w:left="20"/>
              <w:spacing w:after="0" w:line="225" w:lineRule="exact"/>
              <w:rPr>
                <w:sz w:val="20"/>
                <w:szCs w:val="20"/>
                <w:color w:val="auto"/>
              </w:rPr>
            </w:pPr>
            <w:r>
              <w:rPr>
                <w:rFonts w:ascii="Arial" w:cs="Arial" w:eastAsia="Arial" w:hAnsi="Arial"/>
                <w:sz w:val="18"/>
                <w:szCs w:val="18"/>
                <w:color w:val="auto"/>
              </w:rPr>
              <w:t>Debt obligations</w:t>
            </w:r>
            <w:r>
              <w:rPr>
                <w:rFonts w:ascii="Arial" w:cs="Arial" w:eastAsia="Arial" w:hAnsi="Arial"/>
                <w:sz w:val="23"/>
                <w:szCs w:val="23"/>
                <w:color w:val="auto"/>
                <w:vertAlign w:val="superscript"/>
              </w:rPr>
              <w:t>(a)</w:t>
            </w:r>
          </w:p>
        </w:tc>
        <w:tc>
          <w:tcPr>
            <w:tcW w:w="2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100.8</w:t>
            </w:r>
          </w:p>
        </w:tc>
        <w:tc>
          <w:tcPr>
            <w:tcW w:w="400" w:type="dxa"/>
            <w:vAlign w:val="bottom"/>
          </w:tcPr>
          <w:p>
            <w:pPr>
              <w:jc w:val="right"/>
              <w:ind w:right="19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Programming and production obligations</w:t>
            </w:r>
          </w:p>
        </w:tc>
        <w:tc>
          <w:tcPr>
            <w:tcW w:w="28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(a) Amounts represent the face value of debt and exclude interest payments and a collateralized obligation (see Note 8).</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largest contractual obligations relate to our outstanding debt. As of December 31, 2021, our debt has a weighted-average time to maturity of approximately 18 years and a weighted-average interest rate based on the stated coupons and including the effects of our derivative financial instruments of 3.44%. We typically fund and expect to continue to be able to fund debt maturities and interest payments with cash flows generated in our operations; existing cash, cash equivalents and investments; or proceeds from additional external financing. See Note 6 for additional information on our debt.</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have significant contractual obligations associated with our programming and production expenses. NBCUniversal and Sky have multiyear agreements for broadcast rights of sporting events, such as the Olympics, the NFL and European football leagues, which represent the substantial majority of our programming and production obligations. Cable Communications’ programming expenses related to the distribution of third-party programmed channels are generally acquired under multiyear distribution agreements, with fees typically based on the number of customers that receive the programming and the extent of distribution. As a result, the amounts included in the table above under fixed or minimum guaranteed commitments for these distribution agreements are not material and we expect the total fees to be paid under these arrangements to be significantly higher than the amounts included above. We have funded and expect to continue to be able to fund our programming and production obligations with the cash generated from our operations. As of December 31, 2021, approximately 40% of cash payments related to our programming and production obligations are due after five years, primarily related to multiyear sports rights agreements. See Note 4 for additional information on programming and production costs.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contractual obligations relate primarily to operating leases (see Note 15) and other arrangements recorded in our balance sheet and/or disclosed in the notes to our financial statements, including benefit plan obligations (see Note 11), liabilities for uncertain tax positions (see Note 5), our remaining unfunded capital commitment to Atairos (see Note 8) and a contractual obligation related to an interest held by a third party in the revenue of certain theme parks (see Note 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56</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Debt and Guarantee Structure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billions)</w:t>
            </w:r>
          </w:p>
        </w:tc>
        <w:tc>
          <w:tcPr>
            <w:tcW w:w="8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Debt Subject to Cross-Guarantees</w:t>
            </w:r>
          </w:p>
        </w:tc>
        <w:tc>
          <w:tcPr>
            <w:tcW w:w="8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85.9</w:t>
            </w: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Comcast</w:t>
            </w:r>
          </w:p>
        </w:tc>
        <w:tc>
          <w:tcPr>
            <w:tcW w:w="8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line="230" w:lineRule="exact"/>
              <w:rPr>
                <w:sz w:val="20"/>
                <w:szCs w:val="20"/>
                <w:color w:val="auto"/>
              </w:rPr>
            </w:pPr>
            <w:r>
              <w:rPr>
                <w:rFonts w:ascii="Arial" w:cs="Arial" w:eastAsia="Arial" w:hAnsi="Arial"/>
                <w:sz w:val="18"/>
                <w:szCs w:val="18"/>
                <w:color w:val="auto"/>
              </w:rPr>
              <w:t>Comcast Cable</w:t>
            </w:r>
            <w:r>
              <w:rPr>
                <w:rFonts w:ascii="Arial" w:cs="Arial" w:eastAsia="Arial" w:hAnsi="Arial"/>
                <w:sz w:val="23"/>
                <w:szCs w:val="23"/>
                <w:color w:val="auto"/>
                <w:vertAlign w:val="superscript"/>
              </w:rPr>
              <w:t>(a)</w:t>
            </w:r>
          </w:p>
        </w:tc>
        <w:tc>
          <w:tcPr>
            <w:tcW w:w="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NBCUniversal</w:t>
            </w:r>
            <w:r>
              <w:rPr>
                <w:rFonts w:ascii="Arial" w:cs="Arial" w:eastAsia="Arial" w:hAnsi="Arial"/>
                <w:sz w:val="23"/>
                <w:szCs w:val="23"/>
                <w:color w:val="auto"/>
                <w:vertAlign w:val="superscript"/>
              </w:rPr>
              <w:t>(a)</w:t>
            </w:r>
          </w:p>
        </w:tc>
        <w:tc>
          <w:tcPr>
            <w:tcW w:w="8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8"/>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 Subject to One-Way Guarantees</w:t>
            </w:r>
          </w:p>
        </w:tc>
        <w:tc>
          <w:tcPr>
            <w:tcW w:w="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89.6</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4"/>
        </w:trPr>
        <w:tc>
          <w:tcPr>
            <w:tcW w:w="76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w:t>
            </w: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Sky</w:t>
            </w:r>
          </w:p>
        </w:tc>
        <w:tc>
          <w:tcPr>
            <w:tcW w:w="8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(a)</w:t>
            </w:r>
          </w:p>
        </w:tc>
        <w:tc>
          <w:tcPr>
            <w:tcW w:w="8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8"/>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 Not Guaranteed</w:t>
            </w:r>
          </w:p>
        </w:tc>
        <w:tc>
          <w:tcPr>
            <w:tcW w:w="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8"/>
        </w:trPr>
        <w:tc>
          <w:tcPr>
            <w:tcW w:w="76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640" w:type="dxa"/>
            <w:vAlign w:val="bottom"/>
          </w:tcPr>
          <w:p>
            <w:pPr>
              <w:ind w:left="20"/>
              <w:spacing w:after="0" w:line="231" w:lineRule="exact"/>
              <w:rPr>
                <w:sz w:val="20"/>
                <w:szCs w:val="20"/>
                <w:color w:val="auto"/>
              </w:rPr>
            </w:pPr>
            <w:r>
              <w:rPr>
                <w:rFonts w:ascii="Arial" w:cs="Arial" w:eastAsia="Arial" w:hAnsi="Arial"/>
                <w:sz w:val="18"/>
                <w:szCs w:val="18"/>
                <w:color w:val="auto"/>
              </w:rPr>
              <w:t>Universal Beijing Resort</w:t>
            </w:r>
            <w:r>
              <w:rPr>
                <w:rFonts w:ascii="Arial" w:cs="Arial" w:eastAsia="Arial" w:hAnsi="Arial"/>
                <w:sz w:val="23"/>
                <w:szCs w:val="23"/>
                <w:color w:val="auto"/>
                <w:vertAlign w:val="superscript"/>
              </w:rPr>
              <w:t>(b)</w:t>
            </w:r>
          </w:p>
        </w:tc>
        <w:tc>
          <w:tcPr>
            <w:tcW w:w="8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w w:val="91"/>
              </w:rPr>
              <w:t>Debt issuance costs, premiums, discounts, fair value adjustments for acquisition accounting and hedged</w:t>
            </w:r>
          </w:p>
        </w:tc>
        <w:tc>
          <w:tcPr>
            <w:tcW w:w="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1"/>
        </w:trPr>
        <w:tc>
          <w:tcPr>
            <w:tcW w:w="76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w:t>
            </w:r>
          </w:p>
        </w:tc>
        <w:tc>
          <w:tcPr>
            <w:tcW w:w="6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positions, net</w:t>
            </w: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debt</w:t>
            </w:r>
          </w:p>
        </w:tc>
        <w:tc>
          <w:tcPr>
            <w:tcW w:w="8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w:t>
            </w: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hanging="332"/>
        <w:spacing w:after="0" w:line="273" w:lineRule="auto"/>
        <w:tabs>
          <w:tab w:leader="none" w:pos="337" w:val="left"/>
        </w:tabs>
        <w:numPr>
          <w:ilvl w:val="0"/>
          <w:numId w:val="34"/>
        </w:numPr>
        <w:rPr>
          <w:rFonts w:ascii="Arial" w:cs="Arial" w:eastAsia="Arial" w:hAnsi="Arial"/>
          <w:sz w:val="14"/>
          <w:szCs w:val="14"/>
          <w:color w:val="auto"/>
        </w:rPr>
      </w:pPr>
      <w:r>
        <w:rPr>
          <w:rFonts w:ascii="Arial" w:cs="Arial" w:eastAsia="Arial" w:hAnsi="Arial"/>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7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06EBF"/>
        </w:rPr>
        <w:t>Cross-Guarantees</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and 2020, the combined Guarantors have noncurrent notes payable to non-guarantor subsidiaries of $126 billion and $124 billion, respectively, and noncurrent notes receivable from non-guarantor subsidiaries of $30 billion and $26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One-Way Guarantees</w:t>
      </w:r>
    </w:p>
    <w:p>
      <w:pPr>
        <w:spacing w:after="0" w:line="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Comcast provides full and unconditional guarantees of certain debt issued by Sky and other consolidated subsidiaries not subject to the periodic reporting requirements of the SEC.</w:t>
      </w:r>
    </w:p>
    <w:p>
      <w:pPr>
        <w:spacing w:after="0" w:line="200" w:lineRule="exact"/>
        <w:rPr>
          <w:sz w:val="20"/>
          <w:szCs w:val="20"/>
          <w:color w:val="auto"/>
        </w:rPr>
      </w:pPr>
    </w:p>
    <w:p>
      <w:pPr>
        <w:spacing w:after="0" w:line="23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and 2020, Comcast and Comcast Holdings, the combined issuer and guarantor of the guaranteed subordinated debt, have noncurrent senior notes payable to non-guarantor subsidiaries of $96 billion and $94 billion, respectively, and noncurrent notes receivable from non-guarantor subsidiaries of $29 billion and $23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goodwill and cable franchise rights and the accounting for film and television costs are critical in the preparation of our consolidated financial statements. Management has discussed the development and selection of these critical accounting judgments and estimates with the Audit Committee of our Board of Directors, and the Audit Committee has reviewed the related disclosures below. See also Notes 4 and 10.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Goodwill and Cable Franchise Rights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the recoverability of our goodwill and indefinite-lived intangible assets, including cable franchise rights,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or an indefinite-lived intangible asset is less than its carrying amount. A quantitative assessment is performed if the qualitative assessment results in a more-likely-than-not determination or if a qualitative assessment is not performed.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006EBF"/>
        </w:rPr>
        <w:t>Goodwill</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results from business combinations and represents the excess amount of the consideration paid over the identifiable assets and liabilities recorded in the acquisition. We test goodwill for impairment at the reporting unit level and have concluded that our reporting units are generally the same as our reportable segments. We evaluate the determination of our reporting units periodically or whenever events or substantive changes in circumstances occur. When performing a quantitative assessment, we estimate the fair values of our reporting units primarily based on a discounted cash flow analysis that involves significant judgment, including market participant estimates of future cash flows expected to be generated by the business and the selection of discount rates. When analyzing the fair values indicated under discounted cash flow models, we also consider multiples of Adjusted EBITDA generated by the underlying assets, current market transactions and profitability information.</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performed qualitative assessments in 2021 for goodwill in our Cable Communications and NBCUniversal segments. The qualitative assessments considered that the estimated fair values of these reporting units substantially exceeded their carrying values at the time of our previous quantitative assessments in 2018; changes in projected future cash flows; recent market transactions and overall macroeconomic conditions, including the effects of COVID-19; discount rates; and changes in our market capitalization. Based on these assessments, we concluded that it was more likely than not that the estimated fair values of our reporting units were higher than their carrying values and that the performance of a quantitative impairment test was not</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58</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required. We performed a quantitative assessment in 2021 for goodwill in our Sky segment and the estimated fair value of the reporting unit was higher than the carrying value. Assets and liabilities resulting from a business combination are initially recorded at fair value and the risk of goodwill impairment is reduced as the value of the businesses in a reporting unit increases and as the carrying value of the reporting unit decreases due to the amortization of the historical cost of acquired long-lived assets over time. Given that the goodwill in our Sky segment resulted from our acquisition of Sky in the fourth quarter of 2018, the fair value is in close proximity to the carrying value of the Sky reporting unit.</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Cable Franchise Rights</w:t>
      </w:r>
    </w:p>
    <w:p>
      <w:pPr>
        <w:spacing w:after="0" w:line="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cable franchise rights assets result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6,500 franchise areas in the United States.</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concluded that our cable franchise rights have an indefinite useful life since there are no legal, regulatory, contractual, competitive, economic or other factors that limit the period over which these rights will contribute to our cash flows. Accordingly, we do not amortize our cable franchise rights.</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purposes of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performing a quantitative assessment, we estimate the fair values of our cable franchise rights primarily based on a discounted cash flow analysis that involves significant judgment, including the estimate of future cash flows and the selection of discount rates. When analyzing the fair values indicated under the discounted cash flow models, we also consider multiples of Adjusted EBITDA generated by the underlying assets, current market transactions and profitability information.</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2021, we performed a qualitative assessment of our cable franchise rights. At the time of our previous quantitative assessment in 2018, the estimated fair values of our franchise rights substantially exceeded their carrying values. We also considered various factors that would affect the estimated fair values of our cable franchise rights in our qualitative assessment, including changes in our projected future cash flows associated with our Cable Communications segment; recent market transactions and overall macroeconomic conditions, including the effects of COVID-19; discount rates; and changes in our market capitalization. Based on this assessment, we concluded that it was more likely than not that the estimated fair values of our cable franchise rights were higher than the carrying values and that the performance of a quantitative impairment test was not required.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2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capitalize costs for owned film and television content, including direct costs, production overhead, print costs, development costs and interest, as well as acquired libraries. We have determined that the predominant monetization strategy for the substantial majority of our content is on an individual basis.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estimates of ultimate revenue for films generally include revenue from all sources that are expected to be earned within 10 years from the date of a film’s initial release. These estimates are based on the distribution strategy and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from content licensing across multiple platforms and home entertainment sales, are revised based on historical relationships and an analysis of current market trends.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television series or other owned television programming, the most sensitive factor affecting our estimate of</w:t>
      </w:r>
    </w:p>
    <w:p>
      <w:pPr>
        <w:spacing w:after="0" w:line="200" w:lineRule="exact"/>
        <w:rPr>
          <w:sz w:val="20"/>
          <w:szCs w:val="20"/>
          <w:color w:val="auto"/>
        </w:rPr>
      </w:pPr>
    </w:p>
    <w:p>
      <w:pPr>
        <w:spacing w:after="0" w:line="341"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59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ultimate revenue is whether the series can be successfully licensed beyond its initial license window. Initial estimates of ultimate revenue are limited to the amount of revenue attributed to the initial license window. Once it is determined that a television series or other owned television programming can be licensed beyond the initial license window, revenue estimates for these additional windows or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the costs of licensed content when the license period begins, the content is made available for use and the costs of the licenses are known. Licensed content is amortized as the associated programs are broadcast. 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Capitalized film and television costs are subject to impairment testing when certain triggering events are identified. The substantial majority of our owned content is evaluated for impairment on an individual title basis. Licensed content that is not part of a film group is tested for impairment primarily on a channel, network or platform basis, with the exception of our broadcast networks and owned local broadcast television stations, which are tested on a daypart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Adjustments to capitalized film and television costs were not material in any of the periods presented.</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color w:val="006EBF"/>
        </w:rPr>
        <w:t>Item 7A: Quantitative and Qualitative Disclosures About Market Risk</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monitor our exposure to the risk of adverse changes in interest rates through the use of techniques that include market valuation and sensitivity analyses. We do not engage in any speculative or leveraged derivative transactions.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interest rate derivative financial instruments, which primarily include cross-currency swaps and interest rate swaps, represent an integral part of our interest rate risk management program.</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our interest rate derivative financial instruments to our consolidated interest expense was a decrease of $2 million in 2021, a decrease of $9 million in 2020, and a decrease of $49 million in 2019. Interest rate derivative financial instruments may have a significant effect on consolidated interest expense in the future.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summarizes by contractual year of maturity the principal amount of our debt, notional amount of our interest rate instruments, effective rates, and fair values subject to interest rate risk maintained by us as of December 31, 2021. We estimate interest rates on variable rate debt and swaps using the relevant average implied forward rates through the year of maturity based on the yield curve in effect on December 31, 2021, plus the applicable borrowing margin.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35"/>
        </w:trPr>
        <w:tc>
          <w:tcPr>
            <w:tcW w:w="21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3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2026</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Thereafter</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rPr>
              <w:t>Fair Value as of</w:t>
            </w:r>
          </w:p>
        </w:tc>
        <w:tc>
          <w:tcPr>
            <w:tcW w:w="0" w:type="dxa"/>
            <w:vAlign w:val="bottom"/>
          </w:tcPr>
          <w:p>
            <w:pPr>
              <w:spacing w:after="0"/>
              <w:rPr>
                <w:sz w:val="1"/>
                <w:szCs w:val="1"/>
                <w:color w:val="auto"/>
              </w:rPr>
            </w:pPr>
          </w:p>
        </w:tc>
      </w:tr>
      <w:tr>
        <w:trPr>
          <w:trHeight w:val="186"/>
        </w:trPr>
        <w:tc>
          <w:tcPr>
            <w:tcW w:w="2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December 31, 2021</w:t>
            </w:r>
          </w:p>
        </w:tc>
        <w:tc>
          <w:tcPr>
            <w:tcW w:w="0" w:type="dxa"/>
            <w:vAlign w:val="bottom"/>
          </w:tcPr>
          <w:p>
            <w:pPr>
              <w:spacing w:after="0"/>
              <w:rPr>
                <w:sz w:val="1"/>
                <w:szCs w:val="1"/>
                <w:color w:val="auto"/>
              </w:rPr>
            </w:pPr>
          </w:p>
        </w:tc>
      </w:tr>
      <w:tr>
        <w:trPr>
          <w:trHeight w:val="226"/>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Debt</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tcPr>
          <w:p>
            <w:pPr>
              <w:ind w:left="20"/>
              <w:spacing w:after="0"/>
              <w:rPr>
                <w:sz w:val="20"/>
                <w:szCs w:val="20"/>
                <w:color w:val="auto"/>
              </w:rPr>
            </w:pPr>
            <w:r>
              <w:rPr>
                <w:rFonts w:ascii="Arial" w:cs="Arial" w:eastAsia="Arial" w:hAnsi="Arial"/>
                <w:sz w:val="18"/>
                <w:szCs w:val="18"/>
                <w:color w:val="auto"/>
              </w:rPr>
              <w:t>Fixed-rate debt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2,135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1,056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3,824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6,136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5,232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78,771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97,155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105,613</w:t>
            </w:r>
          </w:p>
        </w:tc>
        <w:tc>
          <w:tcPr>
            <w:tcW w:w="0" w:type="dxa"/>
            <w:vAlign w:val="bottom"/>
          </w:tcPr>
          <w:p>
            <w:pPr>
              <w:spacing w:after="0"/>
              <w:rPr>
                <w:sz w:val="1"/>
                <w:szCs w:val="1"/>
                <w:color w:val="auto"/>
              </w:rPr>
            </w:pPr>
          </w:p>
        </w:tc>
      </w:tr>
      <w:tr>
        <w:trPr>
          <w:trHeight w:val="235"/>
        </w:trPr>
        <w:tc>
          <w:tcPr>
            <w:tcW w:w="2100" w:type="dxa"/>
            <w:vAlign w:val="bottom"/>
          </w:tcPr>
          <w:p>
            <w:pPr>
              <w:ind w:left="140"/>
              <w:spacing w:after="0" w:line="235" w:lineRule="exact"/>
              <w:rPr>
                <w:sz w:val="20"/>
                <w:szCs w:val="20"/>
                <w:color w:val="auto"/>
              </w:rPr>
            </w:pPr>
            <w:r>
              <w:rPr>
                <w:rFonts w:ascii="Arial" w:cs="Arial" w:eastAsia="Arial" w:hAnsi="Arial"/>
                <w:sz w:val="18"/>
                <w:szCs w:val="18"/>
                <w:color w:val="auto"/>
              </w:rPr>
              <w:t>Average interest rate</w:t>
            </w:r>
            <w:r>
              <w:rPr>
                <w:rFonts w:ascii="Arial" w:cs="Arial" w:eastAsia="Arial" w:hAnsi="Arial"/>
                <w:sz w:val="23"/>
                <w:szCs w:val="23"/>
                <w:color w:val="auto"/>
                <w:vertAlign w:val="superscript"/>
              </w:rPr>
              <w:t>(a)</w:t>
            </w: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6.3 %</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2.0 %</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3.0 %</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3.4 %</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Variable-rate debt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500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3,148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3,648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25"/>
        </w:trPr>
        <w:tc>
          <w:tcPr>
            <w:tcW w:w="210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1.7 %</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w w:val="98"/>
              </w:rPr>
              <w:t>Fixed-to-Variable Swaps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100" w:type="dxa"/>
            <w:vAlign w:val="bottom"/>
          </w:tcPr>
          <w:p>
            <w:pPr>
              <w:ind w:left="20"/>
              <w:spacing w:after="0" w:line="235" w:lineRule="exact"/>
              <w:rPr>
                <w:sz w:val="20"/>
                <w:szCs w:val="20"/>
                <w:color w:val="auto"/>
              </w:rPr>
            </w:pPr>
            <w:r>
              <w:rPr>
                <w:rFonts w:ascii="Arial" w:cs="Arial" w:eastAsia="Arial" w:hAnsi="Arial"/>
                <w:sz w:val="18"/>
                <w:szCs w:val="18"/>
                <w:color w:val="auto"/>
              </w:rPr>
              <w:t>Notional amount</w:t>
            </w:r>
            <w:r>
              <w:rPr>
                <w:rFonts w:ascii="Arial" w:cs="Arial" w:eastAsia="Arial" w:hAnsi="Arial"/>
                <w:sz w:val="23"/>
                <w:szCs w:val="23"/>
                <w:color w:val="auto"/>
                <w:vertAlign w:val="superscript"/>
              </w:rPr>
              <w:t>(b)</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1,250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1,250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100" w:type="dxa"/>
            <w:vAlign w:val="bottom"/>
          </w:tcPr>
          <w:p>
            <w:pPr>
              <w:ind w:left="140"/>
              <w:spacing w:after="0"/>
              <w:rPr>
                <w:sz w:val="20"/>
                <w:szCs w:val="20"/>
                <w:color w:val="auto"/>
              </w:rPr>
            </w:pPr>
            <w:r>
              <w:rPr>
                <w:rFonts w:ascii="Arial" w:cs="Arial" w:eastAsia="Arial" w:hAnsi="Arial"/>
                <w:sz w:val="18"/>
                <w:szCs w:val="18"/>
                <w:color w:val="auto"/>
              </w:rPr>
              <w:t>Average pay rate</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Average receive rate</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effects of our fixed-to-fixed cross-currency swaps, which are discussed further below under the heading “Foreign Exchange Risk Management.”</w:t>
      </w:r>
    </w:p>
    <w:p>
      <w:pPr>
        <w:spacing w:after="0" w:line="136" w:lineRule="exact"/>
        <w:rPr>
          <w:rFonts w:ascii="Arial" w:cs="Arial" w:eastAsia="Arial" w:hAnsi="Arial"/>
          <w:sz w:val="14"/>
          <w:szCs w:val="14"/>
          <w:color w:val="auto"/>
        </w:rPr>
      </w:pPr>
    </w:p>
    <w:p>
      <w:pPr>
        <w:ind w:left="260" w:hanging="252"/>
        <w:spacing w:after="0" w:line="273" w:lineRule="auto"/>
        <w:tabs>
          <w:tab w:leader="none" w:pos="2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Notional amounts are used to calculate the interest to be paid or received and do not represent our exposure to credit loss. The estimated fair value approximates the amount of payments to be made or proceeds to be received to settle the outstanding contracts, excluding accrued interest.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have a $5.2 billion variable rate term loan presented separately as a collateralized obligation that will mature in March 2024. We entered into a series of variable-to-fixed interest rate swaps on $5.2 billion of this term loan with an average pay rate of 1.1% and an average receive rate of 0.9% estimated using December 31, 2021 implied forward rates through the year of maturity. As of December 31, 2021 and 2020, the estimated fair value of the term loan was $5.2 billion for each period, and the estimated fair value of the related interest rate swaps was a net liability of $29 million and a net liability of $155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Notes 1, 6 and 8 for additional information.</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operations in a number of countries outside the United States through Sky and NBCUniversal, and certain of our operations are conducted in foreign currencies. The value of these currencies fluctuates relative to the U.S. dollar. These changes could adversely affect the U.S. dollar equivalent value of our non-U.S. dollar operations, which could negatively affect our business, financial condition and results of operations in a given period or in specific territories.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our overall strategy to manage the level of exposure to the risk of foreign exchange rate fluctuations, we enter into derivative financial instruments related to a significant portion of our foreign currency exposure for transactions denominated in currencies other than the functional currency of the transacting entity. We enter into foreign currency forward contracts that change in value as currency exchange rates fluctuate to protect the functional currency equivalent value of non-functional currency denominated assets, liabilities, commitments, and forecasted non-functional currency revenue and expenses. In accordance with our policy, we hedge forecasted foreign currency transactions for periods generally not to exceed 30 months. As of December 31, 2021 and 2020, we had foreign exchange contracts on transactions other than debt with a total notional value of $8.0 billion and $8.1 billion, respectively. As of December 31, 2021 and 2020, the aggregate estimated fair value of these foreign exchange contracts was not material.</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use cross-currency swaps as cash flow hedges for certain foreign currency denominated debt obligations with obligations denominated in a currency other than the functional currency of the issuer. Cross-currency swaps effectively convert foreign currency denominated debt to debt denominated in the functional currency, which hedge currency exchange risks associated with foreign currency denominated cash flows such as interest and principal debt repayments. As of December 31, 2021 and 2020, we had cross-currency swaps designated as cash flow hedges on $1.6 billion and $1.7 billion of our foreign currency denominated debt, respectively. As of December 31, 2021 and 2020, the aggregate estimated fair value of cross-currency swaps designated as cash flow hedges was a net liability of $53 million and a net liability of $45 million, respectively.</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also exposed to foreign exchange risk on the consolidation of our foreign operations. We have foreign currency denominated debt and cross-currency swaps designated as hedges of our net investments in certain of these subsidiaries. Transaction gains and losses resulting from currency movements on debt and changes in the fair value of cross-currency swaps designated as net investment hedges are recorded within the currency translation adjustments component of accumulated other comprehensive income (loss). As of December 31, 2021 and 2020, the amount of our net investment in foreign subsidiaries hedged using foreign currency denominated debt was $8.2 billion and $10.3 billion, respectively, and the amount of our net investment in foreign subsidiaries hedged using cross-currency swaps was $3.6 billion and $4.0 billion, respectively. As of December 31, 2021 and 2020, the aggregate estimated fair value of these cross-currency swaps was a net liability of $104 million and $376 million, respectively. The amount of pre-tax gains (losses) related to net investment hedges recognized in the cumulative translation adjustments component of other comprehensive income (loss) were gains of $760 million in 2021, losses of $686 million in 2020 and gains of $343 million in 2019.</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analyzed our foreign currency exposure related to our foreign operations as of December 31, 2021, including our hedging contracts, to identify assets and liabilities denominated in a currency other than their functional currency. For those assets and liabilities, we then evaluated the effect of a hypothetical 10% shift in currency exchange rates, inclusive of the effects of derivatives. The results of our analysis indicate that such a shift in exchange rates would not have a material impact on our 2021 net income attributable to Comcast Corporation.</w:t>
      </w:r>
    </w:p>
    <w:p>
      <w:pPr>
        <w:spacing w:after="0" w:line="200" w:lineRule="exact"/>
        <w:rPr>
          <w:sz w:val="20"/>
          <w:szCs w:val="20"/>
          <w:color w:val="auto"/>
        </w:rPr>
      </w:pPr>
    </w:p>
    <w:p>
      <w:pPr>
        <w:spacing w:after="0" w:line="30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61</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2021 and 2020, we were not required to post collateral under the terms of these agreements, nor did we hold any collateral under the terms of these agreements.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62</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006EBF"/>
        </w:rPr>
        <w:t>Item 8: Comcast Corporation Financial Statements and Supplementary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120" w:type="dxa"/>
            <w:vAlign w:val="bottom"/>
            <w:gridSpan w:val="9"/>
          </w:tcPr>
          <w:p>
            <w:pPr>
              <w:spacing w:after="0"/>
              <w:rPr>
                <w:sz w:val="20"/>
                <w:szCs w:val="20"/>
                <w:color w:val="auto"/>
              </w:rPr>
            </w:pPr>
            <w:r>
              <w:rPr>
                <w:rFonts w:ascii="Arial" w:cs="Arial" w:eastAsia="Arial" w:hAnsi="Arial"/>
                <w:sz w:val="14"/>
                <w:szCs w:val="14"/>
                <w:color w:val="auto"/>
              </w:rPr>
              <w:t>Index</w:t>
            </w:r>
          </w:p>
        </w:tc>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w w:val="97"/>
              </w:rPr>
              <w:t>Page</w:t>
            </w:r>
          </w:p>
        </w:tc>
      </w:tr>
      <w:tr>
        <w:trPr>
          <w:trHeight w:val="202"/>
        </w:trPr>
        <w:tc>
          <w:tcPr>
            <w:tcW w:w="2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0000FF"/>
            </w:tcBorders>
          </w:tcPr>
          <w:p>
            <w:pPr>
              <w:spacing w:after="0" w:line="202"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Report of Management</w:t>
              </w:r>
            </w:hyperlink>
          </w:p>
        </w:tc>
        <w:tc>
          <w:tcPr>
            <w:tcW w:w="5440" w:type="dxa"/>
            <w:vAlign w:val="bottom"/>
            <w:tcBorders>
              <w:top w:val="single" w:sz="8" w:color="auto"/>
            </w:tcBorders>
            <w:gridSpan w:val="8"/>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right"/>
              <w:spacing w:after="0" w:line="202" w:lineRule="exact"/>
              <w:rPr>
                <w:rFonts w:ascii="Arial" w:cs="Arial" w:eastAsia="Arial" w:hAnsi="Arial"/>
                <w:sz w:val="18"/>
                <w:szCs w:val="18"/>
                <w:color w:val="0000FF"/>
                <w:w w:val="79"/>
              </w:rPr>
            </w:pPr>
            <w:hyperlink w:anchor="page66">
              <w:r>
                <w:rPr>
                  <w:rFonts w:ascii="Arial" w:cs="Arial" w:eastAsia="Arial" w:hAnsi="Arial"/>
                  <w:sz w:val="18"/>
                  <w:szCs w:val="18"/>
                  <w:color w:val="0000FF"/>
                  <w:w w:val="79"/>
                </w:rPr>
                <w:t>64</w:t>
              </w:r>
            </w:hyperlink>
          </w:p>
        </w:tc>
        <w:tc>
          <w:tcPr>
            <w:tcW w:w="3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7120" w:type="dxa"/>
            <w:vAlign w:val="bottom"/>
            <w:gridSpan w:val="9"/>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Report of Independent Registered Public Accounting Firm</w:t>
              </w:r>
            </w:hyperlink>
          </w:p>
        </w:tc>
        <w:tc>
          <w:tcPr>
            <w:tcW w:w="3700" w:type="dxa"/>
            <w:vAlign w:val="bottom"/>
            <w:gridSpan w:val="2"/>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5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Consolidated Statement of Income</w:t>
              </w:r>
            </w:hyperlink>
          </w:p>
        </w:tc>
        <w:tc>
          <w:tcPr>
            <w:tcW w:w="1720" w:type="dxa"/>
            <w:vAlign w:val="bottom"/>
            <w:tcBorders>
              <w:top w:val="single" w:sz="8" w:color="0000FF"/>
            </w:tcBorders>
            <w:gridSpan w:val="5"/>
          </w:tcPr>
          <w:p>
            <w:pPr>
              <w:spacing w:after="0"/>
              <w:rPr>
                <w:sz w:val="24"/>
                <w:szCs w:val="24"/>
                <w:color w:val="auto"/>
              </w:rPr>
            </w:pPr>
          </w:p>
        </w:tc>
        <w:tc>
          <w:tcPr>
            <w:tcW w:w="2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67</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6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Consolidated Statement of Comprehensive Income</w:t>
              </w:r>
            </w:hyperlink>
          </w:p>
        </w:tc>
        <w:tc>
          <w:tcPr>
            <w:tcW w:w="3440" w:type="dxa"/>
            <w:vAlign w:val="bottom"/>
            <w:gridSpan w:val="2"/>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68</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7120" w:type="dxa"/>
            <w:vAlign w:val="bottom"/>
            <w:gridSpan w:val="9"/>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Consolidated Statement of Cash Flows</w:t>
              </w:r>
            </w:hyperlink>
          </w:p>
        </w:tc>
        <w:tc>
          <w:tcPr>
            <w:tcW w:w="3700" w:type="dxa"/>
            <w:vAlign w:val="bottom"/>
            <w:gridSpan w:val="2"/>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2800" w:type="dxa"/>
            <w:vAlign w:val="bottom"/>
            <w:tcBorders>
              <w:top w:val="single" w:sz="8" w:color="0000FF"/>
            </w:tcBorders>
            <w:gridSpan w:val="4"/>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Consolidated Balance Sheet</w:t>
              </w:r>
            </w:hyperlink>
          </w:p>
        </w:tc>
        <w:tc>
          <w:tcPr>
            <w:tcW w:w="4320" w:type="dxa"/>
            <w:vAlign w:val="bottom"/>
            <w:gridSpan w:val="5"/>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70</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120" w:type="dxa"/>
            <w:vAlign w:val="bottom"/>
            <w:gridSpan w:val="9"/>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Consolidated Statement of Changes in Equity</w:t>
              </w:r>
            </w:hyperlink>
          </w:p>
        </w:tc>
        <w:tc>
          <w:tcPr>
            <w:tcW w:w="3700" w:type="dxa"/>
            <w:vAlign w:val="bottom"/>
            <w:gridSpan w:val="2"/>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71</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280" w:type="dxa"/>
            <w:vAlign w:val="bottom"/>
            <w:tcBorders>
              <w:top w:val="single" w:sz="8" w:color="0000FF"/>
            </w:tcBorders>
            <w:gridSpan w:val="6"/>
          </w:tcPr>
          <w:p>
            <w:pPr>
              <w:spacing w:after="0"/>
              <w:rPr>
                <w:rFonts w:ascii="Arial" w:cs="Arial" w:eastAsia="Arial" w:hAnsi="Arial"/>
                <w:sz w:val="18"/>
                <w:szCs w:val="18"/>
                <w:color w:val="0000FF"/>
                <w:w w:val="93"/>
              </w:rPr>
            </w:pPr>
            <w:hyperlink w:anchor="page74">
              <w:r>
                <w:rPr>
                  <w:rFonts w:ascii="Arial" w:cs="Arial" w:eastAsia="Arial" w:hAnsi="Arial"/>
                  <w:sz w:val="18"/>
                  <w:szCs w:val="18"/>
                  <w:color w:val="0000FF"/>
                  <w:w w:val="93"/>
                </w:rPr>
                <w:t>Notes to Consolidated Financial Statements</w:t>
              </w:r>
            </w:hyperlink>
          </w:p>
        </w:tc>
        <w:tc>
          <w:tcPr>
            <w:tcW w:w="3840" w:type="dxa"/>
            <w:vAlign w:val="bottom"/>
            <w:gridSpan w:val="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72</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1680" w:type="dxa"/>
            <w:vAlign w:val="bottom"/>
            <w:tcBorders>
              <w:top w:val="single" w:sz="8" w:color="0000FF"/>
              <w:bottom w:val="single" w:sz="8" w:color="auto"/>
            </w:tcBorders>
          </w:tcPr>
          <w:p>
            <w:pPr>
              <w:spacing w:after="0"/>
              <w:rPr>
                <w:sz w:val="13"/>
                <w:szCs w:val="13"/>
                <w:color w:val="auto"/>
              </w:rPr>
            </w:pPr>
          </w:p>
        </w:tc>
        <w:tc>
          <w:tcPr>
            <w:tcW w:w="340" w:type="dxa"/>
            <w:vAlign w:val="bottom"/>
            <w:tcBorders>
              <w:top w:val="single" w:sz="8" w:color="0000FF"/>
              <w:bottom w:val="single" w:sz="8" w:color="auto"/>
            </w:tcBorders>
          </w:tcPr>
          <w:p>
            <w:pPr>
              <w:spacing w:after="0"/>
              <w:rPr>
                <w:sz w:val="13"/>
                <w:szCs w:val="13"/>
                <w:color w:val="auto"/>
              </w:rPr>
            </w:pPr>
          </w:p>
        </w:tc>
        <w:tc>
          <w:tcPr>
            <w:tcW w:w="480" w:type="dxa"/>
            <w:vAlign w:val="bottom"/>
            <w:tcBorders>
              <w:top w:val="single" w:sz="8" w:color="0000FF"/>
              <w:bottom w:val="single" w:sz="8" w:color="auto"/>
            </w:tcBorders>
          </w:tcPr>
          <w:p>
            <w:pPr>
              <w:spacing w:after="0"/>
              <w:rPr>
                <w:sz w:val="13"/>
                <w:szCs w:val="13"/>
                <w:color w:val="auto"/>
              </w:rPr>
            </w:pPr>
          </w:p>
        </w:tc>
        <w:tc>
          <w:tcPr>
            <w:tcW w:w="300" w:type="dxa"/>
            <w:vAlign w:val="bottom"/>
            <w:tcBorders>
              <w:top w:val="single" w:sz="8" w:color="0000FF"/>
              <w:bottom w:val="single" w:sz="8" w:color="auto"/>
            </w:tcBorders>
          </w:tcPr>
          <w:p>
            <w:pPr>
              <w:spacing w:after="0"/>
              <w:rPr>
                <w:sz w:val="13"/>
                <w:szCs w:val="13"/>
                <w:color w:val="auto"/>
              </w:rPr>
            </w:pPr>
          </w:p>
        </w:tc>
        <w:tc>
          <w:tcPr>
            <w:tcW w:w="360" w:type="dxa"/>
            <w:vAlign w:val="bottom"/>
            <w:tcBorders>
              <w:top w:val="single" w:sz="8" w:color="0000FF"/>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180" w:type="dxa"/>
            <w:vAlign w:val="bottom"/>
            <w:tcBorders>
              <w:top w:val="single" w:sz="8" w:color="0000FF"/>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683"/>
        </w:trPr>
        <w:tc>
          <w:tcPr>
            <w:tcW w:w="7140" w:type="dxa"/>
            <w:vAlign w:val="bottom"/>
            <w:gridSpan w:val="10"/>
          </w:tcPr>
          <w:p>
            <w:pPr>
              <w:jc w:val="right"/>
              <w:ind w:right="1480"/>
              <w:spacing w:after="0"/>
              <w:rPr>
                <w:sz w:val="20"/>
                <w:szCs w:val="20"/>
                <w:color w:val="auto"/>
              </w:rPr>
            </w:pPr>
            <w:r>
              <w:rPr>
                <w:rFonts w:ascii="Arial" w:cs="Arial" w:eastAsia="Arial" w:hAnsi="Arial"/>
                <w:sz w:val="14"/>
                <w:szCs w:val="14"/>
                <w:b w:val="1"/>
                <w:bCs w:val="1"/>
                <w:color w:val="auto"/>
              </w:rPr>
              <w:t>63</w:t>
            </w:r>
          </w:p>
        </w:tc>
        <w:tc>
          <w:tcPr>
            <w:tcW w:w="4100" w:type="dxa"/>
            <w:vAlign w:val="bottom"/>
            <w:gridSpan w:val="4"/>
          </w:tcPr>
          <w:p>
            <w:pPr>
              <w:ind w:left="1460"/>
              <w:spacing w:after="0"/>
              <w:rPr>
                <w:sz w:val="20"/>
                <w:szCs w:val="20"/>
                <w:color w:val="auto"/>
              </w:rPr>
            </w:pPr>
            <w:r>
              <w:rPr>
                <w:rFonts w:ascii="Arial" w:cs="Arial" w:eastAsia="Arial" w:hAnsi="Arial"/>
                <w:sz w:val="14"/>
                <w:szCs w:val="14"/>
                <w:color w:val="auto"/>
                <w:w w:val="95"/>
              </w:rPr>
              <w:t>Comcast 2021 Annual Report on Form 10-K</w:t>
            </w:r>
          </w:p>
        </w:tc>
      </w:tr>
      <w:tr>
        <w:trPr>
          <w:trHeight w:val="330"/>
        </w:trPr>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the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the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2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management concluded that the system of internal control over financial reporting was effective as of December 31, 2021. The effectiveness of internal control over financial reporting has been audited by Deloitte &amp; Touche LLP, an independent registered public accounting firm, as stated in their report, which is included herein.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Audit Committee of the Board of Directors, which is comprised solely of independent directors, has oversight responsibility for our financial reporting process and the audits of the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 BRIAN L. ROBERTS</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/s/ MICHAEL J. CAVANAGH</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/s/ DANIEL C. MURDOCK</w:t>
            </w:r>
          </w:p>
        </w:tc>
      </w:tr>
      <w:tr>
        <w:trPr>
          <w:trHeight w:val="222"/>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Brian L. Roberts</w:t>
            </w:r>
          </w:p>
        </w:tc>
        <w:tc>
          <w:tcPr>
            <w:tcW w:w="240" w:type="dxa"/>
            <w:vAlign w:val="bottom"/>
          </w:tcPr>
          <w:p>
            <w:pPr>
              <w:spacing w:after="0"/>
              <w:rPr>
                <w:sz w:val="19"/>
                <w:szCs w:val="19"/>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Michael J. Cavanagh</w:t>
            </w:r>
          </w:p>
        </w:tc>
        <w:tc>
          <w:tcPr>
            <w:tcW w:w="22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Daniel C. Murdock</w:t>
            </w:r>
          </w:p>
        </w:tc>
        <w:tc>
          <w:tcPr>
            <w:tcW w:w="520" w:type="dxa"/>
            <w:vAlign w:val="bottom"/>
          </w:tcPr>
          <w:p>
            <w:pPr>
              <w:spacing w:after="0"/>
              <w:rPr>
                <w:sz w:val="19"/>
                <w:szCs w:val="19"/>
                <w:color w:val="auto"/>
              </w:rPr>
            </w:pPr>
          </w:p>
        </w:tc>
      </w:tr>
      <w:tr>
        <w:trPr>
          <w:trHeight w:val="176"/>
        </w:trPr>
        <w:tc>
          <w:tcPr>
            <w:tcW w:w="3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Chairman and</w:t>
            </w:r>
          </w:p>
        </w:tc>
        <w:tc>
          <w:tcPr>
            <w:tcW w:w="3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39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 Chief</w:t>
            </w: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Accounting Officer and Controller</w:t>
            </w:r>
          </w:p>
        </w:tc>
      </w:tr>
      <w:tr>
        <w:trPr>
          <w:trHeight w:val="608"/>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Comcast 2021 Annual Report on Form 10-K</w:t>
            </w:r>
          </w:p>
        </w:tc>
        <w:tc>
          <w:tcPr>
            <w:tcW w:w="3420" w:type="dxa"/>
            <w:vAlign w:val="bottom"/>
          </w:tcPr>
          <w:p>
            <w:pPr>
              <w:jc w:val="right"/>
              <w:ind w:right="1315"/>
              <w:spacing w:after="0"/>
              <w:rPr>
                <w:sz w:val="20"/>
                <w:szCs w:val="20"/>
                <w:color w:val="auto"/>
              </w:rPr>
            </w:pPr>
            <w:r>
              <w:rPr>
                <w:rFonts w:ascii="Arial" w:cs="Arial" w:eastAsia="Arial" w:hAnsi="Arial"/>
                <w:sz w:val="14"/>
                <w:szCs w:val="14"/>
                <w:b w:val="1"/>
                <w:bCs w:val="1"/>
                <w:color w:val="auto"/>
              </w:rPr>
              <w:t>64</w:t>
            </w: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0"/>
        </w:trPr>
        <w:tc>
          <w:tcPr>
            <w:tcW w:w="3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Board of Directors and Shareholders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We have audited the accompanying consolidated balance sheets of Comcast Corporation and subsidiaries (the “Company”) as of December 31, 2021 and 2020, the related consolidated statements of income, comprehensive income, cash flows, and changes in equity for each of the three years in the period ended December 31, 2021, and the related notes (collectively referred to as the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7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xml:space="preserve">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Sky Goodwill - Refer to Note 10 to the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Company’s evaluation of goodwill for impairment involves the comparison of the fair value of the Sky reporting unit to its carrying value.</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used the discounted cash flow model to estimate fair value, which requires management to make significant estimates and assumptions related to discount rates and forecasts of expected cash flows. Changes in these assumptions could have a significant impact 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65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either the fair value, the amount of any goodwill impairment charge, or both. The goodwill balance was $70,189 million as of December 31, 2021, of which $29,196 million was allocated to the Sky reporting unit. The fair value of the Sky reporting unit remains in close proximity to its carrying value as of the measurement date.</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identified goodwill for Sky as a critical audit matter because of the significant judgments made by management to estimate the fair value of the Sky reporting unit. This required a high degree of auditor judgment and an increased extent of effort, including the need to involve our fair value specialists, when performing audit procedures to evaluate the reasonableness of management’s estimates and assumptions related to the selection of the discount rate and forecasts of future expected cash flows for the Sky reporting unit.</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7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Our audit procedures related to the discount rate and forecasts of future expected cash flows used by management to estimate the fair value of Sky included the following, among others:</w:t>
      </w:r>
    </w:p>
    <w:p>
      <w:pPr>
        <w:spacing w:after="0" w:line="67" w:lineRule="exact"/>
        <w:rPr>
          <w:sz w:val="20"/>
          <w:szCs w:val="20"/>
          <w:color w:val="auto"/>
        </w:rPr>
      </w:pPr>
    </w:p>
    <w:p>
      <w:pPr>
        <w:ind w:left="660" w:hanging="328"/>
        <w:spacing w:after="0" w:line="274" w:lineRule="auto"/>
        <w:tabs>
          <w:tab w:leader="none" w:pos="652"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determination of the fair value of Sky, such as controls related to management’s selection of the discount rate and forecasts of future expected cash flows.</w:t>
      </w:r>
    </w:p>
    <w:p>
      <w:pPr>
        <w:spacing w:after="0" w:line="39" w:lineRule="exact"/>
        <w:rPr>
          <w:rFonts w:ascii="Arial" w:cs="Arial" w:eastAsia="Arial" w:hAnsi="Arial"/>
          <w:sz w:val="17"/>
          <w:szCs w:val="17"/>
          <w:color w:val="auto"/>
        </w:rPr>
      </w:pPr>
    </w:p>
    <w:p>
      <w:pPr>
        <w:jc w:val="both"/>
        <w:ind w:left="660" w:hanging="328"/>
        <w:spacing w:after="0" w:line="261" w:lineRule="auto"/>
        <w:tabs>
          <w:tab w:leader="none" w:pos="652"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and (2)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37" w:lineRule="exact"/>
        <w:rPr>
          <w:rFonts w:ascii="Arial" w:cs="Arial" w:eastAsia="Arial" w:hAnsi="Arial"/>
          <w:sz w:val="17"/>
          <w:szCs w:val="17"/>
          <w:color w:val="auto"/>
        </w:rPr>
      </w:pPr>
    </w:p>
    <w:p>
      <w:pPr>
        <w:jc w:val="both"/>
        <w:ind w:left="660" w:hanging="328"/>
        <w:spacing w:after="0" w:line="257" w:lineRule="auto"/>
        <w:tabs>
          <w:tab w:leader="none" w:pos="652"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future revenue and cash flows by comparing actual results to (1) historical results, including management’s forecasting accuracy, (2) projections utilized in the prior year goodwill impairment analysis, (3) internal communications to management, and (4) forecasted information included in Company press releases as well as in analyst and industry reports of the Company and companies in its peer group.</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Film and Television Costs - Refer to Note 4 to the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amortizes capitalized film and television production costs that are predominantly monetized on an individual basis using the individual film forecast computation method, which amortizes such costs using the ratio of current period revenue to the total remaining revenue forecasted to be realized, also known as “ultimate revenue.” The estimates of ultimate revenue have a significant impact on the rate at which capitalized costs are amortized.</w:t>
      </w:r>
    </w:p>
    <w:p>
      <w:pPr>
        <w:spacing w:after="0" w:line="60"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The determination of ultimate revenue for capitalized film and television costs requires the Company to make significant estimates of future revenue based on the distribution strategy and historical performance of similar content, as well as factors unique to the content itself. Given the judgments necessary to estimate ultimate revenue, auditing these estimates involved especially subjective judgment.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forecasts of ultimate revenue for individual film or television productions included the following, among others:</w:t>
      </w:r>
    </w:p>
    <w:p>
      <w:pPr>
        <w:spacing w:after="0" w:line="115" w:lineRule="exact"/>
        <w:rPr>
          <w:sz w:val="20"/>
          <w:szCs w:val="20"/>
          <w:color w:val="auto"/>
        </w:rPr>
      </w:pPr>
    </w:p>
    <w:p>
      <w:pPr>
        <w:ind w:left="660" w:hanging="328"/>
        <w:spacing w:after="0" w:line="274" w:lineRule="auto"/>
        <w:tabs>
          <w:tab w:leader="none" w:pos="6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tested the effectiveness of management’s controls over its amortization of film and television costs, including controls over forecasts of ultimate revenue.</w:t>
      </w:r>
    </w:p>
    <w:p>
      <w:pPr>
        <w:spacing w:after="0" w:line="26" w:lineRule="exact"/>
        <w:rPr>
          <w:rFonts w:ascii="Arial" w:cs="Arial" w:eastAsia="Arial" w:hAnsi="Arial"/>
          <w:sz w:val="17"/>
          <w:szCs w:val="17"/>
          <w:color w:val="auto"/>
        </w:rPr>
      </w:pPr>
    </w:p>
    <w:p>
      <w:pPr>
        <w:jc w:val="both"/>
        <w:ind w:left="660" w:hanging="328"/>
        <w:spacing w:after="0" w:line="285" w:lineRule="auto"/>
        <w:tabs>
          <w:tab w:leader="none" w:pos="6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tested management’s selection of inputs and assumptions, including considering the historical performance of similar titles, expected distribution platforms, factors unique to the individual film or television production, and third-party projections. In addition, we evaluated the historical accuracy of management’s forecast of future revenues by comparing actual results to management’s historical estimates of ultimate revenue.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Deloitte &amp; Touche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 2022</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1963.</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66</w:t>
            </w:r>
          </w:p>
        </w:tc>
      </w:tr>
      <w:tr>
        <w:trPr>
          <w:trHeight w:val="330"/>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 except per share data)</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2020</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116,385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103,564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108,942</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19"/>
                <w:szCs w:val="19"/>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38,450</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tcPr>
          <w:p>
            <w:pPr>
              <w:ind w:left="140"/>
              <w:spacing w:after="0"/>
              <w:rPr>
                <w:sz w:val="20"/>
                <w:szCs w:val="20"/>
                <w:color w:val="auto"/>
              </w:rPr>
            </w:pPr>
            <w:r>
              <w:rPr>
                <w:rFonts w:ascii="Arial" w:cs="Arial" w:eastAsia="Arial" w:hAnsi="Arial"/>
                <w:sz w:val="18"/>
                <w:szCs w:val="18"/>
                <w:color w:val="auto"/>
              </w:rPr>
              <w:t>Programming and production</w:t>
            </w:r>
          </w:p>
        </w:tc>
        <w:tc>
          <w:tcPr>
            <w:tcW w:w="4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33,121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34,440</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Other operating and administrative</w:t>
            </w:r>
          </w:p>
        </w:tc>
        <w:tc>
          <w:tcPr>
            <w:tcW w:w="4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35,619</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33,109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32,807</w:t>
            </w:r>
          </w:p>
        </w:tc>
        <w:tc>
          <w:tcPr>
            <w:tcW w:w="0" w:type="dxa"/>
            <w:vAlign w:val="bottom"/>
          </w:tcPr>
          <w:p>
            <w:pPr>
              <w:spacing w:after="0"/>
              <w:rPr>
                <w:sz w:val="1"/>
                <w:szCs w:val="1"/>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Advertising, marketing and promotion</w:t>
            </w:r>
          </w:p>
        </w:tc>
        <w:tc>
          <w:tcPr>
            <w:tcW w:w="4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7,695</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6,741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29"/>
        </w:trPr>
        <w:tc>
          <w:tcPr>
            <w:tcW w:w="678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8,628</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8,320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34"/>
        </w:trPr>
        <w:tc>
          <w:tcPr>
            <w:tcW w:w="6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5,176</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4,780</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95,568</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86,071</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87,817</w:t>
            </w:r>
          </w:p>
        </w:tc>
        <w:tc>
          <w:tcPr>
            <w:tcW w:w="0" w:type="dxa"/>
            <w:vAlign w:val="bottom"/>
          </w:tcPr>
          <w:p>
            <w:pPr>
              <w:spacing w:after="0"/>
              <w:rPr>
                <w:sz w:val="1"/>
                <w:szCs w:val="1"/>
                <w:color w:val="auto"/>
              </w:rPr>
            </w:pPr>
          </w:p>
        </w:tc>
      </w:tr>
      <w:tr>
        <w:trPr>
          <w:trHeight w:val="218"/>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20,817</w:t>
            </w:r>
          </w:p>
        </w:tc>
        <w:tc>
          <w:tcPr>
            <w:tcW w:w="5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17,493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(4,281)</w:t>
            </w:r>
          </w:p>
        </w:tc>
        <w:tc>
          <w:tcPr>
            <w:tcW w:w="5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(4,588)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34"/>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2,557</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1,160</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8"/>
        </w:trPr>
        <w:tc>
          <w:tcPr>
            <w:tcW w:w="6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19,093</w:t>
            </w:r>
          </w:p>
        </w:tc>
        <w:tc>
          <w:tcPr>
            <w:tcW w:w="50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14,065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16,996</w:t>
            </w:r>
          </w:p>
        </w:tc>
        <w:tc>
          <w:tcPr>
            <w:tcW w:w="0" w:type="dxa"/>
            <w:vAlign w:val="bottom"/>
          </w:tcPr>
          <w:p>
            <w:pPr>
              <w:spacing w:after="0"/>
              <w:rPr>
                <w:sz w:val="1"/>
                <w:szCs w:val="1"/>
                <w:color w:val="auto"/>
              </w:rPr>
            </w:pPr>
          </w:p>
        </w:tc>
      </w:tr>
      <w:tr>
        <w:trPr>
          <w:trHeight w:val="234"/>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(5,259)</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(3,364)</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13,833</w:t>
            </w:r>
          </w:p>
        </w:tc>
        <w:tc>
          <w:tcPr>
            <w:tcW w:w="50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10,701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13,323</w:t>
            </w: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line="176" w:lineRule="exact"/>
              <w:rPr>
                <w:sz w:val="20"/>
                <w:szCs w:val="20"/>
                <w:color w:val="auto"/>
              </w:rPr>
            </w:pPr>
            <w:r>
              <w:rPr>
                <w:rFonts w:ascii="Arial" w:cs="Arial" w:eastAsia="Arial" w:hAnsi="Arial"/>
                <w:sz w:val="18"/>
                <w:szCs w:val="18"/>
                <w:color w:val="auto"/>
                <w:w w:val="94"/>
              </w:rPr>
              <w:t>Less: Net income (loss) attributable to noncontrolling interests and redeemable subsidiary</w:t>
            </w:r>
          </w:p>
        </w:tc>
        <w:tc>
          <w:tcPr>
            <w:tcW w:w="48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(325)</w:t>
            </w:r>
          </w:p>
        </w:tc>
        <w:tc>
          <w:tcPr>
            <w:tcW w:w="500" w:type="dxa"/>
            <w:vAlign w:val="bottom"/>
          </w:tcPr>
          <w:p>
            <w:pPr>
              <w:spacing w:after="0"/>
              <w:rPr>
                <w:sz w:val="15"/>
                <w:szCs w:val="15"/>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color w:val="auto"/>
              </w:rPr>
              <w:t>167</w:t>
            </w: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preferred stock</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8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b w:val="1"/>
                <w:bCs w:val="1"/>
                <w:color w:val="auto"/>
              </w:rPr>
              <w:t>14,159</w:t>
            </w:r>
          </w:p>
        </w:tc>
        <w:tc>
          <w:tcPr>
            <w:tcW w:w="50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color w:val="auto"/>
              </w:rPr>
              <w:t>10,534</w:t>
            </w:r>
          </w:p>
        </w:tc>
        <w:tc>
          <w:tcPr>
            <w:tcW w:w="50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218"/>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w w:val="92"/>
              </w:rPr>
              <w:t>Basic earnings per common share attributable to Comcast Corporation shareholders</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3.09</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2.30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4"/>
        </w:trPr>
        <w:tc>
          <w:tcPr>
            <w:tcW w:w="67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w w:val="91"/>
              </w:rPr>
              <w:t>Diluted earnings per common share attributable to Comcast Corporation shareholders</w:t>
            </w:r>
          </w:p>
        </w:tc>
        <w:tc>
          <w:tcPr>
            <w:tcW w:w="48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b w:val="1"/>
                <w:bCs w:val="1"/>
                <w:color w:val="auto"/>
              </w:rPr>
              <w:t>3.04</w:t>
            </w:r>
          </w:p>
        </w:tc>
        <w:tc>
          <w:tcPr>
            <w:tcW w:w="50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color w:val="auto"/>
              </w:rPr>
              <w:t>2.28</w:t>
            </w:r>
          </w:p>
        </w:tc>
        <w:tc>
          <w:tcPr>
            <w:tcW w:w="50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5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67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4"/>
        </w:trPr>
        <w:tc>
          <w:tcPr>
            <w:tcW w:w="5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tcPr>
          <w:p>
            <w:pPr>
              <w:spacing w:after="0"/>
              <w:rPr>
                <w:sz w:val="19"/>
                <w:szCs w:val="19"/>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13,833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10,701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13,323</w:t>
            </w:r>
          </w:p>
        </w:tc>
        <w:tc>
          <w:tcPr>
            <w:tcW w:w="0" w:type="dxa"/>
            <w:vAlign w:val="bottom"/>
          </w:tcPr>
          <w:p>
            <w:pPr>
              <w:spacing w:after="0"/>
              <w:rPr>
                <w:sz w:val="1"/>
                <w:szCs w:val="1"/>
                <w:color w:val="auto"/>
              </w:rPr>
            </w:pPr>
          </w:p>
        </w:tc>
      </w:tr>
      <w:tr>
        <w:trPr>
          <w:trHeight w:val="233"/>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Currency translation adjustments, net of deferred taxes of $76, $(331) and $(66)</w:t>
            </w:r>
          </w:p>
        </w:tc>
        <w:tc>
          <w:tcPr>
            <w:tcW w:w="6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(664)</w:t>
            </w:r>
          </w:p>
        </w:tc>
        <w:tc>
          <w:tcPr>
            <w:tcW w:w="54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1,213</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229</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80"/>
              <w:spacing w:after="0"/>
              <w:rPr>
                <w:sz w:val="20"/>
                <w:szCs w:val="20"/>
                <w:color w:val="auto"/>
              </w:rPr>
            </w:pPr>
            <w:r>
              <w:rPr>
                <w:rFonts w:ascii="Arial" w:cs="Arial" w:eastAsia="Arial" w:hAnsi="Arial"/>
                <w:sz w:val="18"/>
                <w:szCs w:val="18"/>
                <w:color w:val="auto"/>
                <w:w w:val="94"/>
              </w:rPr>
              <w:t>Deferred gains (losses), net of deferred taxes of $(36), $26 and $(4)</w:t>
            </w: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6680" w:type="dxa"/>
            <w:vAlign w:val="bottom"/>
            <w:gridSpan w:val="2"/>
          </w:tcPr>
          <w:p>
            <w:pPr>
              <w:ind w:left="180"/>
              <w:spacing w:after="0" w:line="176" w:lineRule="exact"/>
              <w:rPr>
                <w:sz w:val="20"/>
                <w:szCs w:val="20"/>
                <w:color w:val="auto"/>
              </w:rPr>
            </w:pPr>
            <w:r>
              <w:rPr>
                <w:rFonts w:ascii="Arial" w:cs="Arial" w:eastAsia="Arial" w:hAnsi="Arial"/>
                <w:sz w:val="18"/>
                <w:szCs w:val="18"/>
                <w:color w:val="auto"/>
                <w:w w:val="92"/>
              </w:rPr>
              <w:t>Realized (gains) losses reclassified to net income, net of deferred taxes of $(4), $31 and</w:t>
            </w:r>
          </w:p>
        </w:tc>
        <w:tc>
          <w:tcPr>
            <w:tcW w:w="62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(16)</w:t>
            </w:r>
          </w:p>
        </w:tc>
        <w:tc>
          <w:tcPr>
            <w:tcW w:w="54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(147)</w:t>
            </w:r>
          </w:p>
        </w:tc>
        <w:tc>
          <w:tcPr>
            <w:tcW w:w="5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5"/>
        </w:trPr>
        <w:tc>
          <w:tcPr>
            <w:tcW w:w="5280" w:type="dxa"/>
            <w:vAlign w:val="bottom"/>
          </w:tcPr>
          <w:p>
            <w:pPr>
              <w:ind w:left="360"/>
              <w:spacing w:after="0"/>
              <w:rPr>
                <w:sz w:val="20"/>
                <w:szCs w:val="20"/>
                <w:color w:val="auto"/>
              </w:rPr>
            </w:pPr>
            <w:r>
              <w:rPr>
                <w:rFonts w:ascii="Arial" w:cs="Arial" w:eastAsia="Arial" w:hAnsi="Arial"/>
                <w:sz w:val="18"/>
                <w:szCs w:val="18"/>
                <w:color w:val="auto"/>
              </w:rPr>
              <w:t>$(10)</w:t>
            </w: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Employee benefit obligations and other, net of deferred taxes of $(16), $20 and $16</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54</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13,436</w:t>
            </w:r>
          </w:p>
        </w:tc>
        <w:tc>
          <w:tcPr>
            <w:tcW w:w="54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11,598</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176"/>
        </w:trPr>
        <w:tc>
          <w:tcPr>
            <w:tcW w:w="66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Less: Net income (loss) attributable to noncontrolling interests and redeemable subsidiary</w:t>
            </w:r>
          </w:p>
        </w:tc>
        <w:tc>
          <w:tcPr>
            <w:tcW w:w="620" w:type="dxa"/>
            <w:vAlign w:val="bottom"/>
          </w:tcPr>
          <w:p>
            <w:pPr>
              <w:spacing w:after="0"/>
              <w:rPr>
                <w:sz w:val="15"/>
                <w:szCs w:val="15"/>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(325)</w:t>
            </w:r>
          </w:p>
        </w:tc>
        <w:tc>
          <w:tcPr>
            <w:tcW w:w="540" w:type="dxa"/>
            <w:vAlign w:val="bottom"/>
          </w:tcPr>
          <w:p>
            <w:pPr>
              <w:spacing w:after="0"/>
              <w:rPr>
                <w:sz w:val="15"/>
                <w:szCs w:val="15"/>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167</w:t>
            </w:r>
          </w:p>
        </w:tc>
        <w:tc>
          <w:tcPr>
            <w:tcW w:w="5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5"/>
        </w:trPr>
        <w:tc>
          <w:tcPr>
            <w:tcW w:w="528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400" w:type="dxa"/>
            <w:vAlign w:val="bottom"/>
            <w:tcBorders>
              <w:bottom w:val="single" w:sz="8" w:color="0C6DFF"/>
            </w:tcBorders>
          </w:tcPr>
          <w:p>
            <w:pPr>
              <w:spacing w:after="0"/>
              <w:rPr>
                <w:sz w:val="19"/>
                <w:szCs w:val="19"/>
                <w:color w:val="auto"/>
              </w:rPr>
            </w:pPr>
          </w:p>
        </w:tc>
        <w:tc>
          <w:tcPr>
            <w:tcW w:w="62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b w:val="1"/>
                <w:bCs w:val="1"/>
                <w:color w:val="auto"/>
              </w:rPr>
              <w:t>13,755</w:t>
            </w:r>
          </w:p>
        </w:tc>
        <w:tc>
          <w:tcPr>
            <w:tcW w:w="54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color w:val="auto"/>
              </w:rPr>
              <w:t>11,371</w:t>
            </w:r>
          </w:p>
        </w:tc>
        <w:tc>
          <w:tcPr>
            <w:tcW w:w="54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14,472</w:t>
            </w:r>
          </w:p>
        </w:tc>
        <w:tc>
          <w:tcPr>
            <w:tcW w:w="0" w:type="dxa"/>
            <w:vAlign w:val="bottom"/>
          </w:tcPr>
          <w:p>
            <w:pPr>
              <w:spacing w:after="0"/>
              <w:rPr>
                <w:sz w:val="1"/>
                <w:szCs w:val="1"/>
                <w:color w:val="auto"/>
              </w:rPr>
            </w:pPr>
          </w:p>
        </w:tc>
      </w:tr>
      <w:tr>
        <w:trPr>
          <w:trHeight w:val="575"/>
        </w:trPr>
        <w:tc>
          <w:tcPr>
            <w:tcW w:w="528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28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1400" w:type="dxa"/>
            <w:vAlign w:val="bottom"/>
          </w:tcPr>
          <w:p>
            <w:pPr>
              <w:jc w:val="right"/>
              <w:ind w:right="948"/>
              <w:spacing w:after="0"/>
              <w:rPr>
                <w:sz w:val="20"/>
                <w:szCs w:val="20"/>
                <w:color w:val="auto"/>
              </w:rPr>
            </w:pPr>
            <w:r>
              <w:rPr>
                <w:rFonts w:ascii="Arial" w:cs="Arial" w:eastAsia="Arial" w:hAnsi="Arial"/>
                <w:sz w:val="14"/>
                <w:szCs w:val="14"/>
                <w:b w:val="1"/>
                <w:bCs w:val="1"/>
                <w:color w:val="auto"/>
              </w:rPr>
              <w:t>68</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2020</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6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13,833</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10,701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13,323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0" w:type="dxa"/>
            <w:vAlign w:val="bottom"/>
          </w:tcPr>
          <w:p>
            <w:pPr>
              <w:spacing w:after="0"/>
              <w:rPr>
                <w:sz w:val="19"/>
                <w:szCs w:val="19"/>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13,804</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13,100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12,953</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1,315</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1,193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Noncash interest expense (income), net</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482</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697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Net (gain) loss on investment activity and other</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(1,311)</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60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1,892</w:t>
            </w:r>
          </w:p>
        </w:tc>
        <w:tc>
          <w:tcPr>
            <w:tcW w:w="5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w w:val="93"/>
              </w:rPr>
              <w:t>Changes in operating assets and liabilities, net of effects of acquisitions and divestitures:</w:t>
            </w:r>
          </w:p>
        </w:tc>
        <w:tc>
          <w:tcPr>
            <w:tcW w:w="600" w:type="dxa"/>
            <w:vAlign w:val="bottom"/>
          </w:tcPr>
          <w:p>
            <w:pPr>
              <w:spacing w:after="0"/>
              <w:rPr>
                <w:sz w:val="19"/>
                <w:szCs w:val="19"/>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(1,335)</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140"/>
              <w:spacing w:after="0"/>
              <w:rPr>
                <w:sz w:val="20"/>
                <w:szCs w:val="20"/>
                <w:color w:val="auto"/>
              </w:rPr>
            </w:pPr>
            <w:r>
              <w:rPr>
                <w:rFonts w:ascii="Arial" w:cs="Arial" w:eastAsia="Arial" w:hAnsi="Arial"/>
                <w:sz w:val="18"/>
                <w:szCs w:val="18"/>
                <w:color w:val="auto"/>
              </w:rPr>
              <w:t>Current and noncurrent receivables, net</w:t>
            </w: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Film and television costs, net</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(680)</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765</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operating assets and liabilities</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382</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1,096</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29,146</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24,737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22"/>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Pr>
          <w:p>
            <w:pPr>
              <w:spacing w:after="0"/>
              <w:rPr>
                <w:sz w:val="19"/>
                <w:szCs w:val="19"/>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(9,174)</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(9,179)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(9,953)</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Cash paid for intangible assets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(2,883)</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Construction of Universal Beijing Resort</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(976)</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(1,498)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Purchase of spectrum</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Acquisitions, net of cash acquired</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(1,374)</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Proceeds from sales of businesses and investments</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684</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2,339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(174)</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451</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250</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(13,446)</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(12,047)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(14,841)</w:t>
            </w:r>
          </w:p>
        </w:tc>
        <w:tc>
          <w:tcPr>
            <w:tcW w:w="0" w:type="dxa"/>
            <w:vAlign w:val="bottom"/>
          </w:tcPr>
          <w:p>
            <w:pPr>
              <w:spacing w:after="0"/>
              <w:rPr>
                <w:sz w:val="1"/>
                <w:szCs w:val="1"/>
                <w:color w:val="auto"/>
              </w:rPr>
            </w:pPr>
          </w:p>
        </w:tc>
      </w:tr>
      <w:tr>
        <w:trPr>
          <w:trHeight w:val="222"/>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Pr>
          <w:p>
            <w:pPr>
              <w:spacing w:after="0"/>
              <w:rPr>
                <w:sz w:val="19"/>
                <w:szCs w:val="19"/>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00" w:type="dxa"/>
            <w:vAlign w:val="bottom"/>
          </w:tcPr>
          <w:p>
            <w:pPr>
              <w:ind w:left="140"/>
              <w:spacing w:after="0"/>
              <w:rPr>
                <w:sz w:val="20"/>
                <w:szCs w:val="20"/>
                <w:color w:val="auto"/>
              </w:rPr>
            </w:pPr>
            <w:r>
              <w:rPr>
                <w:rFonts w:ascii="Arial" w:cs="Arial" w:eastAsia="Arial" w:hAnsi="Arial"/>
                <w:sz w:val="18"/>
                <w:szCs w:val="18"/>
                <w:color w:val="auto"/>
              </w:rPr>
              <w:t>Proceeds from (repayments of) short-term borrowings, net</w:t>
            </w: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2,628</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18,644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Proceeds from collateralized obligation</w:t>
            </w:r>
          </w:p>
        </w:tc>
        <w:tc>
          <w:tcPr>
            <w:tcW w:w="6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Repurchases and repayments of debt</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(11,498)</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(18,777)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(4,672)</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(4,532)</w:t>
            </w:r>
          </w:p>
        </w:tc>
        <w:tc>
          <w:tcPr>
            <w:tcW w:w="5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(4,140)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(544)</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(1,706)</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(18,618)</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(6,513)</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6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(71)</w:t>
            </w:r>
          </w:p>
        </w:tc>
        <w:tc>
          <w:tcPr>
            <w:tcW w:w="52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6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(2,989)</w:t>
            </w: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6,179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11,768</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5,589</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60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b w:val="1"/>
                <w:bCs w:val="1"/>
                <w:color w:val="auto"/>
              </w:rPr>
              <w:t>8,778</w:t>
            </w:r>
          </w:p>
        </w:tc>
        <w:tc>
          <w:tcPr>
            <w:tcW w:w="52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color w:val="auto"/>
              </w:rPr>
              <w:t>11,768</w:t>
            </w:r>
          </w:p>
        </w:tc>
        <w:tc>
          <w:tcPr>
            <w:tcW w:w="50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5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69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 except share data)</w:t>
            </w:r>
          </w:p>
        </w:tc>
        <w:tc>
          <w:tcPr>
            <w:tcW w:w="2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960" w:type="dxa"/>
            <w:vAlign w:val="bottom"/>
          </w:tcPr>
          <w:p>
            <w:pPr>
              <w:spacing w:after="0"/>
              <w:rPr>
                <w:sz w:val="19"/>
                <w:szCs w:val="19"/>
                <w:color w:val="auto"/>
              </w:rPr>
            </w:pPr>
          </w:p>
        </w:tc>
        <w:tc>
          <w:tcPr>
            <w:tcW w:w="6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8,711</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9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12,008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assets</w:t>
            </w:r>
          </w:p>
        </w:tc>
        <w:tc>
          <w:tcPr>
            <w:tcW w:w="2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4,088</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24,807</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Film and television costs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12,806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8,082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Investment securing collateralized obligation</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605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54,047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70,189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Franchise rights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59,365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33,580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 net</w:t>
            </w:r>
          </w:p>
        </w:tc>
        <w:tc>
          <w:tcPr>
            <w:tcW w:w="2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12,424</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960" w:type="dxa"/>
            <w:vAlign w:val="bottom"/>
            <w:tcBorders>
              <w:bottom w:val="single" w:sz="8" w:color="0C6DFF"/>
            </w:tcBorders>
          </w:tcPr>
          <w:p>
            <w:pPr>
              <w:spacing w:after="0"/>
              <w:rPr>
                <w:sz w:val="19"/>
                <w:szCs w:val="19"/>
                <w:color w:val="auto"/>
              </w:rPr>
            </w:pPr>
          </w:p>
        </w:tc>
        <w:tc>
          <w:tcPr>
            <w:tcW w:w="64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b w:val="1"/>
                <w:bCs w:val="1"/>
                <w:color w:val="auto"/>
              </w:rPr>
              <w:t>275,905</w:t>
            </w:r>
          </w:p>
        </w:tc>
        <w:tc>
          <w:tcPr>
            <w:tcW w:w="50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222"/>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960" w:type="dxa"/>
            <w:vAlign w:val="bottom"/>
          </w:tcPr>
          <w:p>
            <w:pPr>
              <w:spacing w:after="0"/>
              <w:rPr>
                <w:sz w:val="19"/>
                <w:szCs w:val="19"/>
                <w:color w:val="auto"/>
              </w:rPr>
            </w:pPr>
          </w:p>
        </w:tc>
        <w:tc>
          <w:tcPr>
            <w:tcW w:w="6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12,455</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80" w:type="dxa"/>
            <w:vAlign w:val="bottom"/>
          </w:tcPr>
          <w:p>
            <w:pPr>
              <w:ind w:left="140"/>
              <w:spacing w:after="0"/>
              <w:rPr>
                <w:sz w:val="20"/>
                <w:szCs w:val="20"/>
                <w:color w:val="auto"/>
              </w:rPr>
            </w:pPr>
            <w:r>
              <w:rPr>
                <w:rFonts w:ascii="Arial" w:cs="Arial" w:eastAsia="Arial" w:hAnsi="Arial"/>
                <w:sz w:val="18"/>
                <w:szCs w:val="18"/>
                <w:color w:val="auto"/>
                <w:w w:val="95"/>
              </w:rPr>
              <w:t>Accounts payable and accrued expenses related to trade creditors</w:t>
            </w:r>
          </w:p>
        </w:tc>
        <w:tc>
          <w:tcPr>
            <w:tcW w:w="29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Accrued participations and residuals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1,822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3,040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9,899</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2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2,132</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29,348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92,718</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100,614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Collateralized obligation</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5,170</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30,041</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233"/>
        </w:trPr>
        <w:tc>
          <w:tcPr>
            <w:tcW w:w="51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20,620</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519</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6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Equity:</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Preferred stock—authorized, 20,000,000 shares; issued, zero</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1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Class A common stock, $0.01 par value—authorized, 7,500,000,000 shares; issued, 5,396,576,978 and</w:t>
            </w:r>
          </w:p>
        </w:tc>
        <w:tc>
          <w:tcPr>
            <w:tcW w:w="640" w:type="dxa"/>
            <w:vAlign w:val="bottom"/>
          </w:tcPr>
          <w:p>
            <w:pPr>
              <w:spacing w:after="0"/>
              <w:rPr>
                <w:sz w:val="15"/>
                <w:szCs w:val="15"/>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54</w:t>
            </w: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5180" w:type="dxa"/>
            <w:vAlign w:val="bottom"/>
          </w:tcPr>
          <w:p>
            <w:pPr>
              <w:ind w:left="300"/>
              <w:spacing w:after="0"/>
              <w:rPr>
                <w:sz w:val="20"/>
                <w:szCs w:val="20"/>
                <w:color w:val="auto"/>
              </w:rPr>
            </w:pPr>
            <w:r>
              <w:rPr>
                <w:rFonts w:ascii="Arial" w:cs="Arial" w:eastAsia="Arial" w:hAnsi="Arial"/>
                <w:sz w:val="18"/>
                <w:szCs w:val="18"/>
                <w:color w:val="auto"/>
                <w:w w:val="97"/>
              </w:rPr>
              <w:t>5,444,002,825; outstanding, 4,523,785,950 and 4,571,211,797</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140"/>
              <w:spacing w:after="0"/>
              <w:rPr>
                <w:sz w:val="20"/>
                <w:szCs w:val="20"/>
                <w:color w:val="auto"/>
              </w:rPr>
            </w:pPr>
            <w:r>
              <w:rPr>
                <w:rFonts w:ascii="Arial" w:cs="Arial" w:eastAsia="Arial" w:hAnsi="Arial"/>
                <w:sz w:val="18"/>
                <w:szCs w:val="18"/>
                <w:color w:val="auto"/>
                <w:w w:val="92"/>
              </w:rPr>
              <w:t>Class B common stock, $0.01 par value—authorized, 75,000,000 shares; issued and outstanding, 9,444,375</w:t>
            </w: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40,173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39,464</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61,902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56,438</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Treasury stock, 872,791,028 Class A common shares</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(7,517)</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1,480</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Arial" w:cs="Arial" w:eastAsia="Arial" w:hAnsi="Arial"/>
                <w:sz w:val="18"/>
                <w:szCs w:val="18"/>
                <w:color w:val="auto"/>
              </w:rPr>
              <w:t>Total Comcast Corporation shareholders’ equity</w:t>
            </w:r>
          </w:p>
        </w:tc>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96,092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90,323</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2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1,398</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97,490</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91,738</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960" w:type="dxa"/>
            <w:vAlign w:val="bottom"/>
            <w:tcBorders>
              <w:bottom w:val="single" w:sz="8" w:color="0C6DFF"/>
            </w:tcBorders>
          </w:tcPr>
          <w:p>
            <w:pPr>
              <w:spacing w:after="0"/>
              <w:rPr>
                <w:sz w:val="19"/>
                <w:szCs w:val="19"/>
                <w:color w:val="auto"/>
              </w:rPr>
            </w:pPr>
          </w:p>
        </w:tc>
        <w:tc>
          <w:tcPr>
            <w:tcW w:w="64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b w:val="1"/>
                <w:bCs w:val="1"/>
                <w:color w:val="auto"/>
              </w:rPr>
              <w:t>275,905</w:t>
            </w:r>
          </w:p>
        </w:tc>
        <w:tc>
          <w:tcPr>
            <w:tcW w:w="50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360"/>
        </w:trPr>
        <w:tc>
          <w:tcPr>
            <w:tcW w:w="518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18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2960" w:type="dxa"/>
            <w:vAlign w:val="bottom"/>
          </w:tcPr>
          <w:p>
            <w:pPr>
              <w:jc w:val="right"/>
              <w:ind w:right="2408"/>
              <w:spacing w:after="0"/>
              <w:rPr>
                <w:sz w:val="20"/>
                <w:szCs w:val="20"/>
                <w:color w:val="auto"/>
              </w:rPr>
            </w:pPr>
            <w:r>
              <w:rPr>
                <w:rFonts w:ascii="Arial" w:cs="Arial" w:eastAsia="Arial" w:hAnsi="Arial"/>
                <w:sz w:val="14"/>
                <w:szCs w:val="14"/>
                <w:b w:val="1"/>
                <w:bCs w:val="1"/>
                <w:color w:val="auto"/>
              </w:rPr>
              <w:t>70</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1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w w:val="92"/>
              </w:rPr>
              <w:t>Redeemable Noncontrolling Interests and Redeemable Subsidiary Preferred Stock</w:t>
            </w: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1,280</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1,372</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Redemption of subsidiary preferred stock</w:t>
            </w: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(725)</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(77)</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4"/>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149</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Balance, end of year</w:t>
            </w:r>
          </w:p>
        </w:tc>
        <w:tc>
          <w:tcPr>
            <w:tcW w:w="660" w:type="dxa"/>
            <w:vAlign w:val="bottom"/>
            <w:tcBorders>
              <w:bottom w:val="single" w:sz="8" w:color="0C6DFF"/>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b w:val="1"/>
                <w:bCs w:val="1"/>
                <w:color w:val="auto"/>
              </w:rPr>
              <w:t>519</w:t>
            </w:r>
          </w:p>
        </w:tc>
        <w:tc>
          <w:tcPr>
            <w:tcW w:w="300" w:type="dxa"/>
            <w:vAlign w:val="bottom"/>
            <w:tcBorders>
              <w:bottom w:val="single" w:sz="8" w:color="0C6DFF"/>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color w:val="auto"/>
              </w:rPr>
              <w:t>1,280</w:t>
            </w:r>
          </w:p>
        </w:tc>
        <w:tc>
          <w:tcPr>
            <w:tcW w:w="56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63"/>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4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4"/>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9"/>
              </w:rPr>
              <w:t>Repurchases of common stock under repurchase program and employee plans</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Class B common stock</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beginning and end of year</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39,464</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4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38,447</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37,461</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Stock compensation plans</w:t>
            </w: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1,037</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920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w w:val="99"/>
              </w:rPr>
              <w:t>Repurchases of common stock under repurchase program and employee plans</w:t>
            </w: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(596)</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Employee stock purchase plans</w:t>
            </w: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269</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255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4"/>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40,173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39,464</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38,447</w:t>
            </w:r>
          </w:p>
        </w:tc>
        <w:tc>
          <w:tcPr>
            <w:tcW w:w="0" w:type="dxa"/>
            <w:vAlign w:val="bottom"/>
          </w:tcPr>
          <w:p>
            <w:pPr>
              <w:spacing w:after="0"/>
              <w:rPr>
                <w:sz w:val="1"/>
                <w:szCs w:val="1"/>
                <w:color w:val="auto"/>
              </w:rPr>
            </w:pPr>
          </w:p>
        </w:tc>
      </w:tr>
      <w:tr>
        <w:trPr>
          <w:trHeight w:val="263"/>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56,438</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4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50,695</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41,983</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Cumulative effects of adoption of accounting standards</w:t>
            </w: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w w:val="99"/>
              </w:rPr>
              <w:t>Repurchases of common stock under repurchase program and employee plans</w:t>
            </w: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(4,088)</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Dividends declared</w:t>
            </w:r>
          </w:p>
        </w:tc>
        <w:tc>
          <w:tcPr>
            <w:tcW w:w="6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(4,613)</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(4,250)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14,159</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10,534</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61,902</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56,438</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50,695</w:t>
            </w:r>
          </w:p>
        </w:tc>
        <w:tc>
          <w:tcPr>
            <w:tcW w:w="0" w:type="dxa"/>
            <w:vAlign w:val="bottom"/>
          </w:tcPr>
          <w:p>
            <w:pPr>
              <w:spacing w:after="0"/>
              <w:rPr>
                <w:sz w:val="1"/>
                <w:szCs w:val="1"/>
                <w:color w:val="auto"/>
              </w:rPr>
            </w:pPr>
          </w:p>
        </w:tc>
      </w:tr>
      <w:tr>
        <w:trPr>
          <w:trHeight w:val="26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Treasury Stock at Cost</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beginning and end of year</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(7,517)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(7,517)</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63"/>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1,884</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4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1,047</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4"/>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(404)</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837</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1,480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1,884</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63"/>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1,415</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4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6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1,148</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9"/>
        </w:trPr>
        <w:tc>
          <w:tcPr>
            <w:tcW w:w="654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7</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353</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192</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4"/>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(377)</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year</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1,398</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1,415</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660" w:type="dxa"/>
            <w:vAlign w:val="bottom"/>
            <w:tcBorders>
              <w:bottom w:val="single" w:sz="8" w:color="0C6DFF"/>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b w:val="1"/>
                <w:bCs w:val="1"/>
                <w:color w:val="auto"/>
              </w:rPr>
              <w:t>97,490</w:t>
            </w:r>
          </w:p>
        </w:tc>
        <w:tc>
          <w:tcPr>
            <w:tcW w:w="300" w:type="dxa"/>
            <w:vAlign w:val="bottom"/>
            <w:tcBorders>
              <w:bottom w:val="single" w:sz="8" w:color="0C6DFF"/>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color w:val="auto"/>
              </w:rPr>
              <w:t>91,738</w:t>
            </w:r>
          </w:p>
        </w:tc>
        <w:tc>
          <w:tcPr>
            <w:tcW w:w="56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83,874</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Cash dividends declared per common share</w:t>
            </w:r>
          </w:p>
        </w:tc>
        <w:tc>
          <w:tcPr>
            <w:tcW w:w="660" w:type="dxa"/>
            <w:vAlign w:val="bottom"/>
            <w:tcBorders>
              <w:bottom w:val="single" w:sz="8" w:color="0C6DFF"/>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bottom w:val="single" w:sz="8" w:color="0C6DFF"/>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color w:val="auto"/>
              </w:rPr>
              <w:t>0.92</w:t>
            </w:r>
          </w:p>
        </w:tc>
        <w:tc>
          <w:tcPr>
            <w:tcW w:w="56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359"/>
        </w:trPr>
        <w:tc>
          <w:tcPr>
            <w:tcW w:w="65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6540" w:type="dxa"/>
            <w:vAlign w:val="bottom"/>
          </w:tcPr>
          <w:p>
            <w:pPr>
              <w:ind w:left="5520"/>
              <w:spacing w:after="0"/>
              <w:rPr>
                <w:sz w:val="20"/>
                <w:szCs w:val="20"/>
                <w:color w:val="auto"/>
              </w:rPr>
            </w:pPr>
            <w:r>
              <w:rPr>
                <w:rFonts w:ascii="Arial" w:cs="Arial" w:eastAsia="Arial" w:hAnsi="Arial"/>
                <w:sz w:val="14"/>
                <w:szCs w:val="14"/>
                <w:b w:val="1"/>
                <w:bCs w:val="1"/>
                <w:color w:val="auto"/>
              </w:rPr>
              <w:t>71</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3"/>
          </w:tcPr>
          <w:p>
            <w:pPr>
              <w:jc w:val="right"/>
              <w:spacing w:after="0"/>
              <w:rPr>
                <w:sz w:val="20"/>
                <w:szCs w:val="20"/>
                <w:color w:val="auto"/>
              </w:rPr>
            </w:pPr>
            <w:r>
              <w:rPr>
                <w:rFonts w:ascii="Arial" w:cs="Arial" w:eastAsia="Arial" w:hAnsi="Arial"/>
                <w:sz w:val="14"/>
                <w:szCs w:val="14"/>
                <w:color w:val="auto"/>
                <w:w w:val="96"/>
              </w:rPr>
              <w:t>Comcast 2021 Annual Report on Form 10-K</w:t>
            </w:r>
          </w:p>
        </w:tc>
        <w:tc>
          <w:tcPr>
            <w:tcW w:w="0" w:type="dxa"/>
            <w:vAlign w:val="bottom"/>
          </w:tcPr>
          <w:p>
            <w:pPr>
              <w:spacing w:after="0"/>
              <w:rPr>
                <w:sz w:val="1"/>
                <w:szCs w:val="1"/>
                <w:color w:val="auto"/>
              </w:rPr>
            </w:pPr>
          </w:p>
        </w:tc>
      </w:tr>
      <w:tr>
        <w:trPr>
          <w:trHeight w:val="329"/>
        </w:trPr>
        <w:tc>
          <w:tcPr>
            <w:tcW w:w="6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including Universal Beijing Resort (see Note 7).</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translate assets and liabilities of our foreign operations where the functional currency is the local currency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 in investment and other income (loss), net. For disclosures containing future amounts where the functional currency is the local currency, we translate the amounts into U.S. dollars at the exchange rates as of the balance sheet date.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Reclassifications have been made to our notes to consolidated financial statements for the prior year period to conform to classifications used in 2021. See Note 2 for a discussion of the changes in our presentation of segment operating results.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The following accounting policies are specific to the industries in which we operate:</w:t>
      </w:r>
    </w:p>
    <w:p>
      <w:pPr>
        <w:spacing w:after="0" w:line="7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for connecting customers to our cable systems (see Note 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on other accounting policies and methods that we use in the preparation of our consolidated financial statements are included, where applicable, in their respective footnotes that follow. The collateralized obligation related to our investment in Hulu is discussed in Note 8 and our other long-term debt is discussed in Note 6. Below is a discussion of accounting policies and methods used in our consolidated financial statements that are not presented within other footnotes.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Advertising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Derivative Financial Instruments</w:t>
      </w:r>
    </w:p>
    <w:p>
      <w:pPr>
        <w:spacing w:after="0" w:line="5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derivative financial instruments are recorded in our consolidated balance sheet at fair value. We designate certain derivative instruments as cash flow hedges of forecasted transactions, including foreign currency denominated cash flows associated with non-functional currency debt and non-functional currency revenue and expenses. Changes in the fair value of derivative instruments accounted for as cash flow hedges are recorded as a component of accumulated other comprehensive income (loss) until the hedged items affect earnings. For derivatives not designated as cash flow hedges, changes in fair value are recognized in earnings.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6 for further information on certain derivative instruments related to debt. The impact of our remaining derivative financial instruments was not material to our consolidated financial statements in any of the periods presented.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006EBF"/>
        </w:rPr>
        <w:t>Fair Value Measurements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related to fair value measurements establishes a hierarchy based on the types of inputs used for the various valuation techniques.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levels of the hierarchy are described below.</w:t>
      </w:r>
    </w:p>
    <w:p>
      <w:pPr>
        <w:spacing w:after="0" w:line="10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0" w:hanging="328"/>
        <w:spacing w:after="0" w:line="342"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three tier fair value hierarchy to measure the fair value of certain financial instruments on a recurring basis, such as for investments (see Note 8); on a non-recurring basis, such as for acquisitions and impairment testing; and for disclosure purposes, such as for long-term debt (see Note 6). Our assessment of the significance of a particular input to the fair value measurement requires judgment and may affect the valuation and classification within the fair value hierarchy.</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global media and technology company with three primary businesses: Comcast Cable, NBCUniversal and Sky. In 2021, we changed our presentation of segment operating results. We now present our operations for (1) Comcast Cable in one reportable business segment, referred to as Cable Communications; (2) NBCUniversal in three reportable business segments: Media, Studios and Theme Parks; and (3) Sky in one reportable business segment. The changes reflect a reorganized operating structure in NBCUniversal’s television and streaming businesses and primarily include: (i) the combination of NBCUniversal’s television networks (previously reported in Cable Networks and Broadcast Television) with the operations of Peacock (previously reported in Corporate and Other) in the Media segment, and (ii) the presentation of NBCUniversal’s television studio production operations (previously reported in Cable Networks and Broadcast Television) with the studio operations of Filmed Entertainment in the Studios segment. Prior periods have been adjusted to reflect this presentation. See Note 3 for a description of the various products and services within each reportable segment.</w:t>
      </w:r>
    </w:p>
    <w:p>
      <w:pPr>
        <w:spacing w:after="0" w:line="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other business interests consist primarily of the operations of Comcast Spectacor, which owns the Philadelphia Flyers and the Wells Fargo Center arena in Philadelphia, Pennsylvania, and other business initiatives including our new Sky Glass and XClass TV smart television product launches.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data by reportable segment is presented in the tables below. We do not present a measure of total assets for our reportable business segments as this information is not used by management to allocate resources and capital.</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Cash Paid for</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Intangible</w:t>
            </w:r>
          </w:p>
        </w:tc>
        <w:tc>
          <w:tcPr>
            <w:tcW w:w="0" w:type="dxa"/>
            <w:vAlign w:val="bottom"/>
          </w:tcPr>
          <w:p>
            <w:pPr>
              <w:spacing w:after="0"/>
              <w:rPr>
                <w:sz w:val="1"/>
                <w:szCs w:val="1"/>
                <w:color w:val="auto"/>
              </w:rPr>
            </w:pPr>
          </w:p>
        </w:tc>
      </w:tr>
      <w:tr>
        <w:trPr>
          <w:trHeight w:val="208"/>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1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64,328</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Media</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22,780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Studios</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9,449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5,051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4"/>
        </w:trPr>
        <w:tc>
          <w:tcPr>
            <w:tcW w:w="3460" w:type="dxa"/>
            <w:vAlign w:val="bottom"/>
          </w:tcPr>
          <w:p>
            <w:pPr>
              <w:ind w:left="180"/>
              <w:spacing w:after="0"/>
              <w:rPr>
                <w:sz w:val="20"/>
                <w:szCs w:val="20"/>
                <w:color w:val="auto"/>
              </w:rPr>
            </w:pPr>
            <w:r>
              <w:rPr>
                <w:rFonts w:ascii="Arial" w:cs="Arial" w:eastAsia="Arial" w:hAnsi="Arial"/>
                <w:sz w:val="18"/>
                <w:szCs w:val="18"/>
                <w:color w:val="auto"/>
              </w:rPr>
              <w:t>Headquarters and Other</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6"/>
        </w:trPr>
        <w:tc>
          <w:tcPr>
            <w:tcW w:w="3460" w:type="dxa"/>
            <w:vAlign w:val="bottom"/>
            <w:tcBorders>
              <w:bottom w:val="single" w:sz="8" w:color="auto"/>
            </w:tcBorders>
          </w:tcPr>
          <w:p>
            <w:pPr>
              <w:ind w:left="18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34,319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Sky</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20,285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4"/>
        </w:trPr>
        <w:tc>
          <w:tcPr>
            <w:tcW w:w="34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6"/>
        </w:trPr>
        <w:tc>
          <w:tcPr>
            <w:tcW w:w="346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184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116,385</w:t>
            </w:r>
          </w:p>
        </w:tc>
        <w:tc>
          <w:tcPr>
            <w:tcW w:w="420" w:type="dxa"/>
            <w:vAlign w:val="bottom"/>
            <w:tcBorders>
              <w:bottom w:val="single" w:sz="8" w:color="0C6DFF"/>
            </w:tcBorders>
          </w:tcPr>
          <w:p>
            <w:pPr>
              <w:jc w:val="right"/>
              <w:ind w:right="236"/>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34,708</w:t>
            </w:r>
          </w:p>
        </w:tc>
        <w:tc>
          <w:tcPr>
            <w:tcW w:w="220" w:type="dxa"/>
            <w:vAlign w:val="bottom"/>
            <w:tcBorders>
              <w:bottom w:val="single" w:sz="8" w:color="0C6DFF"/>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13,804</w:t>
            </w:r>
          </w:p>
        </w:tc>
        <w:tc>
          <w:tcPr>
            <w:tcW w:w="260" w:type="dxa"/>
            <w:vAlign w:val="bottom"/>
            <w:tcBorders>
              <w:bottom w:val="single" w:sz="8" w:color="0C6DFF"/>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9,174</w:t>
            </w:r>
          </w:p>
        </w:tc>
        <w:tc>
          <w:tcPr>
            <w:tcW w:w="220" w:type="dxa"/>
            <w:vAlign w:val="bottom"/>
            <w:tcBorders>
              <w:bottom w:val="single" w:sz="8" w:color="0C6DFF"/>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2,883</w:t>
            </w:r>
          </w:p>
        </w:tc>
        <w:tc>
          <w:tcPr>
            <w:tcW w:w="0" w:type="dxa"/>
            <w:vAlign w:val="bottom"/>
          </w:tcPr>
          <w:p>
            <w:pPr>
              <w:spacing w:after="0"/>
              <w:rPr>
                <w:sz w:val="1"/>
                <w:szCs w:val="1"/>
                <w:color w:val="auto"/>
              </w:rPr>
            </w:pPr>
          </w:p>
        </w:tc>
      </w:tr>
      <w:tr>
        <w:trPr>
          <w:trHeight w:val="683"/>
        </w:trPr>
        <w:tc>
          <w:tcPr>
            <w:tcW w:w="3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jc w:val="right"/>
              <w:ind w:right="473"/>
              <w:spacing w:after="0"/>
              <w:rPr>
                <w:sz w:val="20"/>
                <w:szCs w:val="20"/>
                <w:color w:val="auto"/>
              </w:rPr>
            </w:pPr>
            <w:r>
              <w:rPr>
                <w:rFonts w:ascii="Arial" w:cs="Arial" w:eastAsia="Arial" w:hAnsi="Arial"/>
                <w:sz w:val="14"/>
                <w:szCs w:val="14"/>
                <w:b w:val="1"/>
                <w:bCs w:val="1"/>
                <w:color w:val="auto"/>
              </w:rPr>
              <w:t>73</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5"/>
          </w:tcPr>
          <w:p>
            <w:pPr>
              <w:jc w:val="right"/>
              <w:spacing w:after="0"/>
              <w:rPr>
                <w:sz w:val="20"/>
                <w:szCs w:val="20"/>
                <w:color w:val="auto"/>
              </w:rPr>
            </w:pPr>
            <w:r>
              <w:rPr>
                <w:rFonts w:ascii="Arial" w:cs="Arial" w:eastAsia="Arial" w:hAnsi="Arial"/>
                <w:sz w:val="14"/>
                <w:szCs w:val="14"/>
                <w:color w:val="auto"/>
              </w:rPr>
              <w:t>Comcast 2021 Annual Report on Form 10-K</w:t>
            </w:r>
          </w:p>
        </w:tc>
        <w:tc>
          <w:tcPr>
            <w:tcW w:w="0" w:type="dxa"/>
            <w:vAlign w:val="bottom"/>
          </w:tcPr>
          <w:p>
            <w:pPr>
              <w:spacing w:after="0"/>
              <w:rPr>
                <w:sz w:val="1"/>
                <w:szCs w:val="1"/>
                <w:color w:val="auto"/>
              </w:rPr>
            </w:pPr>
          </w:p>
        </w:tc>
      </w:tr>
      <w:tr>
        <w:trPr>
          <w:trHeight w:val="316"/>
        </w:trPr>
        <w:tc>
          <w:tcPr>
            <w:tcW w:w="34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Cash Paid for</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Intangible</w:t>
            </w:r>
          </w:p>
        </w:tc>
        <w:tc>
          <w:tcPr>
            <w:tcW w:w="0" w:type="dxa"/>
            <w:vAlign w:val="bottom"/>
          </w:tcPr>
          <w:p>
            <w:pPr>
              <w:spacing w:after="0"/>
              <w:rPr>
                <w:sz w:val="1"/>
                <w:szCs w:val="1"/>
                <w:color w:val="auto"/>
              </w:rPr>
            </w:pPr>
          </w:p>
        </w:tc>
      </w:tr>
      <w:tr>
        <w:trPr>
          <w:trHeight w:val="20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222"/>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60,051</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25,270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7,753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180"/>
              <w:spacing w:after="0"/>
              <w:rPr>
                <w:sz w:val="20"/>
                <w:szCs w:val="20"/>
                <w:color w:val="auto"/>
              </w:rPr>
            </w:pPr>
            <w:r>
              <w:rPr>
                <w:rFonts w:ascii="Arial" w:cs="Arial" w:eastAsia="Arial" w:hAnsi="Arial"/>
                <w:sz w:val="18"/>
                <w:szCs w:val="18"/>
                <w:color w:val="auto"/>
              </w:rPr>
              <w:t>Media</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18,936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3800" w:type="dxa"/>
            <w:vAlign w:val="bottom"/>
          </w:tcPr>
          <w:p>
            <w:pPr>
              <w:ind w:left="180"/>
              <w:spacing w:after="0"/>
              <w:rPr>
                <w:sz w:val="20"/>
                <w:szCs w:val="20"/>
                <w:color w:val="auto"/>
              </w:rPr>
            </w:pPr>
            <w:r>
              <w:rPr>
                <w:rFonts w:ascii="Arial" w:cs="Arial" w:eastAsia="Arial" w:hAnsi="Arial"/>
                <w:sz w:val="18"/>
                <w:szCs w:val="18"/>
                <w:color w:val="auto"/>
              </w:rPr>
              <w:t>Studios</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4"/>
        </w:trPr>
        <w:tc>
          <w:tcPr>
            <w:tcW w:w="3800" w:type="dxa"/>
            <w:vAlign w:val="bottom"/>
          </w:tcPr>
          <w:p>
            <w:pPr>
              <w:ind w:left="180"/>
              <w:spacing w:after="0"/>
              <w:rPr>
                <w:sz w:val="20"/>
                <w:szCs w:val="20"/>
                <w:color w:val="auto"/>
              </w:rPr>
            </w:pPr>
            <w:r>
              <w:rPr>
                <w:rFonts w:ascii="Arial" w:cs="Arial" w:eastAsia="Arial" w:hAnsi="Arial"/>
                <w:sz w:val="18"/>
                <w:szCs w:val="18"/>
                <w:color w:val="auto"/>
              </w:rPr>
              <w:t>Headquarters and Other</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auto"/>
            </w:tcBorders>
          </w:tcPr>
          <w:p>
            <w:pPr>
              <w:ind w:left="18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27,211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5,355</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Sky</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18,594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Comcast Consolidated</w:t>
            </w:r>
          </w:p>
        </w:tc>
        <w:tc>
          <w:tcPr>
            <w:tcW w:w="150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103,564</w:t>
            </w:r>
          </w:p>
        </w:tc>
        <w:tc>
          <w:tcPr>
            <w:tcW w:w="420" w:type="dxa"/>
            <w:vAlign w:val="bottom"/>
            <w:tcBorders>
              <w:bottom w:val="single" w:sz="8" w:color="0C6DFF"/>
            </w:tcBorders>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30,826</w:t>
            </w:r>
          </w:p>
        </w:tc>
        <w:tc>
          <w:tcPr>
            <w:tcW w:w="200" w:type="dxa"/>
            <w:vAlign w:val="bottom"/>
            <w:tcBorders>
              <w:bottom w:val="single" w:sz="8" w:color="0C6D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13,100</w:t>
            </w:r>
          </w:p>
        </w:tc>
        <w:tc>
          <w:tcPr>
            <w:tcW w:w="260" w:type="dxa"/>
            <w:vAlign w:val="bottom"/>
            <w:tcBorders>
              <w:bottom w:val="single" w:sz="8" w:color="0C6D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9,179</w:t>
            </w:r>
          </w:p>
        </w:tc>
        <w:tc>
          <w:tcPr>
            <w:tcW w:w="220" w:type="dxa"/>
            <w:vAlign w:val="bottom"/>
            <w:tcBorders>
              <w:bottom w:val="single" w:sz="8" w:color="0C6DFF"/>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312"/>
        </w:trPr>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Cash Paid for</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Depreciation and</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Intangible</w:t>
            </w:r>
          </w:p>
        </w:tc>
        <w:tc>
          <w:tcPr>
            <w:tcW w:w="0" w:type="dxa"/>
            <w:vAlign w:val="bottom"/>
          </w:tcPr>
          <w:p>
            <w:pPr>
              <w:spacing w:after="0"/>
              <w:rPr>
                <w:sz w:val="1"/>
                <w:szCs w:val="1"/>
                <w:color w:val="auto"/>
              </w:rPr>
            </w:pPr>
          </w:p>
        </w:tc>
      </w:tr>
      <w:tr>
        <w:trPr>
          <w:trHeight w:val="20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222"/>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58,082</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7,994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6,909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180"/>
              <w:spacing w:after="0"/>
              <w:rPr>
                <w:sz w:val="20"/>
                <w:szCs w:val="20"/>
                <w:color w:val="auto"/>
              </w:rPr>
            </w:pPr>
            <w:r>
              <w:rPr>
                <w:rFonts w:ascii="Arial" w:cs="Arial" w:eastAsia="Arial" w:hAnsi="Arial"/>
                <w:sz w:val="18"/>
                <w:szCs w:val="18"/>
                <w:color w:val="auto"/>
              </w:rPr>
              <w:t>Media</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Studios</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80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2,498</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4"/>
        </w:trPr>
        <w:tc>
          <w:tcPr>
            <w:tcW w:w="3800" w:type="dxa"/>
            <w:vAlign w:val="bottom"/>
          </w:tcPr>
          <w:p>
            <w:pPr>
              <w:ind w:left="180"/>
              <w:spacing w:after="0"/>
              <w:rPr>
                <w:sz w:val="20"/>
                <w:szCs w:val="20"/>
                <w:color w:val="auto"/>
              </w:rPr>
            </w:pPr>
            <w:r>
              <w:rPr>
                <w:rFonts w:ascii="Arial" w:cs="Arial" w:eastAsia="Arial" w:hAnsi="Arial"/>
                <w:sz w:val="18"/>
                <w:szCs w:val="18"/>
                <w:color w:val="auto"/>
              </w:rPr>
              <w:t>Headquarters and Other</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auto"/>
            </w:tcBorders>
          </w:tcPr>
          <w:p>
            <w:pPr>
              <w:ind w:left="18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33,958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Sky</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19,219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3,099</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4"/>
        </w:trPr>
        <w:tc>
          <w:tcPr>
            <w:tcW w:w="38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1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Comcast Consolidated</w:t>
            </w:r>
          </w:p>
        </w:tc>
        <w:tc>
          <w:tcPr>
            <w:tcW w:w="150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108,942</w:t>
            </w:r>
          </w:p>
        </w:tc>
        <w:tc>
          <w:tcPr>
            <w:tcW w:w="420" w:type="dxa"/>
            <w:vAlign w:val="bottom"/>
            <w:tcBorders>
              <w:bottom w:val="single" w:sz="8" w:color="0C6DFF"/>
            </w:tcBorders>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34,258</w:t>
            </w:r>
          </w:p>
        </w:tc>
        <w:tc>
          <w:tcPr>
            <w:tcW w:w="200" w:type="dxa"/>
            <w:vAlign w:val="bottom"/>
            <w:tcBorders>
              <w:bottom w:val="single" w:sz="8" w:color="0C6D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12,953</w:t>
            </w:r>
          </w:p>
        </w:tc>
        <w:tc>
          <w:tcPr>
            <w:tcW w:w="260" w:type="dxa"/>
            <w:vAlign w:val="bottom"/>
            <w:tcBorders>
              <w:bottom w:val="single" w:sz="8" w:color="0C6D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9,953</w:t>
            </w:r>
          </w:p>
        </w:tc>
        <w:tc>
          <w:tcPr>
            <w:tcW w:w="220" w:type="dxa"/>
            <w:vAlign w:val="bottom"/>
            <w:tcBorders>
              <w:bottom w:val="single" w:sz="8" w:color="0C6DFF"/>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684"/>
        </w:trPr>
        <w:tc>
          <w:tcPr>
            <w:tcW w:w="380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1500" w:type="dxa"/>
            <w:vAlign w:val="bottom"/>
          </w:tcPr>
          <w:p>
            <w:pPr>
              <w:spacing w:after="0"/>
              <w:rPr>
                <w:sz w:val="24"/>
                <w:szCs w:val="24"/>
                <w:color w:val="auto"/>
              </w:rPr>
            </w:pPr>
          </w:p>
        </w:tc>
        <w:tc>
          <w:tcPr>
            <w:tcW w:w="920" w:type="dxa"/>
            <w:vAlign w:val="bottom"/>
          </w:tcPr>
          <w:p>
            <w:pPr>
              <w:jc w:val="right"/>
              <w:ind w:right="472"/>
              <w:spacing w:after="0"/>
              <w:rPr>
                <w:sz w:val="20"/>
                <w:szCs w:val="20"/>
                <w:color w:val="auto"/>
              </w:rPr>
            </w:pPr>
            <w:r>
              <w:rPr>
                <w:rFonts w:ascii="Arial" w:cs="Arial" w:eastAsia="Arial" w:hAnsi="Arial"/>
                <w:sz w:val="14"/>
                <w:szCs w:val="14"/>
                <w:b w:val="1"/>
                <w:bCs w:val="1"/>
                <w:color w:val="auto"/>
              </w:rPr>
              <w:t>74</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8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66" w:lineRule="auto"/>
        <w:tabs>
          <w:tab w:leader="none" w:pos="337"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The most significant transactions between our segments include distribution revenue in Media for fees received from Cable Communications for the sale of cable network programming and under retransmission consent agreements; content licensing revenue in Studios for licenses of owned content to Media and Sky; and advertising revenue in Media and Cable Communications. Revenue for licenses of content from Studios to Media and Sky is generally recognized at a point in time, consistent with the recognition of transactions with third parties, when the content is delivered and made available for use. The costs of these licenses in Media and Sky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 Under the previous segment structure, revenue for licenses of content between our previous NBCUniversal segments was recognized over time to correspond with the amortization of the costs of licensed content over the license period.</w:t>
      </w:r>
    </w:p>
    <w:p>
      <w:pPr>
        <w:spacing w:after="0" w:line="128"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A summary of revenue for each of our segments resulting from transactions with other segments and eliminated in consolidation is presented in the table below.</w:t>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183"/>
        </w:trPr>
        <w:tc>
          <w:tcPr>
            <w:tcW w:w="4540" w:type="dxa"/>
            <w:vAlign w:val="bottom"/>
          </w:tcPr>
          <w:p>
            <w:pPr>
              <w:ind w:left="20"/>
              <w:spacing w:after="0"/>
              <w:rPr>
                <w:sz w:val="20"/>
                <w:szCs w:val="20"/>
                <w:color w:val="auto"/>
              </w:rPr>
            </w:pPr>
            <w:r>
              <w:rPr>
                <w:rFonts w:ascii="Arial" w:cs="Arial" w:eastAsia="Arial" w:hAnsi="Arial"/>
                <w:sz w:val="14"/>
                <w:szCs w:val="14"/>
                <w:color w:val="auto"/>
              </w:rPr>
              <w:t>Cable Communications</w:t>
            </w:r>
          </w:p>
        </w:tc>
        <w:tc>
          <w:tcPr>
            <w:tcW w:w="278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244</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202</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182"/>
        </w:trPr>
        <w:tc>
          <w:tcPr>
            <w:tcW w:w="4540" w:type="dxa"/>
            <w:vAlign w:val="bottom"/>
          </w:tcPr>
          <w:p>
            <w:pPr>
              <w:ind w:left="20"/>
              <w:spacing w:after="0"/>
              <w:rPr>
                <w:sz w:val="20"/>
                <w:szCs w:val="20"/>
                <w:color w:val="auto"/>
              </w:rPr>
            </w:pPr>
            <w:r>
              <w:rPr>
                <w:rFonts w:ascii="Arial" w:cs="Arial" w:eastAsia="Arial" w:hAnsi="Arial"/>
                <w:sz w:val="14"/>
                <w:szCs w:val="14"/>
                <w:color w:val="auto"/>
              </w:rPr>
              <w:t>NBCUniversal</w:t>
            </w:r>
          </w:p>
        </w:tc>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Media</w:t>
            </w:r>
          </w:p>
        </w:tc>
        <w:tc>
          <w:tcPr>
            <w:tcW w:w="27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2,330</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1,965</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2,202</w:t>
            </w: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Studios</w:t>
            </w:r>
          </w:p>
        </w:tc>
        <w:tc>
          <w:tcPr>
            <w:tcW w:w="27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3,186</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2,214</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1,727</w:t>
            </w: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Theme Parks</w:t>
            </w:r>
          </w:p>
        </w:tc>
        <w:tc>
          <w:tcPr>
            <w:tcW w:w="27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540" w:type="dxa"/>
            <w:vAlign w:val="bottom"/>
          </w:tcPr>
          <w:p>
            <w:pPr>
              <w:ind w:left="220"/>
              <w:spacing w:after="0"/>
              <w:rPr>
                <w:sz w:val="20"/>
                <w:szCs w:val="20"/>
                <w:color w:val="auto"/>
              </w:rPr>
            </w:pPr>
            <w:r>
              <w:rPr>
                <w:rFonts w:ascii="Arial" w:cs="Arial" w:eastAsia="Arial" w:hAnsi="Arial"/>
                <w:sz w:val="14"/>
                <w:szCs w:val="14"/>
                <w:color w:val="auto"/>
              </w:rPr>
              <w:t>Headquarters and Other</w:t>
            </w:r>
          </w:p>
        </w:tc>
        <w:tc>
          <w:tcPr>
            <w:tcW w:w="27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68</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Sky</w:t>
            </w:r>
          </w:p>
        </w:tc>
        <w:tc>
          <w:tcPr>
            <w:tcW w:w="27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32</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9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 and Other</w:t>
            </w:r>
          </w:p>
        </w:tc>
        <w:tc>
          <w:tcPr>
            <w:tcW w:w="2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193</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187"/>
        </w:trPr>
        <w:tc>
          <w:tcPr>
            <w:tcW w:w="454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Total intersegment revenue</w:t>
            </w:r>
          </w:p>
        </w:tc>
        <w:tc>
          <w:tcPr>
            <w:tcW w:w="278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b w:val="1"/>
                <w:bCs w:val="1"/>
                <w:color w:val="auto"/>
              </w:rPr>
              <w:t>6,055</w:t>
            </w:r>
          </w:p>
        </w:tc>
        <w:tc>
          <w:tcPr>
            <w:tcW w:w="480" w:type="dxa"/>
            <w:vAlign w:val="bottom"/>
            <w:tcBorders>
              <w:bottom w:val="single" w:sz="8" w:color="0C6DFF"/>
            </w:tcBorders>
          </w:tcPr>
          <w:p>
            <w:pPr>
              <w:jc w:val="right"/>
              <w:ind w:right="3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4"/>
                <w:szCs w:val="14"/>
                <w:color w:val="auto"/>
              </w:rPr>
              <w:t>4,546</w:t>
            </w:r>
          </w:p>
        </w:tc>
        <w:tc>
          <w:tcPr>
            <w:tcW w:w="480" w:type="dxa"/>
            <w:vAlign w:val="bottom"/>
            <w:tcBorders>
              <w:bottom w:val="single" w:sz="8" w:color="0C6DFF"/>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4"/>
                <w:szCs w:val="14"/>
                <w:color w:val="auto"/>
              </w:rPr>
              <w:t>4,235</w:t>
            </w:r>
          </w:p>
        </w:tc>
      </w:tr>
    </w:tbl>
    <w:p>
      <w:pPr>
        <w:spacing w:after="0" w:line="143" w:lineRule="exact"/>
        <w:rPr>
          <w:sz w:val="20"/>
          <w:szCs w:val="20"/>
          <w:color w:val="auto"/>
        </w:rPr>
      </w:pPr>
    </w:p>
    <w:p>
      <w:pPr>
        <w:jc w:val="both"/>
        <w:ind w:left="340" w:hanging="332"/>
        <w:spacing w:after="0" w:line="257" w:lineRule="auto"/>
        <w:tabs>
          <w:tab w:leader="none" w:pos="332" w:val="left"/>
        </w:tabs>
        <w:numPr>
          <w:ilvl w:val="0"/>
          <w:numId w:val="43"/>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From time to time we may report the impact of certain events, gains, losses or other charges related to our operating segments (such as certain costs incurred in response to COVID-19, including severance charges), within Corporate and Other. Our reconciliation of the aggregate amount of Adjusted EBITDA for our reportable segments to consolidated income before income taxes is presented in the table below.</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179"/>
        </w:trPr>
        <w:tc>
          <w:tcPr>
            <w:tcW w:w="45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72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34,708</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30,826</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34,258</w:t>
            </w:r>
          </w:p>
        </w:tc>
      </w:tr>
      <w:tr>
        <w:trPr>
          <w:trHeight w:val="186"/>
        </w:trPr>
        <w:tc>
          <w:tcPr>
            <w:tcW w:w="458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2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(233)</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(8,628)</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(8,320)</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(8,663)</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2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(5,176)</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(4,780)</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(4,290)</w:t>
            </w:r>
          </w:p>
        </w:tc>
      </w:tr>
      <w:tr>
        <w:trPr>
          <w:trHeight w:val="189"/>
        </w:trPr>
        <w:tc>
          <w:tcPr>
            <w:tcW w:w="45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(4,281)</w:t>
            </w: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(4,588)</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(4,567)</w:t>
            </w:r>
          </w:p>
        </w:tc>
      </w:tr>
      <w:tr>
        <w:trPr>
          <w:trHeight w:val="19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2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2,557</w:t>
            </w: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r>
      <w:tr>
        <w:trPr>
          <w:trHeight w:val="187"/>
        </w:trPr>
        <w:tc>
          <w:tcPr>
            <w:tcW w:w="458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Income before income taxes</w:t>
            </w:r>
          </w:p>
        </w:tc>
        <w:tc>
          <w:tcPr>
            <w:tcW w:w="2720" w:type="dxa"/>
            <w:vAlign w:val="bottom"/>
            <w:tcBorders>
              <w:bottom w:val="single" w:sz="8" w:color="0C6DF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b w:val="1"/>
                <w:bCs w:val="1"/>
                <w:color w:val="auto"/>
              </w:rPr>
              <w:t>19,093</w:t>
            </w:r>
          </w:p>
        </w:tc>
        <w:tc>
          <w:tcPr>
            <w:tcW w:w="44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4"/>
                <w:szCs w:val="14"/>
                <w:color w:val="auto"/>
              </w:rPr>
              <w:t>14,065</w:t>
            </w:r>
          </w:p>
        </w:tc>
        <w:tc>
          <w:tcPr>
            <w:tcW w:w="46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4"/>
                <w:szCs w:val="14"/>
                <w:color w:val="auto"/>
              </w:rPr>
              <w:t>16,996</w:t>
            </w:r>
          </w:p>
        </w:tc>
      </w:tr>
    </w:tbl>
    <w:p>
      <w:pPr>
        <w:spacing w:after="0" w:line="76" w:lineRule="exact"/>
        <w:rPr>
          <w:sz w:val="20"/>
          <w:szCs w:val="20"/>
          <w:color w:val="auto"/>
        </w:rPr>
      </w:pPr>
    </w:p>
    <w:p>
      <w:pPr>
        <w:ind w:left="340"/>
        <w:spacing w:after="0" w:line="273" w:lineRule="auto"/>
        <w:rPr>
          <w:sz w:val="20"/>
          <w:szCs w:val="20"/>
          <w:color w:val="auto"/>
        </w:rPr>
      </w:pPr>
      <w:r>
        <w:rPr>
          <w:rFonts w:ascii="Arial" w:cs="Arial" w:eastAsia="Arial" w:hAnsi="Arial"/>
          <w:sz w:val="14"/>
          <w:szCs w:val="14"/>
          <w:color w:val="auto"/>
        </w:rPr>
        <w:t>Adjustments represent the impacts of certain events, gains, losses or other charges that are excluded from Adjusted EBITDA, including Sky transaction-related costs and costs related to our investment portfolio. Adjustments for 2020 also include $177 million related to a legal settlement.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75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2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rPr>
              <w:t>22,979</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00" w:type="dxa"/>
            <w:vAlign w:val="bottom"/>
          </w:tcPr>
          <w:p>
            <w:pPr>
              <w:ind w:left="140"/>
              <w:spacing w:after="0"/>
              <w:rPr>
                <w:sz w:val="20"/>
                <w:szCs w:val="20"/>
                <w:color w:val="auto"/>
              </w:rPr>
            </w:pPr>
            <w:r>
              <w:rPr>
                <w:rFonts w:ascii="Arial" w:cs="Arial" w:eastAsia="Arial" w:hAnsi="Arial"/>
                <w:sz w:val="18"/>
                <w:szCs w:val="18"/>
                <w:color w:val="auto"/>
              </w:rPr>
              <w:t>Broadband</w:t>
            </w:r>
          </w:p>
        </w:tc>
        <w:tc>
          <w:tcPr>
            <w:tcW w:w="25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20,599</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18,752</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Video</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22,079</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21,937</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22,270</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Voice</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3,417</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3,532</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Wireless</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2,380</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1,574</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Business services</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8,933</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8,191</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2,820</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2,594</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1,719</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1,624</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Total Cable Communications</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64,328</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60,051</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58,082</w:t>
            </w:r>
          </w:p>
        </w:tc>
        <w:tc>
          <w:tcPr>
            <w:tcW w:w="0" w:type="dxa"/>
            <w:vAlign w:val="bottom"/>
          </w:tcPr>
          <w:p>
            <w:pPr>
              <w:spacing w:after="0"/>
              <w:rPr>
                <w:sz w:val="1"/>
                <w:szCs w:val="1"/>
                <w:color w:val="auto"/>
              </w:rPr>
            </w:pPr>
          </w:p>
        </w:tc>
      </w:tr>
      <w:tr>
        <w:trPr>
          <w:trHeight w:val="328"/>
        </w:trPr>
        <w:tc>
          <w:tcPr>
            <w:tcW w:w="44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10,291</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8,296</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10,449</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8,795</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2,040</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1,845</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Total Media</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22,780</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18,936</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328"/>
        </w:trPr>
        <w:tc>
          <w:tcPr>
            <w:tcW w:w="4400" w:type="dxa"/>
            <w:vAlign w:val="bottom"/>
          </w:tcPr>
          <w:p>
            <w:pPr>
              <w:ind w:left="20"/>
              <w:spacing w:after="0"/>
              <w:rPr>
                <w:sz w:val="20"/>
                <w:szCs w:val="20"/>
                <w:color w:val="auto"/>
              </w:rPr>
            </w:pPr>
            <w:r>
              <w:rPr>
                <w:rFonts w:ascii="Arial" w:cs="Arial" w:eastAsia="Arial" w:hAnsi="Arial"/>
                <w:sz w:val="18"/>
                <w:szCs w:val="18"/>
                <w:color w:val="auto"/>
              </w:rPr>
              <w:t>Content licensing</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7,565</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6,557</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Theatrical</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691</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418</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Home entertainment and other</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1,193</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1,159</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Total Studios</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9,449</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8,134</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9,352</w:t>
            </w:r>
          </w:p>
        </w:tc>
        <w:tc>
          <w:tcPr>
            <w:tcW w:w="0" w:type="dxa"/>
            <w:vAlign w:val="bottom"/>
          </w:tcPr>
          <w:p>
            <w:pPr>
              <w:spacing w:after="0"/>
              <w:rPr>
                <w:sz w:val="1"/>
                <w:szCs w:val="1"/>
                <w:color w:val="auto"/>
              </w:rPr>
            </w:pPr>
          </w:p>
        </w:tc>
      </w:tr>
      <w:tr>
        <w:trPr>
          <w:trHeight w:val="328"/>
        </w:trPr>
        <w:tc>
          <w:tcPr>
            <w:tcW w:w="4400" w:type="dxa"/>
            <w:vAlign w:val="bottom"/>
          </w:tcPr>
          <w:p>
            <w:pPr>
              <w:ind w:left="20"/>
              <w:spacing w:after="0"/>
              <w:rPr>
                <w:sz w:val="20"/>
                <w:szCs w:val="20"/>
                <w:color w:val="auto"/>
              </w:rPr>
            </w:pPr>
            <w:r>
              <w:rPr>
                <w:rFonts w:ascii="Arial" w:cs="Arial" w:eastAsia="Arial" w:hAnsi="Arial"/>
                <w:sz w:val="18"/>
                <w:szCs w:val="18"/>
                <w:color w:val="auto"/>
              </w:rPr>
              <w:t>Total Theme Parks</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5,051</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2,094</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Headquarters and Other</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87</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(3,048)</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(2,006)</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Total NBCUniversal</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34,319</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27,211</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33,958</w:t>
            </w:r>
          </w:p>
        </w:tc>
        <w:tc>
          <w:tcPr>
            <w:tcW w:w="0" w:type="dxa"/>
            <w:vAlign w:val="bottom"/>
          </w:tcPr>
          <w:p>
            <w:pPr>
              <w:spacing w:after="0"/>
              <w:rPr>
                <w:sz w:val="1"/>
                <w:szCs w:val="1"/>
                <w:color w:val="auto"/>
              </w:rPr>
            </w:pPr>
          </w:p>
        </w:tc>
      </w:tr>
      <w:tr>
        <w:trPr>
          <w:trHeight w:val="328"/>
        </w:trPr>
        <w:tc>
          <w:tcPr>
            <w:tcW w:w="4400" w:type="dxa"/>
            <w:vAlign w:val="bottom"/>
          </w:tcPr>
          <w:p>
            <w:pPr>
              <w:ind w:left="20"/>
              <w:spacing w:after="0"/>
              <w:rPr>
                <w:sz w:val="20"/>
                <w:szCs w:val="20"/>
                <w:color w:val="auto"/>
              </w:rPr>
            </w:pPr>
            <w:r>
              <w:rPr>
                <w:rFonts w:ascii="Arial" w:cs="Arial" w:eastAsia="Arial" w:hAnsi="Arial"/>
                <w:sz w:val="18"/>
                <w:szCs w:val="18"/>
                <w:color w:val="auto"/>
              </w:rPr>
              <w:t>Direct-to-consumer</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16,455</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15,223</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Content</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1,341</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1,373</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2,489</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1,998</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Total Sky</w:t>
            </w:r>
          </w:p>
        </w:tc>
        <w:tc>
          <w:tcPr>
            <w:tcW w:w="258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20,285</w:t>
            </w:r>
          </w:p>
        </w:tc>
        <w:tc>
          <w:tcPr>
            <w:tcW w:w="5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18,594</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19,219</w:t>
            </w:r>
          </w:p>
        </w:tc>
        <w:tc>
          <w:tcPr>
            <w:tcW w:w="0" w:type="dxa"/>
            <w:vAlign w:val="bottom"/>
          </w:tcPr>
          <w:p>
            <w:pPr>
              <w:spacing w:after="0"/>
              <w:rPr>
                <w:sz w:val="1"/>
                <w:szCs w:val="1"/>
                <w:color w:val="auto"/>
              </w:rPr>
            </w:pPr>
          </w:p>
        </w:tc>
      </w:tr>
      <w:tr>
        <w:trPr>
          <w:trHeight w:val="326"/>
        </w:trPr>
        <w:tc>
          <w:tcPr>
            <w:tcW w:w="44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58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rPr>
              <w:t>461</w:t>
            </w:r>
          </w:p>
        </w:tc>
        <w:tc>
          <w:tcPr>
            <w:tcW w:w="540" w:type="dxa"/>
            <w:vAlign w:val="bottom"/>
          </w:tcPr>
          <w:p>
            <w:pPr>
              <w:spacing w:after="0"/>
              <w:rPr>
                <w:sz w:val="24"/>
                <w:szCs w:val="24"/>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248</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2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(3,008)</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(2,540)</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2580" w:type="dxa"/>
            <w:vAlign w:val="bottom"/>
            <w:tcBorders>
              <w:bottom w:val="single" w:sz="8" w:color="0C6DFF"/>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0C6DFF"/>
            </w:tcBorders>
          </w:tcPr>
          <w:p>
            <w:pPr>
              <w:jc w:val="right"/>
              <w:ind w:right="91"/>
              <w:spacing w:after="0"/>
              <w:rPr>
                <w:sz w:val="20"/>
                <w:szCs w:val="20"/>
                <w:color w:val="auto"/>
              </w:rPr>
            </w:pPr>
            <w:r>
              <w:rPr>
                <w:rFonts w:ascii="Arial" w:cs="Arial" w:eastAsia="Arial" w:hAnsi="Arial"/>
                <w:sz w:val="18"/>
                <w:szCs w:val="18"/>
                <w:b w:val="1"/>
                <w:bCs w:val="1"/>
                <w:color w:val="auto"/>
              </w:rPr>
              <w:t>116,385</w:t>
            </w:r>
          </w:p>
        </w:tc>
        <w:tc>
          <w:tcPr>
            <w:tcW w:w="54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0C6DFF"/>
            </w:tcBorders>
          </w:tcPr>
          <w:p>
            <w:pPr>
              <w:jc w:val="right"/>
              <w:ind w:right="71"/>
              <w:spacing w:after="0"/>
              <w:rPr>
                <w:sz w:val="20"/>
                <w:szCs w:val="20"/>
                <w:color w:val="auto"/>
              </w:rPr>
            </w:pPr>
            <w:r>
              <w:rPr>
                <w:rFonts w:ascii="Arial" w:cs="Arial" w:eastAsia="Arial" w:hAnsi="Arial"/>
                <w:sz w:val="18"/>
                <w:szCs w:val="18"/>
                <w:color w:val="auto"/>
              </w:rPr>
              <w:t>103,564</w:t>
            </w:r>
          </w:p>
        </w:tc>
        <w:tc>
          <w:tcPr>
            <w:tcW w:w="56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108,942</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 Included in Eliminations are transactions that our segments enter into with one another. See Note 2 for a description of these transactions.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The table below summarizes our consolidated revenue from customers in certain geographic locations.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30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24"/>
        </w:trPr>
        <w:tc>
          <w:tcPr>
            <w:tcW w:w="40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08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b w:val="1"/>
                <w:bCs w:val="1"/>
                <w:color w:val="auto"/>
              </w:rPr>
              <w:t>90,926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80,327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82,952</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08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b w:val="1"/>
                <w:bCs w:val="1"/>
                <w:color w:val="auto"/>
              </w:rPr>
              <w:t>13,999</w:t>
            </w:r>
          </w:p>
        </w:tc>
        <w:tc>
          <w:tcPr>
            <w:tcW w:w="50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11,986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12,501</w:t>
            </w:r>
          </w:p>
        </w:tc>
      </w:tr>
      <w:tr>
        <w:trPr>
          <w:trHeight w:val="234"/>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11,460</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11,251</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13,489</w:t>
            </w:r>
          </w:p>
        </w:tc>
      </w:tr>
      <w:tr>
        <w:trPr>
          <w:trHeight w:val="223"/>
        </w:trPr>
        <w:tc>
          <w:tcPr>
            <w:tcW w:w="40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3080" w:type="dxa"/>
            <w:vAlign w:val="bottom"/>
            <w:tcBorders>
              <w:bottom w:val="single" w:sz="8" w:color="0C6DFF"/>
            </w:tcBorders>
          </w:tcPr>
          <w:p>
            <w:pPr>
              <w:jc w:val="right"/>
              <w:ind w:right="236"/>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0C6DFF"/>
            </w:tcBorders>
          </w:tcPr>
          <w:p>
            <w:pPr>
              <w:jc w:val="right"/>
              <w:ind w:right="94"/>
              <w:spacing w:after="0"/>
              <w:rPr>
                <w:sz w:val="20"/>
                <w:szCs w:val="20"/>
                <w:color w:val="auto"/>
              </w:rPr>
            </w:pPr>
            <w:r>
              <w:rPr>
                <w:rFonts w:ascii="Arial" w:cs="Arial" w:eastAsia="Arial" w:hAnsi="Arial"/>
                <w:sz w:val="18"/>
                <w:szCs w:val="18"/>
                <w:b w:val="1"/>
                <w:bCs w:val="1"/>
                <w:color w:val="auto"/>
              </w:rPr>
              <w:t>116,385</w:t>
            </w:r>
          </w:p>
        </w:tc>
        <w:tc>
          <w:tcPr>
            <w:tcW w:w="50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0C6DFF"/>
            </w:tcBorders>
          </w:tcPr>
          <w:p>
            <w:pPr>
              <w:jc w:val="right"/>
              <w:ind w:right="94"/>
              <w:spacing w:after="0"/>
              <w:rPr>
                <w:sz w:val="20"/>
                <w:szCs w:val="20"/>
                <w:color w:val="auto"/>
              </w:rPr>
            </w:pPr>
            <w:r>
              <w:rPr>
                <w:rFonts w:ascii="Arial" w:cs="Arial" w:eastAsia="Arial" w:hAnsi="Arial"/>
                <w:sz w:val="18"/>
                <w:szCs w:val="18"/>
                <w:color w:val="auto"/>
              </w:rPr>
              <w:t>103,564</w:t>
            </w:r>
          </w:p>
        </w:tc>
        <w:tc>
          <w:tcPr>
            <w:tcW w:w="520" w:type="dxa"/>
            <w:vAlign w:val="bottom"/>
            <w:tcBorders>
              <w:bottom w:val="single" w:sz="8" w:color="0C6DFF"/>
            </w:tcBorders>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108,942</w:t>
            </w:r>
          </w:p>
        </w:tc>
      </w:tr>
      <w:tr>
        <w:trPr>
          <w:trHeight w:val="683"/>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3080" w:type="dxa"/>
            <w:vAlign w:val="bottom"/>
          </w:tcPr>
          <w:p>
            <w:pPr>
              <w:jc w:val="right"/>
              <w:ind w:right="1396"/>
              <w:spacing w:after="0"/>
              <w:rPr>
                <w:sz w:val="20"/>
                <w:szCs w:val="20"/>
                <w:color w:val="auto"/>
              </w:rPr>
            </w:pPr>
            <w:r>
              <w:rPr>
                <w:rFonts w:ascii="Arial" w:cs="Arial" w:eastAsia="Arial" w:hAnsi="Arial"/>
                <w:sz w:val="14"/>
                <w:szCs w:val="14"/>
                <w:b w:val="1"/>
                <w:bCs w:val="1"/>
                <w:color w:val="auto"/>
              </w:rPr>
              <w:t>76</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6"/>
        </w:trPr>
        <w:tc>
          <w:tcPr>
            <w:tcW w:w="40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2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Revenue is generated from the sale of our broadband, video, voice, wireless and other services to residential customers in the United States under the Xfinity brand, which we market individually and as bundled services at a discounted rate. We also provide these and other services to business customers and sell advertising.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Residential</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recognize revenue as the services are provided on a monthly basis. Subscription rates and related charges vary according to the services and features customers receive. Revenue from customers that purchase bundled services at a discounted rate is allocated between the separate services based on the respective stand-alone selling prices. The stand-alone selling prices are determined based on the current prices at which we separately sell the services. Significant judgment is used to determine performance obligations that should be accounted for separately and the allocation of revenue when services are combined in a bundle. Customers are typically billed in advance and pay on a monthly basis. Installation fees are deferred and recognized as revenue over the period of benefit to the customer, which is less than a year. While a portion of our customers are subject to contracts for their services, which are typically 1 to 2 years in length, based on our evaluation of the terms of these contracts, we recognize revenue for these services on a basis that is consistent with our customers that are not subject to contracts. Our services generally involve customer premise equipment, such as set-top boxes, cable modems and wireless gateways. The timing and pattern of recognition for customer premise equipment revenue are consistent with those of our services. We recognize revenue from the sale of wireless handsets at the point of sale. Sales commissions are expensed as incurred, as the related period of benefit is less than a year. We also have arrangements to sell certain DTC streaming services to our customers. We have concluded we are generally the sales agent in these arrangements and we record net commission revenue as earned, which is generally as customers are billed on a monthly basis, within broadband revenue.</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cable franchise agreements, we are generally required to pay the cable franchising authority an amount based on gross video revenue. We generally pass these and other similar fees through to our customers and classify these fees in the respective Cable Communications services revenue with the corresponding costs included in other operating and administrative expenses.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Business Services</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 is generated from subscribers to a variety of our products and services which are offered to businesses. Our service offerings for small business locations primarily include broadband services, as well as voice and video services, that are similar to those provided to residential customers, and include certain other features specific to businesses. We also offer Ethernet network services that connect multiple locations and other services to meet the needs of medium-sized customers and larger enterprises, and we provide cellular backhaul services to mobile network operators.</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revenue as the services are provided on a monthly basis. Substantially all of our customers are initially under contracts, with terms typically ranging from 2 years for small and medium-sized businesses to up to 5 years for larger enterprises. At any given time, the amount of future revenue to be earned related to fixed pricing under existing agreements is equal to approximately half of our annual business services revenue, of which the substantial majority will be recognized within 2 years. Customers with contracts may only discontinue service in accordance with the terms of their contracts. We receive payments based on a billing schedule established in our contracts, which is typically on a monthly basis. Installation revenue and sales commissions are generally deferred and recognized over the respective contract terms.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Revenue is generated from the sale of advertising and technology, tools and solutions relating to advertising businesses. As part of distribution agreements with cable networks, we generally receive an allocation of scheduled advertising time that we sell to local, regional and national advertisers. In most cases, the available advertising units are sold by our sales force. We also represent the advertising sales efforts of other multichannel video providers in some markets. Since we are acting as the principal in these arrangements, we record the advertising that is sold in advertising revenue and the fees paid to multichannel video providers in other operating and administrative expenses. In some cases, we work with representation firms as an extension of our sales force to sell a portion of the advertising units allocated to us and record the revenue net of agency commissions. In addition, we generate revenue from the sale of advertising on digital platforms. 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and conditions are agreed upon. Revenue from these arrangements is recognized in the period in which advertisements are aired or viewed. Payment terms vary by contract, although terms generally require payment within 30 to 60 days from when advertisements are aired or viewed. In addition, we also provide technology, tools, data-driven services and marketplace solutions to customers in the media industry to facilitate advertisers more effectively engaging with their target audiences. Revenue earned in this manner is recognized when services are provided.</w:t>
      </w:r>
    </w:p>
    <w:p>
      <w:pPr>
        <w:spacing w:after="0" w:line="200" w:lineRule="exact"/>
        <w:rPr>
          <w:sz w:val="20"/>
          <w:szCs w:val="20"/>
          <w:color w:val="auto"/>
        </w:rPr>
      </w:pPr>
    </w:p>
    <w:p>
      <w:pPr>
        <w:spacing w:after="0" w:line="30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77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Media generates revenue from the sale of advertising on our television networks, Peacock and digital properties.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Revenue is recognized, net of agency commissions, in the period in which advertisements are aired or viewed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Distribution</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Media generates revenue from the distribution of cable network programming in the United States and internationally to multichannel video providers, including both traditional providers of linear programming and virtual providers who provide streaming services for linear programming. Media also generates revenue from the fees received from multichannel video providers under NBC and Telemundo retransmission consent agreements and associated fees from NBC-affiliated and Telemundo-affiliated local broadcast television stations. Additionally, Media generates revenue from monthly subscription fees received from certain Peacock subscribers.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Monthly fees received under distribution agreements with multichannel video providers are generally under multiyear agreements and based on the number of subscribers. Payment terms and conditions vary by contract type, although terms generally include payment within 60 days. These arrangements are accounted for as licenses of functional intellectual property and revenue is recognized as programming is provided on a monthly basis.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 Licensing</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Studios generates revenue from the licensing of our owned film and television content in the United States and internationally to cable, broadcast and premium networks and to DTC streaming service providers, as well as through video on demand and pay-per-view services. Media also generates revenue from licensing of our owned television content, which is reported in other revenue. Our agreements generally include fixed pricing and span multiple years. For example, following a film’s theatrical release, Studios may license the exhibition rights of a film to different customers over multiple successive distribution windows.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third-party agreements at any given time equals approximately one half year to 1 year of annual Studios content licensing revenue, which is the segment with the largest portion of this future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or optional purchases under existing agreements.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agreements that include variable pricing, such as pricing based on the number of subscribers to a DTC streaming service sold by our customers, we generally recognize revenue as our customers sell to their subscribers.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Theatrical</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Studios generates revenue from the worldwide theatrical release of produced and acquired films for exhibition in movie theaters. Our arrangements with exhibitors generally entitle us to a percentage of ticket sales. We recognize revenue as the films are viewed and exhibited in theaters and payment generally occurs within 30 days after exhibition.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Home Entertainment</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Studios generates revenue from the sale of our produced and acquired films on DVDs and through digital distribution services. Media also generates revenue from the sale of owned programming on DVDs and through digital distribution services, which is reported in other revenue. We generally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78</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Theme Parks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Theme Parks generates revenue primarily from guest spending at our Universal theme parks in Orlando, Florida; Hollywood, California; Osaka, Japan; and Beijing, China. Guest spending includes ticket sales and in-park spending on food, beverages and merchandise. We also generate revenue from our consumer products business. Additionally, we license the right to use the Universal Studios brand name and other intellectual property and provide other services to third parties, including the party that owns and operates the Universal Studios Singapore theme park on Sentosa Island, Singapore. We recognize revenue from ticket sales when the tickets are used, generally within a year from the date of purchase. For annual passes, we generally recognize revenue on a straight-line basis over the period the pass is available to be used. We recognize revenue from in-park spending and consumer products at the point of sale.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Direct-to-Consumer</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is generated from subscribers to our video services from both residential and business customers, primarily in the United Kingdom, Italy and Germany. We also provide broadband, voice and wireless phone services in select countries. Generally, all of our residential customers are initially under contracts, with terms typically ranging from rolling monthly to 18 months, depending on the product and territory, and may only discontinue service in accordance with the terms of their contracts. Subscription rates and related charges vary according to the services and features customers receive and the types of equipment they use, and customers are typically billed in advance on a monthly basis. Our video, broadband, voice and wireless services generally may be purchased individually or in bundles. We recognize revenue from video, broadband, voice and wireless services as the services are provided on a monthly basis. At any given time, the amount of future revenue to be earned related to existing agreements is equal to less than half of our annual direct-to-consumer revenue, which generally will be recognized within 18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is generated from the distribution of our owned channels on third-party platforms and the licensing of owned and licensed content to third-party video providers. See the NBCUniversal segment discussion of distribution and content licensing revenue above for accounting policies for these types of arrangements.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generated from advertising across our owned television channels and where we represent the sales efforts of third-party channels. We also generate revenue from the sale of advertising on digital platforms and various technology, tools and solutions relating to our advertising business. Revenue is recognized when the advertising is aired or viewed. Since we are acting as the principal in the arrangements where we represent the sales efforts of third parties, we record the advertising that is sold in advertising revenue and the fees paid to the third-party channels in other operating and administrative expenses.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accounts receivable: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10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Receivables, gross</w:t>
            </w: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12,666</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12,273</w:t>
            </w:r>
          </w:p>
        </w:tc>
      </w:tr>
      <w:tr>
        <w:trPr>
          <w:trHeight w:val="234"/>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10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658</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23"/>
        </w:trPr>
        <w:tc>
          <w:tcPr>
            <w:tcW w:w="60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Receivables, net</w:t>
            </w:r>
          </w:p>
        </w:tc>
        <w:tc>
          <w:tcPr>
            <w:tcW w:w="1080" w:type="dxa"/>
            <w:vAlign w:val="bottom"/>
            <w:tcBorders>
              <w:bottom w:val="single" w:sz="8" w:color="0C6DFF"/>
            </w:tcBorders>
          </w:tcPr>
          <w:p>
            <w:pPr>
              <w:spacing w:after="0"/>
              <w:rPr>
                <w:sz w:val="19"/>
                <w:szCs w:val="19"/>
                <w:color w:val="auto"/>
              </w:rPr>
            </w:pPr>
          </w:p>
        </w:tc>
        <w:tc>
          <w:tcPr>
            <w:tcW w:w="940" w:type="dxa"/>
            <w:vAlign w:val="bottom"/>
            <w:tcBorders>
              <w:bottom w:val="single" w:sz="8" w:color="0C6DFF"/>
            </w:tcBorders>
          </w:tcPr>
          <w:p>
            <w:pPr>
              <w:spacing w:after="0"/>
              <w:rPr>
                <w:sz w:val="19"/>
                <w:szCs w:val="19"/>
                <w:color w:val="auto"/>
              </w:rPr>
            </w:pPr>
          </w:p>
        </w:tc>
        <w:tc>
          <w:tcPr>
            <w:tcW w:w="620" w:type="dxa"/>
            <w:vAlign w:val="bottom"/>
            <w:tcBorders>
              <w:bottom w:val="single" w:sz="8" w:color="0C6DFF"/>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tcPr>
          <w:p>
            <w:pPr>
              <w:jc w:val="right"/>
              <w:ind w:right="74"/>
              <w:spacing w:after="0"/>
              <w:rPr>
                <w:sz w:val="20"/>
                <w:szCs w:val="20"/>
                <w:color w:val="auto"/>
              </w:rPr>
            </w:pPr>
            <w:r>
              <w:rPr>
                <w:rFonts w:ascii="Arial" w:cs="Arial" w:eastAsia="Arial" w:hAnsi="Arial"/>
                <w:sz w:val="18"/>
                <w:szCs w:val="18"/>
                <w:b w:val="1"/>
                <w:bCs w:val="1"/>
                <w:color w:val="auto"/>
              </w:rPr>
              <w:t>12,008</w:t>
            </w:r>
          </w:p>
        </w:tc>
        <w:tc>
          <w:tcPr>
            <w:tcW w:w="580" w:type="dxa"/>
            <w:vAlign w:val="bottom"/>
            <w:tcBorders>
              <w:bottom w:val="single" w:sz="8" w:color="0C6DFF"/>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11,466</w:t>
            </w:r>
          </w:p>
        </w:tc>
      </w:tr>
      <w:tr>
        <w:trPr>
          <w:trHeight w:val="385"/>
        </w:trPr>
        <w:tc>
          <w:tcPr>
            <w:tcW w:w="6060" w:type="dxa"/>
            <w:vAlign w:val="bottom"/>
          </w:tcPr>
          <w:p>
            <w:pPr>
              <w:spacing w:after="0"/>
              <w:rPr>
                <w:sz w:val="20"/>
                <w:szCs w:val="20"/>
                <w:color w:val="auto"/>
              </w:rPr>
            </w:pPr>
            <w:r>
              <w:rPr>
                <w:rFonts w:ascii="Arial" w:cs="Arial" w:eastAsia="Arial" w:hAnsi="Arial"/>
                <w:sz w:val="18"/>
                <w:szCs w:val="18"/>
                <w:color w:val="auto"/>
                <w:w w:val="99"/>
              </w:rPr>
              <w:t>The following table presents changes in our allowance for doubtful accounts:</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b w:val="1"/>
                <w:bCs w:val="1"/>
                <w:color w:val="auto"/>
              </w:rPr>
              <w:t>807</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419</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Additions charged to costs and expenses and other accounts</w:t>
            </w:r>
          </w:p>
        </w:tc>
        <w:tc>
          <w:tcPr>
            <w:tcW w:w="108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b w:val="1"/>
                <w:bCs w:val="1"/>
                <w:color w:val="auto"/>
              </w:rPr>
              <w:t>316</w:t>
            </w:r>
          </w:p>
        </w:tc>
        <w:tc>
          <w:tcPr>
            <w:tcW w:w="62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912</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34"/>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Deductions from reserves</w:t>
            </w:r>
          </w:p>
        </w:tc>
        <w:tc>
          <w:tcPr>
            <w:tcW w:w="10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465</w:t>
            </w: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524</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r>
      <w:tr>
        <w:trPr>
          <w:trHeight w:val="23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Ending balance</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658</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807</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79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other balances that are not separately presented in our consolidated balance sheet that relate to the recognition of revenue and collection of the related cash, as well as the deferred costs associated with our contracts with customers: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1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4"/>
        </w:trPr>
        <w:tc>
          <w:tcPr>
            <w:tcW w:w="7100" w:type="dxa"/>
            <w:vAlign w:val="bottom"/>
          </w:tcPr>
          <w:p>
            <w:pPr>
              <w:ind w:left="2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1,632</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1,094</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695</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7"/>
        </w:trPr>
        <w:tc>
          <w:tcPr>
            <w:tcW w:w="7100" w:type="dxa"/>
            <w:vAlign w:val="bottom"/>
          </w:tcPr>
          <w:p>
            <w:pPr>
              <w:ind w:left="20"/>
              <w:spacing w:after="0"/>
              <w:rPr>
                <w:sz w:val="20"/>
                <w:szCs w:val="20"/>
                <w:color w:val="auto"/>
              </w:rPr>
            </w:pPr>
            <w:r>
              <w:rPr>
                <w:rFonts w:ascii="Arial" w:cs="Arial" w:eastAsia="Arial" w:hAnsi="Arial"/>
                <w:sz w:val="22"/>
                <w:szCs w:val="22"/>
                <w:b w:val="1"/>
                <w:bCs w:val="1"/>
                <w:color w:val="006EBF"/>
              </w:rPr>
              <w:t>Note 4: Programming and Production Costs</w:t>
            </w: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7100" w:type="dxa"/>
            <w:vAlign w:val="bottom"/>
            <w:tcBorders>
              <w:bottom w:val="single" w:sz="8" w:color="0C6DFF"/>
            </w:tcBorders>
          </w:tcPr>
          <w:p>
            <w:pPr>
              <w:spacing w:after="0"/>
              <w:rPr>
                <w:sz w:val="10"/>
                <w:szCs w:val="10"/>
                <w:color w:val="auto"/>
              </w:rPr>
            </w:pPr>
          </w:p>
        </w:tc>
        <w:tc>
          <w:tcPr>
            <w:tcW w:w="1580" w:type="dxa"/>
            <w:vAlign w:val="bottom"/>
            <w:tcBorders>
              <w:bottom w:val="single" w:sz="8" w:color="0C6DFF"/>
            </w:tcBorders>
          </w:tcPr>
          <w:p>
            <w:pPr>
              <w:spacing w:after="0"/>
              <w:rPr>
                <w:sz w:val="10"/>
                <w:szCs w:val="10"/>
                <w:color w:val="auto"/>
              </w:rPr>
            </w:pPr>
          </w:p>
        </w:tc>
        <w:tc>
          <w:tcPr>
            <w:tcW w:w="1040" w:type="dxa"/>
            <w:vAlign w:val="bottom"/>
            <w:tcBorders>
              <w:bottom w:val="single" w:sz="8" w:color="0C6DFF"/>
            </w:tcBorders>
          </w:tcPr>
          <w:p>
            <w:pPr>
              <w:spacing w:after="0"/>
              <w:rPr>
                <w:sz w:val="10"/>
                <w:szCs w:val="10"/>
                <w:color w:val="auto"/>
              </w:rPr>
            </w:pPr>
          </w:p>
        </w:tc>
        <w:tc>
          <w:tcPr>
            <w:tcW w:w="580" w:type="dxa"/>
            <w:vAlign w:val="bottom"/>
            <w:tcBorders>
              <w:bottom w:val="single" w:sz="8" w:color="0C6DFF"/>
            </w:tcBorders>
          </w:tcPr>
          <w:p>
            <w:pPr>
              <w:spacing w:after="0"/>
              <w:rPr>
                <w:sz w:val="10"/>
                <w:szCs w:val="10"/>
                <w:color w:val="auto"/>
              </w:rPr>
            </w:pPr>
          </w:p>
        </w:tc>
        <w:tc>
          <w:tcPr>
            <w:tcW w:w="920" w:type="dxa"/>
            <w:vAlign w:val="bottom"/>
            <w:tcBorders>
              <w:bottom w:val="single" w:sz="8" w:color="0C6DFF"/>
            </w:tcBorders>
          </w:tcPr>
          <w:p>
            <w:pPr>
              <w:spacing w:after="0"/>
              <w:rPr>
                <w:sz w:val="10"/>
                <w:szCs w:val="10"/>
                <w:color w:val="auto"/>
              </w:rPr>
            </w:pPr>
          </w:p>
        </w:tc>
        <w:tc>
          <w:tcPr>
            <w:tcW w:w="20" w:type="dxa"/>
            <w:vAlign w:val="bottom"/>
            <w:tcBorders>
              <w:bottom w:val="single" w:sz="8" w:color="0C6DFF"/>
            </w:tcBorders>
          </w:tcPr>
          <w:p>
            <w:pPr>
              <w:spacing w:after="0"/>
              <w:rPr>
                <w:sz w:val="10"/>
                <w:szCs w:val="10"/>
                <w:color w:val="auto"/>
              </w:rPr>
            </w:pPr>
          </w:p>
        </w:tc>
        <w:tc>
          <w:tcPr>
            <w:tcW w:w="0" w:type="dxa"/>
            <w:vAlign w:val="bottom"/>
          </w:tcPr>
          <w:p>
            <w:pPr>
              <w:spacing w:after="0"/>
              <w:rPr>
                <w:sz w:val="1"/>
                <w:szCs w:val="1"/>
                <w:color w:val="auto"/>
              </w:rPr>
            </w:pPr>
          </w:p>
        </w:tc>
      </w:tr>
      <w:tr>
        <w:trPr>
          <w:trHeight w:val="3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100" w:type="dxa"/>
            <w:vAlign w:val="bottom"/>
          </w:tcPr>
          <w:p>
            <w:pPr>
              <w:ind w:left="20"/>
              <w:spacing w:after="0"/>
              <w:rPr>
                <w:sz w:val="20"/>
                <w:szCs w:val="20"/>
                <w:color w:val="auto"/>
              </w:rPr>
            </w:pPr>
            <w:r>
              <w:rPr>
                <w:rFonts w:ascii="Arial" w:cs="Arial" w:eastAsia="Arial" w:hAnsi="Arial"/>
                <w:sz w:val="18"/>
                <w:szCs w:val="18"/>
                <w:color w:val="auto"/>
              </w:rPr>
              <w:t>Video distribution programming</w:t>
            </w: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13,550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Film and television content:</w:t>
            </w:r>
          </w:p>
        </w:tc>
        <w:tc>
          <w:tcPr>
            <w:tcW w:w="1580" w:type="dxa"/>
            <w:vAlign w:val="bottom"/>
          </w:tcPr>
          <w:p>
            <w:pPr>
              <w:spacing w:after="0"/>
              <w:rPr>
                <w:sz w:val="19"/>
                <w:szCs w:val="19"/>
                <w:color w:val="auto"/>
              </w:rPr>
            </w:pPr>
          </w:p>
        </w:tc>
        <w:tc>
          <w:tcPr>
            <w:tcW w:w="104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8,957</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240"/>
              <w:spacing w:after="0" w:line="225" w:lineRule="exact"/>
              <w:rPr>
                <w:sz w:val="20"/>
                <w:szCs w:val="20"/>
                <w:color w:val="auto"/>
              </w:rPr>
            </w:pPr>
            <w:r>
              <w:rPr>
                <w:rFonts w:ascii="Arial" w:cs="Arial" w:eastAsia="Arial" w:hAnsi="Arial"/>
                <w:sz w:val="18"/>
                <w:szCs w:val="18"/>
                <w:color w:val="auto"/>
              </w:rPr>
              <w:t>Owned</w:t>
            </w:r>
            <w:r>
              <w:rPr>
                <w:rFonts w:ascii="Arial" w:cs="Arial" w:eastAsia="Arial" w:hAnsi="Arial"/>
                <w:sz w:val="23"/>
                <w:szCs w:val="23"/>
                <w:color w:val="auto"/>
                <w:vertAlign w:val="superscript"/>
              </w:rPr>
              <w:t>(a)</w:t>
            </w:r>
          </w:p>
        </w:tc>
        <w:tc>
          <w:tcPr>
            <w:tcW w:w="15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Licensed, including sports rights</w:t>
            </w:r>
          </w:p>
        </w:tc>
        <w:tc>
          <w:tcPr>
            <w:tcW w:w="1580" w:type="dxa"/>
            <w:vAlign w:val="bottom"/>
          </w:tcPr>
          <w:p>
            <w:pPr>
              <w:spacing w:after="0"/>
              <w:rPr>
                <w:sz w:val="19"/>
                <w:szCs w:val="19"/>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14,733</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1,210</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programming and production costs</w:t>
            </w: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38,450</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(a) Amount includes amortization of owned content of $7.3 billion and $6.6 billion for the year ended December 31, 2021 and 2020, respectively, as well as participations and residuals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Distribution Programming Expenses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incur programming expenses related to the license of the rights to distribute the third-party programmed channels, platforms and related content included in video services we sell to end consumers. Programming is generally acquired under multiyear distribution agreements, with fees typically based on the number of customers that receive the programming and the extent of distribution. Programming distribution arrangements are accounted for as executory contracts with expenses generally recognized based on the rates in the agreements and the arrangements are not subject to impairment.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Content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incur costs related to the production of owned content and the license of the rights to use content owned by third parties and sports rights on our owned networks and platforms, which are described as owned and licensed content, respectively. We have determined that the predominant monetization strategy for the substantial majority of our content is on an individual basis.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3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8"/>
        </w:trPr>
        <w:tc>
          <w:tcPr>
            <w:tcW w:w="5460" w:type="dxa"/>
            <w:vAlign w:val="bottom"/>
          </w:tcPr>
          <w:p>
            <w:pPr>
              <w:ind w:left="20"/>
              <w:spacing w:after="0"/>
              <w:rPr>
                <w:sz w:val="20"/>
                <w:szCs w:val="20"/>
                <w:color w:val="auto"/>
              </w:rPr>
            </w:pPr>
            <w:r>
              <w:rPr>
                <w:rFonts w:ascii="Arial" w:cs="Arial" w:eastAsia="Arial" w:hAnsi="Arial"/>
                <w:sz w:val="18"/>
                <w:szCs w:val="18"/>
                <w:color w:val="auto"/>
              </w:rPr>
              <w:t>Owned:</w:t>
            </w:r>
          </w:p>
        </w:tc>
        <w:tc>
          <w:tcPr>
            <w:tcW w:w="3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3,726</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20"/>
              <w:spacing w:after="0"/>
              <w:rPr>
                <w:sz w:val="20"/>
                <w:szCs w:val="20"/>
                <w:color w:val="auto"/>
              </w:rPr>
            </w:pPr>
            <w:r>
              <w:rPr>
                <w:rFonts w:ascii="Arial" w:cs="Arial" w:eastAsia="Arial" w:hAnsi="Arial"/>
                <w:sz w:val="18"/>
                <w:szCs w:val="18"/>
                <w:color w:val="auto"/>
              </w:rPr>
              <w:t>Released, less amortization</w:t>
            </w:r>
          </w:p>
        </w:tc>
        <w:tc>
          <w:tcPr>
            <w:tcW w:w="32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Completed, not released</w:t>
            </w:r>
          </w:p>
        </w:tc>
        <w:tc>
          <w:tcPr>
            <w:tcW w:w="324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b w:val="1"/>
                <w:bCs w:val="1"/>
                <w:color w:val="auto"/>
              </w:rPr>
              <w:t>536</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4"/>
        </w:trPr>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2,732</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8"/>
        </w:trPr>
        <w:tc>
          <w:tcPr>
            <w:tcW w:w="54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b w:val="1"/>
                <w:bCs w:val="1"/>
                <w:color w:val="auto"/>
              </w:rPr>
              <w:t>6,994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34"/>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Licensed, including sports advances</w:t>
            </w:r>
          </w:p>
        </w:tc>
        <w:tc>
          <w:tcPr>
            <w:tcW w:w="3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5,811</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Film and television costs</w:t>
            </w:r>
          </w:p>
        </w:tc>
        <w:tc>
          <w:tcPr>
            <w:tcW w:w="3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12,806</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estimated future amortization expense for the capitalized film and television costs recorded in our consolidated balance sheet as of December 31,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Owned</w:t>
            </w: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Licensed</w:t>
            </w:r>
          </w:p>
        </w:tc>
      </w:tr>
      <w:tr>
        <w:trPr>
          <w:trHeight w:val="228"/>
        </w:trPr>
        <w:tc>
          <w:tcPr>
            <w:tcW w:w="5240" w:type="dxa"/>
            <w:vAlign w:val="bottom"/>
          </w:tcPr>
          <w:p>
            <w:pPr>
              <w:ind w:left="20"/>
              <w:spacing w:after="0"/>
              <w:rPr>
                <w:sz w:val="20"/>
                <w:szCs w:val="20"/>
                <w:color w:val="auto"/>
              </w:rPr>
            </w:pPr>
            <w:r>
              <w:rPr>
                <w:rFonts w:ascii="Arial" w:cs="Arial" w:eastAsia="Arial" w:hAnsi="Arial"/>
                <w:sz w:val="18"/>
                <w:szCs w:val="18"/>
                <w:color w:val="auto"/>
              </w:rPr>
              <w:t>Completed, not released:</w:t>
            </w:r>
          </w:p>
        </w:tc>
        <w:tc>
          <w:tcPr>
            <w:tcW w:w="3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40" w:type="dxa"/>
            <w:vAlign w:val="bottom"/>
          </w:tcPr>
          <w:p>
            <w:pPr>
              <w:jc w:val="right"/>
              <w:ind w:right="4653"/>
              <w:spacing w:after="0"/>
              <w:rPr>
                <w:sz w:val="20"/>
                <w:szCs w:val="20"/>
                <w:color w:val="auto"/>
              </w:rPr>
            </w:pPr>
            <w:r>
              <w:rPr>
                <w:rFonts w:ascii="Arial" w:cs="Arial" w:eastAsia="Arial" w:hAnsi="Arial"/>
                <w:sz w:val="18"/>
                <w:szCs w:val="18"/>
                <w:color w:val="auto"/>
              </w:rPr>
              <w:t>2022</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345</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5240" w:type="dxa"/>
            <w:vAlign w:val="bottom"/>
          </w:tcPr>
          <w:p>
            <w:pPr>
              <w:ind w:left="20"/>
              <w:spacing w:after="0"/>
              <w:rPr>
                <w:sz w:val="20"/>
                <w:szCs w:val="20"/>
                <w:color w:val="auto"/>
              </w:rPr>
            </w:pPr>
            <w:r>
              <w:rPr>
                <w:rFonts w:ascii="Arial" w:cs="Arial" w:eastAsia="Arial" w:hAnsi="Arial"/>
                <w:sz w:val="18"/>
                <w:szCs w:val="18"/>
                <w:color w:val="auto"/>
              </w:rPr>
              <w:t>Released and licensed content:</w:t>
            </w:r>
          </w:p>
        </w:tc>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5240" w:type="dxa"/>
            <w:vAlign w:val="bottom"/>
          </w:tcPr>
          <w:p>
            <w:pPr>
              <w:jc w:val="right"/>
              <w:ind w:right="4653"/>
              <w:spacing w:after="0"/>
              <w:rPr>
                <w:sz w:val="20"/>
                <w:szCs w:val="20"/>
                <w:color w:val="auto"/>
              </w:rPr>
            </w:pPr>
            <w:r>
              <w:rPr>
                <w:rFonts w:ascii="Arial" w:cs="Arial" w:eastAsia="Arial" w:hAnsi="Arial"/>
                <w:sz w:val="18"/>
                <w:szCs w:val="18"/>
                <w:color w:val="auto"/>
              </w:rPr>
              <w:t>2022</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1,799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30"/>
        </w:trPr>
        <w:tc>
          <w:tcPr>
            <w:tcW w:w="5240" w:type="dxa"/>
            <w:vAlign w:val="bottom"/>
          </w:tcPr>
          <w:p>
            <w:pPr>
              <w:jc w:val="right"/>
              <w:ind w:right="4653"/>
              <w:spacing w:after="0"/>
              <w:rPr>
                <w:sz w:val="20"/>
                <w:szCs w:val="20"/>
                <w:color w:val="auto"/>
              </w:rPr>
            </w:pPr>
            <w:r>
              <w:rPr>
                <w:rFonts w:ascii="Arial" w:cs="Arial" w:eastAsia="Arial" w:hAnsi="Arial"/>
                <w:sz w:val="18"/>
                <w:szCs w:val="18"/>
                <w:color w:val="auto"/>
              </w:rPr>
              <w:t>2023</w:t>
            </w:r>
          </w:p>
        </w:tc>
        <w:tc>
          <w:tcPr>
            <w:tcW w:w="3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700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5240" w:type="dxa"/>
            <w:vAlign w:val="bottom"/>
            <w:tcBorders>
              <w:bottom w:val="single" w:sz="8" w:color="auto"/>
            </w:tcBorders>
          </w:tcPr>
          <w:p>
            <w:pPr>
              <w:jc w:val="right"/>
              <w:ind w:right="4653"/>
              <w:spacing w:after="0"/>
              <w:rPr>
                <w:sz w:val="20"/>
                <w:szCs w:val="20"/>
                <w:color w:val="auto"/>
              </w:rPr>
            </w:pPr>
            <w:r>
              <w:rPr>
                <w:rFonts w:ascii="Arial" w:cs="Arial" w:eastAsia="Arial" w:hAnsi="Arial"/>
                <w:sz w:val="18"/>
                <w:szCs w:val="18"/>
                <w:color w:val="auto"/>
              </w:rPr>
              <w:t>2024</w:t>
            </w:r>
          </w:p>
        </w:tc>
        <w:tc>
          <w:tcPr>
            <w:tcW w:w="3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387</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future minimum commitments for sports rights and licensed content that are not recognized in our consolidated balance sheet as of December 31, 2021 totaling $59.5 billion and $5.5 billion,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006EBF"/>
        </w:rPr>
        <w:t>Capitalization and Recognition of Film and Television Content</w:t>
      </w:r>
    </w:p>
    <w:p>
      <w:pPr>
        <w:spacing w:after="0" w:line="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capitalize costs for owned film and television content, including direct costs, production overhead, print costs, development costs and interest, as well as acquired libraries.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release patterns and distribution strategies, public acceptance and historical results for similar productions. Amortization for content predominantly monetized with other owned or licensed content is recorded based on estimated usage. In determining the method of amortization and estimated life of an acquired film or television library, we generally use the method and the life that most closely follow the undiscounted cash flows over the estimated life of the asset. We do not capitalize costs related to the distribution of a film in movie theaters or the licensing or sale of a film or television production, which primarily include costs associated with marketing and distribution.</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for the portion of the film acquired in these arrangements. We account for the proceeds received from the investor under these arrangements as a reduction of our capitalized film costs and the investor’s interest in the profit or loss of the film is recorded as either a charge or a benefit, respectively, in programming and production costs. The investor’s interest in the profit or loss of a film is recorded each period using the individual film forecast computation method.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capitalize the costs of licensed content when the license period begins, the content is made available for use and the costs of the licenses are known.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Licensed content is amortized as the associated programs are broadcast.</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Owned and licensed content are presented as noncurrent assets in film and television costs. We present amortization of owned and licensed content and accrued costs associated with participations and residuals payments in programming and production costs.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an event or a change in circumstance occurs that was known or knowable as of the balance sheet date and that indicates the fair value of either owned or licensed content is less than the unamortized costs in the balance sheet, we determine the fair value and record an impairment charge to the extent the unamortized costs exceed the fair value. Owned content is assessed either individually or in identified film groups, for content predominantly monetized on an individual basis or with other content, respectively. The substantial majority of our owned content is evaluated for impairment on an individual title basis. Licensed content that is not part of a film group is generally assessed in packages, channels or dayparts. A daypart is an aggregation of programs broadcast during a particular time of day or programs of a similar type. Licensed content is tested for impairment primarily on a channel, network or platform basis, with the exception of our broadcast networks and owned local broadcast television stations, which are tested on a daypart basis. Estimated fair values of owned and licensed content are generally based on Level 3 inputs including analysis of market participant estimates of future cash flows. We record charges related to impairments or content that is substantively abandoned to programming and production costs. Impairments of capitalized film and television costs were not material in any of the periods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Sports Rights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costs of multiyear, live-event sports rights as the rights are utilized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Production costs incurred in advance of airing are also presented with licensed content.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Income Before Income Taxes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3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color w:val="auto"/>
              </w:rPr>
              <w:t>2020</w:t>
            </w:r>
          </w:p>
        </w:tc>
        <w:tc>
          <w:tcPr>
            <w:tcW w:w="6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18"/>
        </w:trPr>
        <w:tc>
          <w:tcPr>
            <w:tcW w:w="3880" w:type="dxa"/>
            <w:vAlign w:val="bottom"/>
          </w:tcPr>
          <w:p>
            <w:pPr>
              <w:ind w:left="140"/>
              <w:spacing w:after="0"/>
              <w:rPr>
                <w:sz w:val="20"/>
                <w:szCs w:val="20"/>
                <w:color w:val="auto"/>
              </w:rPr>
            </w:pPr>
            <w:r>
              <w:rPr>
                <w:rFonts w:ascii="Arial" w:cs="Arial" w:eastAsia="Arial" w:hAnsi="Arial"/>
                <w:sz w:val="18"/>
                <w:szCs w:val="18"/>
                <w:color w:val="auto"/>
              </w:rPr>
              <w:t>Domestic</w:t>
            </w:r>
          </w:p>
        </w:tc>
        <w:tc>
          <w:tcPr>
            <w:tcW w:w="3160" w:type="dxa"/>
            <w:vAlign w:val="bottom"/>
          </w:tcPr>
          <w:p>
            <w:pPr>
              <w:jc w:val="right"/>
              <w:ind w:right="276"/>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360"/>
              <w:spacing w:after="0"/>
              <w:rPr>
                <w:sz w:val="20"/>
                <w:szCs w:val="20"/>
                <w:color w:val="auto"/>
              </w:rPr>
            </w:pPr>
            <w:r>
              <w:rPr>
                <w:rFonts w:ascii="Arial" w:cs="Arial" w:eastAsia="Arial" w:hAnsi="Arial"/>
                <w:sz w:val="18"/>
                <w:szCs w:val="18"/>
                <w:b w:val="1"/>
                <w:bCs w:val="1"/>
                <w:color w:val="auto"/>
              </w:rPr>
              <w:t>21,243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ind w:left="600"/>
              <w:spacing w:after="0"/>
              <w:rPr>
                <w:sz w:val="20"/>
                <w:szCs w:val="20"/>
                <w:color w:val="auto"/>
              </w:rPr>
            </w:pPr>
            <w:r>
              <w:rPr>
                <w:rFonts w:ascii="Arial" w:cs="Arial" w:eastAsia="Arial" w:hAnsi="Arial"/>
                <w:sz w:val="18"/>
                <w:szCs w:val="18"/>
                <w:color w:val="auto"/>
              </w:rPr>
              <w:t>16,211</w:t>
            </w:r>
          </w:p>
        </w:tc>
        <w:tc>
          <w:tcPr>
            <w:tcW w:w="60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16,646</w:t>
            </w:r>
          </w:p>
        </w:tc>
      </w:tr>
      <w:tr>
        <w:trPr>
          <w:trHeight w:val="234"/>
        </w:trPr>
        <w:tc>
          <w:tcPr>
            <w:tcW w:w="3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w:t>
            </w:r>
          </w:p>
        </w:tc>
        <w:tc>
          <w:tcPr>
            <w:tcW w:w="3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(2,150)</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(2,146)</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23"/>
        </w:trPr>
        <w:tc>
          <w:tcPr>
            <w:tcW w:w="3880" w:type="dxa"/>
            <w:vAlign w:val="bottom"/>
            <w:tcBorders>
              <w:bottom w:val="single" w:sz="8" w:color="0C6DFF"/>
            </w:tcBorders>
          </w:tcPr>
          <w:p>
            <w:pPr>
              <w:spacing w:after="0"/>
              <w:rPr>
                <w:sz w:val="19"/>
                <w:szCs w:val="19"/>
                <w:color w:val="auto"/>
              </w:rPr>
            </w:pPr>
          </w:p>
        </w:tc>
        <w:tc>
          <w:tcPr>
            <w:tcW w:w="3160" w:type="dxa"/>
            <w:vAlign w:val="bottom"/>
            <w:tcBorders>
              <w:bottom w:val="single" w:sz="8" w:color="0C6DFF"/>
            </w:tcBorders>
          </w:tcPr>
          <w:p>
            <w:pPr>
              <w:jc w:val="right"/>
              <w:ind w:right="276"/>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tcPr>
          <w:p>
            <w:pPr>
              <w:ind w:left="360"/>
              <w:spacing w:after="0"/>
              <w:rPr>
                <w:sz w:val="20"/>
                <w:szCs w:val="20"/>
                <w:color w:val="auto"/>
              </w:rPr>
            </w:pPr>
            <w:r>
              <w:rPr>
                <w:rFonts w:ascii="Arial" w:cs="Arial" w:eastAsia="Arial" w:hAnsi="Arial"/>
                <w:sz w:val="18"/>
                <w:szCs w:val="18"/>
                <w:b w:val="1"/>
                <w:bCs w:val="1"/>
                <w:color w:val="auto"/>
              </w:rPr>
              <w:t>19,093</w:t>
            </w:r>
          </w:p>
        </w:tc>
        <w:tc>
          <w:tcPr>
            <w:tcW w:w="360" w:type="dxa"/>
            <w:vAlign w:val="bottom"/>
            <w:tcBorders>
              <w:bottom w:val="single" w:sz="8" w:color="0C6DFF"/>
            </w:tcBorders>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0C6DFF"/>
            </w:tcBorders>
          </w:tcPr>
          <w:p>
            <w:pPr>
              <w:ind w:left="600"/>
              <w:spacing w:after="0"/>
              <w:rPr>
                <w:sz w:val="20"/>
                <w:szCs w:val="20"/>
                <w:color w:val="auto"/>
              </w:rPr>
            </w:pPr>
            <w:r>
              <w:rPr>
                <w:rFonts w:ascii="Arial" w:cs="Arial" w:eastAsia="Arial" w:hAnsi="Arial"/>
                <w:sz w:val="18"/>
                <w:szCs w:val="18"/>
                <w:color w:val="auto"/>
              </w:rPr>
              <w:t>14,065</w:t>
            </w:r>
          </w:p>
        </w:tc>
        <w:tc>
          <w:tcPr>
            <w:tcW w:w="600" w:type="dxa"/>
            <w:vAlign w:val="bottom"/>
            <w:tcBorders>
              <w:bottom w:val="single" w:sz="8" w:color="0C6DFF"/>
            </w:tcBorders>
          </w:tcPr>
          <w:p>
            <w:pPr>
              <w:jc w:val="center"/>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16,996</w:t>
            </w:r>
          </w:p>
        </w:tc>
      </w:tr>
      <w:tr>
        <w:trPr>
          <w:trHeight w:val="684"/>
        </w:trPr>
        <w:tc>
          <w:tcPr>
            <w:tcW w:w="3880" w:type="dxa"/>
            <w:vAlign w:val="bottom"/>
          </w:tcPr>
          <w:p>
            <w:pPr>
              <w:spacing w:after="0"/>
              <w:rPr>
                <w:sz w:val="24"/>
                <w:szCs w:val="24"/>
                <w:color w:val="auto"/>
              </w:rPr>
            </w:pPr>
          </w:p>
        </w:tc>
        <w:tc>
          <w:tcPr>
            <w:tcW w:w="3160" w:type="dxa"/>
            <w:vAlign w:val="bottom"/>
          </w:tcPr>
          <w:p>
            <w:pPr>
              <w:jc w:val="right"/>
              <w:ind w:right="1296"/>
              <w:spacing w:after="0"/>
              <w:rPr>
                <w:sz w:val="20"/>
                <w:szCs w:val="20"/>
                <w:color w:val="auto"/>
              </w:rPr>
            </w:pPr>
            <w:r>
              <w:rPr>
                <w:rFonts w:ascii="Arial" w:cs="Arial" w:eastAsia="Arial" w:hAnsi="Arial"/>
                <w:sz w:val="14"/>
                <w:szCs w:val="14"/>
                <w:b w:val="1"/>
                <w:bCs w:val="1"/>
                <w:color w:val="auto"/>
              </w:rPr>
              <w:t>81</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Arial" w:cs="Arial" w:eastAsia="Arial" w:hAnsi="Arial"/>
                <w:sz w:val="14"/>
                <w:szCs w:val="14"/>
                <w:color w:val="auto"/>
                <w:w w:val="93"/>
              </w:rPr>
              <w:t>Comcast 2021 Annual Report on Form 10-K</w:t>
            </w:r>
          </w:p>
        </w:tc>
      </w:tr>
      <w:tr>
        <w:trPr>
          <w:trHeight w:val="316"/>
        </w:trPr>
        <w:tc>
          <w:tcPr>
            <w:tcW w:w="38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Income Tax Expense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4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center"/>
              <w:ind w:left="412"/>
              <w:spacing w:after="0"/>
              <w:rPr>
                <w:sz w:val="20"/>
                <w:szCs w:val="20"/>
                <w:color w:val="auto"/>
              </w:rPr>
            </w:pPr>
            <w:r>
              <w:rPr>
                <w:rFonts w:ascii="Arial" w:cs="Arial" w:eastAsia="Arial" w:hAnsi="Arial"/>
                <w:sz w:val="14"/>
                <w:szCs w:val="14"/>
                <w:b w:val="1"/>
                <w:bCs w:val="1"/>
                <w:color w:val="auto"/>
                <w:w w:val="96"/>
              </w:rPr>
              <w:t>2021</w:t>
            </w:r>
          </w:p>
        </w:tc>
        <w:tc>
          <w:tcPr>
            <w:tcW w:w="5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2020</w:t>
            </w:r>
          </w:p>
        </w:tc>
        <w:tc>
          <w:tcPr>
            <w:tcW w:w="6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8"/>
                <w:szCs w:val="18"/>
                <w:color w:val="auto"/>
              </w:rPr>
              <w:t>Current (Expense) Benefit:</w:t>
            </w:r>
          </w:p>
        </w:tc>
        <w:tc>
          <w:tcPr>
            <w:tcW w:w="14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(2,355)</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tcPr>
          <w:p>
            <w:pPr>
              <w:ind w:left="140"/>
              <w:spacing w:after="0"/>
              <w:rPr>
                <w:sz w:val="20"/>
                <w:szCs w:val="20"/>
                <w:color w:val="auto"/>
              </w:rPr>
            </w:pPr>
            <w:r>
              <w:rPr>
                <w:rFonts w:ascii="Arial" w:cs="Arial" w:eastAsia="Arial" w:hAnsi="Arial"/>
                <w:sz w:val="18"/>
                <w:szCs w:val="18"/>
                <w:color w:val="auto"/>
              </w:rPr>
              <w:t>Federal</w:t>
            </w:r>
          </w:p>
        </w:tc>
        <w:tc>
          <w:tcPr>
            <w:tcW w:w="14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(2,824)</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State</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(669)</w:t>
            </w:r>
          </w:p>
        </w:tc>
        <w:tc>
          <w:tcPr>
            <w:tcW w:w="5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(836)</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4"/>
        </w:trPr>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w:t>
            </w:r>
          </w:p>
        </w:tc>
        <w:tc>
          <w:tcPr>
            <w:tcW w:w="1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(343)</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(3,367)</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(3,914)</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8"/>
                <w:szCs w:val="18"/>
                <w:color w:val="auto"/>
              </w:rPr>
              <w:t>Deferred (Expense) Benefit:</w:t>
            </w:r>
          </w:p>
        </w:tc>
        <w:tc>
          <w:tcPr>
            <w:tcW w:w="1400" w:type="dxa"/>
            <w:vAlign w:val="bottom"/>
          </w:tcPr>
          <w:p>
            <w:pPr>
              <w:spacing w:after="0"/>
              <w:rPr>
                <w:sz w:val="19"/>
                <w:szCs w:val="19"/>
                <w:color w:val="auto"/>
              </w:rPr>
            </w:pPr>
          </w:p>
        </w:tc>
        <w:tc>
          <w:tcPr>
            <w:tcW w:w="10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(1,504)</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tcPr>
          <w:p>
            <w:pPr>
              <w:ind w:left="140"/>
              <w:spacing w:after="0"/>
              <w:rPr>
                <w:sz w:val="20"/>
                <w:szCs w:val="20"/>
                <w:color w:val="auto"/>
              </w:rPr>
            </w:pPr>
            <w:r>
              <w:rPr>
                <w:rFonts w:ascii="Arial" w:cs="Arial" w:eastAsia="Arial" w:hAnsi="Arial"/>
                <w:sz w:val="18"/>
                <w:szCs w:val="18"/>
                <w:color w:val="auto"/>
              </w:rPr>
              <w:t>Federal</w:t>
            </w:r>
          </w:p>
        </w:tc>
        <w:tc>
          <w:tcPr>
            <w:tcW w:w="1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111</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State</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(255)</w:t>
            </w:r>
          </w:p>
        </w:tc>
        <w:tc>
          <w:tcPr>
            <w:tcW w:w="5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71</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4"/>
        </w:trPr>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w:t>
            </w:r>
          </w:p>
        </w:tc>
        <w:tc>
          <w:tcPr>
            <w:tcW w:w="1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(133)</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368</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(1,892)</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550</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400" w:type="dxa"/>
            <w:vAlign w:val="bottom"/>
            <w:tcBorders>
              <w:bottom w:val="single" w:sz="8" w:color="0C6DFF"/>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tcPr>
          <w:p>
            <w:pPr>
              <w:jc w:val="right"/>
              <w:ind w:right="52"/>
              <w:spacing w:after="0"/>
              <w:rPr>
                <w:sz w:val="20"/>
                <w:szCs w:val="20"/>
                <w:color w:val="auto"/>
              </w:rPr>
            </w:pPr>
            <w:r>
              <w:rPr>
                <w:rFonts w:ascii="Arial" w:cs="Arial" w:eastAsia="Arial" w:hAnsi="Arial"/>
                <w:sz w:val="18"/>
                <w:szCs w:val="18"/>
                <w:b w:val="1"/>
                <w:bCs w:val="1"/>
                <w:color w:val="auto"/>
              </w:rPr>
              <w:t>(5,259)</w:t>
            </w:r>
          </w:p>
        </w:tc>
        <w:tc>
          <w:tcPr>
            <w:tcW w:w="580" w:type="dxa"/>
            <w:vAlign w:val="bottom"/>
            <w:tcBorders>
              <w:bottom w:val="single" w:sz="8" w:color="0C6DFF"/>
            </w:tcBorders>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color w:val="auto"/>
              </w:rPr>
              <w:t>(3,364)</w:t>
            </w:r>
          </w:p>
        </w:tc>
        <w:tc>
          <w:tcPr>
            <w:tcW w:w="600" w:type="dxa"/>
            <w:vAlign w:val="bottom"/>
            <w:tcBorders>
              <w:bottom w:val="single" w:sz="8" w:color="0C6DFF"/>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345"/>
        </w:trPr>
        <w:tc>
          <w:tcPr>
            <w:tcW w:w="9700" w:type="dxa"/>
            <w:vAlign w:val="bottom"/>
            <w:gridSpan w:val="5"/>
          </w:tcPr>
          <w:p>
            <w:pPr>
              <w:spacing w:after="0"/>
              <w:rPr>
                <w:sz w:val="20"/>
                <w:szCs w:val="20"/>
                <w:color w:val="auto"/>
              </w:rPr>
            </w:pPr>
            <w:r>
              <w:rPr>
                <w:rFonts w:ascii="Arial" w:cs="Arial" w:eastAsia="Arial" w:hAnsi="Arial"/>
                <w:sz w:val="18"/>
                <w:szCs w:val="18"/>
                <w:color w:val="auto"/>
                <w:w w:val="96"/>
              </w:rPr>
              <w:t>Our income tax expense differs from the federal statutory amount because of the effect of the items detailed in the table below.</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left="412"/>
              <w:spacing w:after="0"/>
              <w:rPr>
                <w:sz w:val="20"/>
                <w:szCs w:val="20"/>
                <w:color w:val="auto"/>
              </w:rPr>
            </w:pPr>
            <w:r>
              <w:rPr>
                <w:rFonts w:ascii="Arial" w:cs="Arial" w:eastAsia="Arial" w:hAnsi="Arial"/>
                <w:sz w:val="14"/>
                <w:szCs w:val="14"/>
                <w:b w:val="1"/>
                <w:bCs w:val="1"/>
                <w:color w:val="auto"/>
                <w:w w:val="96"/>
              </w:rPr>
              <w:t>2021</w:t>
            </w: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4"/>
        </w:trPr>
        <w:tc>
          <w:tcPr>
            <w:tcW w:w="5640" w:type="dxa"/>
            <w:vAlign w:val="bottom"/>
          </w:tcPr>
          <w:p>
            <w:pPr>
              <w:ind w:left="20"/>
              <w:spacing w:after="0"/>
              <w:rPr>
                <w:sz w:val="20"/>
                <w:szCs w:val="20"/>
                <w:color w:val="auto"/>
              </w:rPr>
            </w:pPr>
            <w:r>
              <w:rPr>
                <w:rFonts w:ascii="Arial" w:cs="Arial" w:eastAsia="Arial" w:hAnsi="Arial"/>
                <w:sz w:val="18"/>
                <w:szCs w:val="18"/>
                <w:color w:val="auto"/>
              </w:rPr>
              <w:t>Federal tax at statutory rate</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(4,009)</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(2,954)</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(464)</w:t>
            </w:r>
          </w:p>
        </w:tc>
        <w:tc>
          <w:tcPr>
            <w:tcW w:w="5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Foreign income taxed at different rates</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(392)</w:t>
            </w:r>
          </w:p>
        </w:tc>
        <w:tc>
          <w:tcPr>
            <w:tcW w:w="5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Adjustments to uncertain and effectively settled tax positions, net</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(238)</w:t>
            </w:r>
          </w:p>
        </w:tc>
        <w:tc>
          <w:tcPr>
            <w:tcW w:w="5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Federal research and development credits</w:t>
            </w:r>
          </w:p>
        </w:tc>
        <w:tc>
          <w:tcPr>
            <w:tcW w:w="1400" w:type="dxa"/>
            <w:vAlign w:val="bottom"/>
          </w:tcPr>
          <w:p>
            <w:pPr>
              <w:spacing w:after="0"/>
              <w:rPr>
                <w:sz w:val="19"/>
                <w:szCs w:val="19"/>
                <w:color w:val="auto"/>
              </w:rPr>
            </w:pPr>
          </w:p>
        </w:tc>
        <w:tc>
          <w:tcPr>
            <w:tcW w:w="1040" w:type="dxa"/>
            <w:vAlign w:val="bottom"/>
          </w:tcPr>
          <w:p>
            <w:pPr>
              <w:jc w:val="center"/>
              <w:ind w:left="412"/>
              <w:spacing w:after="0"/>
              <w:rPr>
                <w:sz w:val="20"/>
                <w:szCs w:val="20"/>
                <w:color w:val="auto"/>
              </w:rPr>
            </w:pPr>
            <w:r>
              <w:rPr>
                <w:rFonts w:ascii="Arial" w:cs="Arial" w:eastAsia="Arial" w:hAnsi="Arial"/>
                <w:sz w:val="18"/>
                <w:szCs w:val="18"/>
                <w:b w:val="1"/>
                <w:bCs w:val="1"/>
                <w:color w:val="auto"/>
                <w:w w:val="89"/>
              </w:rPr>
              <w:t>85</w:t>
            </w:r>
          </w:p>
        </w:tc>
        <w:tc>
          <w:tcPr>
            <w:tcW w:w="5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Excess tax benefits recognized on share-based compensation</w:t>
            </w:r>
          </w:p>
        </w:tc>
        <w:tc>
          <w:tcPr>
            <w:tcW w:w="14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209</w:t>
            </w:r>
          </w:p>
        </w:tc>
        <w:tc>
          <w:tcPr>
            <w:tcW w:w="5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150</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Tax legislation</w:t>
            </w:r>
          </w:p>
        </w:tc>
        <w:tc>
          <w:tcPr>
            <w:tcW w:w="14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(498)</w:t>
            </w:r>
          </w:p>
        </w:tc>
        <w:tc>
          <w:tcPr>
            <w:tcW w:w="58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b w:val="1"/>
                <w:bCs w:val="1"/>
                <w:color w:val="auto"/>
                <w:w w:val="89"/>
              </w:rPr>
              <w:t>48</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400" w:type="dxa"/>
            <w:vAlign w:val="bottom"/>
            <w:tcBorders>
              <w:bottom w:val="single" w:sz="8" w:color="0C6DFF"/>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tcPr>
          <w:p>
            <w:pPr>
              <w:jc w:val="right"/>
              <w:ind w:right="52"/>
              <w:spacing w:after="0"/>
              <w:rPr>
                <w:sz w:val="20"/>
                <w:szCs w:val="20"/>
                <w:color w:val="auto"/>
              </w:rPr>
            </w:pPr>
            <w:r>
              <w:rPr>
                <w:rFonts w:ascii="Arial" w:cs="Arial" w:eastAsia="Arial" w:hAnsi="Arial"/>
                <w:sz w:val="18"/>
                <w:szCs w:val="18"/>
                <w:b w:val="1"/>
                <w:bCs w:val="1"/>
                <w:color w:val="auto"/>
              </w:rPr>
              <w:t>(5,259)</w:t>
            </w:r>
          </w:p>
        </w:tc>
        <w:tc>
          <w:tcPr>
            <w:tcW w:w="580" w:type="dxa"/>
            <w:vAlign w:val="bottom"/>
            <w:tcBorders>
              <w:bottom w:val="single" w:sz="8" w:color="0C6DFF"/>
            </w:tcBorders>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color w:val="auto"/>
              </w:rPr>
              <w:t>(3,364)</w:t>
            </w:r>
          </w:p>
        </w:tc>
        <w:tc>
          <w:tcPr>
            <w:tcW w:w="600" w:type="dxa"/>
            <w:vAlign w:val="bottom"/>
            <w:tcBorders>
              <w:bottom w:val="single" w:sz="8" w:color="0C6DFF"/>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statement of income.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w:t>
      </w:r>
    </w:p>
    <w:p>
      <w:pPr>
        <w:spacing w:after="0" w:line="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 benefit.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82</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Components of Net Deferred Tax Liability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7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2"/>
        </w:trPr>
        <w:tc>
          <w:tcPr>
            <w:tcW w:w="65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3,194</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80" w:type="dxa"/>
            <w:vAlign w:val="bottom"/>
          </w:tcPr>
          <w:p>
            <w:pPr>
              <w:ind w:left="140"/>
              <w:spacing w:after="0"/>
              <w:rPr>
                <w:sz w:val="20"/>
                <w:szCs w:val="20"/>
                <w:color w:val="auto"/>
              </w:rPr>
            </w:pPr>
            <w:r>
              <w:rPr>
                <w:rFonts w:ascii="Arial" w:cs="Arial" w:eastAsia="Arial" w:hAnsi="Arial"/>
                <w:sz w:val="18"/>
                <w:szCs w:val="18"/>
                <w:color w:val="auto"/>
              </w:rPr>
              <w:t>Net operating loss and other loss carryforwards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29"/>
        </w:trPr>
        <w:tc>
          <w:tcPr>
            <w:tcW w:w="6580" w:type="dxa"/>
            <w:vAlign w:val="bottom"/>
          </w:tcPr>
          <w:p>
            <w:pPr>
              <w:ind w:left="140"/>
              <w:spacing w:after="0"/>
              <w:rPr>
                <w:sz w:val="20"/>
                <w:szCs w:val="20"/>
                <w:color w:val="auto"/>
              </w:rPr>
            </w:pPr>
            <w:r>
              <w:rPr>
                <w:rFonts w:ascii="Arial" w:cs="Arial" w:eastAsia="Arial" w:hAnsi="Arial"/>
                <w:sz w:val="18"/>
                <w:szCs w:val="18"/>
                <w:color w:val="auto"/>
              </w:rPr>
              <w:t>Nondeductible accruals and other</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3,246</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34"/>
        </w:trPr>
        <w:tc>
          <w:tcPr>
            <w:tcW w:w="6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Valuation allowance</w:t>
            </w: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2,907</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3,533</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22"/>
        </w:trPr>
        <w:tc>
          <w:tcPr>
            <w:tcW w:w="6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30,584</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w w:val="90"/>
              </w:rPr>
              <w:t>Differences between book and tax basis of property and equipment and intangible assets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29,829</w:t>
            </w:r>
          </w:p>
        </w:tc>
        <w:tc>
          <w:tcPr>
            <w:tcW w:w="0" w:type="dxa"/>
            <w:vAlign w:val="bottom"/>
          </w:tcPr>
          <w:p>
            <w:pPr>
              <w:spacing w:after="0"/>
              <w:rPr>
                <w:sz w:val="1"/>
                <w:szCs w:val="1"/>
                <w:color w:val="auto"/>
              </w:rPr>
            </w:pPr>
          </w:p>
        </w:tc>
      </w:tr>
      <w:tr>
        <w:trPr>
          <w:trHeight w:val="229"/>
        </w:trPr>
        <w:tc>
          <w:tcPr>
            <w:tcW w:w="6580" w:type="dxa"/>
            <w:vAlign w:val="bottom"/>
          </w:tcPr>
          <w:p>
            <w:pPr>
              <w:ind w:left="140"/>
              <w:spacing w:after="0"/>
              <w:rPr>
                <w:sz w:val="20"/>
                <w:szCs w:val="20"/>
                <w:color w:val="auto"/>
              </w:rPr>
            </w:pPr>
            <w:r>
              <w:rPr>
                <w:rFonts w:ascii="Arial" w:cs="Arial" w:eastAsia="Arial" w:hAnsi="Arial"/>
                <w:sz w:val="18"/>
                <w:szCs w:val="18"/>
                <w:color w:val="auto"/>
              </w:rPr>
              <w:t>Differences between book and tax basis of investments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526</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6580" w:type="dxa"/>
            <w:vAlign w:val="bottom"/>
          </w:tcPr>
          <w:p>
            <w:pPr>
              <w:ind w:left="140"/>
              <w:spacing w:after="0"/>
              <w:rPr>
                <w:sz w:val="20"/>
                <w:szCs w:val="20"/>
                <w:color w:val="auto"/>
              </w:rPr>
            </w:pPr>
            <w:r>
              <w:rPr>
                <w:rFonts w:ascii="Arial" w:cs="Arial" w:eastAsia="Arial" w:hAnsi="Arial"/>
                <w:sz w:val="18"/>
                <w:szCs w:val="18"/>
                <w:color w:val="auto"/>
              </w:rPr>
              <w:t>Differences between book and tax basis of long-term debt</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1,788</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34"/>
        </w:trPr>
        <w:tc>
          <w:tcPr>
            <w:tcW w:w="7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2"/>
              </w:rPr>
              <w:t>Differences between book and tax basis of foreign subsidiaries and undistributed foreign earnings</w:t>
            </w: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394</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33,292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31,382</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Net deferred tax liability</w:t>
            </w:r>
          </w:p>
        </w:tc>
        <w:tc>
          <w:tcPr>
            <w:tcW w:w="780" w:type="dxa"/>
            <w:vAlign w:val="bottom"/>
            <w:tcBorders>
              <w:bottom w:val="single" w:sz="8" w:color="0C6DFF"/>
            </w:tcBorders>
          </w:tcPr>
          <w:p>
            <w:pPr>
              <w:spacing w:after="0"/>
              <w:rPr>
                <w:sz w:val="19"/>
                <w:szCs w:val="19"/>
                <w:color w:val="auto"/>
              </w:rPr>
            </w:pPr>
          </w:p>
        </w:tc>
        <w:tc>
          <w:tcPr>
            <w:tcW w:w="740" w:type="dxa"/>
            <w:vAlign w:val="bottom"/>
            <w:tcBorders>
              <w:bottom w:val="single" w:sz="8" w:color="0C6DFF"/>
            </w:tcBorders>
          </w:tcPr>
          <w:p>
            <w:pPr>
              <w:spacing w:after="0"/>
              <w:rPr>
                <w:sz w:val="19"/>
                <w:szCs w:val="19"/>
                <w:color w:val="auto"/>
              </w:rPr>
            </w:pPr>
          </w:p>
        </w:tc>
        <w:tc>
          <w:tcPr>
            <w:tcW w:w="580" w:type="dxa"/>
            <w:vAlign w:val="bottom"/>
            <w:tcBorders>
              <w:bottom w:val="single" w:sz="8" w:color="0C6DFF"/>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tcBorders>
          </w:tcPr>
          <w:p>
            <w:pPr>
              <w:jc w:val="right"/>
              <w:ind w:right="92"/>
              <w:spacing w:after="0"/>
              <w:rPr>
                <w:sz w:val="20"/>
                <w:szCs w:val="20"/>
                <w:color w:val="auto"/>
              </w:rPr>
            </w:pPr>
            <w:r>
              <w:rPr>
                <w:rFonts w:ascii="Arial" w:cs="Arial" w:eastAsia="Arial" w:hAnsi="Arial"/>
                <w:sz w:val="18"/>
                <w:szCs w:val="18"/>
                <w:b w:val="1"/>
                <w:bCs w:val="1"/>
                <w:color w:val="auto"/>
              </w:rPr>
              <w:t>29,759</w:t>
            </w:r>
          </w:p>
        </w:tc>
        <w:tc>
          <w:tcPr>
            <w:tcW w:w="580" w:type="dxa"/>
            <w:vAlign w:val="bottom"/>
            <w:tcBorders>
              <w:bottom w:val="single" w:sz="8" w:color="0C6DFF"/>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27,832</w:t>
            </w:r>
          </w:p>
        </w:tc>
        <w:tc>
          <w:tcPr>
            <w:tcW w:w="0" w:type="dxa"/>
            <w:vAlign w:val="bottom"/>
          </w:tcPr>
          <w:p>
            <w:pPr>
              <w:spacing w:after="0"/>
              <w:rPr>
                <w:sz w:val="1"/>
                <w:szCs w:val="1"/>
                <w:color w:val="auto"/>
              </w:rPr>
            </w:pPr>
          </w:p>
        </w:tc>
      </w:tr>
      <w:tr>
        <w:trPr>
          <w:trHeight w:val="426"/>
        </w:trPr>
        <w:tc>
          <w:tcPr>
            <w:tcW w:w="6580" w:type="dxa"/>
            <w:vAlign w:val="bottom"/>
          </w:tcPr>
          <w:p>
            <w:pPr>
              <w:spacing w:after="0"/>
              <w:rPr>
                <w:sz w:val="20"/>
                <w:szCs w:val="20"/>
                <w:color w:val="auto"/>
              </w:rPr>
            </w:pPr>
            <w:r>
              <w:rPr>
                <w:rFonts w:ascii="Arial" w:cs="Arial" w:eastAsia="Arial" w:hAnsi="Arial"/>
                <w:sz w:val="18"/>
                <w:szCs w:val="18"/>
                <w:color w:val="auto"/>
                <w:w w:val="93"/>
              </w:rPr>
              <w:t>The following table presents changes in our valuation allowance for deferred tax assets: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4"/>
        </w:trPr>
        <w:tc>
          <w:tcPr>
            <w:tcW w:w="65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b w:val="1"/>
                <w:bCs w:val="1"/>
                <w:color w:val="auto"/>
              </w:rPr>
              <w:t>2,312</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1,906</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Additions charged to income tax expense and other accounts</w:t>
            </w:r>
          </w:p>
        </w:tc>
        <w:tc>
          <w:tcPr>
            <w:tcW w:w="780" w:type="dxa"/>
            <w:vAlign w:val="bottom"/>
          </w:tcPr>
          <w:p>
            <w:pPr>
              <w:spacing w:after="0"/>
              <w:rPr>
                <w:sz w:val="19"/>
                <w:szCs w:val="19"/>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b w:val="1"/>
                <w:bCs w:val="1"/>
                <w:color w:val="auto"/>
              </w:rPr>
              <w:t>635</w:t>
            </w:r>
          </w:p>
        </w:tc>
        <w:tc>
          <w:tcPr>
            <w:tcW w:w="58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430</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34"/>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Deductions from reserves</w:t>
            </w: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40</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Ending balance</w:t>
            </w:r>
          </w:p>
        </w:tc>
        <w:tc>
          <w:tcPr>
            <w:tcW w:w="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2,907</w:t>
            </w:r>
          </w:p>
        </w:tc>
        <w:tc>
          <w:tcPr>
            <w:tcW w:w="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2,312</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Changes in our net deferred tax liability in 2021 that were not recorded as deferred income tax benefit (expense) are primarily related to an increase of $73 million related to acquisitions and a decrease of $44 million associated with items included in other comprehensive income (loss).</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2021, we had federal net operating loss carryforwards of $196 million, and various state net operating loss carryforwards, the majority of which expire in periods through 2041. As of December 31, 2021, we also had foreign net operating loss carryforwards of $9.6 billion related to our foreign operations, primarily at Sky and NBCUniversal, the majority of which can be carried forward indefinitely. The determination of the realization of the state and foreign net operating loss carryforwards is dependent on our subsidiaries’ taxable income or loss, apportionment percentages, redetermination from taxing authorities, and state and foreign laws that can change from year to year and impact the amount of such carryforwards. We recognize a valuation allowance if we determine it is more likely than not that some portion, or all, of a deferred tax asset will not be realized. As of December 31, 2021 and 2020, our valuation allowance was primarily related to foreign and state net operating loss carryforwards.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Reconciliation of Unrecognized Tax Benefits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2020</w:t>
            </w:r>
          </w:p>
        </w:tc>
        <w:tc>
          <w:tcPr>
            <w:tcW w:w="6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Gross unrecognized tax benefits, January 1</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1,879</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1,422</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1,543</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the current year</w:t>
            </w:r>
          </w:p>
        </w:tc>
        <w:tc>
          <w:tcPr>
            <w:tcW w:w="16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352</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436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prior years</w:t>
            </w:r>
          </w:p>
        </w:tc>
        <w:tc>
          <w:tcPr>
            <w:tcW w:w="16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111</w:t>
            </w:r>
          </w:p>
        </w:tc>
        <w:tc>
          <w:tcPr>
            <w:tcW w:w="6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6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(181)</w:t>
            </w:r>
          </w:p>
        </w:tc>
        <w:tc>
          <w:tcPr>
            <w:tcW w:w="6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Reductions due to expiration of statutes of limitations</w:t>
            </w:r>
          </w:p>
        </w:tc>
        <w:tc>
          <w:tcPr>
            <w:tcW w:w="16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(107)</w:t>
            </w:r>
          </w:p>
        </w:tc>
        <w:tc>
          <w:tcPr>
            <w:tcW w:w="62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4"/>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Settlements with tax authorities and other</w:t>
            </w:r>
          </w:p>
        </w:tc>
        <w:tc>
          <w:tcPr>
            <w:tcW w:w="1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(12)</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42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Gross unrecognized tax benefits, December 31</w:t>
            </w:r>
          </w:p>
        </w:tc>
        <w:tc>
          <w:tcPr>
            <w:tcW w:w="166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92"/>
              <w:spacing w:after="0"/>
              <w:rPr>
                <w:sz w:val="20"/>
                <w:szCs w:val="20"/>
                <w:color w:val="auto"/>
              </w:rPr>
            </w:pPr>
            <w:r>
              <w:rPr>
                <w:rFonts w:ascii="Arial" w:cs="Arial" w:eastAsia="Arial" w:hAnsi="Arial"/>
                <w:sz w:val="18"/>
                <w:szCs w:val="18"/>
                <w:b w:val="1"/>
                <w:bCs w:val="1"/>
                <w:color w:val="auto"/>
              </w:rPr>
              <w:t>2,042</w:t>
            </w:r>
          </w:p>
        </w:tc>
        <w:tc>
          <w:tcPr>
            <w:tcW w:w="62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color w:val="auto"/>
              </w:rPr>
              <w:t>1,879</w:t>
            </w:r>
          </w:p>
        </w:tc>
        <w:tc>
          <w:tcPr>
            <w:tcW w:w="64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1,422</w:t>
            </w: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gross unrecognized tax benefits include both amounts related to positions for which we have recorded liabilities for potential payment obligations and those for which tax has been assessed and paid. The amounts exclude the federal benefits on state tax positions that were recorded to deferred income taxes. If we were to recognize our gross unrecognized tax benefits in the future, $1.5 billion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It is reasonably possible that certain tax contests could be resolved within the next 12 months that may result in a decrease in our effective tax rate. As of December 31, 2021 and 2020, accrued interest and penalties associated with our liability for uncertain tax positions were not material.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83</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IRS has completed its examination of our income tax returns for all years through 2016. Various states are examining our state tax returns and the tax years of those tax returns currently under examination vary by state, with most of the periods relating to tax years 2011 and forward. Various foreign jurisdictions are examining our tax returns and the tax years of those tax returns currently under examination vary by country, with most of the periods relating to tax years 2010 and forward.</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6: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840" w:type="dxa"/>
            <w:vAlign w:val="bottom"/>
          </w:tcPr>
          <w:p>
            <w:pPr>
              <w:jc w:val="right"/>
              <w:ind w:right="237"/>
              <w:spacing w:after="0"/>
              <w:rPr>
                <w:sz w:val="20"/>
                <w:szCs w:val="20"/>
                <w:color w:val="auto"/>
              </w:rPr>
            </w:pPr>
            <w:r>
              <w:rPr>
                <w:rFonts w:ascii="Arial" w:cs="Arial" w:eastAsia="Arial" w:hAnsi="Arial"/>
                <w:sz w:val="14"/>
                <w:szCs w:val="14"/>
                <w:b w:val="1"/>
                <w:bCs w:val="1"/>
                <w:color w:val="auto"/>
              </w:rPr>
              <w:t>Weighted-Average</w:t>
            </w:r>
          </w:p>
        </w:tc>
        <w:tc>
          <w:tcPr>
            <w:tcW w:w="1980" w:type="dxa"/>
            <w:vAlign w:val="bottom"/>
          </w:tcPr>
          <w:p>
            <w:pPr>
              <w:jc w:val="right"/>
              <w:ind w:right="177"/>
              <w:spacing w:after="0"/>
              <w:rPr>
                <w:sz w:val="20"/>
                <w:szCs w:val="20"/>
                <w:color w:val="auto"/>
              </w:rPr>
            </w:pPr>
            <w:r>
              <w:rPr>
                <w:rFonts w:ascii="Arial" w:cs="Arial" w:eastAsia="Arial" w:hAnsi="Arial"/>
                <w:sz w:val="14"/>
                <w:szCs w:val="14"/>
                <w:color w:val="auto"/>
              </w:rPr>
              <w:t>Weighted-Average Interest</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840" w:type="dxa"/>
            <w:vAlign w:val="bottom"/>
          </w:tcPr>
          <w:p>
            <w:pPr>
              <w:jc w:val="right"/>
              <w:ind w:right="277"/>
              <w:spacing w:after="0"/>
              <w:rPr>
                <w:sz w:val="20"/>
                <w:szCs w:val="20"/>
                <w:color w:val="auto"/>
              </w:rPr>
            </w:pPr>
            <w:r>
              <w:rPr>
                <w:rFonts w:ascii="Arial" w:cs="Arial" w:eastAsia="Arial" w:hAnsi="Arial"/>
                <w:sz w:val="14"/>
                <w:szCs w:val="14"/>
                <w:b w:val="1"/>
                <w:bCs w:val="1"/>
                <w:color w:val="auto"/>
              </w:rPr>
              <w:t>Interest Rate as of</w:t>
            </w:r>
          </w:p>
        </w:tc>
        <w:tc>
          <w:tcPr>
            <w:tcW w:w="1980" w:type="dxa"/>
            <w:vAlign w:val="bottom"/>
          </w:tcPr>
          <w:p>
            <w:pPr>
              <w:jc w:val="right"/>
              <w:ind w:right="177"/>
              <w:spacing w:after="0"/>
              <w:rPr>
                <w:sz w:val="20"/>
                <w:szCs w:val="20"/>
                <w:color w:val="auto"/>
              </w:rPr>
            </w:pPr>
            <w:r>
              <w:rPr>
                <w:rFonts w:ascii="Arial" w:cs="Arial" w:eastAsia="Arial" w:hAnsi="Arial"/>
                <w:sz w:val="14"/>
                <w:szCs w:val="14"/>
                <w:color w:val="auto"/>
              </w:rPr>
              <w:t>Rate as of December 31,</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18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December 31, 2021</w:t>
            </w:r>
          </w:p>
        </w:tc>
        <w:tc>
          <w:tcPr>
            <w:tcW w:w="19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(b)</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r>
              <w:rPr>
                <w:rFonts w:ascii="Arial" w:cs="Arial" w:eastAsia="Arial" w:hAnsi="Arial"/>
                <w:sz w:val="18"/>
                <w:szCs w:val="18"/>
                <w:color w:val="auto"/>
                <w:vertAlign w:val="superscript"/>
              </w:rPr>
              <w:t>(b)</w:t>
            </w:r>
          </w:p>
        </w:tc>
        <w:tc>
          <w:tcPr>
            <w:tcW w:w="0" w:type="dxa"/>
            <w:vAlign w:val="bottom"/>
          </w:tcPr>
          <w:p>
            <w:pPr>
              <w:spacing w:after="0"/>
              <w:rPr>
                <w:sz w:val="1"/>
                <w:szCs w:val="1"/>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1840" w:type="dxa"/>
            <w:vAlign w:val="bottom"/>
          </w:tcPr>
          <w:p>
            <w:pPr>
              <w:jc w:val="right"/>
              <w:ind w:right="237"/>
              <w:spacing w:after="0"/>
              <w:rPr>
                <w:sz w:val="20"/>
                <w:szCs w:val="20"/>
                <w:color w:val="auto"/>
              </w:rPr>
            </w:pPr>
            <w:r>
              <w:rPr>
                <w:rFonts w:ascii="Arial" w:cs="Arial" w:eastAsia="Arial" w:hAnsi="Arial"/>
                <w:sz w:val="18"/>
                <w:szCs w:val="18"/>
                <w:b w:val="1"/>
                <w:bCs w:val="1"/>
                <w:color w:val="auto"/>
              </w:rPr>
              <w:t>4.41 %</w:t>
            </w:r>
          </w:p>
        </w:tc>
        <w:tc>
          <w:tcPr>
            <w:tcW w:w="1980" w:type="dxa"/>
            <w:vAlign w:val="bottom"/>
          </w:tcPr>
          <w:p>
            <w:pPr>
              <w:jc w:val="right"/>
              <w:ind w:right="177"/>
              <w:spacing w:after="0"/>
              <w:rPr>
                <w:sz w:val="20"/>
                <w:szCs w:val="20"/>
                <w:color w:val="auto"/>
              </w:rPr>
            </w:pPr>
            <w:r>
              <w:rPr>
                <w:rFonts w:ascii="Arial" w:cs="Arial" w:eastAsia="Arial" w:hAnsi="Arial"/>
                <w:sz w:val="18"/>
                <w:szCs w:val="18"/>
                <w:color w:val="auto"/>
              </w:rPr>
              <w:t>2.07 %</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33"/>
        </w:trPr>
        <w:tc>
          <w:tcPr>
            <w:tcW w:w="4940" w:type="dxa"/>
            <w:vAlign w:val="bottom"/>
          </w:tcPr>
          <w:p>
            <w:pPr>
              <w:ind w:left="20"/>
              <w:spacing w:after="0"/>
              <w:rPr>
                <w:sz w:val="20"/>
                <w:szCs w:val="20"/>
                <w:color w:val="auto"/>
              </w:rPr>
            </w:pPr>
            <w:r>
              <w:rPr>
                <w:rFonts w:ascii="Arial" w:cs="Arial" w:eastAsia="Arial" w:hAnsi="Arial"/>
                <w:sz w:val="18"/>
                <w:szCs w:val="18"/>
                <w:color w:val="auto"/>
              </w:rPr>
              <w:t>Senior notes with maturities of 5 years or less, at face value</w:t>
            </w:r>
          </w:p>
        </w:tc>
        <w:tc>
          <w:tcPr>
            <w:tcW w:w="1840" w:type="dxa"/>
            <w:vAlign w:val="bottom"/>
          </w:tcPr>
          <w:p>
            <w:pPr>
              <w:jc w:val="right"/>
              <w:ind w:right="237"/>
              <w:spacing w:after="0"/>
              <w:rPr>
                <w:sz w:val="20"/>
                <w:szCs w:val="20"/>
                <w:color w:val="auto"/>
              </w:rPr>
            </w:pPr>
            <w:r>
              <w:rPr>
                <w:rFonts w:ascii="Arial" w:cs="Arial" w:eastAsia="Arial" w:hAnsi="Arial"/>
                <w:sz w:val="18"/>
                <w:szCs w:val="18"/>
                <w:b w:val="1"/>
                <w:bCs w:val="1"/>
                <w:color w:val="auto"/>
              </w:rPr>
              <w:t>3.50 %</w:t>
            </w:r>
          </w:p>
        </w:tc>
        <w:tc>
          <w:tcPr>
            <w:tcW w:w="1980" w:type="dxa"/>
            <w:vAlign w:val="bottom"/>
          </w:tcPr>
          <w:p>
            <w:pPr>
              <w:jc w:val="right"/>
              <w:ind w:right="177"/>
              <w:spacing w:after="0"/>
              <w:rPr>
                <w:sz w:val="20"/>
                <w:szCs w:val="20"/>
                <w:color w:val="auto"/>
              </w:rPr>
            </w:pPr>
            <w:r>
              <w:rPr>
                <w:rFonts w:ascii="Arial" w:cs="Arial" w:eastAsia="Arial" w:hAnsi="Arial"/>
                <w:sz w:val="18"/>
                <w:szCs w:val="18"/>
                <w:color w:val="auto"/>
              </w:rPr>
              <w:t>3.41 %</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18,443</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19,190</w:t>
            </w: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Senior notes with maturities between 5 and 10 years, at face</w:t>
            </w:r>
          </w:p>
        </w:tc>
        <w:tc>
          <w:tcPr>
            <w:tcW w:w="1840" w:type="dxa"/>
            <w:vAlign w:val="bottom"/>
            <w:vMerge w:val="restart"/>
          </w:tcPr>
          <w:p>
            <w:pPr>
              <w:jc w:val="right"/>
              <w:ind w:right="237"/>
              <w:spacing w:after="0"/>
              <w:rPr>
                <w:sz w:val="20"/>
                <w:szCs w:val="20"/>
                <w:color w:val="auto"/>
              </w:rPr>
            </w:pPr>
            <w:r>
              <w:rPr>
                <w:rFonts w:ascii="Arial" w:cs="Arial" w:eastAsia="Arial" w:hAnsi="Arial"/>
                <w:sz w:val="18"/>
                <w:szCs w:val="18"/>
                <w:b w:val="1"/>
                <w:bCs w:val="1"/>
                <w:color w:val="auto"/>
              </w:rPr>
              <w:t>3.16 %</w:t>
            </w:r>
          </w:p>
        </w:tc>
        <w:tc>
          <w:tcPr>
            <w:tcW w:w="1980" w:type="dxa"/>
            <w:vAlign w:val="bottom"/>
            <w:vMerge w:val="restart"/>
          </w:tcPr>
          <w:p>
            <w:pPr>
              <w:jc w:val="right"/>
              <w:ind w:right="177"/>
              <w:spacing w:after="0"/>
              <w:rPr>
                <w:sz w:val="20"/>
                <w:szCs w:val="20"/>
                <w:color w:val="auto"/>
              </w:rPr>
            </w:pPr>
            <w:r>
              <w:rPr>
                <w:rFonts w:ascii="Arial" w:cs="Arial" w:eastAsia="Arial" w:hAnsi="Arial"/>
                <w:sz w:val="18"/>
                <w:szCs w:val="18"/>
                <w:color w:val="auto"/>
              </w:rPr>
              <w:t>3.47 %</w:t>
            </w:r>
          </w:p>
        </w:tc>
        <w:tc>
          <w:tcPr>
            <w:tcW w:w="4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22,964</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23,114</w:t>
            </w:r>
          </w:p>
        </w:tc>
        <w:tc>
          <w:tcPr>
            <w:tcW w:w="0" w:type="dxa"/>
            <w:vAlign w:val="bottom"/>
          </w:tcPr>
          <w:p>
            <w:pPr>
              <w:spacing w:after="0"/>
              <w:rPr>
                <w:sz w:val="1"/>
                <w:szCs w:val="1"/>
                <w:color w:val="auto"/>
              </w:rPr>
            </w:pPr>
          </w:p>
        </w:tc>
      </w:tr>
      <w:tr>
        <w:trPr>
          <w:trHeight w:val="225"/>
        </w:trPr>
        <w:tc>
          <w:tcPr>
            <w:tcW w:w="4940" w:type="dxa"/>
            <w:vAlign w:val="bottom"/>
          </w:tcPr>
          <w:p>
            <w:pPr>
              <w:ind w:left="180"/>
              <w:spacing w:after="0"/>
              <w:rPr>
                <w:sz w:val="20"/>
                <w:szCs w:val="20"/>
                <w:color w:val="auto"/>
              </w:rPr>
            </w:pPr>
            <w:r>
              <w:rPr>
                <w:rFonts w:ascii="Arial" w:cs="Arial" w:eastAsia="Arial" w:hAnsi="Arial"/>
                <w:sz w:val="18"/>
                <w:szCs w:val="18"/>
                <w:color w:val="auto"/>
              </w:rPr>
              <w:t>value</w:t>
            </w:r>
          </w:p>
        </w:tc>
        <w:tc>
          <w:tcPr>
            <w:tcW w:w="18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w w:val="96"/>
              </w:rPr>
              <w:t>Senior notes with maturities greater than 10 years, at face value</w:t>
            </w:r>
          </w:p>
        </w:tc>
        <w:tc>
          <w:tcPr>
            <w:tcW w:w="1840" w:type="dxa"/>
            <w:vAlign w:val="bottom"/>
          </w:tcPr>
          <w:p>
            <w:pPr>
              <w:jc w:val="right"/>
              <w:ind w:right="237"/>
              <w:spacing w:after="0"/>
              <w:rPr>
                <w:sz w:val="20"/>
                <w:szCs w:val="20"/>
                <w:color w:val="auto"/>
              </w:rPr>
            </w:pPr>
            <w:r>
              <w:rPr>
                <w:rFonts w:ascii="Arial" w:cs="Arial" w:eastAsia="Arial" w:hAnsi="Arial"/>
                <w:sz w:val="18"/>
                <w:szCs w:val="18"/>
                <w:b w:val="1"/>
                <w:bCs w:val="1"/>
                <w:color w:val="auto"/>
              </w:rPr>
              <w:t>3.67 %</w:t>
            </w:r>
          </w:p>
        </w:tc>
        <w:tc>
          <w:tcPr>
            <w:tcW w:w="1980" w:type="dxa"/>
            <w:vAlign w:val="bottom"/>
          </w:tcPr>
          <w:p>
            <w:pPr>
              <w:jc w:val="right"/>
              <w:ind w:right="177"/>
              <w:spacing w:after="0"/>
              <w:rPr>
                <w:sz w:val="20"/>
                <w:szCs w:val="20"/>
                <w:color w:val="auto"/>
              </w:rPr>
            </w:pPr>
            <w:r>
              <w:rPr>
                <w:rFonts w:ascii="Arial" w:cs="Arial" w:eastAsia="Arial" w:hAnsi="Arial"/>
                <w:sz w:val="18"/>
                <w:szCs w:val="18"/>
                <w:color w:val="auto"/>
              </w:rPr>
              <w:t>4.03 %</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54,536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54,203</w:t>
            </w:r>
          </w:p>
        </w:tc>
        <w:tc>
          <w:tcPr>
            <w:tcW w:w="0" w:type="dxa"/>
            <w:vAlign w:val="bottom"/>
          </w:tcPr>
          <w:p>
            <w:pPr>
              <w:spacing w:after="0"/>
              <w:rPr>
                <w:sz w:val="1"/>
                <w:szCs w:val="1"/>
                <w:color w:val="auto"/>
              </w:rPr>
            </w:pPr>
          </w:p>
        </w:tc>
      </w:tr>
      <w:tr>
        <w:trPr>
          <w:trHeight w:val="234"/>
        </w:trPr>
        <w:tc>
          <w:tcPr>
            <w:tcW w:w="4940" w:type="dxa"/>
            <w:vAlign w:val="bottom"/>
          </w:tcPr>
          <w:p>
            <w:pPr>
              <w:ind w:left="20"/>
              <w:spacing w:after="0"/>
              <w:rPr>
                <w:sz w:val="20"/>
                <w:szCs w:val="20"/>
                <w:color w:val="auto"/>
              </w:rPr>
            </w:pPr>
            <w:r>
              <w:rPr>
                <w:rFonts w:ascii="Arial" w:cs="Arial" w:eastAsia="Arial" w:hAnsi="Arial"/>
                <w:sz w:val="18"/>
                <w:szCs w:val="18"/>
                <w:color w:val="auto"/>
              </w:rPr>
              <w:t>Finance lease obligations and other</w:t>
            </w: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1,713</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176"/>
        </w:trPr>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Debt issuance costs, premiums, discounts, fair value</w:t>
            </w:r>
          </w:p>
        </w:tc>
        <w:tc>
          <w:tcPr>
            <w:tcW w:w="1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ind w:left="180"/>
              <w:spacing w:after="0" w:line="176" w:lineRule="exact"/>
              <w:rPr>
                <w:sz w:val="20"/>
                <w:szCs w:val="20"/>
                <w:color w:val="auto"/>
              </w:rPr>
            </w:pPr>
            <w:r>
              <w:rPr>
                <w:rFonts w:ascii="Arial" w:cs="Arial" w:eastAsia="Arial" w:hAnsi="Arial"/>
                <w:sz w:val="18"/>
                <w:szCs w:val="18"/>
                <w:color w:val="auto"/>
                <w:w w:val="97"/>
              </w:rPr>
              <w:t>adjustments for acquisition accounting and hedged positions,</w:t>
            </w:r>
          </w:p>
        </w:tc>
        <w:tc>
          <w:tcPr>
            <w:tcW w:w="1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(5,954)</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net</w:t>
            </w: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840" w:type="dxa"/>
            <w:vAlign w:val="bottom"/>
          </w:tcPr>
          <w:p>
            <w:pPr>
              <w:jc w:val="right"/>
              <w:ind w:right="97"/>
              <w:spacing w:after="0"/>
              <w:rPr>
                <w:sz w:val="20"/>
                <w:szCs w:val="20"/>
                <w:color w:val="auto"/>
              </w:rPr>
            </w:pPr>
            <w:r>
              <w:rPr>
                <w:rFonts w:ascii="Arial" w:cs="Arial" w:eastAsia="Arial" w:hAnsi="Arial"/>
                <w:sz w:val="18"/>
                <w:szCs w:val="18"/>
                <w:b w:val="1"/>
                <w:bCs w:val="1"/>
                <w:color w:val="auto"/>
              </w:rPr>
              <w:t xml:space="preserve">3.74 % </w:t>
            </w:r>
            <w:r>
              <w:rPr>
                <w:rFonts w:ascii="Arial" w:cs="Arial" w:eastAsia="Arial" w:hAnsi="Arial"/>
                <w:sz w:val="10"/>
                <w:szCs w:val="10"/>
                <w:color w:val="auto"/>
              </w:rPr>
              <w:t>(a)</w:t>
            </w:r>
          </w:p>
        </w:tc>
        <w:tc>
          <w:tcPr>
            <w:tcW w:w="1980" w:type="dxa"/>
            <w:vAlign w:val="bottom"/>
          </w:tcPr>
          <w:p>
            <w:pPr>
              <w:jc w:val="right"/>
              <w:ind w:right="17"/>
              <w:spacing w:after="0"/>
              <w:rPr>
                <w:sz w:val="20"/>
                <w:szCs w:val="20"/>
                <w:color w:val="auto"/>
              </w:rPr>
            </w:pPr>
            <w:r>
              <w:rPr>
                <w:rFonts w:ascii="Arial" w:cs="Arial" w:eastAsia="Arial" w:hAnsi="Arial"/>
                <w:sz w:val="18"/>
                <w:szCs w:val="18"/>
                <w:color w:val="auto"/>
              </w:rPr>
              <w:t xml:space="preserve">3.67 % </w:t>
            </w:r>
            <w:r>
              <w:rPr>
                <w:rFonts w:ascii="Arial" w:cs="Arial" w:eastAsia="Arial" w:hAnsi="Arial"/>
                <w:sz w:val="10"/>
                <w:szCs w:val="10"/>
                <w:color w:val="auto"/>
              </w:rPr>
              <w:t>(a)</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94,850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103,760</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portion</w:t>
            </w:r>
          </w:p>
        </w:tc>
        <w:tc>
          <w:tcPr>
            <w:tcW w:w="18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2,132</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Long-term debt</w:t>
            </w:r>
          </w:p>
        </w:tc>
        <w:tc>
          <w:tcPr>
            <w:tcW w:w="1840" w:type="dxa"/>
            <w:vAlign w:val="bottom"/>
            <w:tcBorders>
              <w:bottom w:val="single" w:sz="8" w:color="0C6DFF"/>
            </w:tcBorders>
          </w:tcPr>
          <w:p>
            <w:pPr>
              <w:spacing w:after="0"/>
              <w:rPr>
                <w:sz w:val="19"/>
                <w:szCs w:val="19"/>
                <w:color w:val="auto"/>
              </w:rPr>
            </w:pPr>
          </w:p>
        </w:tc>
        <w:tc>
          <w:tcPr>
            <w:tcW w:w="1980" w:type="dxa"/>
            <w:vAlign w:val="bottom"/>
            <w:tcBorders>
              <w:bottom w:val="single" w:sz="8" w:color="0C6DFF"/>
            </w:tcBorders>
          </w:tcPr>
          <w:p>
            <w:pPr>
              <w:spacing w:after="0"/>
              <w:rPr>
                <w:sz w:val="19"/>
                <w:szCs w:val="19"/>
                <w:color w:val="auto"/>
              </w:rPr>
            </w:pPr>
          </w:p>
        </w:tc>
        <w:tc>
          <w:tcPr>
            <w:tcW w:w="460" w:type="dxa"/>
            <w:vAlign w:val="bottom"/>
            <w:tcBorders>
              <w:bottom w:val="single" w:sz="8" w:color="0C6DFF"/>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92,718</w:t>
            </w:r>
          </w:p>
        </w:tc>
        <w:tc>
          <w:tcPr>
            <w:tcW w:w="320" w:type="dxa"/>
            <w:vAlign w:val="bottom"/>
            <w:tcBorders>
              <w:bottom w:val="single" w:sz="8" w:color="0C6D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100,614</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60" w:hanging="252"/>
        <w:spacing w:after="0" w:line="273" w:lineRule="auto"/>
        <w:tabs>
          <w:tab w:leader="none" w:pos="257" w:val="left"/>
        </w:tabs>
        <w:numPr>
          <w:ilvl w:val="0"/>
          <w:numId w:val="44"/>
        </w:numPr>
        <w:rPr>
          <w:rFonts w:ascii="Arial" w:cs="Arial" w:eastAsia="Arial" w:hAnsi="Arial"/>
          <w:sz w:val="14"/>
          <w:szCs w:val="14"/>
          <w:color w:val="auto"/>
        </w:rPr>
      </w:pPr>
      <w:r>
        <w:rPr>
          <w:rFonts w:ascii="Arial" w:cs="Arial" w:eastAsia="Arial" w:hAnsi="Arial"/>
          <w:sz w:val="14"/>
          <w:szCs w:val="14"/>
          <w:color w:val="auto"/>
        </w:rPr>
        <w:t>Rate represents an effective interest rate and includes the effects of amortization of debt issuance costs, premiums, discounts, fair value adjustments for acquisition accounting and hedged positions, as well as the effects of our derivative financial instruments.</w:t>
      </w:r>
    </w:p>
    <w:p>
      <w:pPr>
        <w:spacing w:after="0" w:line="65" w:lineRule="exact"/>
        <w:rPr>
          <w:rFonts w:ascii="Arial" w:cs="Arial" w:eastAsia="Arial" w:hAnsi="Arial"/>
          <w:sz w:val="14"/>
          <w:szCs w:val="14"/>
          <w:color w:val="auto"/>
        </w:rPr>
      </w:pPr>
    </w:p>
    <w:p>
      <w:pPr>
        <w:jc w:val="both"/>
        <w:ind w:left="260" w:hanging="252"/>
        <w:spacing w:after="0" w:line="257" w:lineRule="auto"/>
        <w:tabs>
          <w:tab w:leader="none" w:pos="252"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December 31, 2021, included in our outstanding debt were foreign currency denominated senior notes and term loans with principal amounts of £2.6 billion, €7.5 billion and ¥20.0 billion RMB. As of December 31, 2020, included in our outstanding debt were foreign currency denominated senior notes and term loans with principal amounts of £4.7 billion, €7.3 billion, ¥238.5 billion and ¥16.4 billion RMB.</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senior notes are unsubordinated and unsecured obligations and are subject to parent and/or subsidiary guarantees. As of December 31, 2021 and 2020, our debt had an estimated fair value of $109.3 billion and $125.6 billion, respectively.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891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2022</w:t>
            </w:r>
          </w:p>
        </w:tc>
        <w:tc>
          <w:tcPr>
            <w:tcW w:w="4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2023</w:t>
            </w:r>
          </w:p>
        </w:tc>
        <w:tc>
          <w:tcPr>
            <w:tcW w:w="4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2024</w:t>
            </w:r>
          </w:p>
        </w:tc>
        <w:tc>
          <w:tcPr>
            <w:tcW w:w="4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4,324</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2025</w:t>
            </w:r>
          </w:p>
        </w:tc>
        <w:tc>
          <w:tcPr>
            <w:tcW w:w="4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6,136</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2026</w:t>
            </w:r>
          </w:p>
        </w:tc>
        <w:tc>
          <w:tcPr>
            <w:tcW w:w="4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5,232</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81,919</w:t>
            </w:r>
          </w:p>
        </w:tc>
      </w:tr>
    </w:tbl>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use cross-currency swaps as cash flow hedges for certain foreign currency denominated debt obligations with obligations denominated in a currency other than the functional currency of the issuer. Cross-currency swaps effectively convert foreign currency denominated debt to debt denominated in the functional currency, which hedge currency exchange risks associated with foreign currency denominated cash flows such as interest and principal debt repayments. As of December 31, 2021 and 2020, we had cross-currency swaps designated as cash flow hedges on $1.6 billion and $1.7 billion of our foreign currency denominated debt, respectively. As of December 31, 2021 and 2020, the aggregate estimated fair value of cross-currency swaps designated as cash flow hedges was a net liability of $53 million and a net liability of $45 million, respectively.</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exposed to foreign exchange risk on the consolidation of our foreign operations. We have foreign currency denominated debt and cross-currency swaps designated as hedges of our net investments in certain of these subsidiaries. Transaction gains and losses resulting from currency movements on debt and changes in the fair value of cross-currency swaps designated as net investment hedges are recorded within the currency translation adjustments component of accumulated other comprehensive income (loss). As of December 31, 2021 and 2020, the amount of our net investment in foreign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hedged using foreign currency denominated debt was $8.2 billion and $10.3 billion, respectively, and the amount of our net investment in foreign subsidiaries hedged using cross-currency swaps was $3.6 billion and $4.0 billion, respectively. As of December 31, 2021 and 2020, the aggregate estimated fair value of these cross-currency swaps was a net liability of $104 million and $376 million, respectively. The amount of pre-tax gains (losses) related to net investment hedges recognized in the cumulative translation adjustments component of other comprehensive income (loss) were gains of $760 million in 2021, losses of $686 million in 2020 and gains of $343 million in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006EBF"/>
        </w:rPr>
        <w:t>Revolving Credit Facilities and Commercial Paper Programs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2021, we entered into a new $11 billion revolving credit facility due March 30, 2026 with a syndicate of banks that may be used for general corporate purposes. We may increase the commitments under the revolving credit facility up to a total of $14 billion, as well as extend the expiration date to no later than March 30, 2028, subject to approval of the lenders. The interest rate on the revolving credit facility consists of a base rate plus a borrowing margin that is determined based on Comcast’s credit rating. As of December 31, 2021, the borrowing margin for borrowings based on the London Interbank Offered Rate was 1.00%. Our revolving credit facility requires that we maintain certain financial ratios based on debt and EBITDA, as defined in the revolving credit facility. We were in compliance with all financial covenants for all periods presented. The new revolving credit facility replaced an aggregate $9.2 billion of existing revolving credit facilities due May 26, 2022, which were terminated.</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commercial paper program is supported by our revolving credit facility and provides a lower cost source of borrowing to fund short-term working capital requirements.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and 2020, we had no borrowings outstanding under our commercial paper programs or revolving credit facilities. As of December 31, 2021, amounts available under our revolving credit facility, net of amounts outstanding under our commercial paper program and outstanding letters of credit and bank guarantees, totaled $11 billion.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006EBF"/>
        </w:rPr>
        <w:t>Letters of Credit and Bank Guarantees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we and certain of our subsidiaries had undrawn irrevocable standby letters of credit and bank guarantees totaling $341 million to cover potential fundings under various agreements.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7: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006EBF"/>
        </w:rPr>
        <w:t>Universal Beijing Resort</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2018, we entered into an agreement with a consortium of Chinese state-owned companies to build and operate a Universal theme park and resort in Beijing, China (“Universal Beijing Resort”), which opened in September 2021. We own a 30% interest in Universal Beijing Resort and the construction was funded through a combination of debt financing and equity contributions from the investors in accordance with their equity interests. The debt financing, which is being provided by a syndicate of Chinese financial institutions, contains certain covenants and a maximum borrowing limit of ¥29.7 billion RMB (approximately $4.7 billion), which was increased from ¥26.6 billion RMB (approximately $4.2 billion) in the third quarter of 2021. The debt financing is secured by the assets of Universal Beijing Resort and the equity interests of the investors. As of December 31, 2021, Universal Beijing Resort had $3.6 billion of debt outstanding, including $3.1 billion principal amount of a term loan outstanding under the debt financing agreement.</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Universal Beijing Resort is a VIE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 Our consolidated statement of cash flows includes the costs of construction and related borrowings in the “construction of Universal Beijing Resort” and “proceeds from borrowings” captions, respectively, and equity contributions from the noncontrolling interests are included in other financing activities.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our consolidated balance sheet included assets and liabilities of Universal Beijing Resort totaling $9.7 billion and $8.1 billion, respectively. The assets and liabilities of Universal Beijing Resort primarily consist of property and equipment, operating lease assets and liabilities, and debt.</w:t>
      </w:r>
    </w:p>
    <w:p>
      <w:pPr>
        <w:spacing w:after="0" w:line="200" w:lineRule="exact"/>
        <w:rPr>
          <w:sz w:val="20"/>
          <w:szCs w:val="20"/>
          <w:color w:val="auto"/>
        </w:rPr>
      </w:pPr>
    </w:p>
    <w:p>
      <w:pPr>
        <w:spacing w:after="0" w:line="299"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85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006EBF"/>
        </w:rPr>
        <w:t>Acquisitions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2021, we acquired Masergy, a provider of software-defined networking and cloud platforms for global enterprises, for total cash consideration of $1.2 billion. The acquisition accelerates our growth in serving large and mid-sized companies, particularly U.S.-based organizations with multi-site global enterprises. Masergy’s results of operations are included in our consolidated results of operations since the acquisition date and are reported in our Cable Communications segment. We have recorded a preliminary estimate of Masergy’s assets and liabilities with approximately $850 million recorded to goodwill and the remainder primarily attributed to software and customer relationship intangible assets. These estimates are not yet final and are subject to change. The acquisition was not material to our consolidated results of operations.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8: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 and Other Income (Loss), Net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2020</w:t>
            </w:r>
          </w:p>
        </w:tc>
        <w:tc>
          <w:tcPr>
            <w:tcW w:w="6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18"/>
        </w:trPr>
        <w:tc>
          <w:tcPr>
            <w:tcW w:w="5540" w:type="dxa"/>
            <w:vAlign w:val="bottom"/>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15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2,006</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334"/>
              <w:spacing w:after="0"/>
              <w:rPr>
                <w:sz w:val="20"/>
                <w:szCs w:val="20"/>
                <w:color w:val="auto"/>
              </w:rPr>
            </w:pPr>
            <w:r>
              <w:rPr>
                <w:rFonts w:ascii="Arial" w:cs="Arial" w:eastAsia="Arial" w:hAnsi="Arial"/>
                <w:sz w:val="18"/>
                <w:szCs w:val="18"/>
                <w:color w:val="auto"/>
                <w:w w:val="95"/>
              </w:rPr>
              <w:t>(505)</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Realized and unrealized gains (losses) on equity securities, net</w:t>
            </w:r>
          </w:p>
        </w:tc>
        <w:tc>
          <w:tcPr>
            <w:tcW w:w="154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339</w:t>
            </w:r>
          </w:p>
        </w:tc>
        <w:tc>
          <w:tcPr>
            <w:tcW w:w="62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1,014</w:t>
            </w:r>
          </w:p>
        </w:tc>
        <w:tc>
          <w:tcPr>
            <w:tcW w:w="680" w:type="dxa"/>
            <w:vAlign w:val="bottom"/>
          </w:tcPr>
          <w:p>
            <w:pPr>
              <w:spacing w:after="0"/>
              <w:rPr>
                <w:sz w:val="19"/>
                <w:szCs w:val="19"/>
                <w:color w:val="auto"/>
              </w:rPr>
            </w:pPr>
          </w:p>
        </w:tc>
        <w:tc>
          <w:tcPr>
            <w:tcW w:w="860" w:type="dxa"/>
            <w:vAlign w:val="bottom"/>
          </w:tcPr>
          <w:p>
            <w:pPr>
              <w:jc w:val="center"/>
              <w:ind w:left="354"/>
              <w:spacing w:after="0"/>
              <w:rPr>
                <w:sz w:val="20"/>
                <w:szCs w:val="20"/>
                <w:color w:val="auto"/>
              </w:rPr>
            </w:pPr>
            <w:r>
              <w:rPr>
                <w:rFonts w:ascii="Arial" w:cs="Arial" w:eastAsia="Arial" w:hAnsi="Arial"/>
                <w:sz w:val="18"/>
                <w:szCs w:val="18"/>
                <w:color w:val="auto"/>
                <w:w w:val="86"/>
              </w:rPr>
              <w:t>656</w:t>
            </w:r>
          </w:p>
        </w:tc>
      </w:tr>
      <w:tr>
        <w:trPr>
          <w:trHeight w:val="23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(loss), net</w:t>
            </w:r>
          </w:p>
        </w:tc>
        <w:tc>
          <w:tcPr>
            <w:tcW w:w="1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211</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259</w:t>
            </w:r>
          </w:p>
        </w:tc>
        <w:tc>
          <w:tcPr>
            <w:tcW w:w="6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86"/>
              </w:rPr>
              <w:t>287</w:t>
            </w:r>
          </w:p>
        </w:tc>
      </w:tr>
      <w:tr>
        <w:trPr>
          <w:trHeight w:val="223"/>
        </w:trPr>
        <w:tc>
          <w:tcPr>
            <w:tcW w:w="55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154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94"/>
              <w:spacing w:after="0"/>
              <w:rPr>
                <w:sz w:val="20"/>
                <w:szCs w:val="20"/>
                <w:color w:val="auto"/>
              </w:rPr>
            </w:pPr>
            <w:r>
              <w:rPr>
                <w:rFonts w:ascii="Arial" w:cs="Arial" w:eastAsia="Arial" w:hAnsi="Arial"/>
                <w:sz w:val="18"/>
                <w:szCs w:val="18"/>
                <w:b w:val="1"/>
                <w:bCs w:val="1"/>
                <w:color w:val="auto"/>
              </w:rPr>
              <w:t>2,557</w:t>
            </w:r>
          </w:p>
        </w:tc>
        <w:tc>
          <w:tcPr>
            <w:tcW w:w="62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0C6DFF"/>
            </w:tcBorders>
          </w:tcPr>
          <w:p>
            <w:pPr>
              <w:jc w:val="right"/>
              <w:ind w:right="74"/>
              <w:spacing w:after="0"/>
              <w:rPr>
                <w:sz w:val="20"/>
                <w:szCs w:val="20"/>
                <w:color w:val="auto"/>
              </w:rPr>
            </w:pPr>
            <w:r>
              <w:rPr>
                <w:rFonts w:ascii="Arial" w:cs="Arial" w:eastAsia="Arial" w:hAnsi="Arial"/>
                <w:sz w:val="18"/>
                <w:szCs w:val="18"/>
                <w:color w:val="auto"/>
              </w:rPr>
              <w:t>1,160</w:t>
            </w:r>
          </w:p>
        </w:tc>
        <w:tc>
          <w:tcPr>
            <w:tcW w:w="680" w:type="dxa"/>
            <w:vAlign w:val="bottom"/>
            <w:tcBorders>
              <w:bottom w:val="single" w:sz="8" w:color="0C6DFF"/>
            </w:tcBorders>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0C6DFF"/>
            </w:tcBorders>
          </w:tcPr>
          <w:p>
            <w:pPr>
              <w:jc w:val="center"/>
              <w:ind w:left="354"/>
              <w:spacing w:after="0"/>
              <w:rPr>
                <w:sz w:val="20"/>
                <w:szCs w:val="20"/>
                <w:color w:val="auto"/>
              </w:rPr>
            </w:pPr>
            <w:r>
              <w:rPr>
                <w:rFonts w:ascii="Arial" w:cs="Arial" w:eastAsia="Arial" w:hAnsi="Arial"/>
                <w:sz w:val="18"/>
                <w:szCs w:val="18"/>
                <w:color w:val="auto"/>
                <w:w w:val="86"/>
              </w:rPr>
              <w:t>438</w:t>
            </w:r>
          </w:p>
        </w:tc>
      </w:tr>
    </w:tbl>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unrealized gains (losses), net recognized in 2021, 2020 and 2019 that related to marketable and nonmarketable equity securities still held as of the end of each reporting period was $(80) million, $339 million and $237 million, respectively.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Investments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27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18"/>
        </w:trPr>
        <w:tc>
          <w:tcPr>
            <w:tcW w:w="5940" w:type="dxa"/>
            <w:vAlign w:val="bottom"/>
          </w:tcPr>
          <w:p>
            <w:pPr>
              <w:ind w:left="20"/>
              <w:spacing w:after="0"/>
              <w:rPr>
                <w:sz w:val="20"/>
                <w:szCs w:val="20"/>
                <w:color w:val="auto"/>
              </w:rPr>
            </w:pPr>
            <w:r>
              <w:rPr>
                <w:rFonts w:ascii="Arial" w:cs="Arial" w:eastAsia="Arial" w:hAnsi="Arial"/>
                <w:sz w:val="18"/>
                <w:szCs w:val="18"/>
                <w:color w:val="auto"/>
              </w:rPr>
              <w:t>Equity method</w:t>
            </w:r>
          </w:p>
        </w:tc>
        <w:tc>
          <w:tcPr>
            <w:tcW w:w="27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6,111</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Marketable equity securities</w:t>
            </w:r>
          </w:p>
        </w:tc>
        <w:tc>
          <w:tcPr>
            <w:tcW w:w="276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406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Nonmarketable equity securities</w:t>
            </w:r>
          </w:p>
        </w:tc>
        <w:tc>
          <w:tcPr>
            <w:tcW w:w="276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1,735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34"/>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investments</w:t>
            </w:r>
          </w:p>
        </w:tc>
        <w:tc>
          <w:tcPr>
            <w:tcW w:w="2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803</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8"/>
        </w:trPr>
        <w:tc>
          <w:tcPr>
            <w:tcW w:w="59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276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9,055</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8,559</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Less: Current investments</w:t>
            </w:r>
          </w:p>
        </w:tc>
        <w:tc>
          <w:tcPr>
            <w:tcW w:w="276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368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34"/>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Investment securing collateralized obligation</w:t>
            </w:r>
          </w:p>
        </w:tc>
        <w:tc>
          <w:tcPr>
            <w:tcW w:w="2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605</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594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Noncurrent investments</w:t>
            </w:r>
          </w:p>
        </w:tc>
        <w:tc>
          <w:tcPr>
            <w:tcW w:w="276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b w:val="1"/>
                <w:bCs w:val="1"/>
                <w:color w:val="auto"/>
              </w:rPr>
              <w:t>8,082</w:t>
            </w:r>
          </w:p>
        </w:tc>
        <w:tc>
          <w:tcPr>
            <w:tcW w:w="64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7,820</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Equity method investments are recorded at cost and are adjusted to recognize (1) our share, based on percentage ownership or other contractual basis, of the investee’s net income or loss after the date of investment, (2) amortization of the recorded investment that exceeds our share of the book value of the investee’s net assets, (3) additional contributions made and dividends or other distributions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 Cash distributions received from equity method investments are considered returns on investment and presented within operating activities in the consolidated statement of cash flows to the extent of cumulative equity in net income of the investee. Additional distributions are presented as investing activities. Distributions presented within operating activities totaled $1.1 billion, $66 million and $215 million for 2021, 2020 and 2019,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006EBF"/>
        </w:rPr>
        <w:t>Atairos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2016, we established Atairos Group, Inc., a strategic company focused on investing in and operating companies in a range of industries and business sectors, both domestically and internationally. Atairos is controlled by management companies led by our former CFO through interests that carry all of the voting rights. We are the only third-party investor in Atairos.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2020, we amended our agreement with Atairos, which primarily extended the investment term of the agreement from up to 12 years to up to 16.5 years, extended the period in which capital can be recycled to the full investment period and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86</w:t>
            </w:r>
          </w:p>
        </w:tc>
      </w:tr>
      <w:tr>
        <w:trPr>
          <w:trHeight w:val="316"/>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decreased our commitment to fund Atairos from up to $5 billion to up to $4.5 billion in the aggregate at any one time, subject to certain offsets, with the maximum amount of annual capital calls reduced to $400 million, plus certain amounts previously distributed. In addition, we have separately committed to fund Atairos $45 million annually for a management fee, subject to certain adjustments. The management company investors have committed to fund from $50 million to $100 million, with at least $40 million to be funded by our former CFO, subject to his continued role with Atairos. Our economic interests do not carry voting rights and obligate us to absorb approximately 99% of any losses and they provide us the right to receive approximately 86% of any residual returns in Atairos, in either case on a cumulative basis.</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Certain distributions retained by Atairos on our behalf are accounted for as advances and classified within other investments. Atairos may pledge our remaining unfunded capital commitment as security to lenders in connection with certain financing arrangements. This has no effect on our funding commitments. There are no other liquidity arrangements, guarantees or other financial commitments between Comcast and Atairos, and therefore our maximum risk of financial loss is our investment balance and our remaining unfunded capital commitment of $1.5 billion as of December 31, 2021.</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In 2021, 2020 and 2019, we made cash capital contributions totaling $47 million, $383 million and $571 million, respectively, to Atairos. As of December 31, 2021 and 2020, our investment, inclusive of advances classified within other investments, was $4.7 billion and $3.9 billion,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006EBF"/>
        </w:rPr>
        <w:t>Hulu and Collateralized Obligation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2019, we entered into a series of agreements (the “Hulu Transaction”) with The Walt Disney Company and certain of its subsidiaries, whereby we relinquished our board seats and substantially all voting rights associated with our investment in Hulu, and Disney assumed full operational control. We also acquired our proportionate share of the approximate 10% interest in Hulu previously held by AT&amp;T for approximately $477 million, increasing our ownership interest to approximately 33% from approximately 30%.</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Hulu Transaction, future capital calls are limited to $1.5 billion in the aggregate each year, with any excess funding requirements funded with member loans. We have the right, but not the obligation, to fund our proportionate share of these capital calls, and if we elect not to fund our share of future equity capital calls, our ownership interest will be diluted, subject to an ownership floor of 21%. The Hulu Transaction agreements include put and call provisions regarding our ownership interest in Hulu, pursuant to which, as early as January 2024, we can require Disney to buy, and Disney can require us to sell our interest, in either case, for fair value at that future time subject to a minimum equity value of $27.5 billion for 100% of the equity of Hulu. The minimum total equity value and ownership floor guarantee minimum proceeds of approximately $5.8 billion upon exercise of the put or call.</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Hulu Transaction, we agreed to extend certain licenses of NBCUniversal content until late 2024. We can terminate most of our content license agreements with Hulu beginning in 2022, and we obtained the right, beginning in 2020, to modify certain exclusive content licenses so that we can exhibit the content on our platforms in return for reduced license fees.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2019, we entered into a financing arrangement with a syndicate of banks whereby we received proceeds of $5.2 billion under a term loan facility due March 2024. The principal amount of the term loan is secured by the proceeds guaranteed by Disney under the put/call provisions related to our investment in Hulu. The proceeds from the put/call provisions are available only for the repayment of the term loan and are not available to us unless and until the bank lenders are fully paid under the term loan provisions. The bank lenders have no rights to proceeds from the put/call provisions in excess of amounts owed under the term loan. As a result of this transaction, we now present our investment in Hulu and the term loan separately in our consolidated balance sheet in the captions “investment securing collateralized obligation” and “collateralized obligation”, respectively. The recorded value of our investment reflects our historical cost in applying the equity method, and as a result, is less than its fair value. As of December 31, 2021, our collateralized obligation had both a carrying value and estimated fair value of $5.2 billion. The estimated fair value was based on Level 2 inputs that use interest rates for debt with similar terms and remaining maturities.</w:t>
      </w:r>
    </w:p>
    <w:p>
      <w:pPr>
        <w:spacing w:after="0" w:line="200" w:lineRule="exact"/>
        <w:rPr>
          <w:sz w:val="20"/>
          <w:szCs w:val="20"/>
          <w:color w:val="auto"/>
        </w:rPr>
      </w:pPr>
    </w:p>
    <w:p>
      <w:pPr>
        <w:spacing w:after="0" w:line="29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87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classify investments with readily determinable fair values that are not accounted for under the equity method as marketable equity securities. The changes in fair value of our marketable equity securities between measurement dates are recorded in realized and unrealized gains (losses) on equity securities, net. The fair values of our marketable equity securities are based on Level 1 inputs that use quoted market prices.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the measurement alternative, adjusting the investments for observable price changes of identical or similar investments of the same issuer, to a majority of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AirTouch</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Verizon Americas, Inc., formerly known as AirTouch Communications, Inc. (“AirTouch”), redeemed the two series of preferred stock we previously held and we received cash payments totaling $1.7 billion. Subsequently, we redeemed and repurchased the related three series of preferred shares issued by one of our consolidated subsidiaries and made cash payments totaling $1.8 billion.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and held to maturity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and our held to maturity investments, we record the impairment to other income (loss), net.</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88</w:t>
            </w:r>
          </w:p>
        </w:tc>
      </w:tr>
      <w:tr>
        <w:trPr>
          <w:trHeight w:val="330"/>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9: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2300" w:type="dxa"/>
            <w:vAlign w:val="bottom"/>
          </w:tcPr>
          <w:p>
            <w:pPr>
              <w:jc w:val="right"/>
              <w:ind w:right="435"/>
              <w:spacing w:after="0"/>
              <w:rPr>
                <w:sz w:val="20"/>
                <w:szCs w:val="20"/>
                <w:color w:val="auto"/>
              </w:rPr>
            </w:pPr>
            <w:r>
              <w:rPr>
                <w:rFonts w:ascii="Arial" w:cs="Arial" w:eastAsia="Arial" w:hAnsi="Arial"/>
                <w:sz w:val="14"/>
                <w:szCs w:val="14"/>
                <w:color w:val="auto"/>
              </w:rPr>
              <w:t>Weighted-Average</w:t>
            </w: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180" w:type="dxa"/>
            <w:vAlign w:val="bottom"/>
          </w:tcPr>
          <w:p>
            <w:pPr>
              <w:spacing w:after="0"/>
              <w:rPr>
                <w:sz w:val="15"/>
                <w:szCs w:val="15"/>
                <w:color w:val="auto"/>
              </w:rPr>
            </w:pPr>
          </w:p>
        </w:tc>
        <w:tc>
          <w:tcPr>
            <w:tcW w:w="2300" w:type="dxa"/>
            <w:vAlign w:val="bottom"/>
          </w:tcPr>
          <w:p>
            <w:pPr>
              <w:jc w:val="right"/>
              <w:ind w:right="435"/>
              <w:spacing w:after="0"/>
              <w:rPr>
                <w:sz w:val="20"/>
                <w:szCs w:val="20"/>
                <w:color w:val="auto"/>
              </w:rPr>
            </w:pPr>
            <w:r>
              <w:rPr>
                <w:rFonts w:ascii="Arial" w:cs="Arial" w:eastAsia="Arial" w:hAnsi="Arial"/>
                <w:sz w:val="14"/>
                <w:szCs w:val="14"/>
                <w:color w:val="auto"/>
              </w:rPr>
              <w:t>Original Useful Life</w:t>
            </w:r>
          </w:p>
        </w:tc>
        <w:tc>
          <w:tcPr>
            <w:tcW w:w="1780" w:type="dxa"/>
            <w:vAlign w:val="bottom"/>
            <w:gridSpan w:val="2"/>
            <w:vMerge w:val="restart"/>
          </w:tcPr>
          <w:p>
            <w:pPr>
              <w:jc w:val="right"/>
              <w:ind w:right="590"/>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80" w:type="dxa"/>
            <w:vAlign w:val="bottom"/>
          </w:tcPr>
          <w:p>
            <w:pPr>
              <w:ind w:left="20"/>
              <w:spacing w:after="0"/>
              <w:rPr>
                <w:sz w:val="20"/>
                <w:szCs w:val="20"/>
                <w:color w:val="auto"/>
              </w:rPr>
            </w:pPr>
            <w:r>
              <w:rPr>
                <w:rFonts w:ascii="Arial" w:cs="Arial" w:eastAsia="Arial" w:hAnsi="Arial"/>
                <w:sz w:val="14"/>
                <w:szCs w:val="14"/>
                <w:color w:val="auto"/>
              </w:rPr>
              <w:t>December 31 (in millions)</w:t>
            </w:r>
          </w:p>
        </w:tc>
        <w:tc>
          <w:tcPr>
            <w:tcW w:w="2300" w:type="dxa"/>
            <w:vAlign w:val="bottom"/>
          </w:tcPr>
          <w:p>
            <w:pPr>
              <w:jc w:val="right"/>
              <w:ind w:right="435"/>
              <w:spacing w:after="0"/>
              <w:rPr>
                <w:sz w:val="20"/>
                <w:szCs w:val="20"/>
                <w:color w:val="auto"/>
              </w:rPr>
            </w:pPr>
            <w:r>
              <w:rPr>
                <w:rFonts w:ascii="Arial" w:cs="Arial" w:eastAsia="Arial" w:hAnsi="Arial"/>
                <w:sz w:val="14"/>
                <w:szCs w:val="14"/>
                <w:color w:val="auto"/>
              </w:rPr>
              <w:t>as of December 31, 2021</w:t>
            </w:r>
          </w:p>
        </w:tc>
        <w:tc>
          <w:tcPr>
            <w:tcW w:w="1780" w:type="dxa"/>
            <w:vAlign w:val="bottom"/>
            <w:gridSpan w:val="2"/>
            <w:vMerge w:val="continue"/>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6"/>
        </w:trPr>
        <w:tc>
          <w:tcPr>
            <w:tcW w:w="6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180" w:type="dxa"/>
            <w:vAlign w:val="bottom"/>
          </w:tcPr>
          <w:p>
            <w:pPr>
              <w:ind w:left="20"/>
              <w:spacing w:after="0"/>
              <w:rPr>
                <w:sz w:val="20"/>
                <w:szCs w:val="20"/>
                <w:color w:val="auto"/>
              </w:rPr>
            </w:pPr>
            <w:r>
              <w:rPr>
                <w:rFonts w:ascii="Arial" w:cs="Arial" w:eastAsia="Arial" w:hAnsi="Arial"/>
                <w:sz w:val="18"/>
                <w:szCs w:val="18"/>
                <w:color w:val="auto"/>
              </w:rPr>
              <w:t>Distribution systems</w:t>
            </w:r>
          </w:p>
        </w:tc>
        <w:tc>
          <w:tcPr>
            <w:tcW w:w="2300" w:type="dxa"/>
            <w:vAlign w:val="bottom"/>
          </w:tcPr>
          <w:p>
            <w:pPr>
              <w:jc w:val="right"/>
              <w:ind w:right="115"/>
              <w:spacing w:after="0"/>
              <w:rPr>
                <w:sz w:val="20"/>
                <w:szCs w:val="20"/>
                <w:color w:val="auto"/>
              </w:rPr>
            </w:pPr>
            <w:r>
              <w:rPr>
                <w:rFonts w:ascii="Arial" w:cs="Arial" w:eastAsia="Arial" w:hAnsi="Arial"/>
                <w:sz w:val="18"/>
                <w:szCs w:val="18"/>
                <w:color w:val="auto"/>
              </w:rPr>
              <w:t xml:space="preserve">11 years   </w:t>
            </w: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41,814</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40,861</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Customer premise equipment</w:t>
            </w:r>
          </w:p>
        </w:tc>
        <w:tc>
          <w:tcPr>
            <w:tcW w:w="2300" w:type="dxa"/>
            <w:vAlign w:val="bottom"/>
          </w:tcPr>
          <w:p>
            <w:pPr>
              <w:jc w:val="right"/>
              <w:ind w:right="435"/>
              <w:spacing w:after="0"/>
              <w:rPr>
                <w:sz w:val="20"/>
                <w:szCs w:val="20"/>
                <w:color w:val="auto"/>
              </w:rPr>
            </w:pPr>
            <w:r>
              <w:rPr>
                <w:rFonts w:ascii="Arial" w:cs="Arial" w:eastAsia="Arial" w:hAnsi="Arial"/>
                <w:sz w:val="18"/>
                <w:szCs w:val="18"/>
                <w:color w:val="auto"/>
              </w:rPr>
              <w:t>6 years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25,772</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26,323</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Buildings, theme park infrastructure and leasehold improvements</w:t>
            </w:r>
          </w:p>
        </w:tc>
        <w:tc>
          <w:tcPr>
            <w:tcW w:w="2300" w:type="dxa"/>
            <w:vAlign w:val="bottom"/>
          </w:tcPr>
          <w:p>
            <w:pPr>
              <w:jc w:val="right"/>
              <w:ind w:right="435"/>
              <w:spacing w:after="0"/>
              <w:rPr>
                <w:sz w:val="20"/>
                <w:szCs w:val="20"/>
                <w:color w:val="auto"/>
              </w:rPr>
            </w:pPr>
            <w:r>
              <w:rPr>
                <w:rFonts w:ascii="Arial" w:cs="Arial" w:eastAsia="Arial" w:hAnsi="Arial"/>
                <w:sz w:val="18"/>
                <w:szCs w:val="18"/>
                <w:color w:val="auto"/>
              </w:rPr>
              <w:t>31 years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20,258</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15,885</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Other equipment</w:t>
            </w:r>
          </w:p>
        </w:tc>
        <w:tc>
          <w:tcPr>
            <w:tcW w:w="2300" w:type="dxa"/>
            <w:vAlign w:val="bottom"/>
          </w:tcPr>
          <w:p>
            <w:pPr>
              <w:jc w:val="right"/>
              <w:ind w:right="435"/>
              <w:spacing w:after="0"/>
              <w:rPr>
                <w:sz w:val="20"/>
                <w:szCs w:val="20"/>
                <w:color w:val="auto"/>
              </w:rPr>
            </w:pPr>
            <w:r>
              <w:rPr>
                <w:rFonts w:ascii="Arial" w:cs="Arial" w:eastAsia="Arial" w:hAnsi="Arial"/>
                <w:sz w:val="18"/>
                <w:szCs w:val="18"/>
                <w:color w:val="auto"/>
              </w:rPr>
              <w:t>11 years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16,960</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14,371</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2300" w:type="dxa"/>
            <w:vAlign w:val="bottom"/>
          </w:tcPr>
          <w:p>
            <w:pPr>
              <w:jc w:val="right"/>
              <w:ind w:right="435"/>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3,131</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34"/>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Land</w:t>
            </w:r>
          </w:p>
        </w:tc>
        <w:tc>
          <w:tcPr>
            <w:tcW w:w="230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N/A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1,722</w:t>
            </w: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8"/>
        </w:trPr>
        <w:tc>
          <w:tcPr>
            <w:tcW w:w="6180" w:type="dxa"/>
            <w:vAlign w:val="bottom"/>
          </w:tcPr>
          <w:p>
            <w:pPr>
              <w:ind w:left="20"/>
              <w:spacing w:after="0"/>
              <w:rPr>
                <w:sz w:val="20"/>
                <w:szCs w:val="20"/>
                <w:color w:val="auto"/>
              </w:rPr>
            </w:pPr>
            <w:r>
              <w:rPr>
                <w:rFonts w:ascii="Arial" w:cs="Arial" w:eastAsia="Arial" w:hAnsi="Arial"/>
                <w:sz w:val="18"/>
                <w:szCs w:val="18"/>
                <w:color w:val="auto"/>
              </w:rPr>
              <w:t>Property and equipment, at cost</w:t>
            </w:r>
          </w:p>
        </w:tc>
        <w:tc>
          <w:tcPr>
            <w:tcW w:w="2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109,658</w:t>
            </w:r>
          </w:p>
        </w:tc>
        <w:tc>
          <w:tcPr>
            <w:tcW w:w="7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106,383</w:t>
            </w:r>
          </w:p>
        </w:tc>
        <w:tc>
          <w:tcPr>
            <w:tcW w:w="0" w:type="dxa"/>
            <w:vAlign w:val="bottom"/>
          </w:tcPr>
          <w:p>
            <w:pPr>
              <w:spacing w:after="0"/>
              <w:rPr>
                <w:sz w:val="1"/>
                <w:szCs w:val="1"/>
                <w:color w:val="auto"/>
              </w:rPr>
            </w:pPr>
          </w:p>
        </w:tc>
      </w:tr>
      <w:tr>
        <w:trPr>
          <w:trHeight w:val="234"/>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55,611</w:t>
            </w: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54,388</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Property and equipment, net</w:t>
            </w:r>
          </w:p>
        </w:tc>
        <w:tc>
          <w:tcPr>
            <w:tcW w:w="2300" w:type="dxa"/>
            <w:vAlign w:val="bottom"/>
            <w:tcBorders>
              <w:bottom w:val="single" w:sz="8" w:color="0C6DFF"/>
            </w:tcBorders>
          </w:tcPr>
          <w:p>
            <w:pPr>
              <w:jc w:val="right"/>
              <w:ind w:right="115"/>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54,047</w:t>
            </w:r>
          </w:p>
        </w:tc>
        <w:tc>
          <w:tcPr>
            <w:tcW w:w="720" w:type="dxa"/>
            <w:vAlign w:val="bottom"/>
            <w:tcBorders>
              <w:bottom w:val="single" w:sz="8" w:color="0C6DFF"/>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426"/>
        </w:trPr>
        <w:tc>
          <w:tcPr>
            <w:tcW w:w="6180" w:type="dxa"/>
            <w:vAlign w:val="bottom"/>
          </w:tcPr>
          <w:p>
            <w:pPr>
              <w:spacing w:after="0"/>
              <w:rPr>
                <w:sz w:val="20"/>
                <w:szCs w:val="20"/>
                <w:color w:val="auto"/>
              </w:rPr>
            </w:pPr>
            <w:r>
              <w:rPr>
                <w:rFonts w:ascii="Arial" w:cs="Arial" w:eastAsia="Arial" w:hAnsi="Arial"/>
                <w:sz w:val="18"/>
                <w:szCs w:val="18"/>
                <w:color w:val="auto"/>
                <w:w w:val="95"/>
              </w:rPr>
              <w:t>The table below summarizes our property and equipment by geographic location.</w:t>
            </w:r>
          </w:p>
        </w:tc>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2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300" w:type="dxa"/>
            <w:vAlign w:val="bottom"/>
          </w:tcPr>
          <w:p>
            <w:pPr>
              <w:jc w:val="right"/>
              <w:ind w:right="755"/>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73"/>
              <w:spacing w:after="0"/>
              <w:rPr>
                <w:sz w:val="20"/>
                <w:szCs w:val="20"/>
                <w:color w:val="auto"/>
              </w:rPr>
            </w:pPr>
            <w:r>
              <w:rPr>
                <w:rFonts w:ascii="Arial" w:cs="Arial" w:eastAsia="Arial" w:hAnsi="Arial"/>
                <w:sz w:val="18"/>
                <w:szCs w:val="18"/>
                <w:b w:val="1"/>
                <w:bCs w:val="1"/>
                <w:color w:val="auto"/>
              </w:rPr>
              <w:t>41,187</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40,580</w:t>
            </w:r>
          </w:p>
        </w:tc>
        <w:tc>
          <w:tcPr>
            <w:tcW w:w="0" w:type="dxa"/>
            <w:vAlign w:val="bottom"/>
          </w:tcPr>
          <w:p>
            <w:pPr>
              <w:spacing w:after="0"/>
              <w:rPr>
                <w:sz w:val="1"/>
                <w:szCs w:val="1"/>
                <w:color w:val="auto"/>
              </w:rPr>
            </w:pPr>
          </w:p>
        </w:tc>
      </w:tr>
      <w:tr>
        <w:trPr>
          <w:trHeight w:val="234"/>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12,860</w:t>
            </w: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11,415</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300" w:type="dxa"/>
            <w:vAlign w:val="bottom"/>
            <w:tcBorders>
              <w:bottom w:val="single" w:sz="8" w:color="0C6DFF"/>
            </w:tcBorders>
          </w:tcPr>
          <w:p>
            <w:pPr>
              <w:jc w:val="right"/>
              <w:ind w:right="755"/>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0C6DFF"/>
            </w:tcBorders>
          </w:tcPr>
          <w:p>
            <w:pPr>
              <w:jc w:val="right"/>
              <w:ind w:right="273"/>
              <w:spacing w:after="0"/>
              <w:rPr>
                <w:sz w:val="20"/>
                <w:szCs w:val="20"/>
                <w:color w:val="auto"/>
              </w:rPr>
            </w:pPr>
            <w:r>
              <w:rPr>
                <w:rFonts w:ascii="Arial" w:cs="Arial" w:eastAsia="Arial" w:hAnsi="Arial"/>
                <w:sz w:val="18"/>
                <w:szCs w:val="18"/>
                <w:b w:val="1"/>
                <w:bCs w:val="1"/>
                <w:color w:val="auto"/>
              </w:rPr>
              <w:t>54,047</w:t>
            </w:r>
          </w:p>
        </w:tc>
        <w:tc>
          <w:tcPr>
            <w:tcW w:w="720" w:type="dxa"/>
            <w:vAlign w:val="bottom"/>
            <w:tcBorders>
              <w:bottom w:val="single" w:sz="8" w:color="0C6DFF"/>
            </w:tcBorders>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 Capital expenditures for the construction of Universal Beijing Resort are presented separately in our consolidated statement of cash flows.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Cable Communications capitalizes the costs associated with the construction of and improvements to our cable transmission and distribution facilities, including scalable infrastructure and line extensions; costs associated with acquiring and deploying new customer premise equipment; and costs associated with installation of our services, including the customer’s connection to our network, in accordance with the accounting guidance related to cable television companies. Costs capitalized include all direct costs for labor and materials, as well as various indirect costs. Costs incurred in connection with subsequent disconnects, and reconnects of previously deployed customer premise equipment, are expensed as they are incurred.</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liabilities associated with such agreements. A remote possibility exists that franchise agreements could be terminated unexpectedly, which could result in us incurring significant expense in complying with restoration or removal provisions. We do not have any material liabilities related to asset retirement obligations recorded in our consolidated financial statements.</w:t>
      </w:r>
    </w:p>
    <w:p>
      <w:pPr>
        <w:spacing w:after="0" w:line="200" w:lineRule="exact"/>
        <w:rPr>
          <w:sz w:val="20"/>
          <w:szCs w:val="20"/>
          <w:color w:val="auto"/>
        </w:rPr>
      </w:pPr>
    </w:p>
    <w:p>
      <w:pPr>
        <w:spacing w:after="0" w:line="30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89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10: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Goodwill by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NBCUniversal</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Cable</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Cable</w:t>
            </w:r>
          </w:p>
        </w:tc>
        <w:tc>
          <w:tcPr>
            <w:tcW w:w="2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8"/>
              </w:rPr>
              <w:t>Broadcast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Filmed</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Theme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Corporate</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Communications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Networks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Television</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Entertainment</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Media</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Studios</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Parks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Sky</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and Other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8"/>
                <w:szCs w:val="18"/>
                <w:color w:val="auto"/>
                <w:w w:val="90"/>
              </w:rPr>
              <w:t>Balance, December 31, 2019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14,067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580" w:type="dxa"/>
            <w:vAlign w:val="bottom"/>
          </w:tcPr>
          <w:p>
            <w:pPr>
              <w:jc w:val="right"/>
              <w:spacing w:after="0"/>
              <w:rPr>
                <w:sz w:val="20"/>
                <w:szCs w:val="20"/>
                <w:color w:val="auto"/>
              </w:rPr>
            </w:pPr>
            <w:r>
              <w:rPr>
                <w:rFonts w:ascii="Arial" w:cs="Arial" w:eastAsia="Arial" w:hAnsi="Arial"/>
                <w:sz w:val="18"/>
                <w:szCs w:val="18"/>
                <w:color w:val="auto"/>
              </w:rPr>
              <w:t>6,739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28,461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68,725</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line="176" w:lineRule="exact"/>
              <w:rPr>
                <w:sz w:val="20"/>
                <w:szCs w:val="20"/>
                <w:color w:val="auto"/>
              </w:rPr>
            </w:pPr>
            <w:r>
              <w:rPr>
                <w:rFonts w:ascii="Arial" w:cs="Arial" w:eastAsia="Arial" w:hAnsi="Arial"/>
                <w:sz w:val="18"/>
                <w:szCs w:val="18"/>
                <w:color w:val="auto"/>
                <w:w w:val="95"/>
              </w:rPr>
              <w:t>Foreign currency translation</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1,489</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and other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60" w:type="dxa"/>
            <w:vAlign w:val="bottom"/>
          </w:tcPr>
          <w:p>
            <w:pPr>
              <w:ind w:left="20"/>
              <w:spacing w:after="0"/>
              <w:rPr>
                <w:sz w:val="20"/>
                <w:szCs w:val="20"/>
                <w:color w:val="auto"/>
              </w:rPr>
            </w:pPr>
            <w:r>
              <w:rPr>
                <w:rFonts w:ascii="Arial" w:cs="Arial" w:eastAsia="Arial" w:hAnsi="Arial"/>
                <w:sz w:val="18"/>
                <w:szCs w:val="18"/>
                <w:color w:val="auto"/>
                <w:w w:val="90"/>
              </w:rPr>
              <w:t>Balance, December 31, 2020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15,264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13,994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7,053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29,950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Segment change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2"/>
              </w:rPr>
              <w:t>(13,994)</w:t>
            </w:r>
          </w:p>
        </w:tc>
        <w:tc>
          <w:tcPr>
            <w:tcW w:w="200" w:type="dxa"/>
            <w:vAlign w:val="bottom"/>
          </w:tcPr>
          <w:p>
            <w:pPr>
              <w:spacing w:after="0"/>
              <w:rPr>
                <w:sz w:val="19"/>
                <w:szCs w:val="19"/>
                <w:color w:val="auto"/>
              </w:rPr>
            </w:pPr>
          </w:p>
        </w:tc>
        <w:tc>
          <w:tcPr>
            <w:tcW w:w="680" w:type="dxa"/>
            <w:vAlign w:val="bottom"/>
          </w:tcPr>
          <w:p>
            <w:pPr>
              <w:jc w:val="center"/>
              <w:ind w:left="34"/>
              <w:spacing w:after="0"/>
              <w:rPr>
                <w:sz w:val="20"/>
                <w:szCs w:val="20"/>
                <w:color w:val="auto"/>
              </w:rPr>
            </w:pPr>
            <w:r>
              <w:rPr>
                <w:rFonts w:ascii="Arial" w:cs="Arial" w:eastAsia="Arial" w:hAnsi="Arial"/>
                <w:sz w:val="18"/>
                <w:szCs w:val="18"/>
                <w:b w:val="1"/>
                <w:bCs w:val="1"/>
                <w:color w:val="auto"/>
                <w:w w:val="91"/>
              </w:rPr>
              <w:t>(1,062)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(3,344)</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14,728</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3,672</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Acquisitions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979</w:t>
            </w:r>
          </w:p>
        </w:tc>
        <w:tc>
          <w:tcPr>
            <w:tcW w:w="0" w:type="dxa"/>
            <w:vAlign w:val="bottom"/>
          </w:tcPr>
          <w:p>
            <w:pPr>
              <w:spacing w:after="0"/>
              <w:rPr>
                <w:sz w:val="1"/>
                <w:szCs w:val="1"/>
                <w:color w:val="auto"/>
              </w:rPr>
            </w:pPr>
          </w:p>
        </w:tc>
      </w:tr>
      <w:tr>
        <w:trPr>
          <w:trHeight w:val="180"/>
        </w:trPr>
        <w:tc>
          <w:tcPr>
            <w:tcW w:w="216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Foreign currency</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w:t>
            </w: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(624)</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(775)</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(1,459)</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translation and other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Balance, December 31,</w:t>
            </w: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16,192</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11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14,700</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3,672</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6,429</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29,196</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70,189</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C6DFF"/>
            </w:tcBorders>
            <w:vMerge w:val="continue"/>
          </w:tcPr>
          <w:p>
            <w:pPr>
              <w:spacing w:after="0"/>
              <w:rPr>
                <w:sz w:val="19"/>
                <w:szCs w:val="19"/>
                <w:color w:val="auto"/>
              </w:rPr>
            </w:pPr>
          </w:p>
        </w:tc>
        <w:tc>
          <w:tcPr>
            <w:tcW w:w="1100" w:type="dxa"/>
            <w:vAlign w:val="bottom"/>
            <w:tcBorders>
              <w:bottom w:val="single" w:sz="8" w:color="0C6DFF"/>
            </w:tcBorders>
            <w:vMerge w:val="continue"/>
          </w:tcPr>
          <w:p>
            <w:pPr>
              <w:spacing w:after="0"/>
              <w:rPr>
                <w:sz w:val="19"/>
                <w:szCs w:val="19"/>
                <w:color w:val="auto"/>
              </w:rPr>
            </w:pPr>
          </w:p>
        </w:tc>
        <w:tc>
          <w:tcPr>
            <w:tcW w:w="140" w:type="dxa"/>
            <w:vAlign w:val="bottom"/>
            <w:tcBorders>
              <w:bottom w:val="single" w:sz="8" w:color="0C6DFF"/>
            </w:tcBorders>
            <w:vMerge w:val="continue"/>
          </w:tcPr>
          <w:p>
            <w:pPr>
              <w:spacing w:after="0"/>
              <w:rPr>
                <w:sz w:val="19"/>
                <w:szCs w:val="19"/>
                <w:color w:val="auto"/>
              </w:rPr>
            </w:pPr>
          </w:p>
        </w:tc>
        <w:tc>
          <w:tcPr>
            <w:tcW w:w="860" w:type="dxa"/>
            <w:vAlign w:val="bottom"/>
            <w:tcBorders>
              <w:bottom w:val="single" w:sz="8" w:color="0C6DFF"/>
            </w:tcBorders>
            <w:gridSpan w:val="2"/>
            <w:vMerge w:val="continue"/>
          </w:tcPr>
          <w:p>
            <w:pPr>
              <w:spacing w:after="0"/>
              <w:rPr>
                <w:sz w:val="19"/>
                <w:szCs w:val="19"/>
                <w:color w:val="auto"/>
              </w:rPr>
            </w:pPr>
          </w:p>
        </w:tc>
        <w:tc>
          <w:tcPr>
            <w:tcW w:w="880" w:type="dxa"/>
            <w:vAlign w:val="bottom"/>
            <w:tcBorders>
              <w:bottom w:val="single" w:sz="8" w:color="0C6DFF"/>
            </w:tcBorders>
            <w:gridSpan w:val="2"/>
            <w:vMerge w:val="continue"/>
          </w:tcPr>
          <w:p>
            <w:pPr>
              <w:spacing w:after="0"/>
              <w:rPr>
                <w:sz w:val="19"/>
                <w:szCs w:val="19"/>
                <w:color w:val="auto"/>
              </w:rPr>
            </w:pPr>
          </w:p>
        </w:tc>
        <w:tc>
          <w:tcPr>
            <w:tcW w:w="1160" w:type="dxa"/>
            <w:vAlign w:val="bottom"/>
            <w:tcBorders>
              <w:bottom w:val="single" w:sz="8" w:color="0C6DFF"/>
            </w:tcBorders>
            <w:gridSpan w:val="2"/>
            <w:vMerge w:val="continue"/>
          </w:tcPr>
          <w:p>
            <w:pPr>
              <w:spacing w:after="0"/>
              <w:rPr>
                <w:sz w:val="19"/>
                <w:szCs w:val="19"/>
                <w:color w:val="auto"/>
              </w:rPr>
            </w:pPr>
          </w:p>
        </w:tc>
        <w:tc>
          <w:tcPr>
            <w:tcW w:w="600" w:type="dxa"/>
            <w:vAlign w:val="bottom"/>
            <w:tcBorders>
              <w:bottom w:val="single" w:sz="8" w:color="0C6DFF"/>
            </w:tcBorders>
            <w:vMerge w:val="continue"/>
          </w:tcPr>
          <w:p>
            <w:pPr>
              <w:spacing w:after="0"/>
              <w:rPr>
                <w:sz w:val="19"/>
                <w:szCs w:val="19"/>
                <w:color w:val="auto"/>
              </w:rPr>
            </w:pPr>
          </w:p>
        </w:tc>
        <w:tc>
          <w:tcPr>
            <w:tcW w:w="180" w:type="dxa"/>
            <w:vAlign w:val="bottom"/>
            <w:tcBorders>
              <w:bottom w:val="single" w:sz="8" w:color="0C6DFF"/>
            </w:tcBorders>
            <w:vMerge w:val="continue"/>
          </w:tcPr>
          <w:p>
            <w:pPr>
              <w:spacing w:after="0"/>
              <w:rPr>
                <w:sz w:val="19"/>
                <w:szCs w:val="19"/>
                <w:color w:val="auto"/>
              </w:rPr>
            </w:pPr>
          </w:p>
        </w:tc>
        <w:tc>
          <w:tcPr>
            <w:tcW w:w="540" w:type="dxa"/>
            <w:vAlign w:val="bottom"/>
            <w:tcBorders>
              <w:bottom w:val="single" w:sz="8" w:color="0C6DFF"/>
            </w:tcBorders>
            <w:vMerge w:val="continue"/>
          </w:tcPr>
          <w:p>
            <w:pPr>
              <w:spacing w:after="0"/>
              <w:rPr>
                <w:sz w:val="19"/>
                <w:szCs w:val="19"/>
                <w:color w:val="auto"/>
              </w:rPr>
            </w:pPr>
          </w:p>
        </w:tc>
        <w:tc>
          <w:tcPr>
            <w:tcW w:w="220" w:type="dxa"/>
            <w:vAlign w:val="bottom"/>
            <w:tcBorders>
              <w:bottom w:val="single" w:sz="8" w:color="0C6DFF"/>
            </w:tcBorders>
            <w:vMerge w:val="continue"/>
          </w:tcPr>
          <w:p>
            <w:pPr>
              <w:spacing w:after="0"/>
              <w:rPr>
                <w:sz w:val="19"/>
                <w:szCs w:val="19"/>
                <w:color w:val="auto"/>
              </w:rPr>
            </w:pPr>
          </w:p>
        </w:tc>
        <w:tc>
          <w:tcPr>
            <w:tcW w:w="580" w:type="dxa"/>
            <w:vAlign w:val="bottom"/>
            <w:tcBorders>
              <w:bottom w:val="single" w:sz="8" w:color="0C6DFF"/>
            </w:tcBorders>
            <w:vMerge w:val="continue"/>
          </w:tcPr>
          <w:p>
            <w:pPr>
              <w:spacing w:after="0"/>
              <w:rPr>
                <w:sz w:val="19"/>
                <w:szCs w:val="19"/>
                <w:color w:val="auto"/>
              </w:rPr>
            </w:pPr>
          </w:p>
        </w:tc>
        <w:tc>
          <w:tcPr>
            <w:tcW w:w="180" w:type="dxa"/>
            <w:vAlign w:val="bottom"/>
            <w:tcBorders>
              <w:bottom w:val="single" w:sz="8" w:color="0C6DFF"/>
            </w:tcBorders>
            <w:vMerge w:val="continue"/>
          </w:tcPr>
          <w:p>
            <w:pPr>
              <w:spacing w:after="0"/>
              <w:rPr>
                <w:sz w:val="19"/>
                <w:szCs w:val="19"/>
                <w:color w:val="auto"/>
              </w:rPr>
            </w:pPr>
          </w:p>
        </w:tc>
        <w:tc>
          <w:tcPr>
            <w:tcW w:w="660" w:type="dxa"/>
            <w:vAlign w:val="bottom"/>
            <w:tcBorders>
              <w:bottom w:val="single" w:sz="8" w:color="0C6DFF"/>
            </w:tcBorders>
            <w:vMerge w:val="continue"/>
          </w:tcPr>
          <w:p>
            <w:pPr>
              <w:spacing w:after="0"/>
              <w:rPr>
                <w:sz w:val="19"/>
                <w:szCs w:val="19"/>
                <w:color w:val="auto"/>
              </w:rPr>
            </w:pPr>
          </w:p>
        </w:tc>
        <w:tc>
          <w:tcPr>
            <w:tcW w:w="180" w:type="dxa"/>
            <w:vAlign w:val="bottom"/>
            <w:tcBorders>
              <w:bottom w:val="single" w:sz="8" w:color="0C6DFF"/>
            </w:tcBorders>
            <w:vMerge w:val="continue"/>
          </w:tcPr>
          <w:p>
            <w:pPr>
              <w:spacing w:after="0"/>
              <w:rPr>
                <w:sz w:val="19"/>
                <w:szCs w:val="19"/>
                <w:color w:val="auto"/>
              </w:rPr>
            </w:pPr>
          </w:p>
        </w:tc>
        <w:tc>
          <w:tcPr>
            <w:tcW w:w="880" w:type="dxa"/>
            <w:vAlign w:val="bottom"/>
            <w:tcBorders>
              <w:bottom w:val="single" w:sz="8" w:color="0C6DFF"/>
            </w:tcBorders>
            <w:gridSpan w:val="2"/>
            <w:vMerge w:val="continue"/>
          </w:tcPr>
          <w:p>
            <w:pPr>
              <w:spacing w:after="0"/>
              <w:rPr>
                <w:sz w:val="19"/>
                <w:szCs w:val="19"/>
                <w:color w:val="auto"/>
              </w:rPr>
            </w:pPr>
          </w:p>
        </w:tc>
        <w:tc>
          <w:tcPr>
            <w:tcW w:w="660" w:type="dxa"/>
            <w:vAlign w:val="bottom"/>
            <w:tcBorders>
              <w:bottom w:val="single" w:sz="8" w:color="0C6DFF"/>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 We have not recognized any material impairment charges.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2920" w:type="dxa"/>
            <w:vAlign w:val="bottom"/>
            <w:gridSpan w:val="2"/>
          </w:tcPr>
          <w:p>
            <w:pPr>
              <w:jc w:val="right"/>
              <w:ind w:right="380"/>
              <w:spacing w:after="0"/>
              <w:rPr>
                <w:sz w:val="20"/>
                <w:szCs w:val="20"/>
                <w:color w:val="auto"/>
              </w:rPr>
            </w:pPr>
            <w:r>
              <w:rPr>
                <w:rFonts w:ascii="Arial" w:cs="Arial" w:eastAsia="Arial" w:hAnsi="Arial"/>
                <w:sz w:val="14"/>
                <w:szCs w:val="14"/>
                <w:color w:val="auto"/>
              </w:rPr>
              <w:t>Weighted-Average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Gross</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2920" w:type="dxa"/>
            <w:vAlign w:val="bottom"/>
            <w:gridSpan w:val="2"/>
          </w:tcPr>
          <w:p>
            <w:pPr>
              <w:jc w:val="right"/>
              <w:ind w:right="380"/>
              <w:spacing w:after="0"/>
              <w:rPr>
                <w:sz w:val="20"/>
                <w:szCs w:val="20"/>
                <w:color w:val="auto"/>
              </w:rPr>
            </w:pPr>
            <w:r>
              <w:rPr>
                <w:rFonts w:ascii="Arial" w:cs="Arial" w:eastAsia="Arial" w:hAnsi="Arial"/>
                <w:sz w:val="14"/>
                <w:szCs w:val="14"/>
                <w:color w:val="auto"/>
              </w:rPr>
              <w:t>Original Useful Life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20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2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as of December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2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59,365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140"/>
              <w:spacing w:after="0"/>
              <w:rPr>
                <w:sz w:val="20"/>
                <w:szCs w:val="20"/>
                <w:color w:val="auto"/>
              </w:rPr>
            </w:pPr>
            <w:r>
              <w:rPr>
                <w:rFonts w:ascii="Arial" w:cs="Arial" w:eastAsia="Arial" w:hAnsi="Arial"/>
                <w:sz w:val="18"/>
                <w:szCs w:val="18"/>
                <w:color w:val="auto"/>
              </w:rPr>
              <w:t>Franchise rights</w:t>
            </w:r>
          </w:p>
        </w:tc>
        <w:tc>
          <w:tcPr>
            <w:tcW w:w="29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59,365</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40"/>
              <w:spacing w:after="0"/>
              <w:rPr>
                <w:sz w:val="20"/>
                <w:szCs w:val="20"/>
                <w:color w:val="auto"/>
              </w:rPr>
            </w:pPr>
            <w:r>
              <w:rPr>
                <w:rFonts w:ascii="Arial" w:cs="Arial" w:eastAsia="Arial" w:hAnsi="Arial"/>
                <w:sz w:val="18"/>
                <w:szCs w:val="18"/>
                <w:color w:val="auto"/>
              </w:rPr>
              <w:t>FCC licenses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2,807</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2,804</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Finite-Lived Intangible Assets:</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22,119</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(10,612)</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14 years</w:t>
            </w:r>
          </w:p>
        </w:tc>
        <w:tc>
          <w:tcPr>
            <w:tcW w:w="9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22,197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(8,914)</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Software</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5 years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20,329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(11,520)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17,819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agreements and rights</w:t>
            </w:r>
          </w:p>
        </w:tc>
        <w:tc>
          <w:tcPr>
            <w:tcW w:w="2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28 years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11,870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0C6DFF"/>
            </w:tcBorders>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116,491</w:t>
            </w:r>
          </w:p>
        </w:tc>
        <w:tc>
          <w:tcPr>
            <w:tcW w:w="280" w:type="dxa"/>
            <w:vAlign w:val="bottom"/>
            <w:tcBorders>
              <w:bottom w:val="single" w:sz="8" w:color="0C6DFF"/>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(23,545)</w:t>
            </w:r>
          </w:p>
        </w:tc>
        <w:tc>
          <w:tcPr>
            <w:tcW w:w="360" w:type="dxa"/>
            <w:vAlign w:val="bottom"/>
            <w:tcBorders>
              <w:bottom w:val="single" w:sz="8" w:color="0C6DFF"/>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114,579</w:t>
            </w:r>
          </w:p>
        </w:tc>
        <w:tc>
          <w:tcPr>
            <w:tcW w:w="32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(19,825)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that limit the period over which these rights will contribute to our cash flows. We reassess this determination periodically or whenever events or substantive changes in circumstances occur. The purchase of spectrum rights is presented separately in our consolidated statement of cash flows.</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assess the recoverability of our cable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of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Borders>
              <w:top w:val="single" w:sz="8" w:color="auto"/>
            </w:tcBorders>
          </w:tcPr>
          <w:p>
            <w:pPr>
              <w:jc w:val="right"/>
              <w:ind w:right="4630"/>
              <w:spacing w:after="0"/>
              <w:rPr>
                <w:sz w:val="20"/>
                <w:szCs w:val="20"/>
                <w:color w:val="auto"/>
              </w:rPr>
            </w:pPr>
            <w:r>
              <w:rPr>
                <w:rFonts w:ascii="Arial" w:cs="Arial" w:eastAsia="Arial" w:hAnsi="Arial"/>
                <w:sz w:val="18"/>
                <w:szCs w:val="18"/>
                <w:color w:val="auto"/>
                <w:w w:val="89"/>
              </w:rPr>
              <w:t>2022</w:t>
            </w:r>
          </w:p>
        </w:tc>
        <w:tc>
          <w:tcPr>
            <w:tcW w:w="52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5,140</w:t>
            </w:r>
          </w:p>
        </w:tc>
      </w:tr>
      <w:tr>
        <w:trPr>
          <w:trHeight w:val="230"/>
        </w:trPr>
        <w:tc>
          <w:tcPr>
            <w:tcW w:w="5100" w:type="dxa"/>
            <w:vAlign w:val="bottom"/>
          </w:tcPr>
          <w:p>
            <w:pPr>
              <w:jc w:val="right"/>
              <w:ind w:right="4630"/>
              <w:spacing w:after="0"/>
              <w:rPr>
                <w:sz w:val="20"/>
                <w:szCs w:val="20"/>
                <w:color w:val="auto"/>
              </w:rPr>
            </w:pPr>
            <w:r>
              <w:rPr>
                <w:rFonts w:ascii="Arial" w:cs="Arial" w:eastAsia="Arial" w:hAnsi="Arial"/>
                <w:sz w:val="18"/>
                <w:szCs w:val="18"/>
                <w:color w:val="auto"/>
                <w:w w:val="89"/>
              </w:rPr>
              <w:t>2023</w:t>
            </w:r>
          </w:p>
        </w:tc>
        <w:tc>
          <w:tcPr>
            <w:tcW w:w="5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4,513</w:t>
            </w:r>
          </w:p>
        </w:tc>
      </w:tr>
      <w:tr>
        <w:trPr>
          <w:trHeight w:val="230"/>
        </w:trPr>
        <w:tc>
          <w:tcPr>
            <w:tcW w:w="5100" w:type="dxa"/>
            <w:vAlign w:val="bottom"/>
          </w:tcPr>
          <w:p>
            <w:pPr>
              <w:jc w:val="right"/>
              <w:ind w:right="4630"/>
              <w:spacing w:after="0"/>
              <w:rPr>
                <w:sz w:val="20"/>
                <w:szCs w:val="20"/>
                <w:color w:val="auto"/>
              </w:rPr>
            </w:pPr>
            <w:r>
              <w:rPr>
                <w:rFonts w:ascii="Arial" w:cs="Arial" w:eastAsia="Arial" w:hAnsi="Arial"/>
                <w:sz w:val="18"/>
                <w:szCs w:val="18"/>
                <w:color w:val="auto"/>
                <w:w w:val="89"/>
              </w:rPr>
              <w:t>2024</w:t>
            </w:r>
          </w:p>
        </w:tc>
        <w:tc>
          <w:tcPr>
            <w:tcW w:w="5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3,737</w:t>
            </w:r>
          </w:p>
        </w:tc>
      </w:tr>
      <w:tr>
        <w:trPr>
          <w:trHeight w:val="229"/>
        </w:trPr>
        <w:tc>
          <w:tcPr>
            <w:tcW w:w="5100" w:type="dxa"/>
            <w:vAlign w:val="bottom"/>
          </w:tcPr>
          <w:p>
            <w:pPr>
              <w:jc w:val="right"/>
              <w:ind w:right="4630"/>
              <w:spacing w:after="0"/>
              <w:rPr>
                <w:sz w:val="20"/>
                <w:szCs w:val="20"/>
                <w:color w:val="auto"/>
              </w:rPr>
            </w:pPr>
            <w:r>
              <w:rPr>
                <w:rFonts w:ascii="Arial" w:cs="Arial" w:eastAsia="Arial" w:hAnsi="Arial"/>
                <w:sz w:val="18"/>
                <w:szCs w:val="18"/>
                <w:color w:val="auto"/>
                <w:w w:val="89"/>
              </w:rPr>
              <w:t>2025</w:t>
            </w:r>
          </w:p>
        </w:tc>
        <w:tc>
          <w:tcPr>
            <w:tcW w:w="5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2,996</w:t>
            </w:r>
          </w:p>
        </w:tc>
      </w:tr>
      <w:tr>
        <w:trPr>
          <w:trHeight w:val="230"/>
        </w:trPr>
        <w:tc>
          <w:tcPr>
            <w:tcW w:w="5100" w:type="dxa"/>
            <w:vAlign w:val="bottom"/>
            <w:tcBorders>
              <w:bottom w:val="single" w:sz="8" w:color="auto"/>
            </w:tcBorders>
          </w:tcPr>
          <w:p>
            <w:pPr>
              <w:jc w:val="right"/>
              <w:ind w:right="4630"/>
              <w:spacing w:after="0"/>
              <w:rPr>
                <w:sz w:val="20"/>
                <w:szCs w:val="20"/>
                <w:color w:val="auto"/>
              </w:rPr>
            </w:pPr>
            <w:r>
              <w:rPr>
                <w:rFonts w:ascii="Arial" w:cs="Arial" w:eastAsia="Arial" w:hAnsi="Arial"/>
                <w:sz w:val="18"/>
                <w:szCs w:val="18"/>
                <w:color w:val="auto"/>
                <w:w w:val="89"/>
              </w:rPr>
              <w:t>2026</w:t>
            </w:r>
          </w:p>
        </w:tc>
        <w:tc>
          <w:tcPr>
            <w:tcW w:w="5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trade names and intellectual property rights. Our finite-lived intangible assets are amortized primarily on a straight-line basis over their estimated useful life or the term of the associated agreement.</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arrangements that constitute the purchase of, or convey a license to,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00" w:lineRule="exact"/>
        <w:rPr>
          <w:sz w:val="20"/>
          <w:szCs w:val="20"/>
          <w:color w:val="auto"/>
        </w:rPr>
      </w:pPr>
    </w:p>
    <w:p>
      <w:pPr>
        <w:spacing w:after="0" w:line="292"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91</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11: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24"/>
        </w:trPr>
        <w:tc>
          <w:tcPr>
            <w:tcW w:w="4600" w:type="dxa"/>
            <w:vAlign w:val="bottom"/>
          </w:tcPr>
          <w:p>
            <w:pPr>
              <w:ind w:left="20"/>
              <w:spacing w:after="0"/>
              <w:rPr>
                <w:sz w:val="20"/>
                <w:szCs w:val="20"/>
                <w:color w:val="auto"/>
              </w:rPr>
            </w:pPr>
            <w:r>
              <w:rPr>
                <w:rFonts w:ascii="Arial" w:cs="Arial" w:eastAsia="Arial" w:hAnsi="Arial"/>
                <w:sz w:val="18"/>
                <w:szCs w:val="18"/>
                <w:color w:val="auto"/>
              </w:rPr>
              <w:t>Benefit obligation</w:t>
            </w:r>
          </w:p>
        </w:tc>
        <w:tc>
          <w:tcPr>
            <w:tcW w:w="28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4,002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3,648</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3,273</w:t>
            </w:r>
          </w:p>
        </w:tc>
      </w:t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2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The amount of compensation deferred by each participant is based on participant elections. Participant accounts are credited with income primarily based on a fixed annual rate. Participants are eligible to receive distributions from their account based on elected deferral periods that are consistent with the plans and applicable tax law.</w:t>
      </w:r>
    </w:p>
    <w:p>
      <w:pPr>
        <w:spacing w:after="0" w:line="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purchased life insurance policies to recover a portion of the future payments related to our deferred compensation plans. As of December 31, 2021 and 2020, the cash surrender value of these policies, which is recorded to other noncurrent assets, net, was $549 million and $481 million, respectively.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2021, 2020 and 2019, expenses related to these plans totaled $595 million, $599 million and $573 million, respectively.</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 Total contributions we made to multiemployer benefit plans and any potential withdrawal liabilities were not material in any of the periods presented.</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12: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0"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In the aggregate, holders of our Class A common stock have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and holders of our Class B common stock have 33</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which percentage is generally non-dilutable under the terms of our articles of incorporation.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Shares of Common Stock 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8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color w:val="auto"/>
              </w:rPr>
              <w:t>Class A</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Class B</w:t>
            </w:r>
          </w:p>
        </w:tc>
      </w:tr>
      <w:tr>
        <w:trPr>
          <w:trHeight w:val="222"/>
        </w:trPr>
        <w:tc>
          <w:tcPr>
            <w:tcW w:w="636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3820" w:type="dxa"/>
            <w:vAlign w:val="bottom"/>
          </w:tcPr>
          <w:p>
            <w:pPr>
              <w:jc w:val="right"/>
              <w:ind w:right="552"/>
              <w:spacing w:after="0"/>
              <w:rPr>
                <w:sz w:val="20"/>
                <w:szCs w:val="20"/>
                <w:color w:val="auto"/>
              </w:rPr>
            </w:pPr>
            <w:r>
              <w:rPr>
                <w:rFonts w:ascii="Arial" w:cs="Arial" w:eastAsia="Arial" w:hAnsi="Arial"/>
                <w:sz w:val="18"/>
                <w:szCs w:val="18"/>
                <w:color w:val="auto"/>
              </w:rPr>
              <w:t>4,517</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Stock compensation plans</w:t>
            </w:r>
          </w:p>
        </w:tc>
        <w:tc>
          <w:tcPr>
            <w:tcW w:w="3820" w:type="dxa"/>
            <w:vAlign w:val="bottom"/>
          </w:tcPr>
          <w:p>
            <w:pPr>
              <w:jc w:val="right"/>
              <w:ind w:right="552"/>
              <w:spacing w:after="0"/>
              <w:rPr>
                <w:sz w:val="20"/>
                <w:szCs w:val="20"/>
                <w:color w:val="auto"/>
              </w:rPr>
            </w:pPr>
            <w:r>
              <w:rPr>
                <w:rFonts w:ascii="Arial" w:cs="Arial" w:eastAsia="Arial" w:hAnsi="Arial"/>
                <w:sz w:val="18"/>
                <w:szCs w:val="18"/>
                <w:color w:val="auto"/>
              </w:rPr>
              <w:t>21</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 stock purchase plans</w:t>
            </w:r>
          </w:p>
        </w:tc>
        <w:tc>
          <w:tcPr>
            <w:tcW w:w="38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36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3820" w:type="dxa"/>
            <w:vAlign w:val="bottom"/>
          </w:tcPr>
          <w:p>
            <w:pPr>
              <w:jc w:val="right"/>
              <w:ind w:right="552"/>
              <w:spacing w:after="0"/>
              <w:rPr>
                <w:sz w:val="20"/>
                <w:szCs w:val="20"/>
                <w:color w:val="auto"/>
              </w:rPr>
            </w:pPr>
            <w:r>
              <w:rPr>
                <w:rFonts w:ascii="Arial" w:cs="Arial" w:eastAsia="Arial" w:hAnsi="Arial"/>
                <w:sz w:val="18"/>
                <w:szCs w:val="18"/>
                <w:color w:val="auto"/>
              </w:rPr>
              <w:t>4,544</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Stock compensation plans</w:t>
            </w:r>
          </w:p>
        </w:tc>
        <w:tc>
          <w:tcPr>
            <w:tcW w:w="3820" w:type="dxa"/>
            <w:vAlign w:val="bottom"/>
          </w:tcPr>
          <w:p>
            <w:pPr>
              <w:jc w:val="right"/>
              <w:ind w:right="552"/>
              <w:spacing w:after="0"/>
              <w:rPr>
                <w:sz w:val="20"/>
                <w:szCs w:val="20"/>
                <w:color w:val="auto"/>
              </w:rPr>
            </w:pPr>
            <w:r>
              <w:rPr>
                <w:rFonts w:ascii="Arial" w:cs="Arial" w:eastAsia="Arial" w:hAnsi="Arial"/>
                <w:sz w:val="18"/>
                <w:szCs w:val="18"/>
                <w:color w:val="auto"/>
              </w:rPr>
              <w:t>20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 stock purchase plans</w:t>
            </w:r>
          </w:p>
        </w:tc>
        <w:tc>
          <w:tcPr>
            <w:tcW w:w="38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36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3820" w:type="dxa"/>
            <w:vAlign w:val="bottom"/>
          </w:tcPr>
          <w:p>
            <w:pPr>
              <w:jc w:val="right"/>
              <w:ind w:right="552"/>
              <w:spacing w:after="0"/>
              <w:rPr>
                <w:sz w:val="20"/>
                <w:szCs w:val="20"/>
                <w:color w:val="auto"/>
              </w:rPr>
            </w:pPr>
            <w:r>
              <w:rPr>
                <w:rFonts w:ascii="Arial" w:cs="Arial" w:eastAsia="Arial" w:hAnsi="Arial"/>
                <w:sz w:val="18"/>
                <w:szCs w:val="18"/>
                <w:color w:val="auto"/>
              </w:rPr>
              <w:t>4,571</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Stock compensation plans</w:t>
            </w:r>
          </w:p>
        </w:tc>
        <w:tc>
          <w:tcPr>
            <w:tcW w:w="3820" w:type="dxa"/>
            <w:vAlign w:val="bottom"/>
          </w:tcPr>
          <w:p>
            <w:pPr>
              <w:jc w:val="right"/>
              <w:ind w:right="552"/>
              <w:spacing w:after="0"/>
              <w:rPr>
                <w:sz w:val="20"/>
                <w:szCs w:val="20"/>
                <w:color w:val="auto"/>
              </w:rPr>
            </w:pPr>
            <w:r>
              <w:rPr>
                <w:rFonts w:ascii="Arial" w:cs="Arial" w:eastAsia="Arial" w:hAnsi="Arial"/>
                <w:sz w:val="18"/>
                <w:szCs w:val="18"/>
                <w:b w:val="1"/>
                <w:bCs w:val="1"/>
                <w:color w:val="auto"/>
              </w:rPr>
              <w:t>21</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Repurchases and retirements of common stock</w:t>
            </w:r>
          </w:p>
        </w:tc>
        <w:tc>
          <w:tcPr>
            <w:tcW w:w="3820" w:type="dxa"/>
            <w:vAlign w:val="bottom"/>
          </w:tcPr>
          <w:p>
            <w:pPr>
              <w:jc w:val="right"/>
              <w:ind w:right="512"/>
              <w:spacing w:after="0"/>
              <w:rPr>
                <w:sz w:val="20"/>
                <w:szCs w:val="20"/>
                <w:color w:val="auto"/>
              </w:rPr>
            </w:pPr>
            <w:r>
              <w:rPr>
                <w:rFonts w:ascii="Arial" w:cs="Arial" w:eastAsia="Arial" w:hAnsi="Arial"/>
                <w:sz w:val="18"/>
                <w:szCs w:val="18"/>
                <w:b w:val="1"/>
                <w:bCs w:val="1"/>
                <w:color w:val="auto"/>
              </w:rPr>
              <w:t>(73)</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4"/>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Employee stock purchase plans</w:t>
            </w:r>
          </w:p>
        </w:tc>
        <w:tc>
          <w:tcPr>
            <w:tcW w:w="38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6360" w:type="dxa"/>
            <w:vAlign w:val="bottom"/>
            <w:tcBorders>
              <w:bottom w:val="single" w:sz="8" w:color="0C6DFF"/>
            </w:tcBorders>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3820" w:type="dxa"/>
            <w:vAlign w:val="bottom"/>
            <w:tcBorders>
              <w:bottom w:val="single" w:sz="8" w:color="0C6DFF"/>
            </w:tcBorders>
          </w:tcPr>
          <w:p>
            <w:pPr>
              <w:jc w:val="right"/>
              <w:ind w:right="552"/>
              <w:spacing w:after="0"/>
              <w:rPr>
                <w:sz w:val="20"/>
                <w:szCs w:val="20"/>
                <w:color w:val="auto"/>
              </w:rPr>
            </w:pPr>
            <w:r>
              <w:rPr>
                <w:rFonts w:ascii="Arial" w:cs="Arial" w:eastAsia="Arial" w:hAnsi="Arial"/>
                <w:sz w:val="18"/>
                <w:szCs w:val="18"/>
                <w:b w:val="1"/>
                <w:bCs w:val="1"/>
                <w:color w:val="auto"/>
              </w:rPr>
              <w:t>4,524</w:t>
            </w:r>
          </w:p>
        </w:tc>
        <w:tc>
          <w:tcPr>
            <w:tcW w:w="10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4"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4"/>
          <w:szCs w:val="14"/>
          <w:color w:val="auto"/>
        </w:rPr>
        <w:t>Comcast 2021 Annual Report on Form 10-K</w:t>
      </w:r>
      <w:r>
        <w:rPr>
          <w:sz w:val="20"/>
          <w:szCs w:val="20"/>
          <w:color w:val="auto"/>
        </w:rPr>
        <w:tab/>
      </w:r>
      <w:r>
        <w:rPr>
          <w:rFonts w:ascii="Arial" w:cs="Arial" w:eastAsia="Arial" w:hAnsi="Arial"/>
          <w:sz w:val="12"/>
          <w:szCs w:val="12"/>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Weighted-Average Common Shares 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4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color w:val="auto"/>
              </w:rPr>
              <w:t>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45"/>
        </w:trPr>
        <w:tc>
          <w:tcPr>
            <w:tcW w:w="638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 – basic</w:t>
            </w:r>
          </w:p>
        </w:tc>
        <w:tc>
          <w:tcPr>
            <w:tcW w:w="2460" w:type="dxa"/>
            <w:vAlign w:val="bottom"/>
          </w:tcPr>
          <w:p>
            <w:pPr>
              <w:jc w:val="right"/>
              <w:ind w:right="455"/>
              <w:spacing w:after="0"/>
              <w:rPr>
                <w:sz w:val="20"/>
                <w:szCs w:val="20"/>
                <w:color w:val="auto"/>
              </w:rPr>
            </w:pPr>
            <w:r>
              <w:rPr>
                <w:rFonts w:ascii="Arial" w:cs="Arial" w:eastAsia="Arial" w:hAnsi="Arial"/>
                <w:sz w:val="18"/>
                <w:szCs w:val="18"/>
                <w:b w:val="1"/>
                <w:bCs w:val="1"/>
                <w:color w:val="auto"/>
              </w:rPr>
              <w:t>4,584</w:t>
            </w:r>
          </w:p>
        </w:tc>
        <w:tc>
          <w:tcPr>
            <w:tcW w:w="1440" w:type="dxa"/>
            <w:vAlign w:val="bottom"/>
          </w:tcPr>
          <w:p>
            <w:pPr>
              <w:jc w:val="right"/>
              <w:ind w:right="455"/>
              <w:spacing w:after="0"/>
              <w:rPr>
                <w:sz w:val="20"/>
                <w:szCs w:val="20"/>
                <w:color w:val="auto"/>
              </w:rPr>
            </w:pPr>
            <w:r>
              <w:rPr>
                <w:rFonts w:ascii="Arial" w:cs="Arial" w:eastAsia="Arial" w:hAnsi="Arial"/>
                <w:sz w:val="18"/>
                <w:szCs w:val="18"/>
                <w:color w:val="auto"/>
              </w:rPr>
              <w:t>4,574</w:t>
            </w:r>
          </w:p>
        </w:tc>
        <w:tc>
          <w:tcPr>
            <w:tcW w:w="960" w:type="dxa"/>
            <w:vAlign w:val="bottom"/>
          </w:tcPr>
          <w:p>
            <w:pPr>
              <w:jc w:val="right"/>
              <w:spacing w:after="0"/>
              <w:rPr>
                <w:sz w:val="20"/>
                <w:szCs w:val="20"/>
                <w:color w:val="auto"/>
              </w:rPr>
            </w:pPr>
            <w:r>
              <w:rPr>
                <w:rFonts w:ascii="Arial" w:cs="Arial" w:eastAsia="Arial" w:hAnsi="Arial"/>
                <w:sz w:val="18"/>
                <w:szCs w:val="18"/>
                <w:color w:val="auto"/>
              </w:rPr>
              <w:t>4,548</w:t>
            </w:r>
          </w:p>
        </w:tc>
      </w:tr>
      <w:tr>
        <w:trPr>
          <w:trHeight w:val="234"/>
        </w:trPr>
        <w:tc>
          <w:tcPr>
            <w:tcW w:w="63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460" w:type="dxa"/>
            <w:vAlign w:val="bottom"/>
          </w:tcPr>
          <w:p>
            <w:pPr>
              <w:jc w:val="right"/>
              <w:ind w:right="455"/>
              <w:spacing w:after="0"/>
              <w:rPr>
                <w:sz w:val="20"/>
                <w:szCs w:val="20"/>
                <w:color w:val="auto"/>
              </w:rPr>
            </w:pPr>
            <w:r>
              <w:rPr>
                <w:rFonts w:ascii="Arial" w:cs="Arial" w:eastAsia="Arial" w:hAnsi="Arial"/>
                <w:sz w:val="18"/>
                <w:szCs w:val="18"/>
                <w:b w:val="1"/>
                <w:bCs w:val="1"/>
                <w:color w:val="auto"/>
              </w:rPr>
              <w:t>70</w:t>
            </w:r>
          </w:p>
        </w:tc>
        <w:tc>
          <w:tcPr>
            <w:tcW w:w="1440" w:type="dxa"/>
            <w:vAlign w:val="bottom"/>
          </w:tcPr>
          <w:p>
            <w:pPr>
              <w:jc w:val="right"/>
              <w:ind w:right="455"/>
              <w:spacing w:after="0"/>
              <w:rPr>
                <w:sz w:val="20"/>
                <w:szCs w:val="20"/>
                <w:color w:val="auto"/>
              </w:rPr>
            </w:pPr>
            <w:r>
              <w:rPr>
                <w:rFonts w:ascii="Arial" w:cs="Arial" w:eastAsia="Arial" w:hAnsi="Arial"/>
                <w:sz w:val="18"/>
                <w:szCs w:val="18"/>
                <w:color w:val="auto"/>
              </w:rPr>
              <w:t>50</w:t>
            </w: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638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Weighted-average number of common shares outstanding – diluted</w:t>
            </w:r>
          </w:p>
        </w:tc>
        <w:tc>
          <w:tcPr>
            <w:tcW w:w="2460" w:type="dxa"/>
            <w:vAlign w:val="bottom"/>
            <w:tcBorders>
              <w:bottom w:val="single" w:sz="8" w:color="0C6DFF"/>
            </w:tcBorders>
          </w:tcPr>
          <w:p>
            <w:pPr>
              <w:jc w:val="right"/>
              <w:ind w:right="455"/>
              <w:spacing w:after="0"/>
              <w:rPr>
                <w:sz w:val="20"/>
                <w:szCs w:val="20"/>
                <w:color w:val="auto"/>
              </w:rPr>
            </w:pPr>
            <w:r>
              <w:rPr>
                <w:rFonts w:ascii="Arial" w:cs="Arial" w:eastAsia="Arial" w:hAnsi="Arial"/>
                <w:sz w:val="18"/>
                <w:szCs w:val="18"/>
                <w:b w:val="1"/>
                <w:bCs w:val="1"/>
                <w:color w:val="auto"/>
              </w:rPr>
              <w:t>4,654</w:t>
            </w:r>
          </w:p>
        </w:tc>
        <w:tc>
          <w:tcPr>
            <w:tcW w:w="1440" w:type="dxa"/>
            <w:vAlign w:val="bottom"/>
            <w:tcBorders>
              <w:bottom w:val="single" w:sz="8" w:color="0C6DFF"/>
            </w:tcBorders>
          </w:tcPr>
          <w:p>
            <w:pPr>
              <w:jc w:val="right"/>
              <w:ind w:right="455"/>
              <w:spacing w:after="0"/>
              <w:rPr>
                <w:sz w:val="20"/>
                <w:szCs w:val="20"/>
                <w:color w:val="auto"/>
              </w:rPr>
            </w:pPr>
            <w:r>
              <w:rPr>
                <w:rFonts w:ascii="Arial" w:cs="Arial" w:eastAsia="Arial" w:hAnsi="Arial"/>
                <w:sz w:val="18"/>
                <w:szCs w:val="18"/>
                <w:color w:val="auto"/>
              </w:rPr>
              <w:t>4,624</w:t>
            </w:r>
          </w:p>
        </w:tc>
        <w:tc>
          <w:tcPr>
            <w:tcW w:w="9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4,610</w:t>
            </w:r>
          </w:p>
        </w:tc>
      </w:tr>
    </w:tbl>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Weighted-average common shares outstanding used in calculating 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w:t>
      </w:r>
    </w:p>
    <w:p>
      <w:pPr>
        <w:spacing w:after="0" w:line="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average market price of our common stock. The amount of potential common shares related to our share-based compensation plans that were excluded from diluted EPS because their effect would have been antidilutive was not material in any of the periods presented.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Accumulated Other Comprehensive Income (Loss)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20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18"/>
        </w:trPr>
        <w:tc>
          <w:tcPr>
            <w:tcW w:w="6660" w:type="dxa"/>
            <w:vAlign w:val="bottom"/>
          </w:tcPr>
          <w:p>
            <w:pPr>
              <w:ind w:left="20"/>
              <w:spacing w:after="0"/>
              <w:rPr>
                <w:sz w:val="20"/>
                <w:szCs w:val="20"/>
                <w:color w:val="auto"/>
              </w:rPr>
            </w:pPr>
            <w:r>
              <w:rPr>
                <w:rFonts w:ascii="Arial" w:cs="Arial" w:eastAsia="Arial" w:hAnsi="Arial"/>
                <w:sz w:val="18"/>
                <w:szCs w:val="18"/>
                <w:color w:val="auto"/>
              </w:rPr>
              <w:t>Cumulative translation adjustments</w:t>
            </w: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4"/>
              <w:spacing w:after="0"/>
              <w:rPr>
                <w:sz w:val="20"/>
                <w:szCs w:val="20"/>
                <w:color w:val="auto"/>
              </w:rPr>
            </w:pPr>
            <w:r>
              <w:rPr>
                <w:rFonts w:ascii="Arial" w:cs="Arial" w:eastAsia="Arial" w:hAnsi="Arial"/>
                <w:sz w:val="18"/>
                <w:szCs w:val="18"/>
                <w:b w:val="1"/>
                <w:bCs w:val="1"/>
                <w:color w:val="auto"/>
              </w:rPr>
              <w:t>1,119</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Deferred gains (losses) on cash flow hedges</w:t>
            </w:r>
          </w:p>
        </w:tc>
        <w:tc>
          <w:tcPr>
            <w:tcW w:w="20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b w:val="1"/>
                <w:bCs w:val="1"/>
                <w:color w:val="auto"/>
              </w:rPr>
              <w:t>104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gains (losses) on employee benefit obligations and other</w:t>
            </w:r>
          </w:p>
        </w:tc>
        <w:tc>
          <w:tcPr>
            <w:tcW w:w="20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257</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666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Accumulated other comprehensive income (loss), net of deferred taxes</w:t>
            </w:r>
          </w:p>
        </w:tc>
        <w:tc>
          <w:tcPr>
            <w:tcW w:w="204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74"/>
              <w:spacing w:after="0"/>
              <w:rPr>
                <w:sz w:val="20"/>
                <w:szCs w:val="20"/>
                <w:color w:val="auto"/>
              </w:rPr>
            </w:pPr>
            <w:r>
              <w:rPr>
                <w:rFonts w:ascii="Arial" w:cs="Arial" w:eastAsia="Arial" w:hAnsi="Arial"/>
                <w:sz w:val="18"/>
                <w:szCs w:val="18"/>
                <w:b w:val="1"/>
                <w:bCs w:val="1"/>
                <w:color w:val="auto"/>
              </w:rPr>
              <w:t>1,480</w:t>
            </w:r>
          </w:p>
        </w:tc>
        <w:tc>
          <w:tcPr>
            <w:tcW w:w="64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1,884</w:t>
            </w: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13: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information on our share-based compensation.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Recognized Share-Based Compensation Expense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6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2020</w:t>
            </w:r>
          </w:p>
        </w:tc>
        <w:tc>
          <w:tcPr>
            <w:tcW w:w="7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18"/>
        </w:trPr>
        <w:tc>
          <w:tcPr>
            <w:tcW w:w="4420" w:type="dxa"/>
            <w:vAlign w:val="bottom"/>
          </w:tcPr>
          <w:p>
            <w:pPr>
              <w:ind w:left="20"/>
              <w:spacing w:after="0"/>
              <w:rPr>
                <w:sz w:val="20"/>
                <w:szCs w:val="20"/>
                <w:color w:val="auto"/>
              </w:rPr>
            </w:pPr>
            <w:r>
              <w:rPr>
                <w:rFonts w:ascii="Arial" w:cs="Arial" w:eastAsia="Arial" w:hAnsi="Arial"/>
                <w:sz w:val="18"/>
                <w:szCs w:val="18"/>
                <w:color w:val="auto"/>
              </w:rPr>
              <w:t>Restricted share units</w:t>
            </w:r>
          </w:p>
        </w:tc>
        <w:tc>
          <w:tcPr>
            <w:tcW w:w="2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729</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628</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660" w:type="dxa"/>
            <w:vAlign w:val="bottom"/>
          </w:tcPr>
          <w:p>
            <w:pPr>
              <w:spacing w:after="0"/>
              <w:rPr>
                <w:sz w:val="19"/>
                <w:szCs w:val="19"/>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314</w:t>
            </w:r>
          </w:p>
        </w:tc>
        <w:tc>
          <w:tcPr>
            <w:tcW w:w="7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294</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4"/>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 stock purchase plans</w:t>
            </w:r>
          </w:p>
        </w:tc>
        <w:tc>
          <w:tcPr>
            <w:tcW w:w="2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38</w:t>
            </w: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38</w:t>
            </w:r>
          </w:p>
        </w:tc>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42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0C6DFF"/>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ind w:right="94"/>
              <w:spacing w:after="0"/>
              <w:rPr>
                <w:sz w:val="20"/>
                <w:szCs w:val="20"/>
                <w:color w:val="auto"/>
              </w:rPr>
            </w:pPr>
            <w:r>
              <w:rPr>
                <w:rFonts w:ascii="Arial" w:cs="Arial" w:eastAsia="Arial" w:hAnsi="Arial"/>
                <w:sz w:val="18"/>
                <w:szCs w:val="18"/>
                <w:b w:val="1"/>
                <w:bCs w:val="1"/>
                <w:color w:val="auto"/>
              </w:rPr>
              <w:t>1,081</w:t>
            </w:r>
          </w:p>
        </w:tc>
        <w:tc>
          <w:tcPr>
            <w:tcW w:w="700" w:type="dxa"/>
            <w:vAlign w:val="bottom"/>
            <w:tcBorders>
              <w:bottom w:val="single" w:sz="8" w:color="0C6DFF"/>
            </w:tcBorders>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tcPr>
          <w:p>
            <w:pPr>
              <w:jc w:val="right"/>
              <w:ind w:right="74"/>
              <w:spacing w:after="0"/>
              <w:rPr>
                <w:sz w:val="20"/>
                <w:szCs w:val="20"/>
                <w:color w:val="auto"/>
              </w:rPr>
            </w:pPr>
            <w:r>
              <w:rPr>
                <w:rFonts w:ascii="Arial" w:cs="Arial" w:eastAsia="Arial" w:hAnsi="Arial"/>
                <w:sz w:val="18"/>
                <w:szCs w:val="18"/>
                <w:color w:val="auto"/>
              </w:rPr>
              <w:t>960</w:t>
            </w:r>
          </w:p>
        </w:tc>
        <w:tc>
          <w:tcPr>
            <w:tcW w:w="700" w:type="dxa"/>
            <w:vAlign w:val="bottom"/>
            <w:tcBorders>
              <w:bottom w:val="single" w:sz="8" w:color="0C6DFF"/>
            </w:tcBorders>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825</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our common stock at a discount through payroll deductions. As of December 31, 2021, all of our stock options outstanding were net settled stock options, which result in fewer shares being issued and no cash proceeds being received by us when the options are exercised.</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Stock Options and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40" w:type="dxa"/>
            <w:vAlign w:val="bottom"/>
          </w:tcPr>
          <w:p>
            <w:pPr>
              <w:jc w:val="right"/>
              <w:ind w:right="675"/>
              <w:spacing w:after="0"/>
              <w:rPr>
                <w:sz w:val="20"/>
                <w:szCs w:val="20"/>
                <w:color w:val="auto"/>
              </w:rPr>
            </w:pPr>
            <w:r>
              <w:rPr>
                <w:rFonts w:ascii="Arial" w:cs="Arial" w:eastAsia="Arial" w:hAnsi="Arial"/>
                <w:sz w:val="14"/>
                <w:szCs w:val="14"/>
                <w:color w:val="auto"/>
              </w:rPr>
              <w:t>Stock</w:t>
            </w:r>
          </w:p>
        </w:tc>
        <w:tc>
          <w:tcPr>
            <w:tcW w:w="900" w:type="dxa"/>
            <w:vAlign w:val="bottom"/>
          </w:tcPr>
          <w:p>
            <w:pPr>
              <w:spacing w:after="0"/>
              <w:rPr>
                <w:sz w:val="15"/>
                <w:szCs w:val="15"/>
                <w:color w:val="auto"/>
              </w:rPr>
            </w:pPr>
          </w:p>
        </w:tc>
      </w:tr>
      <w:tr>
        <w:trPr>
          <w:trHeight w:val="202"/>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of December 31, 2021, unless otherwise stated (in millions, except per share data)</w:t>
            </w:r>
          </w:p>
        </w:tc>
        <w:tc>
          <w:tcPr>
            <w:tcW w:w="2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rPr>
              <w:t>Options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RSUs</w:t>
            </w:r>
          </w:p>
        </w:tc>
      </w:tr>
      <w:tr>
        <w:trPr>
          <w:trHeight w:val="228"/>
        </w:trPr>
        <w:tc>
          <w:tcPr>
            <w:tcW w:w="6560" w:type="dxa"/>
            <w:vAlign w:val="bottom"/>
          </w:tcPr>
          <w:p>
            <w:pPr>
              <w:ind w:left="20"/>
              <w:spacing w:after="0"/>
              <w:rPr>
                <w:sz w:val="20"/>
                <w:szCs w:val="20"/>
                <w:color w:val="auto"/>
              </w:rPr>
            </w:pPr>
            <w:r>
              <w:rPr>
                <w:rFonts w:ascii="Arial" w:cs="Arial" w:eastAsia="Arial" w:hAnsi="Arial"/>
                <w:sz w:val="18"/>
                <w:szCs w:val="18"/>
                <w:color w:val="auto"/>
              </w:rPr>
              <w:t>Awards granted during 2021</w:t>
            </w:r>
          </w:p>
        </w:tc>
        <w:tc>
          <w:tcPr>
            <w:tcW w:w="2140" w:type="dxa"/>
            <w:vAlign w:val="bottom"/>
          </w:tcPr>
          <w:p>
            <w:pPr>
              <w:spacing w:after="0"/>
              <w:rPr>
                <w:sz w:val="19"/>
                <w:szCs w:val="19"/>
                <w:color w:val="auto"/>
              </w:rPr>
            </w:pPr>
          </w:p>
        </w:tc>
        <w:tc>
          <w:tcPr>
            <w:tcW w:w="1640" w:type="dxa"/>
            <w:vAlign w:val="bottom"/>
          </w:tcPr>
          <w:p>
            <w:pPr>
              <w:jc w:val="right"/>
              <w:ind w:right="715"/>
              <w:spacing w:after="0"/>
              <w:rPr>
                <w:sz w:val="20"/>
                <w:szCs w:val="20"/>
                <w:color w:val="auto"/>
              </w:rPr>
            </w:pPr>
            <w:r>
              <w:rPr>
                <w:rFonts w:ascii="Arial" w:cs="Arial" w:eastAsia="Arial" w:hAnsi="Arial"/>
                <w:sz w:val="18"/>
                <w:szCs w:val="18"/>
                <w:color w:val="auto"/>
              </w:rPr>
              <w:t>44</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exercise price of awards granted during 2021</w:t>
            </w:r>
          </w:p>
        </w:tc>
        <w:tc>
          <w:tcPr>
            <w:tcW w:w="2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rPr>
              <w:t>54.22</w:t>
            </w:r>
          </w:p>
        </w:tc>
        <w:tc>
          <w:tcPr>
            <w:tcW w:w="900" w:type="dxa"/>
            <w:vAlign w:val="bottom"/>
            <w:tcBorders>
              <w:bottom w:val="single" w:sz="8" w:color="auto"/>
            </w:tcBorders>
          </w:tcPr>
          <w:p>
            <w:pPr>
              <w:spacing w:after="0"/>
              <w:rPr>
                <w:sz w:val="20"/>
                <w:szCs w:val="20"/>
                <w:color w:val="auto"/>
              </w:rPr>
            </w:pPr>
          </w:p>
        </w:tc>
      </w:tr>
      <w:tr>
        <w:trPr>
          <w:trHeight w:val="222"/>
        </w:trPr>
        <w:tc>
          <w:tcPr>
            <w:tcW w:w="6560" w:type="dxa"/>
            <w:vAlign w:val="bottom"/>
          </w:tcPr>
          <w:p>
            <w:pPr>
              <w:ind w:left="20"/>
              <w:spacing w:after="0"/>
              <w:rPr>
                <w:sz w:val="20"/>
                <w:szCs w:val="20"/>
                <w:color w:val="auto"/>
              </w:rPr>
            </w:pPr>
            <w:r>
              <w:rPr>
                <w:rFonts w:ascii="Arial" w:cs="Arial" w:eastAsia="Arial" w:hAnsi="Arial"/>
                <w:sz w:val="18"/>
                <w:szCs w:val="18"/>
                <w:color w:val="auto"/>
              </w:rPr>
              <w:t>Stock options outstanding and nonvested RSUs</w:t>
            </w:r>
          </w:p>
        </w:tc>
        <w:tc>
          <w:tcPr>
            <w:tcW w:w="2140" w:type="dxa"/>
            <w:vAlign w:val="bottom"/>
          </w:tcPr>
          <w:p>
            <w:pPr>
              <w:spacing w:after="0"/>
              <w:rPr>
                <w:sz w:val="19"/>
                <w:szCs w:val="19"/>
                <w:color w:val="auto"/>
              </w:rPr>
            </w:pPr>
          </w:p>
        </w:tc>
        <w:tc>
          <w:tcPr>
            <w:tcW w:w="1640" w:type="dxa"/>
            <w:vAlign w:val="bottom"/>
          </w:tcPr>
          <w:p>
            <w:pPr>
              <w:jc w:val="right"/>
              <w:ind w:right="715"/>
              <w:spacing w:after="0"/>
              <w:rPr>
                <w:sz w:val="20"/>
                <w:szCs w:val="20"/>
                <w:color w:val="auto"/>
              </w:rPr>
            </w:pPr>
            <w:r>
              <w:rPr>
                <w:rFonts w:ascii="Arial" w:cs="Arial" w:eastAsia="Arial" w:hAnsi="Arial"/>
                <w:sz w:val="18"/>
                <w:szCs w:val="18"/>
                <w:color w:val="auto"/>
              </w:rPr>
              <w:t>211</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Weighted-average exercise price of stock options outstanding</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15"/>
              <w:spacing w:after="0"/>
              <w:rPr>
                <w:sz w:val="20"/>
                <w:szCs w:val="20"/>
                <w:color w:val="auto"/>
              </w:rPr>
            </w:pPr>
            <w:r>
              <w:rPr>
                <w:rFonts w:ascii="Arial" w:cs="Arial" w:eastAsia="Arial" w:hAnsi="Arial"/>
                <w:sz w:val="18"/>
                <w:szCs w:val="18"/>
                <w:color w:val="auto"/>
              </w:rPr>
              <w:t>40.38</w:t>
            </w:r>
          </w:p>
        </w:tc>
        <w:tc>
          <w:tcPr>
            <w:tcW w:w="900" w:type="dxa"/>
            <w:vAlign w:val="bottom"/>
          </w:tcPr>
          <w:p>
            <w:pPr>
              <w:spacing w:after="0"/>
              <w:rPr>
                <w:sz w:val="19"/>
                <w:szCs w:val="19"/>
                <w:color w:val="auto"/>
              </w:rPr>
            </w:pPr>
          </w:p>
        </w:tc>
      </w:t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fair value at grant date of nonvested RSUs</w:t>
            </w:r>
          </w:p>
        </w:tc>
        <w:tc>
          <w:tcPr>
            <w:tcW w:w="2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cost associated with our share-based compensation is based on an award’s estimated fair value at the date of grant and is recognized over the period in which any related services are provided. RSUs are valued based on the closing price of our common stock on the date of grant and are discounted for the lack of dividends, if any, during the vesting period. We use the Black-Scholes option pricing model to estimate the fair value of stock option awards.</w:t>
      </w:r>
    </w:p>
    <w:p>
      <w:pPr>
        <w:spacing w:after="0" w:line="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presents the weighted-average fair value on the date of grant of RSUs and stock options awarded under our various plans and the related weighted-average valuation assumptions.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93</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2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4"/>
        </w:trPr>
        <w:tc>
          <w:tcPr>
            <w:tcW w:w="4500" w:type="dxa"/>
            <w:vAlign w:val="bottom"/>
          </w:tcPr>
          <w:p>
            <w:pPr>
              <w:ind w:left="20"/>
              <w:spacing w:after="0"/>
              <w:rPr>
                <w:sz w:val="20"/>
                <w:szCs w:val="20"/>
                <w:color w:val="auto"/>
              </w:rPr>
            </w:pPr>
            <w:r>
              <w:rPr>
                <w:rFonts w:ascii="Arial" w:cs="Arial" w:eastAsia="Arial" w:hAnsi="Arial"/>
                <w:sz w:val="18"/>
                <w:szCs w:val="18"/>
                <w:color w:val="auto"/>
              </w:rPr>
              <w:t>RSUs fair value</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3"/>
              <w:spacing w:after="0"/>
              <w:rPr>
                <w:sz w:val="20"/>
                <w:szCs w:val="20"/>
                <w:color w:val="auto"/>
              </w:rPr>
            </w:pPr>
            <w:r>
              <w:rPr>
                <w:rFonts w:ascii="Arial" w:cs="Arial" w:eastAsia="Arial" w:hAnsi="Arial"/>
                <w:sz w:val="18"/>
                <w:szCs w:val="18"/>
                <w:b w:val="1"/>
                <w:bCs w:val="1"/>
                <w:color w:val="auto"/>
              </w:rPr>
              <w:t>54.52</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41.71</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33"/>
        </w:trPr>
        <w:tc>
          <w:tcPr>
            <w:tcW w:w="4500" w:type="dxa"/>
            <w:vAlign w:val="bottom"/>
          </w:tcPr>
          <w:p>
            <w:pPr>
              <w:ind w:left="20"/>
              <w:spacing w:after="0"/>
              <w:rPr>
                <w:sz w:val="20"/>
                <w:szCs w:val="20"/>
                <w:color w:val="auto"/>
              </w:rPr>
            </w:pPr>
            <w:r>
              <w:rPr>
                <w:rFonts w:ascii="Arial" w:cs="Arial" w:eastAsia="Arial" w:hAnsi="Arial"/>
                <w:sz w:val="18"/>
                <w:szCs w:val="18"/>
                <w:color w:val="auto"/>
              </w:rPr>
              <w:t>Stock options fair value</w:t>
            </w: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53"/>
              <w:spacing w:after="0"/>
              <w:rPr>
                <w:sz w:val="20"/>
                <w:szCs w:val="20"/>
                <w:color w:val="auto"/>
              </w:rPr>
            </w:pPr>
            <w:r>
              <w:rPr>
                <w:rFonts w:ascii="Arial" w:cs="Arial" w:eastAsia="Arial" w:hAnsi="Arial"/>
                <w:sz w:val="18"/>
                <w:szCs w:val="18"/>
                <w:b w:val="1"/>
                <w:bCs w:val="1"/>
                <w:color w:val="auto"/>
              </w:rPr>
              <w:t>9.72</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3"/>
              <w:spacing w:after="0"/>
              <w:rPr>
                <w:sz w:val="20"/>
                <w:szCs w:val="20"/>
                <w:color w:val="auto"/>
              </w:rPr>
            </w:pPr>
            <w:r>
              <w:rPr>
                <w:rFonts w:ascii="Arial" w:cs="Arial" w:eastAsia="Arial" w:hAnsi="Arial"/>
                <w:sz w:val="18"/>
                <w:szCs w:val="18"/>
                <w:color w:val="auto"/>
              </w:rPr>
              <w:t>6.61</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Stock Option Valuation Assumptions:</w:t>
            </w:r>
          </w:p>
        </w:tc>
        <w:tc>
          <w:tcPr>
            <w:tcW w:w="2240" w:type="dxa"/>
            <w:vAlign w:val="bottom"/>
          </w:tcPr>
          <w:p>
            <w:pPr>
              <w:spacing w:after="0"/>
              <w:rPr>
                <w:sz w:val="19"/>
                <w:szCs w:val="19"/>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1.8 %</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ind w:left="140"/>
              <w:spacing w:after="0"/>
              <w:rPr>
                <w:sz w:val="20"/>
                <w:szCs w:val="20"/>
                <w:color w:val="auto"/>
              </w:rPr>
            </w:pPr>
            <w:r>
              <w:rPr>
                <w:rFonts w:ascii="Arial" w:cs="Arial" w:eastAsia="Arial" w:hAnsi="Arial"/>
                <w:sz w:val="18"/>
                <w:szCs w:val="18"/>
                <w:color w:val="auto"/>
              </w:rPr>
              <w:t>Dividend yield</w:t>
            </w:r>
          </w:p>
        </w:tc>
        <w:tc>
          <w:tcPr>
            <w:tcW w:w="22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2.2 %</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Expected volatility</w:t>
            </w:r>
          </w:p>
        </w:tc>
        <w:tc>
          <w:tcPr>
            <w:tcW w:w="22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22.8 %</w:t>
            </w:r>
          </w:p>
        </w:tc>
        <w:tc>
          <w:tcPr>
            <w:tcW w:w="6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21.0 %</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22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0.9 %</w:t>
            </w:r>
          </w:p>
        </w:tc>
        <w:tc>
          <w:tcPr>
            <w:tcW w:w="6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1.0 %</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4"/>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Expected option life (in years)</w:t>
            </w:r>
          </w:p>
        </w:tc>
        <w:tc>
          <w:tcPr>
            <w:tcW w:w="2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5.9</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we had unrecognized pretax compensation expense of $1.2 billion related to nonvested RSUs and unrecognized pretax compensation expense of $592 million related to nonvested stock options that will be recognized over a weighted-average period of approximately 1.6 and 1.7 years, respectively. In 2021, 2020, and 2019, we recognized $209 million, $150 million and $196 million, respectively, as a reduction to income tax expense as a result of excess tax benefits associated with our share-based compensation plans.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14: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006EBF"/>
        </w:rPr>
        <w:t>Cash Payments for Interest and Income Taxes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8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18"/>
        </w:trPr>
        <w:tc>
          <w:tcPr>
            <w:tcW w:w="4600" w:type="dxa"/>
            <w:vAlign w:val="bottom"/>
          </w:tcPr>
          <w:p>
            <w:pPr>
              <w:ind w:left="20"/>
              <w:spacing w:after="0"/>
              <w:rPr>
                <w:sz w:val="20"/>
                <w:szCs w:val="20"/>
                <w:color w:val="auto"/>
              </w:rPr>
            </w:pPr>
            <w:r>
              <w:rPr>
                <w:rFonts w:ascii="Arial" w:cs="Arial" w:eastAsia="Arial" w:hAnsi="Arial"/>
                <w:sz w:val="18"/>
                <w:szCs w:val="18"/>
                <w:color w:val="auto"/>
              </w:rPr>
              <w:t>Interest</w:t>
            </w:r>
          </w:p>
        </w:tc>
        <w:tc>
          <w:tcPr>
            <w:tcW w:w="28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3,908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3,878</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4,254</w:t>
            </w:r>
          </w:p>
        </w:tc>
      </w:t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w:t>
            </w:r>
          </w:p>
        </w:tc>
        <w:tc>
          <w:tcPr>
            <w:tcW w:w="2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2,628</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2021:</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acquired $2.0 billion of property and equipment and intangible assets that were accrued but unpaid</w:t>
      </w:r>
    </w:p>
    <w:p>
      <w:pPr>
        <w:spacing w:after="0" w:line="117" w:lineRule="exact"/>
        <w:rPr>
          <w:rFonts w:ascii="Arial" w:cs="Arial" w:eastAsia="Arial" w:hAnsi="Arial"/>
          <w:sz w:val="18"/>
          <w:szCs w:val="18"/>
          <w:color w:val="auto"/>
        </w:rPr>
      </w:pPr>
    </w:p>
    <w:p>
      <w:pPr>
        <w:ind w:right="2220" w:firstLine="332"/>
        <w:spacing w:after="0" w:line="375" w:lineRule="auto"/>
        <w:tabs>
          <w:tab w:leader="none" w:pos="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$0.25 per common share paid in January 2022 During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acquired $1.9 billion of property and equipment and intangible assets that were accrued but unpaid</w:t>
      </w:r>
    </w:p>
    <w:p>
      <w:pPr>
        <w:spacing w:after="0" w:line="117" w:lineRule="exact"/>
        <w:rPr>
          <w:rFonts w:ascii="Arial" w:cs="Arial" w:eastAsia="Arial" w:hAnsi="Arial"/>
          <w:sz w:val="18"/>
          <w:szCs w:val="18"/>
          <w:color w:val="auto"/>
        </w:rPr>
      </w:pPr>
    </w:p>
    <w:p>
      <w:pPr>
        <w:ind w:right="2220" w:firstLine="332"/>
        <w:spacing w:after="0" w:line="375" w:lineRule="auto"/>
        <w:tabs>
          <w:tab w:leader="none" w:pos="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$0.23 per common share paid in January 2021 During 2019: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acquired $1.9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recorded a liability of $956 million for a quarterly cash dividend of $0.21 per common share paid in January 2020</w:t>
      </w:r>
    </w:p>
    <w:p>
      <w:pPr>
        <w:spacing w:after="0" w:line="10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 to the total of the amounts reported in our consolidated statement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2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8,711</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11,740</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4"/>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included in other noncurrent assets, net</w:t>
            </w:r>
          </w:p>
        </w:tc>
        <w:tc>
          <w:tcPr>
            <w:tcW w:w="2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98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2600" w:type="dxa"/>
            <w:vAlign w:val="bottom"/>
            <w:tcBorders>
              <w:bottom w:val="single" w:sz="8" w:color="0C6DFF"/>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8,778</w:t>
            </w:r>
          </w:p>
        </w:tc>
        <w:tc>
          <w:tcPr>
            <w:tcW w:w="600" w:type="dxa"/>
            <w:vAlign w:val="bottom"/>
            <w:tcBorders>
              <w:bottom w:val="single" w:sz="8" w:color="0C6DFF"/>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11,768</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94</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EBF"/>
        </w:rPr>
        <w:t>Note 15: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Sports Rights and Licensed Content</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most significant fixed-price purchase obligations relate to long-term commitments for sports rights and licensed content. Refer to Note 4 for additional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leases consist primarily of real estate, vehicles and other equipment. We determine if an arrangement is a lease at inception. Lease assets and liabilities are recognized upon commencement of the lease based on the present value of the future minimum lease payments over the lease term. The lease term includes options to extend the lease when it is reasonably certain that we will exercise that option. We generally utilize our incremental borrowing rate based on information available at the commencement of the lease in determining the present value of future payments. The lease asset also includes any lease payments made and initial direct costs incurred and excludes lease incentives. Lease assets and liabilities are not recorded for leases with an initial term of one year or less. Lease expense for operating leases recorded in the balance sheet is included in operating costs and expenses and is based on the future minimum lease payments recognized on a straight-line basis over the term of the lease plus any variable lease costs. In 2021, 2020 and 2019, operating lease expenses, inclusive of short-term and variable lease expenses, recognized in our consolidated statement of income were $1.2 billion, $1.1 billion and $1.1 billion, respectively. These amounts do not include lease costs associated with production activities or other amounts capitalized in our consolidated balance sheet, which were not material.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lease assets and liabilities recorded in our consolidated balance sheet.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30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20"/>
              <w:spacing w:after="0"/>
              <w:rPr>
                <w:sz w:val="20"/>
                <w:szCs w:val="20"/>
                <w:color w:val="auto"/>
              </w:rPr>
            </w:pPr>
            <w:r>
              <w:rPr>
                <w:rFonts w:ascii="Arial" w:cs="Arial" w:eastAsia="Arial" w:hAnsi="Arial"/>
                <w:sz w:val="18"/>
                <w:szCs w:val="18"/>
                <w:color w:val="auto"/>
              </w:rPr>
              <w:t>Other noncurrent assets, net</w:t>
            </w:r>
          </w:p>
        </w:tc>
        <w:tc>
          <w:tcPr>
            <w:tcW w:w="30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b w:val="1"/>
                <w:bCs w:val="1"/>
                <w:color w:val="auto"/>
              </w:rPr>
              <w:t>6,467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0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b w:val="1"/>
                <w:bCs w:val="1"/>
                <w:color w:val="auto"/>
              </w:rPr>
              <w:t>766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6,473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720" w:type="dxa"/>
            <w:vAlign w:val="bottom"/>
            <w:gridSpan w:val="2"/>
          </w:tcPr>
          <w:p>
            <w:pPr>
              <w:spacing w:after="0"/>
              <w:rPr>
                <w:sz w:val="20"/>
                <w:szCs w:val="20"/>
                <w:color w:val="auto"/>
              </w:rPr>
            </w:pPr>
            <w:r>
              <w:rPr>
                <w:rFonts w:ascii="Arial" w:cs="Arial" w:eastAsia="Arial" w:hAnsi="Arial"/>
                <w:sz w:val="18"/>
                <w:szCs w:val="18"/>
                <w:color w:val="auto"/>
                <w:w w:val="94"/>
              </w:rPr>
              <w:t>The table below summarizes our future minimum lease commitments for operating leases as of December 31, 2021.</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334"/>
              <w:spacing w:after="0"/>
              <w:rPr>
                <w:sz w:val="20"/>
                <w:szCs w:val="20"/>
                <w:color w:val="auto"/>
              </w:rPr>
            </w:pPr>
            <w:r>
              <w:rPr>
                <w:rFonts w:ascii="Arial" w:cs="Arial" w:eastAsia="Arial" w:hAnsi="Arial"/>
                <w:sz w:val="14"/>
                <w:szCs w:val="14"/>
                <w:color w:val="auto"/>
                <w:w w:val="95"/>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72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2021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720" w:type="dxa"/>
            <w:vAlign w:val="bottom"/>
          </w:tcPr>
          <w:p>
            <w:pPr>
              <w:ind w:left="20"/>
              <w:spacing w:after="0"/>
              <w:rPr>
                <w:sz w:val="20"/>
                <w:szCs w:val="20"/>
                <w:color w:val="auto"/>
              </w:rPr>
            </w:pPr>
            <w:r>
              <w:rPr>
                <w:rFonts w:ascii="Arial" w:cs="Arial" w:eastAsia="Arial" w:hAnsi="Arial"/>
                <w:sz w:val="18"/>
                <w:szCs w:val="18"/>
                <w:color w:val="auto"/>
              </w:rPr>
              <w:t>2022</w:t>
            </w:r>
          </w:p>
        </w:tc>
        <w:tc>
          <w:tcPr>
            <w:tcW w:w="300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2023</w:t>
            </w:r>
          </w:p>
        </w:tc>
        <w:tc>
          <w:tcPr>
            <w:tcW w:w="3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2024</w:t>
            </w:r>
          </w:p>
        </w:tc>
        <w:tc>
          <w:tcPr>
            <w:tcW w:w="3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2025</w:t>
            </w:r>
          </w:p>
        </w:tc>
        <w:tc>
          <w:tcPr>
            <w:tcW w:w="3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2026</w:t>
            </w:r>
          </w:p>
        </w:tc>
        <w:tc>
          <w:tcPr>
            <w:tcW w:w="3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0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7,933</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72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3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30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0C6DFF"/>
            </w:tcBorders>
          </w:tcPr>
          <w:p>
            <w:pPr>
              <w:ind w:left="20"/>
              <w:spacing w:after="0"/>
              <w:rPr>
                <w:sz w:val="20"/>
                <w:szCs w:val="20"/>
                <w:color w:val="auto"/>
              </w:rPr>
            </w:pPr>
            <w:r>
              <w:rPr>
                <w:rFonts w:ascii="Arial" w:cs="Arial" w:eastAsia="Arial" w:hAnsi="Arial"/>
                <w:sz w:val="18"/>
                <w:szCs w:val="18"/>
                <w:color w:val="auto"/>
              </w:rPr>
              <w:t>Total liability</w:t>
            </w:r>
          </w:p>
        </w:tc>
        <w:tc>
          <w:tcPr>
            <w:tcW w:w="3000" w:type="dxa"/>
            <w:vAlign w:val="bottom"/>
            <w:tcBorders>
              <w:bottom w:val="single" w:sz="8" w:color="0C6DFF"/>
            </w:tcBorders>
          </w:tcPr>
          <w:p>
            <w:pPr>
              <w:spacing w:after="0"/>
              <w:rPr>
                <w:sz w:val="19"/>
                <w:szCs w:val="19"/>
                <w:color w:val="auto"/>
              </w:rPr>
            </w:pPr>
          </w:p>
        </w:tc>
        <w:tc>
          <w:tcPr>
            <w:tcW w:w="94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0C6DFF"/>
            </w:tcBorders>
          </w:tcPr>
          <w:p>
            <w:pPr>
              <w:spacing w:after="0"/>
              <w:rPr>
                <w:sz w:val="19"/>
                <w:szCs w:val="19"/>
                <w:color w:val="auto"/>
              </w:rPr>
            </w:pPr>
          </w:p>
        </w:tc>
        <w:tc>
          <w:tcPr>
            <w:tcW w:w="12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7,239</w:t>
            </w:r>
          </w:p>
        </w:tc>
        <w:tc>
          <w:tcPr>
            <w:tcW w:w="60" w:type="dxa"/>
            <w:vAlign w:val="bottom"/>
            <w:tcBorders>
              <w:bottom w:val="single" w:sz="8" w:color="0C6D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weighted-average remaining lease terms for operating leases and the weighted-average discount rates used to calculate our operating lease liabilities as of December 31, 2021 were 19 years and 3.94%, respectively, and as of December 31, 2020 were 9 years and 3.58%, respectively.</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2020 and 2019, cash payments for operating leases recorded in the consolidated balance sheet were $987 million, $936 million and $914 million respectively. We recognized operating lease assets and liabilities of $2.8 billion related to Universal Beijing Resort in 2021. Lease assets and liabilities associated with other operating leases entered into or modified were not material in any period presented.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95</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2021, our carrying value was $1.1 billion, and the estimated value of the contractual obligation was $1.5 billion based on inputs to the contractual formula as of that date.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2021, we redeemed all of the NBCUniversal Enterprise, Inc. preferred stock and made cash payments equal to the aggregate liquidation preference of $725 million. As of December 31, 2020, the preferred stock had a carrying value equal to its liquidation preference and was presented in redeemable noncontrolling interests and redeemable subsidiary preferred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96</w:t>
            </w:r>
          </w:p>
        </w:tc>
      </w:tr>
      <w:tr>
        <w:trPr>
          <w:trHeight w:val="330"/>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color w:val="006EBF"/>
        </w:rPr>
        <w:t>Item 9: Changes in and Disagreements with Accountants on Accounting and Financial Disclosure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9A: Controls and Procedures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Internal Control Over Financial Reporting on page 64.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65.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006EBF"/>
        </w:rPr>
        <w:t>Item 9B: Other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9C: Disclosure Regarding Foreign Jurisdictions that Prevent Inspections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97</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10: Directors, Executive Officers and Corporate Governance</w:t>
      </w:r>
    </w:p>
    <w:p>
      <w:pPr>
        <w:spacing w:after="0" w:line="1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Except for the information regarding executive officers required by Item 401 of Regulation S-K, we incorporate the information required by this item by reference to our definitive proxy statement for our annual meeting of shareholders. We refer to this proxy statement as the 2022 Proxy 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term of office of each of our executive officers continues until his successor is selected and qualified or until his earlier death, resignation or removal.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our executive officers, including their ages, positions and tenure, as of December 31,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114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color w:val="auto"/>
                <w:w w:val="96"/>
              </w:rPr>
              <w:t>Age</w:t>
            </w:r>
          </w:p>
        </w:tc>
        <w:tc>
          <w:tcPr>
            <w:tcW w:w="124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color w:val="auto"/>
                <w:w w:val="94"/>
              </w:rPr>
              <w:t>Officer Since</w:t>
            </w:r>
          </w:p>
        </w:tc>
        <w:tc>
          <w:tcPr>
            <w:tcW w:w="66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Position with Comcast</w:t>
            </w:r>
          </w:p>
        </w:tc>
      </w:tr>
      <w:tr>
        <w:trPr>
          <w:trHeight w:val="228"/>
        </w:trPr>
        <w:tc>
          <w:tcPr>
            <w:tcW w:w="2100" w:type="dxa"/>
            <w:vAlign w:val="bottom"/>
          </w:tcPr>
          <w:p>
            <w:pPr>
              <w:ind w:left="20"/>
              <w:spacing w:after="0"/>
              <w:rPr>
                <w:sz w:val="20"/>
                <w:szCs w:val="20"/>
                <w:color w:val="auto"/>
              </w:rPr>
            </w:pPr>
            <w:r>
              <w:rPr>
                <w:rFonts w:ascii="Arial" w:cs="Arial" w:eastAsia="Arial" w:hAnsi="Arial"/>
                <w:sz w:val="18"/>
                <w:szCs w:val="18"/>
                <w:color w:val="auto"/>
              </w:rPr>
              <w:t>Brian L. Roberts</w:t>
            </w:r>
          </w:p>
        </w:tc>
        <w:tc>
          <w:tcPr>
            <w:tcW w:w="1140" w:type="dxa"/>
            <w:vAlign w:val="bottom"/>
          </w:tcPr>
          <w:p>
            <w:pPr>
              <w:jc w:val="center"/>
              <w:ind w:left="112"/>
              <w:spacing w:after="0"/>
              <w:rPr>
                <w:sz w:val="20"/>
                <w:szCs w:val="20"/>
                <w:color w:val="auto"/>
              </w:rPr>
            </w:pPr>
            <w:r>
              <w:rPr>
                <w:rFonts w:ascii="Arial" w:cs="Arial" w:eastAsia="Arial" w:hAnsi="Arial"/>
                <w:sz w:val="18"/>
                <w:szCs w:val="18"/>
                <w:color w:val="auto"/>
                <w:w w:val="89"/>
              </w:rPr>
              <w:t>62</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89"/>
              </w:rPr>
              <w:t>1986</w:t>
            </w:r>
          </w:p>
        </w:tc>
        <w:tc>
          <w:tcPr>
            <w:tcW w:w="6660" w:type="dxa"/>
            <w:vAlign w:val="bottom"/>
          </w:tcPr>
          <w:p>
            <w:pPr>
              <w:ind w:left="120"/>
              <w:spacing w:after="0"/>
              <w:rPr>
                <w:sz w:val="20"/>
                <w:szCs w:val="20"/>
                <w:color w:val="auto"/>
              </w:rPr>
            </w:pPr>
            <w:r>
              <w:rPr>
                <w:rFonts w:ascii="Arial" w:cs="Arial" w:eastAsia="Arial" w:hAnsi="Arial"/>
                <w:sz w:val="18"/>
                <w:szCs w:val="18"/>
                <w:color w:val="auto"/>
              </w:rPr>
              <w:t>Chairman and Chief Executive Officer; President</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Michael J. Cavanagh</w:t>
            </w:r>
          </w:p>
        </w:tc>
        <w:tc>
          <w:tcPr>
            <w:tcW w:w="1140" w:type="dxa"/>
            <w:vAlign w:val="bottom"/>
          </w:tcPr>
          <w:p>
            <w:pPr>
              <w:jc w:val="center"/>
              <w:ind w:left="112"/>
              <w:spacing w:after="0"/>
              <w:rPr>
                <w:sz w:val="20"/>
                <w:szCs w:val="20"/>
                <w:color w:val="auto"/>
              </w:rPr>
            </w:pPr>
            <w:r>
              <w:rPr>
                <w:rFonts w:ascii="Arial" w:cs="Arial" w:eastAsia="Arial" w:hAnsi="Arial"/>
                <w:sz w:val="18"/>
                <w:szCs w:val="18"/>
                <w:color w:val="auto"/>
                <w:w w:val="89"/>
              </w:rPr>
              <w:t>55</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89"/>
              </w:rPr>
              <w:t>2015</w:t>
            </w:r>
          </w:p>
        </w:tc>
        <w:tc>
          <w:tcPr>
            <w:tcW w:w="66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Adam L. Miller</w:t>
            </w:r>
          </w:p>
        </w:tc>
        <w:tc>
          <w:tcPr>
            <w:tcW w:w="1140" w:type="dxa"/>
            <w:vAlign w:val="bottom"/>
          </w:tcPr>
          <w:p>
            <w:pPr>
              <w:jc w:val="center"/>
              <w:ind w:left="112"/>
              <w:spacing w:after="0"/>
              <w:rPr>
                <w:sz w:val="20"/>
                <w:szCs w:val="20"/>
                <w:color w:val="auto"/>
              </w:rPr>
            </w:pPr>
            <w:r>
              <w:rPr>
                <w:rFonts w:ascii="Arial" w:cs="Arial" w:eastAsia="Arial" w:hAnsi="Arial"/>
                <w:sz w:val="18"/>
                <w:szCs w:val="18"/>
                <w:color w:val="auto"/>
                <w:w w:val="89"/>
              </w:rPr>
              <w:t>51</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89"/>
              </w:rPr>
              <w:t>2020</w:t>
            </w:r>
          </w:p>
        </w:tc>
        <w:tc>
          <w:tcPr>
            <w:tcW w:w="6660" w:type="dxa"/>
            <w:vAlign w:val="bottom"/>
          </w:tcPr>
          <w:p>
            <w:pPr>
              <w:ind w:left="120"/>
              <w:spacing w:after="0"/>
              <w:rPr>
                <w:sz w:val="20"/>
                <w:szCs w:val="20"/>
                <w:color w:val="auto"/>
              </w:rPr>
            </w:pPr>
            <w:r>
              <w:rPr>
                <w:rFonts w:ascii="Arial" w:cs="Arial" w:eastAsia="Arial" w:hAnsi="Arial"/>
                <w:sz w:val="18"/>
                <w:szCs w:val="18"/>
                <w:color w:val="auto"/>
              </w:rPr>
              <w:t>Chief Administration Officer; Executive Vice President, NBCUniversal</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Daniel C. Murdock</w:t>
            </w:r>
          </w:p>
        </w:tc>
        <w:tc>
          <w:tcPr>
            <w:tcW w:w="1140" w:type="dxa"/>
            <w:vAlign w:val="bottom"/>
          </w:tcPr>
          <w:p>
            <w:pPr>
              <w:jc w:val="center"/>
              <w:ind w:left="112"/>
              <w:spacing w:after="0"/>
              <w:rPr>
                <w:sz w:val="20"/>
                <w:szCs w:val="20"/>
                <w:color w:val="auto"/>
              </w:rPr>
            </w:pPr>
            <w:r>
              <w:rPr>
                <w:rFonts w:ascii="Arial" w:cs="Arial" w:eastAsia="Arial" w:hAnsi="Arial"/>
                <w:sz w:val="18"/>
                <w:szCs w:val="18"/>
                <w:color w:val="auto"/>
                <w:w w:val="89"/>
              </w:rPr>
              <w:t>48</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89"/>
              </w:rPr>
              <w:t>2017</w:t>
            </w:r>
          </w:p>
        </w:tc>
        <w:tc>
          <w:tcPr>
            <w:tcW w:w="6660" w:type="dxa"/>
            <w:vAlign w:val="bottom"/>
          </w:tcPr>
          <w:p>
            <w:pPr>
              <w:ind w:left="120"/>
              <w:spacing w:after="0"/>
              <w:rPr>
                <w:sz w:val="20"/>
                <w:szCs w:val="20"/>
                <w:color w:val="auto"/>
              </w:rPr>
            </w:pPr>
            <w:r>
              <w:rPr>
                <w:rFonts w:ascii="Arial" w:cs="Arial" w:eastAsia="Arial" w:hAnsi="Arial"/>
                <w:sz w:val="18"/>
                <w:szCs w:val="18"/>
                <w:color w:val="auto"/>
              </w:rPr>
              <w:t>Executive Vice President; Chief Accounting Officer and Controller</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Thomas J. Reid</w:t>
            </w:r>
          </w:p>
        </w:tc>
        <w:tc>
          <w:tcPr>
            <w:tcW w:w="1140" w:type="dxa"/>
            <w:vAlign w:val="bottom"/>
          </w:tcPr>
          <w:p>
            <w:pPr>
              <w:jc w:val="center"/>
              <w:ind w:left="112"/>
              <w:spacing w:after="0"/>
              <w:rPr>
                <w:sz w:val="20"/>
                <w:szCs w:val="20"/>
                <w:color w:val="auto"/>
              </w:rPr>
            </w:pPr>
            <w:r>
              <w:rPr>
                <w:rFonts w:ascii="Arial" w:cs="Arial" w:eastAsia="Arial" w:hAnsi="Arial"/>
                <w:sz w:val="18"/>
                <w:szCs w:val="18"/>
                <w:color w:val="auto"/>
                <w:w w:val="89"/>
              </w:rPr>
              <w:t>57</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89"/>
              </w:rPr>
              <w:t>2019</w:t>
            </w:r>
          </w:p>
        </w:tc>
        <w:tc>
          <w:tcPr>
            <w:tcW w:w="6660" w:type="dxa"/>
            <w:vAlign w:val="bottom"/>
          </w:tcPr>
          <w:p>
            <w:pPr>
              <w:ind w:left="120"/>
              <w:spacing w:after="0"/>
              <w:rPr>
                <w:sz w:val="20"/>
                <w:szCs w:val="20"/>
                <w:color w:val="auto"/>
              </w:rPr>
            </w:pPr>
            <w:r>
              <w:rPr>
                <w:rFonts w:ascii="Arial" w:cs="Arial" w:eastAsia="Arial" w:hAnsi="Arial"/>
                <w:sz w:val="18"/>
                <w:szCs w:val="18"/>
                <w:color w:val="auto"/>
              </w:rPr>
              <w:t>Chief Legal Officer and Secretary</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Jeffrey S. Shell</w:t>
            </w:r>
          </w:p>
        </w:tc>
        <w:tc>
          <w:tcPr>
            <w:tcW w:w="1140" w:type="dxa"/>
            <w:vAlign w:val="bottom"/>
          </w:tcPr>
          <w:p>
            <w:pPr>
              <w:jc w:val="center"/>
              <w:ind w:left="112"/>
              <w:spacing w:after="0"/>
              <w:rPr>
                <w:sz w:val="20"/>
                <w:szCs w:val="20"/>
                <w:color w:val="auto"/>
              </w:rPr>
            </w:pPr>
            <w:r>
              <w:rPr>
                <w:rFonts w:ascii="Arial" w:cs="Arial" w:eastAsia="Arial" w:hAnsi="Arial"/>
                <w:sz w:val="18"/>
                <w:szCs w:val="18"/>
                <w:color w:val="auto"/>
                <w:w w:val="89"/>
              </w:rPr>
              <w:t>56</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89"/>
              </w:rPr>
              <w:t>2020</w:t>
            </w:r>
          </w:p>
        </w:tc>
        <w:tc>
          <w:tcPr>
            <w:tcW w:w="6660" w:type="dxa"/>
            <w:vAlign w:val="bottom"/>
          </w:tcPr>
          <w:p>
            <w:pPr>
              <w:ind w:left="120"/>
              <w:spacing w:after="0"/>
              <w:rPr>
                <w:sz w:val="20"/>
                <w:szCs w:val="20"/>
                <w:color w:val="auto"/>
              </w:rPr>
            </w:pPr>
            <w:r>
              <w:rPr>
                <w:rFonts w:ascii="Arial" w:cs="Arial" w:eastAsia="Arial" w:hAnsi="Arial"/>
                <w:sz w:val="18"/>
                <w:szCs w:val="18"/>
                <w:color w:val="auto"/>
              </w:rPr>
              <w:t>Chief Executive Officer, NBCUniversal</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Dana Strong</w:t>
            </w:r>
          </w:p>
        </w:tc>
        <w:tc>
          <w:tcPr>
            <w:tcW w:w="1140" w:type="dxa"/>
            <w:vAlign w:val="bottom"/>
          </w:tcPr>
          <w:p>
            <w:pPr>
              <w:jc w:val="center"/>
              <w:ind w:left="112"/>
              <w:spacing w:after="0"/>
              <w:rPr>
                <w:sz w:val="20"/>
                <w:szCs w:val="20"/>
                <w:color w:val="auto"/>
              </w:rPr>
            </w:pPr>
            <w:r>
              <w:rPr>
                <w:rFonts w:ascii="Arial" w:cs="Arial" w:eastAsia="Arial" w:hAnsi="Arial"/>
                <w:sz w:val="18"/>
                <w:szCs w:val="18"/>
                <w:color w:val="auto"/>
                <w:w w:val="89"/>
              </w:rPr>
              <w:t>51</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89"/>
              </w:rPr>
              <w:t>2021</w:t>
            </w:r>
          </w:p>
        </w:tc>
        <w:tc>
          <w:tcPr>
            <w:tcW w:w="6660" w:type="dxa"/>
            <w:vAlign w:val="bottom"/>
          </w:tcPr>
          <w:p>
            <w:pPr>
              <w:ind w:left="120"/>
              <w:spacing w:after="0"/>
              <w:rPr>
                <w:sz w:val="20"/>
                <w:szCs w:val="20"/>
                <w:color w:val="auto"/>
              </w:rPr>
            </w:pPr>
            <w:r>
              <w:rPr>
                <w:rFonts w:ascii="Arial" w:cs="Arial" w:eastAsia="Arial" w:hAnsi="Arial"/>
                <w:sz w:val="18"/>
                <w:szCs w:val="18"/>
                <w:color w:val="auto"/>
              </w:rPr>
              <w:t>Group Chief Executive Officer, Sky</w:t>
            </w:r>
          </w:p>
        </w:tc>
      </w:tr>
      <w:tr>
        <w:trPr>
          <w:trHeight w:val="230"/>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David N. Watson</w:t>
            </w:r>
          </w:p>
        </w:tc>
        <w:tc>
          <w:tcPr>
            <w:tcW w:w="114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63</w:t>
            </w:r>
          </w:p>
        </w:tc>
        <w:tc>
          <w:tcPr>
            <w:tcW w:w="124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2017</w:t>
            </w:r>
          </w:p>
        </w:tc>
        <w:tc>
          <w:tcPr>
            <w:tcW w:w="6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President and Chief Executive Officer, Comcast Cable</w:t>
            </w:r>
          </w:p>
        </w:tc>
      </w:tr>
    </w:tbl>
    <w:p>
      <w:pPr>
        <w:spacing w:after="0" w:line="202"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Chairman of the Board and Chief Executive Officer for more than five years.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Mr. Roberts had sole voting power over approximately 33</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our two classes of common stock. He is a son of our late founder, Mr. Ralph J. Roberts.</w:t>
      </w:r>
    </w:p>
    <w:p>
      <w:pPr>
        <w:spacing w:after="0" w:line="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Michael J. Cavanagh </w:t>
      </w:r>
      <w:r>
        <w:rPr>
          <w:rFonts w:ascii="Arial" w:cs="Arial" w:eastAsia="Arial" w:hAnsi="Arial"/>
          <w:sz w:val="16"/>
          <w:szCs w:val="16"/>
          <w:color w:val="auto"/>
        </w:rPr>
        <w:t>has served as the Chief Financial Officer of Comcast Corporation since July 2015. Prior to joining our company, Mr. Cavanagh had</w:t>
      </w:r>
      <w:r>
        <w:rPr>
          <w:rFonts w:ascii="Arial" w:cs="Arial" w:eastAsia="Arial" w:hAnsi="Arial"/>
          <w:sz w:val="16"/>
          <w:szCs w:val="16"/>
          <w:i w:val="1"/>
          <w:iCs w:val="1"/>
          <w:color w:val="auto"/>
        </w:rPr>
        <w:t xml:space="preserve"> </w:t>
      </w:r>
      <w:r>
        <w:rPr>
          <w:rFonts w:ascii="Arial" w:cs="Arial" w:eastAsia="Arial" w:hAnsi="Arial"/>
          <w:sz w:val="16"/>
          <w:szCs w:val="16"/>
          <w:color w:val="auto"/>
        </w:rPr>
        <w:t>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Adam L. Miller </w:t>
      </w:r>
      <w:r>
        <w:rPr>
          <w:rFonts w:ascii="Arial" w:cs="Arial" w:eastAsia="Arial" w:hAnsi="Arial"/>
          <w:sz w:val="18"/>
          <w:szCs w:val="18"/>
          <w:color w:val="auto"/>
        </w:rPr>
        <w:t>has served as Chief Administration Officer of Comcast since February 2020 and Executive Vice President of NBCUniversal since 2012.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our company, Mr. Miller was President of The Abernathy MacGregor Group, a leading strategic communications firm headquartered in New York.</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Daniel C. Murdock </w:t>
      </w:r>
      <w:r>
        <w:rPr>
          <w:rFonts w:ascii="Arial" w:cs="Arial" w:eastAsia="Arial" w:hAnsi="Arial"/>
          <w:sz w:val="18"/>
          <w:szCs w:val="18"/>
          <w:color w:val="auto"/>
        </w:rPr>
        <w:t>has served as an Executive Vice President since March 2020, our Chief Accounting Officer since March 2017 and our Controller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July 2015. Prior to joining our company, Mr. Murdock had been with the U.S. Securities and Exchange Commission where he served as the Deputy Chief Accountant in the agency’s Office of the Chief Accountant since 2013. Prior to that, he was Deloitte &amp; Touche’s Audit/Industry Professional Practice Director for media and entertainment.</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Thomas J. Reid </w:t>
      </w:r>
      <w:r>
        <w:rPr>
          <w:rFonts w:ascii="Arial" w:cs="Arial" w:eastAsia="Arial" w:hAnsi="Arial"/>
          <w:sz w:val="17"/>
          <w:szCs w:val="17"/>
          <w:color w:val="auto"/>
        </w:rPr>
        <w:t>has served as our Chief Legal Officer and Secretary since April 2019. Prior to joining our company, Mr. Reid had served as the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Managing Partner of Davis Polk &amp; Wardwell LLP, a global law firm, since 2011. Prior to that, Mr. Reid was a partner at Davis Polk &amp; Wardwell LLP from 2003 to 2011 and a Managing Director in the Investment Banking Division of Morgan Stanley from 2000 to 2003.</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Jeffrey S. Shell </w:t>
      </w:r>
      <w:r>
        <w:rPr>
          <w:rFonts w:ascii="Arial" w:cs="Arial" w:eastAsia="Arial" w:hAnsi="Arial"/>
          <w:sz w:val="18"/>
          <w:szCs w:val="18"/>
          <w:color w:val="auto"/>
        </w:rPr>
        <w:t>has served as the Chief Executive Officer of NBCUniversal since January 2020. Previously, Mr. Shell was the Chairman of NBCUniversal</w:t>
      </w:r>
      <w:r>
        <w:rPr>
          <w:rFonts w:ascii="Arial" w:cs="Arial" w:eastAsia="Arial" w:hAnsi="Arial"/>
          <w:sz w:val="18"/>
          <w:szCs w:val="18"/>
          <w:i w:val="1"/>
          <w:iCs w:val="1"/>
          <w:color w:val="auto"/>
        </w:rPr>
        <w:t xml:space="preserve"> </w:t>
      </w:r>
      <w:r>
        <w:rPr>
          <w:rFonts w:ascii="Arial" w:cs="Arial" w:eastAsia="Arial" w:hAnsi="Arial"/>
          <w:sz w:val="18"/>
          <w:szCs w:val="18"/>
          <w:color w:val="auto"/>
        </w:rPr>
        <w:t>Film and Entertainment since January 2019. Prior to that, Mr. Shell served as the Chairman of Universal Filmed Entertainment Group (UFEG) since 2013 and Chairman of NBCUniversal International prior to joining UFEG. Prior to joining NBCUniversal, Mr. Shell served as President of Comcast Programming Group for six years. Prior to joining our company, Mr. Shell was the CEO of Gemstar TV Guide International and President of FOX Cable Networks Group.</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Dana Strong </w:t>
      </w:r>
      <w:r>
        <w:rPr>
          <w:rFonts w:ascii="Arial" w:cs="Arial" w:eastAsia="Arial" w:hAnsi="Arial"/>
          <w:sz w:val="16"/>
          <w:szCs w:val="16"/>
          <w:color w:val="auto"/>
        </w:rPr>
        <w:t>has served as the Group Chief Executive Officer of Sky since January 2021. Previously, Ms. Strong was the President of Consumer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at Comcast Cable since January 2018. Prior to joining our company, Ms. Strong served as President and Chief Operating Officer of Virgin Media and Chief Transformation Officer of Liberty Global, a European cable company. In addition, Ms. Strong held numerous leadership roles in Europe and Australia, including Chief Executive Officer of UPC Ireland (now Virgin Media Ireland) and Chief Operating Officer of Austar United Communications in Australia.</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David N. Watson </w:t>
      </w:r>
      <w:r>
        <w:rPr>
          <w:rFonts w:ascii="Arial" w:cs="Arial" w:eastAsia="Arial" w:hAnsi="Arial"/>
          <w:sz w:val="18"/>
          <w:szCs w:val="18"/>
          <w:color w:val="auto"/>
        </w:rPr>
        <w:t>has served as Chief Executive Officer, Comcast Cable since April 2017 and previously had served as Chief Operating Officer, Comcast</w:t>
      </w:r>
      <w:r>
        <w:rPr>
          <w:rFonts w:ascii="Arial" w:cs="Arial" w:eastAsia="Arial" w:hAnsi="Arial"/>
          <w:sz w:val="18"/>
          <w:szCs w:val="18"/>
          <w:i w:val="1"/>
          <w:iCs w:val="1"/>
          <w:color w:val="auto"/>
        </w:rPr>
        <w:t xml:space="preserve"> </w:t>
      </w:r>
      <w:r>
        <w:rPr>
          <w:rFonts w:ascii="Arial" w:cs="Arial" w:eastAsia="Arial" w:hAnsi="Arial"/>
          <w:sz w:val="18"/>
          <w:szCs w:val="18"/>
          <w:color w:val="auto"/>
        </w:rPr>
        <w:t>Cable for more than five years. Mr. Watson is also a director of Amkor Technology, Inc.</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180" w:type="dxa"/>
            <w:vAlign w:val="bottom"/>
          </w:tcPr>
          <w:p>
            <w:pPr>
              <w:jc w:val="right"/>
              <w:ind w:right="5508"/>
              <w:spacing w:after="0"/>
              <w:rPr>
                <w:sz w:val="20"/>
                <w:szCs w:val="20"/>
                <w:color w:val="auto"/>
              </w:rPr>
            </w:pPr>
            <w:r>
              <w:rPr>
                <w:rFonts w:ascii="Arial" w:cs="Arial" w:eastAsia="Arial" w:hAnsi="Arial"/>
                <w:sz w:val="14"/>
                <w:szCs w:val="14"/>
                <w:b w:val="1"/>
                <w:bCs w:val="1"/>
                <w:color w:val="auto"/>
              </w:rPr>
              <w:t>98</w:t>
            </w:r>
          </w:p>
        </w:tc>
      </w:tr>
      <w:tr>
        <w:trPr>
          <w:trHeight w:val="329"/>
        </w:trPr>
        <w:tc>
          <w:tcPr>
            <w:tcW w:w="40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color w:val="006EBF"/>
        </w:rPr>
        <w:t>Item 11: Executive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2022 Proxy Statement.</w:t>
      </w:r>
    </w:p>
    <w:p>
      <w:pPr>
        <w:spacing w:after="0" w:line="241" w:lineRule="exact"/>
        <w:rPr>
          <w:sz w:val="20"/>
          <w:szCs w:val="20"/>
          <w:color w:val="auto"/>
        </w:rPr>
      </w:pPr>
    </w:p>
    <w:p>
      <w:pPr>
        <w:ind w:right="1340"/>
        <w:spacing w:after="0" w:line="261" w:lineRule="auto"/>
        <w:rPr>
          <w:sz w:val="20"/>
          <w:szCs w:val="20"/>
          <w:color w:val="auto"/>
        </w:rPr>
      </w:pPr>
      <w:r>
        <w:rPr>
          <w:rFonts w:ascii="Arial" w:cs="Arial" w:eastAsia="Arial" w:hAnsi="Arial"/>
          <w:sz w:val="25"/>
          <w:szCs w:val="25"/>
          <w:color w:val="006EBF"/>
        </w:rPr>
        <w:t>Item 12: Security Ownership of Certain Beneficial Owners and Management and Related Stockholder Matters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2022 Proxy Statement.</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color w:val="006EBF"/>
        </w:rPr>
        <w:t>Item 13: Certain Relationships and Related Transactions, and Director Independence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the information required by this item by reference to our 2022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14: Principal Accountant Fees and Services</w:t>
      </w:r>
    </w:p>
    <w:p>
      <w:pPr>
        <w:spacing w:after="0" w:line="1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incorporate the information required by this item relating to our principal accountant, Deloitte &amp; Touche LLP (PCAOB ID No. 34), by reference to our 2022 Proxy Statement.</w:t>
      </w:r>
    </w:p>
    <w:p>
      <w:pPr>
        <w:spacing w:after="0" w:line="200" w:lineRule="exact"/>
        <w:rPr>
          <w:sz w:val="20"/>
          <w:szCs w:val="20"/>
          <w:color w:val="auto"/>
        </w:rPr>
      </w:pPr>
    </w:p>
    <w:p>
      <w:pPr>
        <w:spacing w:after="0" w:line="286" w:lineRule="exact"/>
        <w:rPr>
          <w:sz w:val="20"/>
          <w:szCs w:val="20"/>
          <w:color w:val="auto"/>
        </w:rPr>
      </w:pPr>
    </w:p>
    <w:p>
      <w:pPr>
        <w:ind w:left="5520"/>
        <w:spacing w:after="0"/>
        <w:tabs>
          <w:tab w:leader="none" w:pos="8580" w:val="left"/>
        </w:tabs>
        <w:rPr>
          <w:sz w:val="20"/>
          <w:szCs w:val="20"/>
          <w:color w:val="auto"/>
        </w:rPr>
      </w:pPr>
      <w:r>
        <w:rPr>
          <w:rFonts w:ascii="Arial" w:cs="Arial" w:eastAsia="Arial" w:hAnsi="Arial"/>
          <w:sz w:val="13"/>
          <w:szCs w:val="13"/>
          <w:b w:val="1"/>
          <w:bCs w:val="1"/>
          <w:color w:val="auto"/>
        </w:rPr>
        <w:t>99</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15: Exhibits and Financial Statement Schedules</w:t>
      </w:r>
    </w:p>
    <w:p>
      <w:pPr>
        <w:spacing w:after="0" w:line="102" w:lineRule="exact"/>
        <w:rPr>
          <w:sz w:val="20"/>
          <w:szCs w:val="20"/>
          <w:color w:val="auto"/>
        </w:rPr>
      </w:pPr>
    </w:p>
    <w:p>
      <w:pPr>
        <w:jc w:val="both"/>
        <w:ind w:firstLine="8"/>
        <w:spacing w:after="0" w:line="286" w:lineRule="auto"/>
        <w:tabs>
          <w:tab w:leader="none" w:pos="248"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consolidated financial statements are filed as a part of this report on Form 10-K in Item 8, Financial Statements and Supplementary Data, and a list of Comcast’s consolidated financial statements are found on page 63 of this report. Financial statement schedules are omitted because the required information is not applicable, or because the information required is included in the consolidated financial statements and notes thereto.</w:t>
      </w:r>
    </w:p>
    <w:p>
      <w:pPr>
        <w:spacing w:after="0" w:line="57" w:lineRule="exact"/>
        <w:rPr>
          <w:rFonts w:ascii="Arial" w:cs="Arial" w:eastAsia="Arial" w:hAnsi="Arial"/>
          <w:sz w:val="17"/>
          <w:szCs w:val="17"/>
          <w:color w:val="auto"/>
        </w:rPr>
      </w:pPr>
    </w:p>
    <w:p>
      <w:pPr>
        <w:ind w:left="260" w:hanging="252"/>
        <w:spacing w:after="0"/>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Exhibits required to be filed by Item 601 of Regulation S-K (all of which are under Commission File No. 001-32871, except as otherwise noted):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gridSpan w:val="2"/>
          </w:tcPr>
          <w:p>
            <w:pPr>
              <w:spacing w:after="0"/>
              <w:rPr>
                <w:rFonts w:ascii="Arial" w:cs="Arial" w:eastAsia="Arial" w:hAnsi="Arial"/>
                <w:sz w:val="18"/>
                <w:szCs w:val="18"/>
                <w:color w:val="0000FF"/>
              </w:rPr>
            </w:pPr>
            <w:hyperlink r:id="rId22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80" w:type="dxa"/>
            <w:vAlign w:val="bottom"/>
          </w:tcPr>
          <w:p>
            <w:pPr>
              <w:spacing w:after="0"/>
              <w:rPr>
                <w:sz w:val="17"/>
                <w:szCs w:val="17"/>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5"/>
              </w:rPr>
              <w:t>Amended and Restated Articles of Incorporation of Comcast Corporation (incorporated by reference to Exhibit 3.1 to Comcast’s Current</w:t>
            </w:r>
          </w:p>
        </w:tc>
      </w:tr>
      <w:tr>
        <w:trPr>
          <w:trHeight w:val="210"/>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Report on Form 8-K filed on December 15, 2015).</w:t>
            </w:r>
          </w:p>
        </w:tc>
      </w:tr>
      <w:tr>
        <w:trPr>
          <w:trHeight w:val="229"/>
        </w:trPr>
        <w:tc>
          <w:tcPr>
            <w:tcW w:w="320" w:type="dxa"/>
            <w:vAlign w:val="bottom"/>
            <w:gridSpan w:val="2"/>
          </w:tcPr>
          <w:p>
            <w:pPr>
              <w:spacing w:after="0"/>
              <w:rPr>
                <w:rFonts w:ascii="Arial" w:cs="Arial" w:eastAsia="Arial" w:hAnsi="Arial"/>
                <w:sz w:val="18"/>
                <w:szCs w:val="18"/>
                <w:color w:val="0000FF"/>
              </w:rPr>
            </w:pPr>
            <w:hyperlink r:id="rId22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3.2 to Comcast’s Annual Report on Form 10-K</w:t>
            </w:r>
          </w:p>
        </w:tc>
      </w:tr>
      <w:tr>
        <w:trPr>
          <w:trHeight w:val="210"/>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for the year ended December 31, 2018).</w:t>
            </w:r>
          </w:p>
        </w:tc>
      </w:tr>
      <w:tr>
        <w:trPr>
          <w:trHeight w:val="229"/>
        </w:trPr>
        <w:tc>
          <w:tcPr>
            <w:tcW w:w="320" w:type="dxa"/>
            <w:vAlign w:val="bottom"/>
            <w:gridSpan w:val="2"/>
          </w:tcPr>
          <w:p>
            <w:pPr>
              <w:spacing w:after="0"/>
              <w:rPr>
                <w:rFonts w:ascii="Arial" w:cs="Arial" w:eastAsia="Arial" w:hAnsi="Arial"/>
                <w:sz w:val="18"/>
                <w:szCs w:val="18"/>
                <w:color w:val="0000FF"/>
              </w:rPr>
            </w:pPr>
            <w:hyperlink r:id="rId226">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Specimen Class A Common Stock Certificate (incorporated by reference to Exhibit 4.1 to Comcast’s Annual Report on Form 10-K for the year</w:t>
            </w:r>
          </w:p>
        </w:tc>
      </w:tr>
      <w:tr>
        <w:trPr>
          <w:trHeight w:val="210"/>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ended December 31, 2002).</w:t>
            </w:r>
          </w:p>
        </w:tc>
      </w:tr>
      <w:tr>
        <w:trPr>
          <w:trHeight w:val="229"/>
        </w:trPr>
        <w:tc>
          <w:tcPr>
            <w:tcW w:w="320" w:type="dxa"/>
            <w:vAlign w:val="bottom"/>
            <w:gridSpan w:val="2"/>
          </w:tcPr>
          <w:p>
            <w:pPr>
              <w:spacing w:after="0"/>
              <w:rPr>
                <w:rFonts w:ascii="Arial" w:cs="Arial" w:eastAsia="Arial" w:hAnsi="Arial"/>
                <w:sz w:val="18"/>
                <w:szCs w:val="18"/>
                <w:color w:val="0000FF"/>
              </w:rPr>
            </w:pPr>
            <w:hyperlink r:id="rId227">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2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Indenture, dated January 7, 2003, between Comcast Corporation, the subsidiary guarantor party thereto, and The Bank of New York Mellon</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tcPr>
          <w:p>
            <w:pPr>
              <w:ind w:left="280"/>
              <w:spacing w:after="0" w:line="142" w:lineRule="exact"/>
              <w:rPr>
                <w:sz w:val="20"/>
                <w:szCs w:val="20"/>
                <w:color w:val="auto"/>
              </w:rPr>
            </w:pPr>
            <w:r>
              <w:rPr>
                <w:rFonts w:ascii="Arial" w:cs="Arial" w:eastAsia="Arial" w:hAnsi="Arial"/>
                <w:sz w:val="16"/>
                <w:szCs w:val="16"/>
                <w:color w:val="auto"/>
              </w:rPr>
              <w:t>(f/k/a The Bank of New York), as trustee (incorporated by reference to Exhibit 4.4 to Comcast’s Annual Report on Form 10-K for the year</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ended December 31, 2008).</w:t>
            </w:r>
          </w:p>
        </w:tc>
      </w:tr>
      <w:tr>
        <w:trPr>
          <w:trHeight w:val="242"/>
        </w:trPr>
        <w:tc>
          <w:tcPr>
            <w:tcW w:w="320" w:type="dxa"/>
            <w:vAlign w:val="bottom"/>
            <w:gridSpan w:val="2"/>
          </w:tcPr>
          <w:p>
            <w:pPr>
              <w:spacing w:after="0"/>
              <w:rPr>
                <w:rFonts w:ascii="Arial" w:cs="Arial" w:eastAsia="Arial" w:hAnsi="Arial"/>
                <w:sz w:val="18"/>
                <w:szCs w:val="18"/>
                <w:color w:val="0000FF"/>
              </w:rPr>
            </w:pPr>
            <w:hyperlink r:id="rId228">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280" w:type="dxa"/>
            <w:vAlign w:val="bottom"/>
          </w:tcPr>
          <w:p>
            <w:pPr>
              <w:spacing w:after="0"/>
              <w:rPr>
                <w:sz w:val="21"/>
                <w:szCs w:val="21"/>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First Supplemental Indenture, dated March 25, 2003, to the Indenture between Comcast Corporation, the subsidiary guarantors party thereto,</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tcPr>
          <w:p>
            <w:pPr>
              <w:ind w:left="280"/>
              <w:spacing w:after="0" w:line="142" w:lineRule="exact"/>
              <w:rPr>
                <w:sz w:val="20"/>
                <w:szCs w:val="20"/>
                <w:color w:val="auto"/>
              </w:rPr>
            </w:pPr>
            <w:r>
              <w:rPr>
                <w:rFonts w:ascii="Arial" w:cs="Arial" w:eastAsia="Arial" w:hAnsi="Arial"/>
                <w:sz w:val="16"/>
                <w:szCs w:val="16"/>
                <w:color w:val="auto"/>
              </w:rPr>
              <w:t>and The Bank of New York Mellon (f/k/a The Bank of New York), as trustee, dated January 7, 2003 (incorporated by reference to Exhibit 4.5</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to Comcast’s Annual Report on Form 10-K for the year ended December 31, 2008).</w:t>
            </w:r>
          </w:p>
        </w:tc>
      </w:tr>
      <w:tr>
        <w:trPr>
          <w:trHeight w:val="242"/>
        </w:trPr>
        <w:tc>
          <w:tcPr>
            <w:tcW w:w="320" w:type="dxa"/>
            <w:vAlign w:val="bottom"/>
            <w:gridSpan w:val="2"/>
          </w:tcPr>
          <w:p>
            <w:pPr>
              <w:spacing w:after="0"/>
              <w:rPr>
                <w:rFonts w:ascii="Arial" w:cs="Arial" w:eastAsia="Arial" w:hAnsi="Arial"/>
                <w:sz w:val="18"/>
                <w:szCs w:val="18"/>
                <w:color w:val="0000FF"/>
              </w:rPr>
            </w:pPr>
            <w:hyperlink r:id="rId229">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280" w:type="dxa"/>
            <w:vAlign w:val="bottom"/>
          </w:tcPr>
          <w:p>
            <w:pPr>
              <w:spacing w:after="0"/>
              <w:rPr>
                <w:sz w:val="21"/>
                <w:szCs w:val="21"/>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Second Supplemental Indenture, dated August 31, 2009, to the Indenture between Comcast Corporation, the subsidiary guarantors party</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tcPr>
          <w:p>
            <w:pPr>
              <w:ind w:left="280"/>
              <w:spacing w:after="0" w:line="142" w:lineRule="exact"/>
              <w:rPr>
                <w:sz w:val="20"/>
                <w:szCs w:val="20"/>
                <w:color w:val="auto"/>
              </w:rPr>
            </w:pPr>
            <w:r>
              <w:rPr>
                <w:rFonts w:ascii="Arial" w:cs="Arial" w:eastAsia="Arial" w:hAnsi="Arial"/>
                <w:sz w:val="16"/>
                <w:szCs w:val="16"/>
                <w:color w:val="auto"/>
              </w:rPr>
              <w:t>thereto, and The Bank of New York Mellon, as Trustee, dated January 7, 2003, as supplemented by a First Supplemental Indenture dated</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March 25, 2003 (incorporated by reference to Exhibit 4.1 to Comcast’s Current Report on Form 8-K filed on September 2, 2009).</w:t>
            </w:r>
          </w:p>
        </w:tc>
      </w:tr>
      <w:tr>
        <w:trPr>
          <w:trHeight w:val="242"/>
        </w:trPr>
        <w:tc>
          <w:tcPr>
            <w:tcW w:w="320" w:type="dxa"/>
            <w:vAlign w:val="bottom"/>
            <w:gridSpan w:val="2"/>
          </w:tcPr>
          <w:p>
            <w:pPr>
              <w:spacing w:after="0"/>
              <w:rPr>
                <w:rFonts w:ascii="Arial" w:cs="Arial" w:eastAsia="Arial" w:hAnsi="Arial"/>
                <w:sz w:val="18"/>
                <w:szCs w:val="18"/>
                <w:color w:val="0000FF"/>
              </w:rPr>
            </w:pPr>
            <w:hyperlink r:id="rId230">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280" w:type="dxa"/>
            <w:vAlign w:val="bottom"/>
          </w:tcPr>
          <w:p>
            <w:pPr>
              <w:spacing w:after="0"/>
              <w:rPr>
                <w:sz w:val="21"/>
                <w:szCs w:val="21"/>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Third Supplemental Indenture, dated March 27, 2013, to the Indenture between Comcast Corporation, the subsidiary guarantors party thereto,</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tcPr>
          <w:p>
            <w:pPr>
              <w:ind w:left="280"/>
              <w:spacing w:after="0" w:line="142" w:lineRule="exact"/>
              <w:rPr>
                <w:sz w:val="20"/>
                <w:szCs w:val="20"/>
                <w:color w:val="auto"/>
              </w:rPr>
            </w:pPr>
            <w:r>
              <w:rPr>
                <w:rFonts w:ascii="Arial" w:cs="Arial" w:eastAsia="Arial" w:hAnsi="Arial"/>
                <w:sz w:val="16"/>
                <w:szCs w:val="16"/>
                <w:color w:val="auto"/>
              </w:rPr>
              <w:t>and The Bank of New York Mellon (f/k/a The Bank of New York), as trustee, dated January 7, 2003, as supplemented by a First Supplemental</w:t>
            </w:r>
          </w:p>
        </w:tc>
      </w:tr>
      <w:tr>
        <w:trPr>
          <w:trHeight w:val="175"/>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0" w:type="dxa"/>
            <w:vAlign w:val="bottom"/>
          </w:tcPr>
          <w:p>
            <w:pPr>
              <w:ind w:left="280"/>
              <w:spacing w:after="0" w:line="176" w:lineRule="exact"/>
              <w:rPr>
                <w:sz w:val="20"/>
                <w:szCs w:val="20"/>
                <w:color w:val="auto"/>
              </w:rPr>
            </w:pPr>
            <w:r>
              <w:rPr>
                <w:rFonts w:ascii="Arial" w:cs="Arial" w:eastAsia="Arial" w:hAnsi="Arial"/>
                <w:sz w:val="18"/>
                <w:szCs w:val="18"/>
                <w:color w:val="auto"/>
                <w:w w:val="93"/>
              </w:rPr>
              <w:t>Indenture dated March 25, 2003 and a second Supplemental Indenture dated August 31, 2009 (incorporated by reference to Exhibit 4.4 to</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Comcast’s Quarterly Report on Form 10-Q for the quarter ended March 31, 2013).</w:t>
            </w:r>
          </w:p>
        </w:tc>
      </w:tr>
      <w:tr>
        <w:trPr>
          <w:trHeight w:val="242"/>
        </w:trPr>
        <w:tc>
          <w:tcPr>
            <w:tcW w:w="320" w:type="dxa"/>
            <w:vAlign w:val="bottom"/>
            <w:gridSpan w:val="2"/>
          </w:tcPr>
          <w:p>
            <w:pPr>
              <w:spacing w:after="0"/>
              <w:rPr>
                <w:rFonts w:ascii="Arial" w:cs="Arial" w:eastAsia="Arial" w:hAnsi="Arial"/>
                <w:sz w:val="18"/>
                <w:szCs w:val="18"/>
                <w:color w:val="0000FF"/>
              </w:rPr>
            </w:pPr>
            <w:hyperlink r:id="rId231">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280" w:type="dxa"/>
            <w:vAlign w:val="bottom"/>
          </w:tcPr>
          <w:p>
            <w:pPr>
              <w:spacing w:after="0"/>
              <w:rPr>
                <w:sz w:val="21"/>
                <w:szCs w:val="21"/>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Fourth Supplemental Indenture, dated October 1, 2015, to the Indenture dated January 7, 2003 between Comcast Corporation, the subsidiary</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tcPr>
          <w:p>
            <w:pPr>
              <w:ind w:left="280"/>
              <w:spacing w:after="0" w:line="142" w:lineRule="exact"/>
              <w:rPr>
                <w:sz w:val="20"/>
                <w:szCs w:val="20"/>
                <w:color w:val="auto"/>
              </w:rPr>
            </w:pPr>
            <w:r>
              <w:rPr>
                <w:rFonts w:ascii="Arial" w:cs="Arial" w:eastAsia="Arial" w:hAnsi="Arial"/>
                <w:sz w:val="16"/>
                <w:szCs w:val="16"/>
                <w:color w:val="auto"/>
              </w:rPr>
              <w:t>guarantors party thereto, and The Bank of New York Mellon (f/k/a The Bank of New York), as trustee, as supplemented by a First</w:t>
            </w:r>
          </w:p>
        </w:tc>
      </w:tr>
      <w:tr>
        <w:trPr>
          <w:trHeight w:val="175"/>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0" w:type="dxa"/>
            <w:vAlign w:val="bottom"/>
          </w:tcPr>
          <w:p>
            <w:pPr>
              <w:ind w:left="280"/>
              <w:spacing w:after="0" w:line="176" w:lineRule="exact"/>
              <w:rPr>
                <w:sz w:val="20"/>
                <w:szCs w:val="20"/>
                <w:color w:val="auto"/>
              </w:rPr>
            </w:pPr>
            <w:r>
              <w:rPr>
                <w:rFonts w:ascii="Arial" w:cs="Arial" w:eastAsia="Arial" w:hAnsi="Arial"/>
                <w:sz w:val="18"/>
                <w:szCs w:val="18"/>
                <w:color w:val="auto"/>
                <w:w w:val="91"/>
              </w:rPr>
              <w:t>Supplemental Indenture dated March 25, 2003, a second Supplemental Indenture dated August 31, 2009 and a Third Supplemental Indenture</w:t>
            </w:r>
          </w:p>
        </w:tc>
      </w:tr>
      <w:tr>
        <w:trPr>
          <w:trHeight w:val="175"/>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0" w:type="dxa"/>
            <w:vAlign w:val="bottom"/>
          </w:tcPr>
          <w:p>
            <w:pPr>
              <w:ind w:left="280"/>
              <w:spacing w:after="0" w:line="176" w:lineRule="exact"/>
              <w:rPr>
                <w:sz w:val="20"/>
                <w:szCs w:val="20"/>
                <w:color w:val="auto"/>
              </w:rPr>
            </w:pPr>
            <w:r>
              <w:rPr>
                <w:rFonts w:ascii="Arial" w:cs="Arial" w:eastAsia="Arial" w:hAnsi="Arial"/>
                <w:sz w:val="18"/>
                <w:szCs w:val="18"/>
                <w:color w:val="auto"/>
                <w:w w:val="91"/>
              </w:rPr>
              <w:t>dated March 27, 2013 (incorporated by reference to Exhibit 4.1 to Comcast’s Quarterly Report on Form 10-Q for the quarter ended September</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30, 2015).</w:t>
            </w:r>
          </w:p>
        </w:tc>
      </w:tr>
      <w:tr>
        <w:trPr>
          <w:trHeight w:val="242"/>
        </w:trPr>
        <w:tc>
          <w:tcPr>
            <w:tcW w:w="320" w:type="dxa"/>
            <w:vAlign w:val="bottom"/>
            <w:gridSpan w:val="2"/>
          </w:tcPr>
          <w:p>
            <w:pPr>
              <w:spacing w:after="0"/>
              <w:rPr>
                <w:rFonts w:ascii="Arial" w:cs="Arial" w:eastAsia="Arial" w:hAnsi="Arial"/>
                <w:sz w:val="18"/>
                <w:szCs w:val="18"/>
                <w:color w:val="0000FF"/>
              </w:rPr>
            </w:pPr>
            <w:hyperlink r:id="rId232">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280" w:type="dxa"/>
            <w:vAlign w:val="bottom"/>
          </w:tcPr>
          <w:p>
            <w:pPr>
              <w:spacing w:after="0"/>
              <w:rPr>
                <w:sz w:val="21"/>
                <w:szCs w:val="21"/>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1"/>
              </w:rPr>
              <w:t>Senior Indenture dated September 18, 2013, among Comcast Corporation, the guarantors party thereto and The Bank of New York Mellon, as</w:t>
            </w:r>
          </w:p>
        </w:tc>
      </w:tr>
      <w:tr>
        <w:trPr>
          <w:trHeight w:val="210"/>
        </w:trPr>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trustee (incorporated by reference to Exhibit 4.3 to Comcast’s Registration Statement on Form S-3 filed September 18, 2013).</w:t>
            </w:r>
          </w:p>
        </w:tc>
      </w:tr>
      <w:tr>
        <w:trPr>
          <w:trHeight w:val="229"/>
        </w:trPr>
        <w:tc>
          <w:tcPr>
            <w:tcW w:w="320" w:type="dxa"/>
            <w:vAlign w:val="bottom"/>
            <w:gridSpan w:val="2"/>
          </w:tcPr>
          <w:p>
            <w:pPr>
              <w:spacing w:after="0"/>
              <w:rPr>
                <w:rFonts w:ascii="Arial" w:cs="Arial" w:eastAsia="Arial" w:hAnsi="Arial"/>
                <w:sz w:val="18"/>
                <w:szCs w:val="18"/>
                <w:color w:val="0000FF"/>
              </w:rPr>
            </w:pPr>
            <w:hyperlink r:id="rId233">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280" w:type="dxa"/>
            <w:vAlign w:val="bottom"/>
          </w:tcPr>
          <w:p>
            <w:pPr>
              <w:spacing w:after="0"/>
              <w:rPr>
                <w:sz w:val="19"/>
                <w:szCs w:val="19"/>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89"/>
              </w:rPr>
              <w:t>First Supplemental Indenture dated as of November 17, 2015, to the Senior Indenture dated September 18, 2013, among Comcast Corporation,</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tcPr>
          <w:p>
            <w:pPr>
              <w:ind w:left="280"/>
              <w:spacing w:after="0" w:line="142" w:lineRule="exact"/>
              <w:rPr>
                <w:sz w:val="20"/>
                <w:szCs w:val="20"/>
                <w:color w:val="auto"/>
              </w:rPr>
            </w:pPr>
            <w:r>
              <w:rPr>
                <w:rFonts w:ascii="Arial" w:cs="Arial" w:eastAsia="Arial" w:hAnsi="Arial"/>
                <w:sz w:val="16"/>
                <w:szCs w:val="16"/>
                <w:color w:val="auto"/>
              </w:rPr>
              <w:t>the guarantors party thereto, and The Bank of New York Mellon, as trustee (incorporated by reference to Exhibit 4.4 to Post Effective</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Amendment No. 2 to Comcast’s Registration Statement on Form S-3 filed November 23, 2015).</w:t>
            </w:r>
          </w:p>
        </w:tc>
      </w:tr>
      <w:tr>
        <w:trPr>
          <w:trHeight w:val="242"/>
        </w:trPr>
        <w:tc>
          <w:tcPr>
            <w:tcW w:w="320" w:type="dxa"/>
            <w:vAlign w:val="bottom"/>
            <w:gridSpan w:val="2"/>
          </w:tcPr>
          <w:p>
            <w:pPr>
              <w:spacing w:after="0"/>
              <w:rPr>
                <w:rFonts w:ascii="Arial" w:cs="Arial" w:eastAsia="Arial" w:hAnsi="Arial"/>
                <w:sz w:val="18"/>
                <w:szCs w:val="18"/>
                <w:color w:val="0000FF"/>
              </w:rPr>
            </w:pPr>
            <w:hyperlink r:id="rId234">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280" w:type="dxa"/>
            <w:vAlign w:val="bottom"/>
          </w:tcPr>
          <w:p>
            <w:pPr>
              <w:spacing w:after="0"/>
              <w:rPr>
                <w:sz w:val="21"/>
                <w:szCs w:val="21"/>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w w:val="92"/>
              </w:rPr>
              <w:t>Indenture, dated as of April 30, 2010, between NBC Universal, Inc. (n/k/a NBCUniversal Media, LLC) and The Bank of New York Mellon, as</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tcPr>
          <w:p>
            <w:pPr>
              <w:ind w:left="280"/>
              <w:spacing w:after="0" w:line="142" w:lineRule="exact"/>
              <w:rPr>
                <w:sz w:val="20"/>
                <w:szCs w:val="20"/>
                <w:color w:val="auto"/>
              </w:rPr>
            </w:pPr>
            <w:r>
              <w:rPr>
                <w:rFonts w:ascii="Arial" w:cs="Arial" w:eastAsia="Arial" w:hAnsi="Arial"/>
                <w:sz w:val="16"/>
                <w:szCs w:val="16"/>
                <w:color w:val="auto"/>
              </w:rPr>
              <w:t>trustee (incorporated by reference to Exhibit 4 to the Registration Statement on Form S-4 of NBCUniversal Media, LLC (Commission File No.</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333-174175) filed on May 13, 2011).</w:t>
            </w:r>
          </w:p>
        </w:tc>
      </w:tr>
      <w:tr>
        <w:trPr>
          <w:trHeight w:val="242"/>
        </w:trPr>
        <w:tc>
          <w:tcPr>
            <w:tcW w:w="600" w:type="dxa"/>
            <w:vAlign w:val="bottom"/>
            <w:gridSpan w:val="3"/>
          </w:tcPr>
          <w:p>
            <w:pPr>
              <w:spacing w:after="0"/>
              <w:rPr>
                <w:rFonts w:ascii="Arial" w:cs="Arial" w:eastAsia="Arial" w:hAnsi="Arial"/>
                <w:sz w:val="18"/>
                <w:szCs w:val="18"/>
                <w:color w:val="0000FF"/>
              </w:rPr>
            </w:pPr>
            <w:hyperlink r:id="rId235">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10600" w:type="dxa"/>
            <w:vAlign w:val="bottom"/>
          </w:tcPr>
          <w:p>
            <w:pPr>
              <w:ind w:left="280"/>
              <w:spacing w:after="0"/>
              <w:rPr>
                <w:sz w:val="20"/>
                <w:szCs w:val="20"/>
                <w:color w:val="auto"/>
              </w:rPr>
            </w:pPr>
            <w:r>
              <w:rPr>
                <w:rFonts w:ascii="Arial" w:cs="Arial" w:eastAsia="Arial" w:hAnsi="Arial"/>
                <w:sz w:val="18"/>
                <w:szCs w:val="18"/>
                <w:color w:val="auto"/>
                <w:w w:val="94"/>
              </w:rPr>
              <w:t>First Supplemental Indenture, dated March 27, 2013, to the Indenture between NBCUniversal Media, LLC (f/k/a NBC Universal, Inc.) and</w:t>
            </w:r>
          </w:p>
        </w:tc>
      </w:tr>
      <w:tr>
        <w:trPr>
          <w:trHeight w:val="142"/>
        </w:trPr>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0600" w:type="dxa"/>
            <w:vAlign w:val="bottom"/>
          </w:tcPr>
          <w:p>
            <w:pPr>
              <w:ind w:left="280"/>
              <w:spacing w:after="0" w:line="142" w:lineRule="exact"/>
              <w:rPr>
                <w:sz w:val="20"/>
                <w:szCs w:val="20"/>
                <w:color w:val="auto"/>
              </w:rPr>
            </w:pPr>
            <w:r>
              <w:rPr>
                <w:rFonts w:ascii="Arial" w:cs="Arial" w:eastAsia="Arial" w:hAnsi="Arial"/>
                <w:sz w:val="16"/>
                <w:szCs w:val="16"/>
                <w:color w:val="auto"/>
              </w:rPr>
              <w:t>The Bank of New York Mellon, as trustee, dated April 30, 2010 (incorporated by reference to Exhibit 4.3 to Comcast’s Quarterly Report on</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Form 10-Q for the quarter ended March 31, 2013).</w:t>
            </w:r>
          </w:p>
        </w:tc>
      </w:tr>
    </w:tbl>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200" w:type="dxa"/>
            <w:vAlign w:val="bottom"/>
          </w:tcPr>
          <w:p>
            <w:pPr>
              <w:jc w:val="right"/>
              <w:ind w:right="5468"/>
              <w:spacing w:after="0"/>
              <w:rPr>
                <w:sz w:val="20"/>
                <w:szCs w:val="20"/>
                <w:color w:val="auto"/>
              </w:rPr>
            </w:pPr>
            <w:r>
              <w:rPr>
                <w:rFonts w:ascii="Arial" w:cs="Arial" w:eastAsia="Arial" w:hAnsi="Arial"/>
                <w:sz w:val="14"/>
                <w:szCs w:val="14"/>
                <w:b w:val="1"/>
                <w:bCs w:val="1"/>
                <w:color w:val="auto"/>
              </w:rPr>
              <w:t>100</w:t>
            </w:r>
          </w:p>
        </w:tc>
      </w:tr>
      <w:tr>
        <w:trPr>
          <w:trHeight w:val="329"/>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00" w:hanging="876"/>
        <w:spacing w:after="0" w:line="259" w:lineRule="auto"/>
        <w:tabs>
          <w:tab w:leader="none" w:pos="880" w:val="left"/>
        </w:tabs>
        <w:rPr>
          <w:rFonts w:ascii="Arial" w:cs="Arial" w:eastAsia="Arial" w:hAnsi="Arial"/>
          <w:sz w:val="18"/>
          <w:szCs w:val="18"/>
          <w:color w:val="0000FF"/>
        </w:rPr>
      </w:pPr>
      <w:hyperlink r:id="rId238">
        <w:r>
          <w:rPr>
            <w:rFonts w:ascii="Arial" w:cs="Arial" w:eastAsia="Arial" w:hAnsi="Arial"/>
            <w:sz w:val="18"/>
            <w:szCs w:val="18"/>
            <w:u w:val="single" w:color="auto"/>
            <w:color w:val="0000FF"/>
          </w:rPr>
          <w:t>4.11</w:t>
        </w:r>
      </w:hyperlink>
      <w:r>
        <w:rPr>
          <w:rFonts w:ascii="Arial" w:cs="Arial" w:eastAsia="Arial" w:hAnsi="Arial"/>
          <w:sz w:val="18"/>
          <w:szCs w:val="18"/>
          <w:color w:val="0000FF"/>
        </w:rPr>
        <w:tab/>
      </w:r>
      <w:r>
        <w:rPr>
          <w:rFonts w:ascii="Arial" w:cs="Arial" w:eastAsia="Arial" w:hAnsi="Arial"/>
          <w:sz w:val="16"/>
          <w:szCs w:val="16"/>
          <w:color w:val="0000FF"/>
        </w:rPr>
        <w:t>Second Supplemental Indenture, dated October 1, 2015, to the Indenture dated April 30, 2010 between NBC Universal, Inc. (n/k/a NBCUniversal Media, LLC) and The Bank of New York Mellon, as trustee, as supplemented by a First Supplemental Indenture dated March 27, 2013 (incorporated by reference to Exhibit 4.2 to Comcast’s Quarterly Report on Form 10-Q for the quarter ended September 30, 2015).</w:t>
      </w:r>
    </w:p>
    <w:p>
      <w:pPr>
        <w:spacing w:after="0" w:line="39" w:lineRule="exact"/>
        <w:rPr>
          <w:sz w:val="20"/>
          <w:szCs w:val="20"/>
          <w:color w:val="auto"/>
        </w:rPr>
      </w:pPr>
    </w:p>
    <w:p>
      <w:pPr>
        <w:jc w:val="both"/>
        <w:ind w:left="900" w:hanging="876"/>
        <w:spacing w:after="0" w:line="224" w:lineRule="auto"/>
        <w:tabs>
          <w:tab w:leader="none" w:pos="880" w:val="left"/>
        </w:tabs>
        <w:rPr>
          <w:rFonts w:ascii="Arial" w:cs="Arial" w:eastAsia="Arial" w:hAnsi="Arial"/>
          <w:sz w:val="18"/>
          <w:szCs w:val="18"/>
          <w:color w:val="0000FF"/>
        </w:rPr>
      </w:pPr>
      <w:hyperlink r:id="rId239">
        <w:r>
          <w:rPr>
            <w:rFonts w:ascii="Arial" w:cs="Arial" w:eastAsia="Arial" w:hAnsi="Arial"/>
            <w:sz w:val="18"/>
            <w:szCs w:val="18"/>
            <w:u w:val="single" w:color="auto"/>
            <w:color w:val="0000FF"/>
          </w:rPr>
          <w:t>4.12</w:t>
        </w:r>
      </w:hyperlink>
      <w:r>
        <w:rPr>
          <w:rFonts w:ascii="Arial" w:cs="Arial" w:eastAsia="Arial" w:hAnsi="Arial"/>
          <w:sz w:val="18"/>
          <w:szCs w:val="18"/>
          <w:color w:val="0000FF"/>
        </w:rPr>
        <w:tab/>
        <w:t>Trust Deed dated September 5, 2014 among BSKYB Finance UK plc, British Sky Broadcasting Group plc, the initial guarantors party thereto and BNY Mellon Corporate Trustee Services Limited, as trustee (incorporated by reference to Exhibit 4.13 to Comcast’s Annual Report on Form 10-K for the year ended December 31, 2018).</w:t>
      </w:r>
    </w:p>
    <w:p>
      <w:pPr>
        <w:spacing w:after="0" w:line="55" w:lineRule="exact"/>
        <w:rPr>
          <w:sz w:val="20"/>
          <w:szCs w:val="20"/>
          <w:color w:val="auto"/>
        </w:rPr>
      </w:pPr>
    </w:p>
    <w:p>
      <w:pPr>
        <w:jc w:val="both"/>
        <w:ind w:left="900" w:hanging="876"/>
        <w:spacing w:after="0" w:line="237" w:lineRule="auto"/>
        <w:tabs>
          <w:tab w:leader="none" w:pos="880" w:val="left"/>
        </w:tabs>
        <w:rPr>
          <w:rFonts w:ascii="Arial" w:cs="Arial" w:eastAsia="Arial" w:hAnsi="Arial"/>
          <w:sz w:val="18"/>
          <w:szCs w:val="18"/>
          <w:color w:val="0000FF"/>
        </w:rPr>
      </w:pPr>
      <w:hyperlink r:id="rId240">
        <w:r>
          <w:rPr>
            <w:rFonts w:ascii="Arial" w:cs="Arial" w:eastAsia="Arial" w:hAnsi="Arial"/>
            <w:sz w:val="18"/>
            <w:szCs w:val="18"/>
            <w:u w:val="single" w:color="auto"/>
            <w:color w:val="0000FF"/>
          </w:rPr>
          <w:t>4.13</w:t>
        </w:r>
      </w:hyperlink>
      <w:r>
        <w:rPr>
          <w:rFonts w:ascii="Arial" w:cs="Arial" w:eastAsia="Arial" w:hAnsi="Arial"/>
          <w:sz w:val="18"/>
          <w:szCs w:val="18"/>
          <w:color w:val="0000FF"/>
        </w:rPr>
        <w:tab/>
      </w:r>
      <w:r>
        <w:rPr>
          <w:rFonts w:ascii="Arial" w:cs="Arial" w:eastAsia="Arial" w:hAnsi="Arial"/>
          <w:sz w:val="17"/>
          <w:szCs w:val="17"/>
          <w:color w:val="0000FF"/>
        </w:rPr>
        <w:t>Supplemental Trust Deed dated March 18, 2015 among Sky Group Finance plc (f/k/a BSKYB Finance UK plc), Sky plc (f/k/a British Sky Broadcasting Group plc), the initial guarantors party thereto and BNY Mellon Corporate Trustee Services Limited, as trustee (incorporated by reference to Exhibit 4.14 to Comcast’s Annual Report on Form 10-K for the year ended December 31, 2018).</w:t>
      </w:r>
    </w:p>
    <w:p>
      <w:pPr>
        <w:spacing w:after="0" w:line="55" w:lineRule="exact"/>
        <w:rPr>
          <w:sz w:val="20"/>
          <w:szCs w:val="20"/>
          <w:color w:val="auto"/>
        </w:rPr>
      </w:pPr>
    </w:p>
    <w:p>
      <w:pPr>
        <w:ind w:left="900" w:right="20" w:hanging="876"/>
        <w:spacing w:after="0" w:line="235" w:lineRule="auto"/>
        <w:tabs>
          <w:tab w:leader="none" w:pos="880" w:val="left"/>
        </w:tabs>
        <w:rPr>
          <w:rFonts w:ascii="Arial" w:cs="Arial" w:eastAsia="Arial" w:hAnsi="Arial"/>
          <w:sz w:val="18"/>
          <w:szCs w:val="18"/>
          <w:color w:val="0000FF"/>
        </w:rPr>
      </w:pPr>
      <w:hyperlink r:id="rId241">
        <w:r>
          <w:rPr>
            <w:rFonts w:ascii="Arial" w:cs="Arial" w:eastAsia="Arial" w:hAnsi="Arial"/>
            <w:sz w:val="18"/>
            <w:szCs w:val="18"/>
            <w:u w:val="single" w:color="auto"/>
            <w:color w:val="0000FF"/>
          </w:rPr>
          <w:t>4.14</w:t>
        </w:r>
      </w:hyperlink>
      <w:r>
        <w:rPr>
          <w:rFonts w:ascii="Arial" w:cs="Arial" w:eastAsia="Arial" w:hAnsi="Arial"/>
          <w:sz w:val="18"/>
          <w:szCs w:val="18"/>
          <w:color w:val="0000FF"/>
        </w:rPr>
        <w:tab/>
        <w:t>Registration Rights Agreement, dated as of August 19, 2021 (incorporated by reference to Exhibit 4.2 to Comcast’s Current Report on Form 8-K filed on August 19, 2021).</w:t>
      </w:r>
    </w:p>
    <w:p>
      <w:pPr>
        <w:spacing w:after="0" w:line="54"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108">
        <w:r>
          <w:rPr>
            <w:rFonts w:ascii="Arial" w:cs="Arial" w:eastAsia="Arial" w:hAnsi="Arial"/>
            <w:sz w:val="18"/>
            <w:szCs w:val="18"/>
            <w:u w:val="single" w:color="auto"/>
            <w:color w:val="0000FF"/>
          </w:rPr>
          <w:t>4.15</w:t>
        </w:r>
      </w:hyperlink>
      <w:r>
        <w:rPr>
          <w:rFonts w:ascii="Arial" w:cs="Arial" w:eastAsia="Arial" w:hAnsi="Arial"/>
          <w:sz w:val="18"/>
          <w:szCs w:val="18"/>
          <w:color w:val="0000FF"/>
        </w:rPr>
        <w:tab/>
      </w:r>
      <w:r>
        <w:rPr>
          <w:rFonts w:ascii="Arial" w:cs="Arial" w:eastAsia="Arial" w:hAnsi="Arial"/>
          <w:sz w:val="16"/>
          <w:szCs w:val="16"/>
          <w:color w:val="0000FF"/>
        </w:rPr>
        <w:t>Description of Comcast Corporation’s securities registered pursuant to Section 12 of the Securities Exchange Act.</w:t>
      </w:r>
    </w:p>
    <w:p>
      <w:pPr>
        <w:spacing w:after="0" w:line="77" w:lineRule="exact"/>
        <w:rPr>
          <w:sz w:val="20"/>
          <w:szCs w:val="20"/>
          <w:color w:val="auto"/>
        </w:rPr>
      </w:pPr>
    </w:p>
    <w:p>
      <w:pPr>
        <w:jc w:val="both"/>
        <w:ind w:left="900"/>
        <w:spacing w:after="0" w:line="219" w:lineRule="auto"/>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 amount of securities authorized under each of which does not exceed ten percent of the total assets of the registrant and its subsidiaries on a consolidated basis), are omitted pursuant to Item 601(b)(4)(iii)(A) of Regulation S-K. We agree to furnish copies of any such instruments to the SEC upon request.</w:t>
      </w:r>
    </w:p>
    <w:p>
      <w:pPr>
        <w:spacing w:after="0" w:line="55" w:lineRule="exact"/>
        <w:rPr>
          <w:sz w:val="20"/>
          <w:szCs w:val="20"/>
          <w:color w:val="auto"/>
        </w:rPr>
      </w:pPr>
    </w:p>
    <w:p>
      <w:pPr>
        <w:jc w:val="both"/>
        <w:ind w:left="900" w:hanging="876"/>
        <w:spacing w:after="0" w:line="219" w:lineRule="auto"/>
        <w:tabs>
          <w:tab w:leader="none" w:pos="880" w:val="left"/>
        </w:tabs>
        <w:rPr>
          <w:rFonts w:ascii="Arial" w:cs="Arial" w:eastAsia="Arial" w:hAnsi="Arial"/>
          <w:sz w:val="18"/>
          <w:szCs w:val="18"/>
          <w:color w:val="0000FF"/>
        </w:rPr>
      </w:pPr>
      <w:hyperlink r:id="rId242">
        <w:r>
          <w:rPr>
            <w:rFonts w:ascii="Arial" w:cs="Arial" w:eastAsia="Arial" w:hAnsi="Arial"/>
            <w:sz w:val="18"/>
            <w:szCs w:val="18"/>
            <w:u w:val="single" w:color="auto"/>
            <w:color w:val="0000FF"/>
          </w:rPr>
          <w:t>10.1</w:t>
        </w:r>
      </w:hyperlink>
      <w:r>
        <w:rPr>
          <w:rFonts w:ascii="Arial" w:cs="Arial" w:eastAsia="Arial" w:hAnsi="Arial"/>
          <w:sz w:val="18"/>
          <w:szCs w:val="18"/>
          <w:color w:val="0000FF"/>
        </w:rPr>
        <w:tab/>
        <w:t>Credit Agreement dated as of March 30, 2021, among Comcast Corporation, the financial institutions party thereto, JPMorgan Chase Bank, N.A., as administrative agent, Citibank, N.A., as syndication agent, Bank of America, N.A., Mizuho Bank, Ltd., Morgan Stanley MUFG Partners, LLC and Wells Fargo Bank, National Association, as co-documentation agents (incorporated by reference to Exhibit 10.1 to Comcast’s Current Report on Form 8-K filed on March 31, 2021).</w:t>
      </w:r>
    </w:p>
    <w:p>
      <w:pPr>
        <w:spacing w:after="0" w:line="55" w:lineRule="exact"/>
        <w:rPr>
          <w:sz w:val="20"/>
          <w:szCs w:val="20"/>
          <w:color w:val="auto"/>
        </w:rPr>
      </w:pPr>
    </w:p>
    <w:p>
      <w:pPr>
        <w:jc w:val="both"/>
        <w:ind w:left="900" w:hanging="876"/>
        <w:spacing w:after="0" w:line="259" w:lineRule="auto"/>
        <w:tabs>
          <w:tab w:leader="none" w:pos="880" w:val="left"/>
        </w:tabs>
        <w:rPr>
          <w:rFonts w:ascii="Arial" w:cs="Arial" w:eastAsia="Arial" w:hAnsi="Arial"/>
          <w:sz w:val="18"/>
          <w:szCs w:val="18"/>
          <w:color w:val="0000FF"/>
        </w:rPr>
      </w:pPr>
      <w:hyperlink w:anchor="page162">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Amendment No. 1 dated December 31, 2021, to Credit Agreement dated as of March 30, 2021, among Comcast Corporation, the financial institutions party thereto, JPMorgan Chase Bank, N.A., as administrative agent, Citibank, N.A., as syndication agent, Bank of America, N.A., Mizuho Bank, Ltd., Morgan Stanley MUFG Partners, LLC and Wells Fargo Bank, National Association, as co-documentation agents.</w:t>
      </w:r>
    </w:p>
    <w:p>
      <w:pPr>
        <w:spacing w:after="0" w:line="39"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256">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Comcast Select Deferred Compensation Plan, as amended and restated effective October 12, 2021.</w:t>
      </w:r>
    </w:p>
    <w:p>
      <w:pPr>
        <w:spacing w:after="0" w:line="90" w:lineRule="exact"/>
        <w:rPr>
          <w:sz w:val="20"/>
          <w:szCs w:val="20"/>
          <w:color w:val="auto"/>
        </w:rPr>
      </w:pPr>
    </w:p>
    <w:p>
      <w:pPr>
        <w:jc w:val="both"/>
        <w:ind w:left="900" w:hanging="876"/>
        <w:spacing w:after="0" w:line="235" w:lineRule="auto"/>
        <w:tabs>
          <w:tab w:leader="none" w:pos="880" w:val="left"/>
        </w:tabs>
        <w:rPr>
          <w:rFonts w:ascii="Arial" w:cs="Arial" w:eastAsia="Arial" w:hAnsi="Arial"/>
          <w:sz w:val="18"/>
          <w:szCs w:val="18"/>
          <w:color w:val="0000FF"/>
        </w:rPr>
      </w:pPr>
      <w:hyperlink r:id="rId243">
        <w:r>
          <w:rPr>
            <w:rFonts w:ascii="Arial" w:cs="Arial" w:eastAsia="Arial" w:hAnsi="Arial"/>
            <w:sz w:val="18"/>
            <w:szCs w:val="18"/>
            <w:u w:val="single" w:color="auto"/>
            <w:color w:val="0000FF"/>
          </w:rPr>
          <w:t>10.4*</w:t>
        </w:r>
      </w:hyperlink>
      <w:r>
        <w:rPr>
          <w:rFonts w:ascii="Arial" w:cs="Arial" w:eastAsia="Arial" w:hAnsi="Arial"/>
          <w:sz w:val="18"/>
          <w:szCs w:val="18"/>
          <w:color w:val="0000FF"/>
        </w:rPr>
        <w:tab/>
        <w:t>Comcast Corporation 2003 Stock Option Plan, as amended and restated April 10, 2020 (incorporated by reference to Exhibit 10.4 to Comcast’s Quarterly Report on Form 10-Q for the quarter ended March 31, 2020).</w:t>
      </w:r>
    </w:p>
    <w:p>
      <w:pPr>
        <w:spacing w:after="0" w:line="54" w:lineRule="exact"/>
        <w:rPr>
          <w:sz w:val="20"/>
          <w:szCs w:val="20"/>
          <w:color w:val="auto"/>
        </w:rPr>
      </w:pPr>
    </w:p>
    <w:p>
      <w:pPr>
        <w:ind w:left="900" w:right="480" w:hanging="876"/>
        <w:spacing w:after="0" w:line="246" w:lineRule="auto"/>
        <w:tabs>
          <w:tab w:leader="none" w:pos="880" w:val="left"/>
        </w:tabs>
        <w:rPr>
          <w:rFonts w:ascii="Arial" w:cs="Arial" w:eastAsia="Arial" w:hAnsi="Arial"/>
          <w:sz w:val="18"/>
          <w:szCs w:val="18"/>
          <w:color w:val="0000FF"/>
        </w:rPr>
      </w:pPr>
      <w:hyperlink r:id="rId244">
        <w:r>
          <w:rPr>
            <w:rFonts w:ascii="Arial" w:cs="Arial" w:eastAsia="Arial" w:hAnsi="Arial"/>
            <w:sz w:val="18"/>
            <w:szCs w:val="18"/>
            <w:u w:val="single" w:color="auto"/>
            <w:color w:val="0000FF"/>
          </w:rPr>
          <w:t>10.5*</w:t>
        </w:r>
      </w:hyperlink>
      <w:r>
        <w:rPr>
          <w:rFonts w:ascii="Arial" w:cs="Arial" w:eastAsia="Arial" w:hAnsi="Arial"/>
          <w:sz w:val="18"/>
          <w:szCs w:val="18"/>
          <w:color w:val="0000FF"/>
        </w:rPr>
        <w:tab/>
        <w:t>Comcast Corporation 2002 Deferred Compensation Plan, as amended and restated effective March 1, 2021 (incorporated by reference to Exhibit 10.2 to Comcast’s Quarterly Report on Form 10-Q for the quarter ended March 31, 2021).</w:t>
      </w:r>
    </w:p>
    <w:p>
      <w:pPr>
        <w:spacing w:after="0" w:line="62"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276">
        <w:r>
          <w:rPr>
            <w:rFonts w:ascii="Arial" w:cs="Arial" w:eastAsia="Arial" w:hAnsi="Arial"/>
            <w:sz w:val="18"/>
            <w:szCs w:val="18"/>
            <w:u w:val="single" w:color="auto"/>
            <w:color w:val="0000FF"/>
          </w:rPr>
          <w:t>10.6*</w:t>
        </w:r>
      </w:hyperlink>
      <w:r>
        <w:rPr>
          <w:rFonts w:ascii="Arial" w:cs="Arial" w:eastAsia="Arial" w:hAnsi="Arial"/>
          <w:sz w:val="18"/>
          <w:szCs w:val="18"/>
          <w:color w:val="0000FF"/>
        </w:rPr>
        <w:tab/>
      </w:r>
      <w:r>
        <w:rPr>
          <w:rFonts w:ascii="Arial" w:cs="Arial" w:eastAsia="Arial" w:hAnsi="Arial"/>
          <w:sz w:val="16"/>
          <w:szCs w:val="16"/>
          <w:color w:val="0000FF"/>
        </w:rPr>
        <w:t>Comcast Corporation 2005 Deferred Compensation Plan, as amended and restated effective July 13, 2021.</w:t>
      </w:r>
    </w:p>
    <w:p>
      <w:pPr>
        <w:spacing w:after="0" w:line="77"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45">
        <w:r>
          <w:rPr>
            <w:rFonts w:ascii="Arial" w:cs="Arial" w:eastAsia="Arial" w:hAnsi="Arial"/>
            <w:sz w:val="18"/>
            <w:szCs w:val="18"/>
            <w:u w:val="single" w:color="auto"/>
            <w:color w:val="0000FF"/>
          </w:rPr>
          <w:t>10.7*</w:t>
        </w:r>
      </w:hyperlink>
      <w:r>
        <w:rPr>
          <w:rFonts w:ascii="Arial" w:cs="Arial" w:eastAsia="Arial" w:hAnsi="Arial"/>
          <w:sz w:val="18"/>
          <w:szCs w:val="18"/>
          <w:color w:val="0000FF"/>
        </w:rPr>
        <w:tab/>
        <w:t>Comcast Corporation 2002 Restricted Stock Plan, as amended and restated effective March 1, 2021 (incorporated by reference to Exhibit 10.1 to Comcast’s Quarterly Report on Form 10-Q for the quarter ended March 31, 2021).</w:t>
      </w:r>
    </w:p>
    <w:p>
      <w:pPr>
        <w:spacing w:after="0" w:line="54"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46">
        <w:r>
          <w:rPr>
            <w:rFonts w:ascii="Arial" w:cs="Arial" w:eastAsia="Arial" w:hAnsi="Arial"/>
            <w:sz w:val="18"/>
            <w:szCs w:val="18"/>
            <w:u w:val="single" w:color="auto"/>
            <w:color w:val="0000FF"/>
          </w:rPr>
          <w:t>10.8*</w:t>
        </w:r>
      </w:hyperlink>
      <w:r>
        <w:rPr>
          <w:rFonts w:ascii="Arial" w:cs="Arial" w:eastAsia="Arial" w:hAnsi="Arial"/>
          <w:sz w:val="18"/>
          <w:szCs w:val="18"/>
          <w:color w:val="0000FF"/>
        </w:rPr>
        <w:tab/>
        <w:t>Comcast Corporation 2006 Cash Bonus Plan, as amended and restated effective February 18, 2015 (incorporated by reference to Exhibit 10.11 to Comcast’s Annual Report on Form 10-K for the year ended December 31, 2015).</w:t>
      </w:r>
    </w:p>
    <w:p>
      <w:pPr>
        <w:spacing w:after="0" w:line="54" w:lineRule="exact"/>
        <w:rPr>
          <w:sz w:val="20"/>
          <w:szCs w:val="20"/>
          <w:color w:val="auto"/>
        </w:rPr>
      </w:pPr>
    </w:p>
    <w:p>
      <w:pPr>
        <w:ind w:left="900" w:hanging="876"/>
        <w:spacing w:after="0" w:line="258" w:lineRule="auto"/>
        <w:tabs>
          <w:tab w:leader="none" w:pos="880" w:val="left"/>
        </w:tabs>
        <w:rPr>
          <w:rFonts w:ascii="Arial" w:cs="Arial" w:eastAsia="Arial" w:hAnsi="Arial"/>
          <w:sz w:val="18"/>
          <w:szCs w:val="18"/>
          <w:color w:val="0000FF"/>
        </w:rPr>
      </w:pPr>
      <w:hyperlink r:id="rId247">
        <w:r>
          <w:rPr>
            <w:rFonts w:ascii="Arial" w:cs="Arial" w:eastAsia="Arial" w:hAnsi="Arial"/>
            <w:sz w:val="18"/>
            <w:szCs w:val="18"/>
            <w:u w:val="single" w:color="auto"/>
            <w:color w:val="0000FF"/>
          </w:rPr>
          <w:t>10.9*</w:t>
        </w:r>
      </w:hyperlink>
      <w:r>
        <w:rPr>
          <w:rFonts w:ascii="Arial" w:cs="Arial" w:eastAsia="Arial" w:hAnsi="Arial"/>
          <w:sz w:val="18"/>
          <w:szCs w:val="18"/>
          <w:color w:val="0000FF"/>
        </w:rPr>
        <w:tab/>
      </w:r>
      <w:r>
        <w:rPr>
          <w:rFonts w:ascii="Arial" w:cs="Arial" w:eastAsia="Arial" w:hAnsi="Arial"/>
          <w:sz w:val="17"/>
          <w:szCs w:val="17"/>
          <w:color w:val="0000FF"/>
        </w:rPr>
        <w:t>Comcast Corporation 2002 Non-Employee Director Compensation Plan, as amended and restated effective July 31, 2020 (incorporated by reference to Exhibit 10.2 to Comcast’s Quarterly Report on Form 10-Q for the quarter ended September 30, 2020).</w:t>
      </w:r>
    </w:p>
    <w:p>
      <w:pPr>
        <w:spacing w:after="0" w:line="39"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48">
        <w:r>
          <w:rPr>
            <w:rFonts w:ascii="Arial" w:cs="Arial" w:eastAsia="Arial" w:hAnsi="Arial"/>
            <w:sz w:val="18"/>
            <w:szCs w:val="18"/>
            <w:u w:val="single" w:color="auto"/>
            <w:color w:val="0000FF"/>
          </w:rPr>
          <w:t>10.10*</w:t>
        </w:r>
      </w:hyperlink>
      <w:r>
        <w:rPr>
          <w:rFonts w:ascii="Arial" w:cs="Arial" w:eastAsia="Arial" w:hAnsi="Arial"/>
          <w:sz w:val="18"/>
          <w:szCs w:val="18"/>
          <w:color w:val="0000FF"/>
        </w:rPr>
        <w:tab/>
        <w:t>Comcast Corporation 2002 Employee Stock Purchase Plan, as amended and restated effective February 22, 2016 (incorporated by reference to Appendix C to our Definitive Proxy Statement on Schedule 14A filed on April 8, 2016).</w:t>
      </w:r>
    </w:p>
    <w:p>
      <w:pPr>
        <w:spacing w:after="0" w:line="54"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49">
        <w:r>
          <w:rPr>
            <w:rFonts w:ascii="Arial" w:cs="Arial" w:eastAsia="Arial" w:hAnsi="Arial"/>
            <w:sz w:val="18"/>
            <w:szCs w:val="18"/>
            <w:u w:val="single" w:color="auto"/>
            <w:color w:val="0000FF"/>
          </w:rPr>
          <w:t>10.11*</w:t>
        </w:r>
      </w:hyperlink>
      <w:r>
        <w:rPr>
          <w:rFonts w:ascii="Arial" w:cs="Arial" w:eastAsia="Arial" w:hAnsi="Arial"/>
          <w:sz w:val="18"/>
          <w:szCs w:val="18"/>
          <w:color w:val="0000FF"/>
        </w:rPr>
        <w:tab/>
        <w:t>Comcast-NBCUniversal 2011 Employee Stock Purchase Plan, as amended and restated effective February 22, 2016 (incorporated by reference to Appendix D to our Definitive Proxy Statement on Schedule 14A filed on April 8, 2016).</w:t>
      </w:r>
    </w:p>
    <w:p>
      <w:pPr>
        <w:spacing w:after="0" w:line="54" w:lineRule="exact"/>
        <w:rPr>
          <w:sz w:val="20"/>
          <w:szCs w:val="20"/>
          <w:color w:val="auto"/>
        </w:rPr>
      </w:pPr>
    </w:p>
    <w:p>
      <w:pPr>
        <w:ind w:left="900" w:hanging="876"/>
        <w:spacing w:after="0" w:line="235" w:lineRule="auto"/>
        <w:tabs>
          <w:tab w:leader="none" w:pos="880" w:val="left"/>
        </w:tabs>
        <w:rPr>
          <w:rFonts w:ascii="Arial" w:cs="Arial" w:eastAsia="Arial" w:hAnsi="Arial"/>
          <w:sz w:val="18"/>
          <w:szCs w:val="18"/>
          <w:color w:val="0000FF"/>
        </w:rPr>
      </w:pPr>
      <w:hyperlink r:id="rId250">
        <w:r>
          <w:rPr>
            <w:rFonts w:ascii="Arial" w:cs="Arial" w:eastAsia="Arial" w:hAnsi="Arial"/>
            <w:sz w:val="18"/>
            <w:szCs w:val="18"/>
            <w:u w:val="single" w:color="auto"/>
            <w:color w:val="0000FF"/>
          </w:rPr>
          <w:t>10.12*</w:t>
        </w:r>
      </w:hyperlink>
      <w:r>
        <w:rPr>
          <w:rFonts w:ascii="Arial" w:cs="Arial" w:eastAsia="Arial" w:hAnsi="Arial"/>
          <w:sz w:val="18"/>
          <w:szCs w:val="18"/>
          <w:color w:val="0000FF"/>
        </w:rPr>
        <w:tab/>
        <w:t>Employment Agreement with Brian L. Roberts, dated as of July 26, 2017 (incorporated by reference to Exhibit 10.2 to Comcast’s Quarterly Report on Form 10-Q for the quarter ended June 30, 2017).</w:t>
      </w:r>
    </w:p>
    <w:p>
      <w:pPr>
        <w:spacing w:after="0" w:line="38"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51">
        <w:r>
          <w:rPr>
            <w:rFonts w:ascii="Arial" w:cs="Arial" w:eastAsia="Arial" w:hAnsi="Arial"/>
            <w:sz w:val="18"/>
            <w:szCs w:val="18"/>
            <w:u w:val="single" w:color="auto"/>
            <w:color w:val="0000FF"/>
          </w:rPr>
          <w:t>10.13*</w:t>
        </w:r>
      </w:hyperlink>
      <w:r>
        <w:rPr>
          <w:rFonts w:ascii="Arial" w:cs="Arial" w:eastAsia="Arial" w:hAnsi="Arial"/>
          <w:sz w:val="18"/>
          <w:szCs w:val="18"/>
          <w:color w:val="0000FF"/>
        </w:rPr>
        <w:tab/>
      </w:r>
      <w:r>
        <w:rPr>
          <w:rFonts w:ascii="Arial" w:cs="Arial" w:eastAsia="Arial" w:hAnsi="Arial"/>
          <w:sz w:val="17"/>
          <w:szCs w:val="17"/>
          <w:color w:val="0000FF"/>
        </w:rPr>
        <w:t>Amendment No. 1 to Employment Agreement with Brian L. Roberts, dated as of December 16, 2019 (incorporated by reference to Exhibit</w:t>
      </w:r>
    </w:p>
    <w:p>
      <w:pPr>
        <w:ind w:left="900"/>
        <w:spacing w:after="0"/>
        <w:rPr>
          <w:sz w:val="20"/>
          <w:szCs w:val="20"/>
          <w:color w:val="auto"/>
        </w:rPr>
      </w:pPr>
      <w:r>
        <w:rPr>
          <w:rFonts w:ascii="Arial" w:cs="Arial" w:eastAsia="Arial" w:hAnsi="Arial"/>
          <w:sz w:val="18"/>
          <w:szCs w:val="18"/>
          <w:color w:val="auto"/>
        </w:rPr>
        <w:t>10.20 to Comcast’s Annual Report on Form 10-K for the year ended December 31, 2019).</w:t>
      </w:r>
    </w:p>
    <w:p>
      <w:pPr>
        <w:spacing w:after="0" w:line="200" w:lineRule="exact"/>
        <w:rPr>
          <w:sz w:val="20"/>
          <w:szCs w:val="20"/>
          <w:color w:val="auto"/>
        </w:rPr>
      </w:pPr>
    </w:p>
    <w:p>
      <w:pPr>
        <w:spacing w:after="0" w:line="311" w:lineRule="exact"/>
        <w:rPr>
          <w:sz w:val="20"/>
          <w:szCs w:val="20"/>
          <w:color w:val="auto"/>
        </w:rPr>
      </w:pPr>
    </w:p>
    <w:p>
      <w:pPr>
        <w:ind w:left="5480"/>
        <w:spacing w:after="0"/>
        <w:tabs>
          <w:tab w:leader="none" w:pos="8580" w:val="left"/>
        </w:tabs>
        <w:rPr>
          <w:sz w:val="20"/>
          <w:szCs w:val="20"/>
          <w:color w:val="auto"/>
        </w:rPr>
      </w:pPr>
      <w:r>
        <w:rPr>
          <w:rFonts w:ascii="Arial" w:cs="Arial" w:eastAsia="Arial" w:hAnsi="Arial"/>
          <w:sz w:val="13"/>
          <w:szCs w:val="13"/>
          <w:b w:val="1"/>
          <w:bCs w:val="1"/>
          <w:color w:val="auto"/>
        </w:rPr>
        <w:t>101</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00" w:right="40" w:hanging="876"/>
        <w:spacing w:after="0" w:line="235" w:lineRule="auto"/>
        <w:tabs>
          <w:tab w:leader="none" w:pos="880" w:val="left"/>
        </w:tabs>
        <w:rPr>
          <w:rFonts w:ascii="Arial" w:cs="Arial" w:eastAsia="Arial" w:hAnsi="Arial"/>
          <w:sz w:val="18"/>
          <w:szCs w:val="18"/>
          <w:color w:val="0000FF"/>
        </w:rPr>
      </w:pPr>
      <w:hyperlink r:id="rId253">
        <w:r>
          <w:rPr>
            <w:rFonts w:ascii="Arial" w:cs="Arial" w:eastAsia="Arial" w:hAnsi="Arial"/>
            <w:sz w:val="18"/>
            <w:szCs w:val="18"/>
            <w:u w:val="single" w:color="auto"/>
            <w:color w:val="0000FF"/>
          </w:rPr>
          <w:t>10.14*</w:t>
        </w:r>
      </w:hyperlink>
      <w:r>
        <w:rPr>
          <w:rFonts w:ascii="Arial" w:cs="Arial" w:eastAsia="Arial" w:hAnsi="Arial"/>
          <w:sz w:val="18"/>
          <w:szCs w:val="18"/>
          <w:color w:val="0000FF"/>
        </w:rPr>
        <w:tab/>
        <w:t>Employment Agreement dated as of December 21, 2018 between Comcast Corporation and Michael J. Cavanagh (incorporated by reference to Exhibit 99.1 to Comcast’s Current Report on Form 8-K filed on December 21, 2018).</w:t>
      </w:r>
    </w:p>
    <w:p>
      <w:pPr>
        <w:spacing w:after="0" w:line="38"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54">
        <w:r>
          <w:rPr>
            <w:rFonts w:ascii="Arial" w:cs="Arial" w:eastAsia="Arial" w:hAnsi="Arial"/>
            <w:sz w:val="18"/>
            <w:szCs w:val="18"/>
            <w:u w:val="single" w:color="auto"/>
            <w:color w:val="0000FF"/>
          </w:rPr>
          <w:t>10.15*</w:t>
        </w:r>
      </w:hyperlink>
      <w:r>
        <w:rPr>
          <w:rFonts w:ascii="Arial" w:cs="Arial" w:eastAsia="Arial" w:hAnsi="Arial"/>
          <w:sz w:val="18"/>
          <w:szCs w:val="18"/>
          <w:color w:val="0000FF"/>
        </w:rPr>
        <w:tab/>
      </w:r>
      <w:r>
        <w:rPr>
          <w:rFonts w:ascii="Arial" w:cs="Arial" w:eastAsia="Arial" w:hAnsi="Arial"/>
          <w:sz w:val="16"/>
          <w:szCs w:val="16"/>
          <w:color w:val="0000FF"/>
        </w:rPr>
        <w:t>Amendment No. 1 to Employment Agreement with Michael J. Cavanagh, dated as of December 16, 2019 (incorporated by reference to Exhibit</w:t>
      </w:r>
    </w:p>
    <w:p>
      <w:pPr>
        <w:ind w:left="900"/>
        <w:spacing w:after="0"/>
        <w:rPr>
          <w:sz w:val="20"/>
          <w:szCs w:val="20"/>
          <w:color w:val="auto"/>
        </w:rPr>
      </w:pPr>
      <w:r>
        <w:rPr>
          <w:rFonts w:ascii="Arial" w:cs="Arial" w:eastAsia="Arial" w:hAnsi="Arial"/>
          <w:sz w:val="18"/>
          <w:szCs w:val="18"/>
          <w:color w:val="auto"/>
        </w:rPr>
        <w:t>10.29 to Comcast’s Annual Report on Form 10-K for the year ended December 31, 2019).</w:t>
      </w:r>
    </w:p>
    <w:p>
      <w:pPr>
        <w:spacing w:after="0" w:line="45"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55">
        <w:r>
          <w:rPr>
            <w:rFonts w:ascii="Arial" w:cs="Arial" w:eastAsia="Arial" w:hAnsi="Arial"/>
            <w:sz w:val="18"/>
            <w:szCs w:val="18"/>
            <w:u w:val="single" w:color="auto"/>
            <w:color w:val="0000FF"/>
          </w:rPr>
          <w:t>10.16*</w:t>
        </w:r>
      </w:hyperlink>
      <w:r>
        <w:rPr>
          <w:rFonts w:ascii="Arial" w:cs="Arial" w:eastAsia="Arial" w:hAnsi="Arial"/>
          <w:sz w:val="18"/>
          <w:szCs w:val="18"/>
          <w:color w:val="0000FF"/>
        </w:rPr>
        <w:tab/>
      </w:r>
      <w:r>
        <w:rPr>
          <w:rFonts w:ascii="Arial" w:cs="Arial" w:eastAsia="Arial" w:hAnsi="Arial"/>
          <w:sz w:val="16"/>
          <w:szCs w:val="16"/>
          <w:color w:val="0000FF"/>
        </w:rPr>
        <w:t>Employment Agreement dated as of April 2, 2018 between Comcast Corporation and David N. Watson (incorporated by reference to Exhibit</w:t>
      </w:r>
    </w:p>
    <w:p>
      <w:pPr>
        <w:ind w:left="900"/>
        <w:spacing w:after="0"/>
        <w:rPr>
          <w:sz w:val="20"/>
          <w:szCs w:val="20"/>
          <w:color w:val="auto"/>
        </w:rPr>
      </w:pPr>
      <w:r>
        <w:rPr>
          <w:rFonts w:ascii="Arial" w:cs="Arial" w:eastAsia="Arial" w:hAnsi="Arial"/>
          <w:sz w:val="18"/>
          <w:szCs w:val="18"/>
          <w:color w:val="auto"/>
        </w:rPr>
        <w:t>10.4 to Comcast’s Quarterly Report on Form 10-Q for the quarter ended June 30, 2018).</w:t>
      </w:r>
    </w:p>
    <w:p>
      <w:pPr>
        <w:spacing w:after="0" w:line="45"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56">
        <w:r>
          <w:rPr>
            <w:rFonts w:ascii="Arial" w:cs="Arial" w:eastAsia="Arial" w:hAnsi="Arial"/>
            <w:sz w:val="18"/>
            <w:szCs w:val="18"/>
            <w:u w:val="single" w:color="auto"/>
            <w:color w:val="0000FF"/>
          </w:rPr>
          <w:t>10.17*</w:t>
        </w:r>
      </w:hyperlink>
      <w:r>
        <w:rPr>
          <w:rFonts w:ascii="Arial" w:cs="Arial" w:eastAsia="Arial" w:hAnsi="Arial"/>
          <w:sz w:val="18"/>
          <w:szCs w:val="18"/>
          <w:color w:val="0000FF"/>
        </w:rPr>
        <w:tab/>
      </w:r>
      <w:r>
        <w:rPr>
          <w:rFonts w:ascii="Arial" w:cs="Arial" w:eastAsia="Arial" w:hAnsi="Arial"/>
          <w:sz w:val="16"/>
          <w:szCs w:val="16"/>
          <w:color w:val="0000FF"/>
        </w:rPr>
        <w:t>Amendment No. 1 to Employment Agreement with David N. Watson, dated as of December 16, 2019 (incorporated by reference to Exhibit</w:t>
      </w:r>
    </w:p>
    <w:p>
      <w:pPr>
        <w:ind w:left="900"/>
        <w:spacing w:after="0"/>
        <w:rPr>
          <w:sz w:val="20"/>
          <w:szCs w:val="20"/>
          <w:color w:val="auto"/>
        </w:rPr>
      </w:pPr>
      <w:r>
        <w:rPr>
          <w:rFonts w:ascii="Arial" w:cs="Arial" w:eastAsia="Arial" w:hAnsi="Arial"/>
          <w:sz w:val="18"/>
          <w:szCs w:val="18"/>
          <w:color w:val="auto"/>
        </w:rPr>
        <w:t>10.31 to Comcast’s Annual Report on Form 10-K for the year ended December 31, 2019).</w:t>
      </w:r>
    </w:p>
    <w:p>
      <w:pPr>
        <w:spacing w:after="0" w:line="61" w:lineRule="exact"/>
        <w:rPr>
          <w:sz w:val="20"/>
          <w:szCs w:val="20"/>
          <w:color w:val="auto"/>
        </w:rPr>
      </w:pPr>
    </w:p>
    <w:p>
      <w:pPr>
        <w:ind w:left="900" w:right="20" w:hanging="876"/>
        <w:spacing w:after="0" w:line="235" w:lineRule="auto"/>
        <w:tabs>
          <w:tab w:leader="none" w:pos="880" w:val="left"/>
        </w:tabs>
        <w:rPr>
          <w:rFonts w:ascii="Arial" w:cs="Arial" w:eastAsia="Arial" w:hAnsi="Arial"/>
          <w:sz w:val="18"/>
          <w:szCs w:val="18"/>
          <w:color w:val="0000FF"/>
        </w:rPr>
      </w:pPr>
      <w:hyperlink r:id="rId257">
        <w:r>
          <w:rPr>
            <w:rFonts w:ascii="Arial" w:cs="Arial" w:eastAsia="Arial" w:hAnsi="Arial"/>
            <w:sz w:val="18"/>
            <w:szCs w:val="18"/>
            <w:u w:val="single" w:color="auto"/>
            <w:color w:val="0000FF"/>
          </w:rPr>
          <w:t>10.18*</w:t>
        </w:r>
      </w:hyperlink>
      <w:r>
        <w:rPr>
          <w:rFonts w:ascii="Arial" w:cs="Arial" w:eastAsia="Arial" w:hAnsi="Arial"/>
          <w:sz w:val="18"/>
          <w:szCs w:val="18"/>
          <w:color w:val="0000FF"/>
        </w:rPr>
        <w:tab/>
        <w:t>Amendment No. 2 to Employment Agreement with David N. Watson, dated as of April 29, 2020 (incorporated by reference to Exhibit 10.5 to Comcast’s Quarterly Report on Form 10-Q for the quarter ended March 31, 2020).</w:t>
      </w:r>
    </w:p>
    <w:p>
      <w:pPr>
        <w:spacing w:after="0" w:line="52"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58">
        <w:r>
          <w:rPr>
            <w:rFonts w:ascii="Arial" w:cs="Arial" w:eastAsia="Arial" w:hAnsi="Arial"/>
            <w:sz w:val="18"/>
            <w:szCs w:val="18"/>
            <w:u w:val="single" w:color="auto"/>
            <w:color w:val="0000FF"/>
          </w:rPr>
          <w:t>10.19*</w:t>
        </w:r>
      </w:hyperlink>
      <w:r>
        <w:rPr>
          <w:rFonts w:ascii="Arial" w:cs="Arial" w:eastAsia="Arial" w:hAnsi="Arial"/>
          <w:sz w:val="18"/>
          <w:szCs w:val="18"/>
          <w:color w:val="0000FF"/>
        </w:rPr>
        <w:tab/>
      </w:r>
      <w:r>
        <w:rPr>
          <w:rFonts w:ascii="Arial" w:cs="Arial" w:eastAsia="Arial" w:hAnsi="Arial"/>
          <w:sz w:val="16"/>
          <w:szCs w:val="16"/>
          <w:color w:val="0000FF"/>
        </w:rPr>
        <w:t>Employment Agreement dated as of February 19, 2020 between Comcast Corporation and Jeffrey Shell (incorporated by reference to Exhibit</w:t>
      </w:r>
    </w:p>
    <w:p>
      <w:pPr>
        <w:ind w:left="900"/>
        <w:spacing w:after="0"/>
        <w:rPr>
          <w:sz w:val="20"/>
          <w:szCs w:val="20"/>
          <w:color w:val="auto"/>
        </w:rPr>
      </w:pPr>
      <w:r>
        <w:rPr>
          <w:rFonts w:ascii="Arial" w:cs="Arial" w:eastAsia="Arial" w:hAnsi="Arial"/>
          <w:sz w:val="18"/>
          <w:szCs w:val="18"/>
          <w:color w:val="auto"/>
        </w:rPr>
        <w:t>10.2 to Comcast’s Quarterly Report on Form 10-Q for the quarter ended June 30, 2021).</w:t>
      </w:r>
    </w:p>
    <w:p>
      <w:pPr>
        <w:spacing w:after="0" w:line="72"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r:id="rId259">
        <w:r>
          <w:rPr>
            <w:rFonts w:ascii="Arial" w:cs="Arial" w:eastAsia="Arial" w:hAnsi="Arial"/>
            <w:sz w:val="18"/>
            <w:szCs w:val="18"/>
            <w:u w:val="single" w:color="auto"/>
            <w:color w:val="0000FF"/>
          </w:rPr>
          <w:t>10.20*</w:t>
        </w:r>
      </w:hyperlink>
      <w:r>
        <w:rPr>
          <w:rFonts w:ascii="Arial" w:cs="Arial" w:eastAsia="Arial" w:hAnsi="Arial"/>
          <w:sz w:val="18"/>
          <w:szCs w:val="18"/>
          <w:color w:val="0000FF"/>
        </w:rPr>
        <w:tab/>
      </w:r>
      <w:r>
        <w:rPr>
          <w:rFonts w:ascii="Arial" w:cs="Arial" w:eastAsia="Arial" w:hAnsi="Arial"/>
          <w:sz w:val="16"/>
          <w:szCs w:val="16"/>
          <w:color w:val="0000FF"/>
        </w:rPr>
        <w:t>Employment Agreement dated as of April 15, 2019 between Comcast Corporation and Thomas J. Reid (incorporated by reference to Exhibit</w:t>
      </w:r>
    </w:p>
    <w:p>
      <w:pPr>
        <w:ind w:left="900"/>
        <w:spacing w:after="0"/>
        <w:rPr>
          <w:sz w:val="20"/>
          <w:szCs w:val="20"/>
          <w:color w:val="auto"/>
        </w:rPr>
      </w:pPr>
      <w:r>
        <w:rPr>
          <w:rFonts w:ascii="Arial" w:cs="Arial" w:eastAsia="Arial" w:hAnsi="Arial"/>
          <w:sz w:val="18"/>
          <w:szCs w:val="18"/>
          <w:color w:val="auto"/>
        </w:rPr>
        <w:t>10.1 to Comcast’s Quarterly Report on Form 10-Q for the quarter ended June 30, 2021).</w:t>
      </w:r>
    </w:p>
    <w:p>
      <w:pPr>
        <w:spacing w:after="0" w:line="74" w:lineRule="exact"/>
        <w:rPr>
          <w:sz w:val="20"/>
          <w:szCs w:val="20"/>
          <w:color w:val="auto"/>
        </w:rPr>
      </w:pPr>
    </w:p>
    <w:p>
      <w:pPr>
        <w:ind w:left="900" w:right="20" w:hanging="876"/>
        <w:spacing w:after="0" w:line="307" w:lineRule="auto"/>
        <w:tabs>
          <w:tab w:leader="none" w:pos="880" w:val="left"/>
        </w:tabs>
        <w:rPr>
          <w:rFonts w:ascii="Arial" w:cs="Arial" w:eastAsia="Arial" w:hAnsi="Arial"/>
          <w:sz w:val="18"/>
          <w:szCs w:val="18"/>
          <w:color w:val="0000FF"/>
        </w:rPr>
      </w:pPr>
      <w:hyperlink r:id="rId260">
        <w:r>
          <w:rPr>
            <w:rFonts w:ascii="Arial" w:cs="Arial" w:eastAsia="Arial" w:hAnsi="Arial"/>
            <w:sz w:val="18"/>
            <w:szCs w:val="18"/>
            <w:u w:val="single" w:color="auto"/>
            <w:color w:val="0000FF"/>
          </w:rPr>
          <w:t>10.21*</w:t>
        </w:r>
      </w:hyperlink>
      <w:r>
        <w:rPr>
          <w:rFonts w:ascii="Arial" w:cs="Arial" w:eastAsia="Arial" w:hAnsi="Arial"/>
          <w:sz w:val="18"/>
          <w:szCs w:val="18"/>
          <w:color w:val="0000FF"/>
        </w:rPr>
        <w:tab/>
      </w:r>
      <w:r>
        <w:rPr>
          <w:rFonts w:ascii="Arial" w:cs="Arial" w:eastAsia="Arial" w:hAnsi="Arial"/>
          <w:sz w:val="16"/>
          <w:szCs w:val="16"/>
          <w:color w:val="0000FF"/>
        </w:rPr>
        <w:t>Form of Non-Qualified Stock Option and Long-Term Incentive Awards Summary Schedule under the Comcast Corporation 2003 Stock Option Plan (incorporated by reference to Exhibit 10.35 to Comcast’s Annual Report on Form 10-K for the year ended December 31, 2020).</w:t>
      </w:r>
    </w:p>
    <w:p>
      <w:pPr>
        <w:spacing w:after="0" w:line="15" w:lineRule="exact"/>
        <w:rPr>
          <w:sz w:val="20"/>
          <w:szCs w:val="20"/>
          <w:color w:val="auto"/>
        </w:rPr>
      </w:pPr>
    </w:p>
    <w:p>
      <w:pPr>
        <w:ind w:left="900" w:right="240" w:hanging="876"/>
        <w:spacing w:after="0" w:line="307" w:lineRule="auto"/>
        <w:tabs>
          <w:tab w:leader="none" w:pos="880" w:val="left"/>
        </w:tabs>
        <w:rPr>
          <w:rFonts w:ascii="Arial" w:cs="Arial" w:eastAsia="Arial" w:hAnsi="Arial"/>
          <w:sz w:val="18"/>
          <w:szCs w:val="18"/>
          <w:color w:val="0000FF"/>
        </w:rPr>
      </w:pPr>
      <w:hyperlink r:id="rId261">
        <w:r>
          <w:rPr>
            <w:rFonts w:ascii="Arial" w:cs="Arial" w:eastAsia="Arial" w:hAnsi="Arial"/>
            <w:sz w:val="18"/>
            <w:szCs w:val="18"/>
            <w:u w:val="single" w:color="auto"/>
            <w:color w:val="0000FF"/>
          </w:rPr>
          <w:t>10.22*</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and Long-Term Incentive Awards Summary Schedule under the Comcast Corporation 2002 Restricted Stock Plan (incorporated by reference to Exhibit 10.36 to Comcast’s Annual Report on Form 10-K for the year ended December 31, 2020).</w:t>
      </w:r>
    </w:p>
    <w:p>
      <w:pPr>
        <w:spacing w:after="0" w:line="15" w:lineRule="exact"/>
        <w:rPr>
          <w:sz w:val="20"/>
          <w:szCs w:val="20"/>
          <w:color w:val="auto"/>
        </w:rPr>
      </w:pPr>
    </w:p>
    <w:p>
      <w:pPr>
        <w:ind w:left="900" w:right="240" w:hanging="876"/>
        <w:spacing w:after="0" w:line="307" w:lineRule="auto"/>
        <w:tabs>
          <w:tab w:leader="none" w:pos="880" w:val="left"/>
        </w:tabs>
        <w:rPr>
          <w:rFonts w:ascii="Arial" w:cs="Arial" w:eastAsia="Arial" w:hAnsi="Arial"/>
          <w:sz w:val="18"/>
          <w:szCs w:val="18"/>
          <w:color w:val="0000FF"/>
        </w:rPr>
      </w:pPr>
      <w:hyperlink r:id="rId262">
        <w:r>
          <w:rPr>
            <w:rFonts w:ascii="Arial" w:cs="Arial" w:eastAsia="Arial" w:hAnsi="Arial"/>
            <w:sz w:val="18"/>
            <w:szCs w:val="18"/>
            <w:u w:val="single" w:color="auto"/>
            <w:color w:val="0000FF"/>
          </w:rPr>
          <w:t>10.23*</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and Long-Term Incentive Awards Summary Schedule under the Comcast Corporation 2002 Restricted Stock Plan (incorporated by reference to Exhibit 10.37 to Comcast’s Annual Report on Form 10-K for the year ended December 31, 2020).</w:t>
      </w:r>
    </w:p>
    <w:p>
      <w:pPr>
        <w:spacing w:after="0" w:line="15" w:lineRule="exact"/>
        <w:rPr>
          <w:sz w:val="20"/>
          <w:szCs w:val="20"/>
          <w:color w:val="auto"/>
        </w:rPr>
      </w:pPr>
    </w:p>
    <w:p>
      <w:pPr>
        <w:ind w:left="900" w:right="240" w:hanging="876"/>
        <w:spacing w:after="0" w:line="307" w:lineRule="auto"/>
        <w:tabs>
          <w:tab w:leader="none" w:pos="880" w:val="left"/>
        </w:tabs>
        <w:rPr>
          <w:rFonts w:ascii="Arial" w:cs="Arial" w:eastAsia="Arial" w:hAnsi="Arial"/>
          <w:sz w:val="18"/>
          <w:szCs w:val="18"/>
          <w:color w:val="0000FF"/>
        </w:rPr>
      </w:pPr>
      <w:hyperlink r:id="rId263">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and Long-Term Incentive Awards Summary Schedule under the Comcast Corporation 2002 Restricted Stock Plan (incorporated by reference to Exhibit 10.38 to Comcast’s Annual Report on Form 10-K for the year ended December 31, 2020).</w:t>
      </w:r>
    </w:p>
    <w:p>
      <w:pPr>
        <w:spacing w:after="0" w:line="15" w:lineRule="exact"/>
        <w:rPr>
          <w:sz w:val="20"/>
          <w:szCs w:val="20"/>
          <w:color w:val="auto"/>
        </w:rPr>
      </w:pPr>
    </w:p>
    <w:p>
      <w:pPr>
        <w:ind w:left="900" w:right="20" w:hanging="876"/>
        <w:spacing w:after="0" w:line="235" w:lineRule="auto"/>
        <w:tabs>
          <w:tab w:leader="none" w:pos="880" w:val="left"/>
        </w:tabs>
        <w:rPr>
          <w:rFonts w:ascii="Arial" w:cs="Arial" w:eastAsia="Arial" w:hAnsi="Arial"/>
          <w:sz w:val="18"/>
          <w:szCs w:val="18"/>
          <w:color w:val="0000FF"/>
        </w:rPr>
      </w:pPr>
      <w:hyperlink r:id="rId264">
        <w:r>
          <w:rPr>
            <w:rFonts w:ascii="Arial" w:cs="Arial" w:eastAsia="Arial" w:hAnsi="Arial"/>
            <w:sz w:val="18"/>
            <w:szCs w:val="18"/>
            <w:u w:val="single" w:color="auto"/>
            <w:color w:val="0000FF"/>
          </w:rPr>
          <w:t>10.25*</w:t>
        </w:r>
      </w:hyperlink>
      <w:r>
        <w:rPr>
          <w:rFonts w:ascii="Arial" w:cs="Arial" w:eastAsia="Arial" w:hAnsi="Arial"/>
          <w:sz w:val="18"/>
          <w:szCs w:val="18"/>
          <w:color w:val="0000FF"/>
        </w:rPr>
        <w:tab/>
        <w:t>Form of Airplane Time Sharing Agreement (incorporated by reference to Exhibit 10.60 to Comcast’s Annual Report on Form 10-K for the year ended December 31, 2014).</w:t>
      </w:r>
    </w:p>
    <w:p>
      <w:pPr>
        <w:spacing w:after="0" w:line="54" w:lineRule="exact"/>
        <w:rPr>
          <w:sz w:val="20"/>
          <w:szCs w:val="20"/>
          <w:color w:val="auto"/>
        </w:rPr>
      </w:pPr>
    </w:p>
    <w:p>
      <w:pPr>
        <w:ind w:left="900" w:right="20" w:hanging="876"/>
        <w:spacing w:after="0" w:line="235" w:lineRule="auto"/>
        <w:tabs>
          <w:tab w:leader="none" w:pos="880" w:val="left"/>
        </w:tabs>
        <w:rPr>
          <w:rFonts w:ascii="Arial" w:cs="Arial" w:eastAsia="Arial" w:hAnsi="Arial"/>
          <w:sz w:val="18"/>
          <w:szCs w:val="18"/>
          <w:color w:val="0000FF"/>
        </w:rPr>
      </w:pPr>
      <w:hyperlink r:id="rId265">
        <w:r>
          <w:rPr>
            <w:rFonts w:ascii="Arial" w:cs="Arial" w:eastAsia="Arial" w:hAnsi="Arial"/>
            <w:sz w:val="18"/>
            <w:szCs w:val="18"/>
            <w:u w:val="single" w:color="auto"/>
            <w:color w:val="0000FF"/>
          </w:rPr>
          <w:t>10.26*</w:t>
        </w:r>
      </w:hyperlink>
      <w:r>
        <w:rPr>
          <w:rFonts w:ascii="Arial" w:cs="Arial" w:eastAsia="Arial" w:hAnsi="Arial"/>
          <w:sz w:val="18"/>
          <w:szCs w:val="18"/>
          <w:color w:val="0000FF"/>
        </w:rPr>
        <w:tab/>
        <w:t>Form of Director Indemnification Agreement (incorporated by reference to Exhibit 10.3 to Comcast’s Quarterly Report on Form 10-Q for the quarter ended June 30, 2009).</w:t>
      </w:r>
    </w:p>
    <w:p>
      <w:pPr>
        <w:spacing w:after="0" w:line="54" w:lineRule="exact"/>
        <w:rPr>
          <w:sz w:val="20"/>
          <w:szCs w:val="20"/>
          <w:color w:val="auto"/>
        </w:rPr>
      </w:pPr>
    </w:p>
    <w:p>
      <w:pPr>
        <w:ind w:left="900" w:right="240" w:hanging="876"/>
        <w:spacing w:after="0" w:line="253" w:lineRule="auto"/>
        <w:tabs>
          <w:tab w:leader="none" w:pos="880" w:val="left"/>
        </w:tabs>
        <w:rPr>
          <w:rFonts w:ascii="Arial" w:cs="Arial" w:eastAsia="Arial" w:hAnsi="Arial"/>
          <w:sz w:val="18"/>
          <w:szCs w:val="18"/>
          <w:color w:val="0000FF"/>
        </w:rPr>
      </w:pPr>
      <w:hyperlink r:id="rId266">
        <w:r>
          <w:rPr>
            <w:rFonts w:ascii="Arial" w:cs="Arial" w:eastAsia="Arial" w:hAnsi="Arial"/>
            <w:sz w:val="18"/>
            <w:szCs w:val="18"/>
            <w:u w:val="single" w:color="auto"/>
            <w:color w:val="0000FF"/>
          </w:rPr>
          <w:t>10.27</w:t>
        </w:r>
      </w:hyperlink>
      <w:r>
        <w:rPr>
          <w:rFonts w:ascii="Arial" w:cs="Arial" w:eastAsia="Arial" w:hAnsi="Arial"/>
          <w:sz w:val="18"/>
          <w:szCs w:val="18"/>
          <w:color w:val="0000FF"/>
        </w:rPr>
        <w:tab/>
      </w:r>
      <w:r>
        <w:rPr>
          <w:rFonts w:ascii="Arial" w:cs="Arial" w:eastAsia="Arial" w:hAnsi="Arial"/>
          <w:sz w:val="17"/>
          <w:szCs w:val="17"/>
          <w:color w:val="0000FF"/>
        </w:rPr>
        <w:t>Third Amended and Restated Shareholders Agreement, dated as of November 26, 2020, among Atairos Group, Inc., Comcast AG Holdings, LLC, Comcast Spectacor Ventures, LLC, Atairos Partners, L.P., Atairos Management, L.P. and Comcast Corporation (incorporated by reference to Exhibit 10.41 to Comcast’s Annual Report on Form 10-K for the year ended December 31, 2020).</w:t>
      </w:r>
    </w:p>
    <w:p>
      <w:pPr>
        <w:spacing w:after="0" w:line="57" w:lineRule="exact"/>
        <w:rPr>
          <w:sz w:val="20"/>
          <w:szCs w:val="20"/>
          <w:color w:val="auto"/>
        </w:rPr>
      </w:pPr>
    </w:p>
    <w:p>
      <w:pPr>
        <w:jc w:val="both"/>
        <w:ind w:left="900" w:right="20" w:hanging="876"/>
        <w:spacing w:after="0" w:line="224" w:lineRule="auto"/>
        <w:tabs>
          <w:tab w:leader="none" w:pos="880" w:val="left"/>
        </w:tabs>
        <w:rPr>
          <w:rFonts w:ascii="Arial" w:cs="Arial" w:eastAsia="Arial" w:hAnsi="Arial"/>
          <w:sz w:val="18"/>
          <w:szCs w:val="18"/>
          <w:color w:val="0000FF"/>
        </w:rPr>
      </w:pPr>
      <w:hyperlink r:id="rId267">
        <w:r>
          <w:rPr>
            <w:rFonts w:ascii="Arial" w:cs="Arial" w:eastAsia="Arial" w:hAnsi="Arial"/>
            <w:sz w:val="18"/>
            <w:szCs w:val="18"/>
            <w:u w:val="single" w:color="auto"/>
            <w:color w:val="0000FF"/>
          </w:rPr>
          <w:t>10.28</w:t>
        </w:r>
      </w:hyperlink>
      <w:r>
        <w:rPr>
          <w:rFonts w:ascii="Arial" w:cs="Arial" w:eastAsia="Arial" w:hAnsi="Arial"/>
          <w:sz w:val="18"/>
          <w:szCs w:val="18"/>
          <w:color w:val="0000FF"/>
        </w:rPr>
        <w:tab/>
        <w:t>Consultant Agreement, dated as of January 20, 1987, between Steven Spielberg and Universal City Florida Partners (incorporated by reference to Exhibit 10.49 to the Registration Statement on Form S-4 of Universal City Development Partners, Ltd. and UCDP Finance, Inc. filed on January 20, 2010 (File No. 333-164431)).</w:t>
      </w:r>
    </w:p>
    <w:p>
      <w:pPr>
        <w:spacing w:after="0" w:line="55" w:lineRule="exact"/>
        <w:rPr>
          <w:sz w:val="20"/>
          <w:szCs w:val="20"/>
          <w:color w:val="auto"/>
        </w:rPr>
      </w:pPr>
    </w:p>
    <w:p>
      <w:pPr>
        <w:jc w:val="both"/>
        <w:ind w:left="900" w:right="20" w:hanging="876"/>
        <w:spacing w:after="0" w:line="224" w:lineRule="auto"/>
        <w:tabs>
          <w:tab w:leader="none" w:pos="880" w:val="left"/>
        </w:tabs>
        <w:rPr>
          <w:rFonts w:ascii="Arial" w:cs="Arial" w:eastAsia="Arial" w:hAnsi="Arial"/>
          <w:sz w:val="18"/>
          <w:szCs w:val="18"/>
          <w:color w:val="0000FF"/>
        </w:rPr>
      </w:pPr>
      <w:hyperlink r:id="rId268">
        <w:r>
          <w:rPr>
            <w:rFonts w:ascii="Arial" w:cs="Arial" w:eastAsia="Arial" w:hAnsi="Arial"/>
            <w:sz w:val="18"/>
            <w:szCs w:val="18"/>
            <w:u w:val="single" w:color="auto"/>
            <w:color w:val="0000FF"/>
          </w:rPr>
          <w:t>10.29</w:t>
        </w:r>
      </w:hyperlink>
      <w:r>
        <w:rPr>
          <w:rFonts w:ascii="Arial" w:cs="Arial" w:eastAsia="Arial" w:hAnsi="Arial"/>
          <w:sz w:val="18"/>
          <w:szCs w:val="18"/>
          <w:color w:val="0000FF"/>
        </w:rPr>
        <w:tab/>
        <w:t>Amendment dated February 5, 2001 to the Consultant Agreement dated as of January 20, 1987, between the Consultant and Universal City Florida Partners (incorporated by reference to Exhibit 10.50 to the Registration Statement on Form S-4 of Universal City Development Partners, Ltd. and UCDP Finance, Inc. filed on January 20, 2010 (File No. 333-164431)).</w:t>
      </w:r>
    </w:p>
    <w:p>
      <w:pPr>
        <w:spacing w:after="0" w:line="55" w:lineRule="exact"/>
        <w:rPr>
          <w:sz w:val="20"/>
          <w:szCs w:val="20"/>
          <w:color w:val="auto"/>
        </w:rPr>
      </w:pPr>
    </w:p>
    <w:p>
      <w:pPr>
        <w:jc w:val="both"/>
        <w:ind w:left="900" w:right="20" w:hanging="876"/>
        <w:spacing w:after="0" w:line="237" w:lineRule="auto"/>
        <w:tabs>
          <w:tab w:leader="none" w:pos="880" w:val="left"/>
        </w:tabs>
        <w:rPr>
          <w:rFonts w:ascii="Arial" w:cs="Arial" w:eastAsia="Arial" w:hAnsi="Arial"/>
          <w:sz w:val="18"/>
          <w:szCs w:val="18"/>
          <w:color w:val="0000FF"/>
        </w:rPr>
      </w:pPr>
      <w:hyperlink r:id="rId269">
        <w:r>
          <w:rPr>
            <w:rFonts w:ascii="Arial" w:cs="Arial" w:eastAsia="Arial" w:hAnsi="Arial"/>
            <w:sz w:val="18"/>
            <w:szCs w:val="18"/>
            <w:u w:val="single" w:color="auto"/>
            <w:color w:val="0000FF"/>
          </w:rPr>
          <w:t>10.30</w:t>
        </w:r>
      </w:hyperlink>
      <w:r>
        <w:rPr>
          <w:rFonts w:ascii="Arial" w:cs="Arial" w:eastAsia="Arial" w:hAnsi="Arial"/>
          <w:sz w:val="18"/>
          <w:szCs w:val="18"/>
          <w:color w:val="0000FF"/>
        </w:rPr>
        <w:tab/>
      </w:r>
      <w:r>
        <w:rPr>
          <w:rFonts w:ascii="Arial" w:cs="Arial" w:eastAsia="Arial" w:hAnsi="Arial"/>
          <w:sz w:val="17"/>
          <w:szCs w:val="17"/>
          <w:color w:val="0000FF"/>
        </w:rPr>
        <w:t>Amendment to the Consultant Agreement, dated as of October 18, 2009, between Steven Spielberg, Diamond Lane Productions, Inc. and Universal City Development Partners, Ltd. (incorporated by reference to Exhibit 10.52 to the Registration Statement on Form S-4 of Universal City Development Partners, Ltd. and UCDP Finance, Inc. filed on January 20, 2010 (File No. 333-164431)).</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Comcast 2021 Annual Report on Form 10-K</w:t>
            </w:r>
          </w:p>
        </w:tc>
        <w:tc>
          <w:tcPr>
            <w:tcW w:w="7200" w:type="dxa"/>
            <w:vAlign w:val="bottom"/>
          </w:tcPr>
          <w:p>
            <w:pPr>
              <w:jc w:val="right"/>
              <w:ind w:right="5468"/>
              <w:spacing w:after="0"/>
              <w:rPr>
                <w:sz w:val="20"/>
                <w:szCs w:val="20"/>
                <w:color w:val="auto"/>
              </w:rPr>
            </w:pPr>
            <w:r>
              <w:rPr>
                <w:rFonts w:ascii="Arial" w:cs="Arial" w:eastAsia="Arial" w:hAnsi="Arial"/>
                <w:sz w:val="14"/>
                <w:szCs w:val="14"/>
                <w:b w:val="1"/>
                <w:bCs w:val="1"/>
                <w:color w:val="auto"/>
              </w:rPr>
              <w:t>102</w:t>
            </w:r>
          </w:p>
        </w:tc>
      </w:tr>
      <w:tr>
        <w:trPr>
          <w:trHeight w:val="330"/>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900" w:hanging="876"/>
        <w:spacing w:after="0" w:line="224" w:lineRule="auto"/>
        <w:tabs>
          <w:tab w:leader="none" w:pos="880" w:val="left"/>
        </w:tabs>
        <w:rPr>
          <w:rFonts w:ascii="Arial" w:cs="Arial" w:eastAsia="Arial" w:hAnsi="Arial"/>
          <w:sz w:val="18"/>
          <w:szCs w:val="18"/>
          <w:color w:val="0000FF"/>
        </w:rPr>
      </w:pPr>
      <w:hyperlink r:id="rId272">
        <w:r>
          <w:rPr>
            <w:rFonts w:ascii="Arial" w:cs="Arial" w:eastAsia="Arial" w:hAnsi="Arial"/>
            <w:sz w:val="18"/>
            <w:szCs w:val="18"/>
            <w:u w:val="single" w:color="auto"/>
            <w:color w:val="0000FF"/>
          </w:rPr>
          <w:t>10.31</w:t>
        </w:r>
      </w:hyperlink>
      <w:r>
        <w:rPr>
          <w:rFonts w:ascii="Arial" w:cs="Arial" w:eastAsia="Arial" w:hAnsi="Arial"/>
          <w:sz w:val="18"/>
          <w:szCs w:val="18"/>
          <w:color w:val="0000FF"/>
        </w:rPr>
        <w:tab/>
        <w:t>Letter Agreement dated July 15, 2003, among Diamond Lane Productions, Vivendi Universal Entertainment LLLP and Universal City Development Partners, Ltd. (incorporated by reference to Exhibit 10.51 to the Registration Statement on Form S-4 of Universal City Development Partners, Ltd. and UCDP Finance, Inc. filed on January 20, 2010 (File No. 333-164431)).</w:t>
      </w:r>
    </w:p>
    <w:p>
      <w:pPr>
        <w:spacing w:after="0" w:line="55" w:lineRule="exact"/>
        <w:rPr>
          <w:sz w:val="20"/>
          <w:szCs w:val="20"/>
          <w:color w:val="auto"/>
        </w:rPr>
      </w:pPr>
    </w:p>
    <w:p>
      <w:pPr>
        <w:ind w:left="900" w:hanging="874"/>
        <w:spacing w:after="0"/>
        <w:tabs>
          <w:tab w:leader="none" w:pos="900" w:val="left"/>
        </w:tabs>
        <w:numPr>
          <w:ilvl w:val="0"/>
          <w:numId w:val="47"/>
        </w:numPr>
        <w:rPr>
          <w:rFonts w:ascii="Arial" w:cs="Arial" w:eastAsia="Arial" w:hAnsi="Arial"/>
          <w:sz w:val="18"/>
          <w:szCs w:val="18"/>
          <w:u w:val="single" w:color="auto"/>
          <w:color w:val="0000FF"/>
        </w:rPr>
      </w:pPr>
      <w:r>
        <w:rPr>
          <w:rFonts w:ascii="Arial" w:cs="Arial" w:eastAsia="Arial" w:hAnsi="Arial"/>
          <w:sz w:val="18"/>
          <w:szCs w:val="18"/>
          <w:color w:val="auto"/>
        </w:rPr>
        <w:t>List of subsidiaries.</w:t>
      </w:r>
    </w:p>
    <w:p>
      <w:pPr>
        <w:spacing w:after="0" w:line="76" w:lineRule="exact"/>
        <w:rPr>
          <w:rFonts w:ascii="Arial" w:cs="Arial" w:eastAsia="Arial" w:hAnsi="Arial"/>
          <w:sz w:val="18"/>
          <w:szCs w:val="18"/>
          <w:u w:val="single" w:color="auto"/>
          <w:color w:val="0000FF"/>
        </w:rPr>
      </w:pPr>
    </w:p>
    <w:p>
      <w:pPr>
        <w:ind w:left="900" w:hanging="874"/>
        <w:spacing w:after="0" w:line="235" w:lineRule="auto"/>
        <w:tabs>
          <w:tab w:leader="none" w:pos="900" w:val="left"/>
        </w:tabs>
        <w:numPr>
          <w:ilvl w:val="0"/>
          <w:numId w:val="47"/>
        </w:numPr>
        <w:rPr>
          <w:rFonts w:ascii="Arial" w:cs="Arial" w:eastAsia="Arial" w:hAnsi="Arial"/>
          <w:sz w:val="18"/>
          <w:szCs w:val="18"/>
          <w:u w:val="single" w:color="auto"/>
          <w:color w:val="0000FF"/>
        </w:rPr>
      </w:pPr>
      <w:r>
        <w:rPr>
          <w:rFonts w:ascii="Arial" w:cs="Arial" w:eastAsia="Arial" w:hAnsi="Arial"/>
          <w:sz w:val="18"/>
          <w:szCs w:val="18"/>
          <w:color w:val="auto"/>
        </w:rPr>
        <w:t>Subsidiary guarantors and issuers of guaranteed securities and affiliates whose securities collateralize securities of the registrant (incorporated by reference to Exhibit 22 to Comcast’s Quarterly Report on Form 10-Q for the quarter ended September 30, 2021).</w:t>
      </w:r>
    </w:p>
    <w:p>
      <w:pPr>
        <w:spacing w:after="0" w:line="53" w:lineRule="exact"/>
        <w:rPr>
          <w:rFonts w:ascii="Arial" w:cs="Arial" w:eastAsia="Arial" w:hAnsi="Arial"/>
          <w:sz w:val="18"/>
          <w:szCs w:val="18"/>
          <w:u w:val="single" w:color="auto"/>
          <w:color w:val="0000FF"/>
        </w:rPr>
      </w:pPr>
    </w:p>
    <w:p>
      <w:pPr>
        <w:ind w:left="900" w:hanging="874"/>
        <w:spacing w:after="0"/>
        <w:tabs>
          <w:tab w:leader="none" w:pos="900" w:val="left"/>
        </w:tabs>
        <w:numPr>
          <w:ilvl w:val="0"/>
          <w:numId w:val="47"/>
        </w:numPr>
        <w:rPr>
          <w:rFonts w:ascii="Arial" w:cs="Arial" w:eastAsia="Arial" w:hAnsi="Arial"/>
          <w:sz w:val="18"/>
          <w:szCs w:val="18"/>
          <w:u w:val="single" w:color="auto"/>
          <w:color w:val="0000FF"/>
        </w:rPr>
      </w:pPr>
      <w:r>
        <w:rPr>
          <w:rFonts w:ascii="Arial" w:cs="Arial" w:eastAsia="Arial" w:hAnsi="Arial"/>
          <w:sz w:val="18"/>
          <w:szCs w:val="18"/>
          <w:color w:val="auto"/>
        </w:rPr>
        <w:t>Consent of Deloitte &amp; Touche LLP.</w:t>
      </w:r>
    </w:p>
    <w:p>
      <w:pPr>
        <w:spacing w:after="0" w:line="77" w:lineRule="exact"/>
        <w:rPr>
          <w:sz w:val="20"/>
          <w:szCs w:val="20"/>
          <w:color w:val="auto"/>
        </w:rPr>
      </w:pPr>
    </w:p>
    <w:p>
      <w:pPr>
        <w:ind w:left="900" w:hanging="874"/>
        <w:spacing w:after="0"/>
        <w:tabs>
          <w:tab w:leader="none" w:pos="900" w:val="left"/>
        </w:tabs>
        <w:numPr>
          <w:ilvl w:val="0"/>
          <w:numId w:val="48"/>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76" w:lineRule="exact"/>
        <w:rPr>
          <w:rFonts w:ascii="Arial" w:cs="Arial" w:eastAsia="Arial" w:hAnsi="Arial"/>
          <w:sz w:val="18"/>
          <w:szCs w:val="18"/>
          <w:u w:val="single" w:color="auto"/>
          <w:color w:val="0000FF"/>
        </w:rPr>
      </w:pPr>
    </w:p>
    <w:p>
      <w:pPr>
        <w:ind w:left="900" w:hanging="874"/>
        <w:spacing w:after="0"/>
        <w:tabs>
          <w:tab w:leader="none" w:pos="900" w:val="left"/>
        </w:tabs>
        <w:numPr>
          <w:ilvl w:val="0"/>
          <w:numId w:val="48"/>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hanging="874"/>
        <w:spacing w:after="0" w:line="21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2021, filed with the Securities and Exchange Commission on February 2, 2022, formatted in Inline Extensible Business Reporting Language (iXBRL): (1) the Consolidated Statement of Income; (2) the Consolidated Statement of Comprehensive Income; (3) the Consolidated Statement of Cash Flows; (4) the Consolidated Balance Sheet; (5) the Consolidated Statement of Changes in Equity; and (6) the Notes to Consolidated Financial Statements.</w:t>
      </w:r>
    </w:p>
    <w:p>
      <w:pPr>
        <w:ind w:left="20"/>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900" w:hanging="874"/>
        <w:spacing w:after="0"/>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color w:val="006EBF"/>
        </w:rPr>
        <w:t>Item 16: Form 10-K Summary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1" w:lineRule="exact"/>
        <w:rPr>
          <w:sz w:val="20"/>
          <w:szCs w:val="20"/>
          <w:color w:val="auto"/>
        </w:rPr>
      </w:pPr>
    </w:p>
    <w:p>
      <w:pPr>
        <w:ind w:left="5480"/>
        <w:spacing w:after="0"/>
        <w:tabs>
          <w:tab w:leader="none" w:pos="8580" w:val="left"/>
        </w:tabs>
        <w:rPr>
          <w:sz w:val="20"/>
          <w:szCs w:val="20"/>
          <w:color w:val="auto"/>
        </w:rPr>
      </w:pPr>
      <w:r>
        <w:rPr>
          <w:rFonts w:ascii="Arial" w:cs="Arial" w:eastAsia="Arial" w:hAnsi="Arial"/>
          <w:sz w:val="13"/>
          <w:szCs w:val="13"/>
          <w:b w:val="1"/>
          <w:bCs w:val="1"/>
          <w:color w:val="auto"/>
        </w:rPr>
        <w:t>103</w:t>
      </w:r>
      <w:r>
        <w:rPr>
          <w:sz w:val="20"/>
          <w:szCs w:val="20"/>
          <w:color w:val="auto"/>
        </w:rPr>
        <w:tab/>
      </w:r>
      <w:r>
        <w:rPr>
          <w:rFonts w:ascii="Arial" w:cs="Arial" w:eastAsia="Arial" w:hAnsi="Arial"/>
          <w:sz w:val="13"/>
          <w:szCs w:val="13"/>
          <w:color w:val="auto"/>
        </w:rPr>
        <w:t>Comcast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color w:val="auto"/>
        </w:rPr>
        <w:t>Signatures</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 2022.</w:t>
      </w:r>
    </w:p>
    <w:p>
      <w:pPr>
        <w:spacing w:after="0" w:line="103" w:lineRule="exact"/>
        <w:rPr>
          <w:sz w:val="20"/>
          <w:szCs w:val="20"/>
          <w:color w:val="auto"/>
        </w:rPr>
      </w:pPr>
    </w:p>
    <w:tbl>
      <w:tblPr>
        <w:tblLayout w:type="fixed"/>
        <w:tblInd w:w="38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6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BRIAN L. ROBERTS</w:t>
            </w:r>
          </w:p>
        </w:tc>
      </w:tr>
      <w:tr>
        <w:trPr>
          <w:trHeight w:val="222"/>
        </w:trPr>
        <w:tc>
          <w:tcPr>
            <w:tcW w:w="1120" w:type="dxa"/>
            <w:vAlign w:val="bottom"/>
          </w:tcPr>
          <w:p>
            <w:pPr>
              <w:spacing w:after="0"/>
              <w:rPr>
                <w:sz w:val="19"/>
                <w:szCs w:val="19"/>
                <w:color w:val="auto"/>
              </w:rPr>
            </w:pPr>
          </w:p>
        </w:tc>
        <w:tc>
          <w:tcPr>
            <w:tcW w:w="6280" w:type="dxa"/>
            <w:vAlign w:val="bottom"/>
          </w:tcPr>
          <w:p>
            <w:pPr>
              <w:jc w:val="center"/>
              <w:spacing w:after="0"/>
              <w:rPr>
                <w:sz w:val="20"/>
                <w:szCs w:val="20"/>
                <w:color w:val="auto"/>
              </w:rPr>
            </w:pPr>
            <w:r>
              <w:rPr>
                <w:rFonts w:ascii="Arial" w:cs="Arial" w:eastAsia="Arial" w:hAnsi="Arial"/>
                <w:sz w:val="18"/>
                <w:szCs w:val="18"/>
                <w:color w:val="auto"/>
                <w:w w:val="92"/>
              </w:rPr>
              <w:t>Brian L. Roberts</w:t>
            </w:r>
          </w:p>
        </w:tc>
      </w:tr>
      <w:tr>
        <w:trPr>
          <w:trHeight w:val="230"/>
        </w:trPr>
        <w:tc>
          <w:tcPr>
            <w:tcW w:w="1120" w:type="dxa"/>
            <w:vAlign w:val="bottom"/>
          </w:tcPr>
          <w:p>
            <w:pPr>
              <w:spacing w:after="0"/>
              <w:rPr>
                <w:sz w:val="20"/>
                <w:szCs w:val="20"/>
                <w:color w:val="auto"/>
              </w:rPr>
            </w:pPr>
          </w:p>
        </w:tc>
        <w:tc>
          <w:tcPr>
            <w:tcW w:w="62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bl>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8" w:lineRule="exact"/>
        <w:rPr>
          <w:sz w:val="20"/>
          <w:szCs w:val="20"/>
          <w:color w:val="auto"/>
        </w:rPr>
      </w:pPr>
    </w:p>
    <w:p>
      <w:pPr>
        <w:ind w:left="1620"/>
        <w:spacing w:after="0"/>
        <w:tabs>
          <w:tab w:leader="none" w:pos="6080" w:val="left"/>
          <w:tab w:leader="none" w:pos="982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Brian L. Roberts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J. Cavanagh</w:t>
      </w:r>
    </w:p>
    <w:p>
      <w:pPr>
        <w:spacing w:after="0" w:line="1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14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Daniel C. Murdock</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Kenneth J. Bacon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MADELINE 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Madeline S. Bell</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NAOMI M.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Naomi M. Bergman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EDWARD D.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Edward D. Breen</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Gerald L. Hassell</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 JEFFREY A. HONICKMAN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3914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Jeffrey A. Honickman</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MARITZA G. MONTIEL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Maritza G. Montiel</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ASUKA NAKAHARA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Asuka Nakahara</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DAVID C.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141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7">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David C. Novak</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3"/>
              </w:rPr>
              <w:t>Chairman and Chief Executive Officer; 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230"/>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3"/>
              </w:rPr>
              <w:t>(Principal Executive Officer)</w:t>
            </w:r>
          </w:p>
        </w:tc>
        <w:tc>
          <w:tcPr>
            <w:tcW w:w="1920" w:type="dxa"/>
            <w:vAlign w:val="bottom"/>
          </w:tcPr>
          <w:p>
            <w:pPr>
              <w:spacing w:after="0"/>
              <w:rPr>
                <w:sz w:val="20"/>
                <w:szCs w:val="20"/>
                <w:color w:val="auto"/>
              </w:rPr>
            </w:pPr>
          </w:p>
        </w:tc>
      </w:tr>
      <w:tr>
        <w:trPr>
          <w:trHeight w:val="296"/>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4"/>
              </w:rPr>
              <w:t>Chief Financial Officer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230"/>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4"/>
              </w:rPr>
              <w:t>(Principal Financial Officer)</w:t>
            </w:r>
          </w:p>
        </w:tc>
        <w:tc>
          <w:tcPr>
            <w:tcW w:w="1920" w:type="dxa"/>
            <w:vAlign w:val="bottom"/>
          </w:tcPr>
          <w:p>
            <w:pPr>
              <w:spacing w:after="0"/>
              <w:rPr>
                <w:sz w:val="20"/>
                <w:szCs w:val="20"/>
                <w:color w:val="auto"/>
              </w:rPr>
            </w:pPr>
          </w:p>
        </w:tc>
      </w:tr>
      <w:tr>
        <w:trPr>
          <w:trHeight w:val="364"/>
        </w:trPr>
        <w:tc>
          <w:tcPr>
            <w:tcW w:w="4160" w:type="dxa"/>
            <w:vAlign w:val="bottom"/>
          </w:tcPr>
          <w:p>
            <w:pPr>
              <w:jc w:val="center"/>
              <w:ind w:right="610"/>
              <w:spacing w:after="0"/>
              <w:rPr>
                <w:sz w:val="20"/>
                <w:szCs w:val="20"/>
                <w:color w:val="auto"/>
              </w:rPr>
            </w:pPr>
            <w:r>
              <w:rPr>
                <w:rFonts w:ascii="Arial" w:cs="Arial" w:eastAsia="Arial" w:hAnsi="Arial"/>
                <w:sz w:val="18"/>
                <w:szCs w:val="18"/>
                <w:color w:val="auto"/>
                <w:w w:val="92"/>
              </w:rPr>
              <w:t>Executive Vice President, Chief Accounting</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175"/>
        </w:trPr>
        <w:tc>
          <w:tcPr>
            <w:tcW w:w="4160" w:type="dxa"/>
            <w:vAlign w:val="bottom"/>
          </w:tcPr>
          <w:p>
            <w:pPr>
              <w:jc w:val="center"/>
              <w:ind w:right="590"/>
              <w:spacing w:after="0" w:line="176" w:lineRule="exact"/>
              <w:rPr>
                <w:sz w:val="20"/>
                <w:szCs w:val="20"/>
                <w:color w:val="auto"/>
              </w:rPr>
            </w:pPr>
            <w:r>
              <w:rPr>
                <w:rFonts w:ascii="Arial" w:cs="Arial" w:eastAsia="Arial" w:hAnsi="Arial"/>
                <w:sz w:val="18"/>
                <w:szCs w:val="18"/>
                <w:color w:val="auto"/>
                <w:w w:val="93"/>
              </w:rPr>
              <w:t>Officer and Controller</w:t>
            </w:r>
          </w:p>
        </w:tc>
        <w:tc>
          <w:tcPr>
            <w:tcW w:w="1920" w:type="dxa"/>
            <w:vAlign w:val="bottom"/>
          </w:tcPr>
          <w:p>
            <w:pPr>
              <w:spacing w:after="0"/>
              <w:rPr>
                <w:sz w:val="15"/>
                <w:szCs w:val="15"/>
                <w:color w:val="auto"/>
              </w:rPr>
            </w:pPr>
          </w:p>
        </w:tc>
      </w:tr>
      <w:tr>
        <w:trPr>
          <w:trHeight w:val="230"/>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4"/>
              </w:rPr>
              <w:t>(Principal Accounting Officer)</w:t>
            </w:r>
          </w:p>
        </w:tc>
        <w:tc>
          <w:tcPr>
            <w:tcW w:w="1920" w:type="dxa"/>
            <w:vAlign w:val="bottom"/>
          </w:tcPr>
          <w:p>
            <w:pPr>
              <w:spacing w:after="0"/>
              <w:rPr>
                <w:sz w:val="20"/>
                <w:szCs w:val="20"/>
                <w:color w:val="auto"/>
              </w:rPr>
            </w:pPr>
          </w:p>
        </w:tc>
      </w:tr>
      <w:tr>
        <w:trPr>
          <w:trHeight w:val="283"/>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r>
        <w:trPr>
          <w:trHeight w:val="594"/>
        </w:trPr>
        <w:tc>
          <w:tcPr>
            <w:tcW w:w="416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ind w:left="700"/>
              <w:spacing w:after="0"/>
              <w:rPr>
                <w:sz w:val="20"/>
                <w:szCs w:val="20"/>
                <w:color w:val="auto"/>
              </w:rPr>
            </w:pPr>
            <w:r>
              <w:rPr>
                <w:rFonts w:ascii="Arial" w:cs="Arial" w:eastAsia="Arial" w:hAnsi="Arial"/>
                <w:sz w:val="18"/>
                <w:szCs w:val="18"/>
                <w:color w:val="auto"/>
                <w:w w:val="87"/>
              </w:rPr>
              <w:t>February 2, 2022</w:t>
            </w:r>
          </w:p>
        </w:tc>
      </w:tr>
    </w:tbl>
    <w:p>
      <w:pPr>
        <w:spacing w:after="0" w:line="487" w:lineRule="exact"/>
        <w:rPr>
          <w:sz w:val="20"/>
          <w:szCs w:val="20"/>
          <w:color w:val="auto"/>
        </w:rPr>
      </w:pPr>
    </w:p>
    <w:p>
      <w:pPr>
        <w:sectPr>
          <w:pgSz w:w="11900" w:h="16838" w:orient="portrait"/>
          <w:cols w:equalWidth="0" w:num="2">
            <w:col w:w="3780" w:space="720"/>
            <w:col w:w="67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20" w:type="dxa"/>
            <w:vAlign w:val="bottom"/>
          </w:tcPr>
          <w:p>
            <w:pPr>
              <w:spacing w:after="0"/>
              <w:rPr>
                <w:sz w:val="20"/>
                <w:szCs w:val="20"/>
                <w:color w:val="auto"/>
              </w:rPr>
            </w:pPr>
            <w:r>
              <w:rPr>
                <w:rFonts w:ascii="Arial" w:cs="Arial" w:eastAsia="Arial" w:hAnsi="Arial"/>
                <w:sz w:val="14"/>
                <w:szCs w:val="14"/>
                <w:color w:val="auto"/>
              </w:rPr>
              <w:t>Comcast 2021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104</w:t>
            </w:r>
          </w:p>
        </w:tc>
      </w:tr>
    </w:tbl>
    <w:p>
      <w:pPr>
        <w:sectPr>
          <w:pgSz w:w="11900" w:h="16838" w:orient="portrait"/>
          <w:cols w:equalWidth="0" w:num="1">
            <w:col w:w="11240"/>
          </w:cols>
          <w:pgMar w:left="320" w:top="121" w:right="3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line="225" w:lineRule="auto"/>
        <w:rPr>
          <w:sz w:val="20"/>
          <w:szCs w:val="20"/>
          <w:color w:val="auto"/>
        </w:rPr>
      </w:pPr>
      <w:r>
        <w:rPr>
          <w:rFonts w:ascii="Arial" w:cs="Arial" w:eastAsia="Arial" w:hAnsi="Arial"/>
          <w:sz w:val="22"/>
          <w:szCs w:val="22"/>
          <w:b w:val="1"/>
          <w:bCs w:val="1"/>
          <w:color w:val="auto"/>
        </w:rPr>
        <w:t>DESCRIPTION OF COMCAST CORPORATION’S SECURITIES REGISTERED PURSUANT TO SECTION 12 OF THE SECURITIES EXCHANGE ACT OF 1934</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i w:val="1"/>
          <w:iCs w:val="1"/>
          <w:color w:val="auto"/>
        </w:rPr>
        <w:t>As of December 31, 2021, Comcast Corporation (“Comcast,” the “Company,” “we,” “us” or “our”) had eleven classes of securities registered under Section 12 of the Securities Exchange Act of 1934, as amended (the “Exchange Act”): (1) our common stock, (2) our 2.0% Exchangeable Subordinated Debentures due 2029, (3) our 5.50% Notes due 2029, (4) our 9.455% Guaranteed Notes due 2022, (5) our 0.000% Notes due 2026, (6) our 0.250% Notes due 2027, (7) our 1.500% Notes due 2029,</w:t>
      </w:r>
    </w:p>
    <w:p>
      <w:pPr>
        <w:spacing w:after="0" w:line="1" w:lineRule="exact"/>
        <w:rPr>
          <w:sz w:val="20"/>
          <w:szCs w:val="20"/>
          <w:color w:val="auto"/>
        </w:rPr>
      </w:pPr>
    </w:p>
    <w:p>
      <w:pPr>
        <w:ind w:firstLine="8"/>
        <w:spacing w:after="0" w:line="224" w:lineRule="auto"/>
        <w:tabs>
          <w:tab w:leader="none" w:pos="321" w:val="left"/>
        </w:tabs>
        <w:numPr>
          <w:ilvl w:val="0"/>
          <w:numId w:val="51"/>
        </w:numPr>
        <w:rPr>
          <w:rFonts w:ascii="Arial" w:cs="Arial" w:eastAsia="Arial" w:hAnsi="Arial"/>
          <w:sz w:val="22"/>
          <w:szCs w:val="22"/>
          <w:i w:val="1"/>
          <w:iCs w:val="1"/>
          <w:color w:val="auto"/>
        </w:rPr>
      </w:pPr>
      <w:r>
        <w:rPr>
          <w:rFonts w:ascii="Arial" w:cs="Arial" w:eastAsia="Arial" w:hAnsi="Arial"/>
          <w:sz w:val="22"/>
          <w:szCs w:val="22"/>
          <w:i w:val="1"/>
          <w:iCs w:val="1"/>
          <w:color w:val="auto"/>
        </w:rPr>
        <w:t>our 0.250% Notes due 2029, (9) our 0.750% Notes due 2032, (10) our 1.875% Notes due 2036 and (11) our 1.250% Notes due 2040.</w:t>
      </w:r>
    </w:p>
    <w:p>
      <w:pPr>
        <w:spacing w:after="0" w:line="179" w:lineRule="exact"/>
        <w:rPr>
          <w:sz w:val="20"/>
          <w:szCs w:val="20"/>
          <w:color w:val="auto"/>
        </w:rPr>
      </w:pPr>
    </w:p>
    <w:p>
      <w:pPr>
        <w:ind w:left="480" w:hanging="472"/>
        <w:spacing w:after="0"/>
        <w:tabs>
          <w:tab w:leader="none" w:pos="4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OUR COMMON STOCK</w:t>
      </w:r>
    </w:p>
    <w:p>
      <w:pPr>
        <w:spacing w:after="0" w:line="21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In the following summary, references to the “Company,” “we,” “us” and “our” refer only to Comcast and not any of its subsidiaries. The statements made under this caption include summaries of certain provisions contained in our articles of incorporation and by-laws. This summary does not purport to be complete and is qualified in its entirety by reference to such articles of incorporation and by-laws.</w:t>
      </w:r>
    </w:p>
    <w:p>
      <w:pPr>
        <w:spacing w:after="0" w:line="18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(the “Board”) may issue preferred stock, in one or more series, without par value, with full, limited, multiple, fractional, or no voting rights, and with such designations, preferences, qualifications, privileges, limitations, restrictions, options, conversion rights and other special rights as our Board shall determine.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1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w:t>
      </w:r>
    </w:p>
    <w:p>
      <w:pPr>
        <w:sectPr>
          <w:pgSz w:w="11900" w:h="16838" w:orient="portrait"/>
          <w:cols w:equalWidth="0" w:num="1">
            <w:col w:w="11240"/>
          </w:cols>
          <w:pgMar w:left="320" w:top="98" w:right="339" w:bottom="1440" w:gutter="0" w:footer="0" w:header="0"/>
        </w:sectPr>
      </w:pPr>
    </w:p>
    <w:bookmarkStart w:id="108" w:name="page109"/>
    <w:bookmarkEnd w:id="108"/>
    <w:p>
      <w:pPr>
        <w:jc w:val="both"/>
        <w:spacing w:after="0" w:line="223" w:lineRule="auto"/>
        <w:rPr>
          <w:sz w:val="20"/>
          <w:szCs w:val="20"/>
          <w:color w:val="auto"/>
        </w:rPr>
      </w:pPr>
      <w:r>
        <w:rPr>
          <w:rFonts w:ascii="Arial" w:cs="Arial" w:eastAsia="Arial" w:hAnsi="Arial"/>
          <w:sz w:val="22"/>
          <w:szCs w:val="22"/>
          <w:color w:val="auto"/>
        </w:rPr>
        <w:t>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Rights</w:t>
      </w:r>
    </w:p>
    <w:p>
      <w:pPr>
        <w:spacing w:after="0" w:line="2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Conversion of Class B Common Stock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Class B common stock is convertible share for share into Class A common stock, subject to certain restrictions.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Preference on Liquidation</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Mergers, Consolidations, Etc.</w:t>
      </w:r>
    </w:p>
    <w:p>
      <w:pPr>
        <w:spacing w:after="0" w:line="21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w:t>
      </w:r>
    </w:p>
    <w:p>
      <w:pPr>
        <w:sectPr>
          <w:pgSz w:w="11900" w:h="16838" w:orient="portrait"/>
          <w:cols w:equalWidth="0" w:num="1">
            <w:col w:w="11240"/>
          </w:cols>
          <w:pgMar w:left="320" w:top="1401" w:right="339" w:bottom="1440" w:gutter="0" w:footer="0" w:header="0"/>
        </w:sectPr>
      </w:pPr>
    </w:p>
    <w:bookmarkStart w:id="109" w:name="page110"/>
    <w:bookmarkEnd w:id="109"/>
    <w:p>
      <w:pPr>
        <w:ind w:left="480" w:hanging="472"/>
        <w:spacing w:after="0"/>
        <w:tabs>
          <w:tab w:leader="none" w:pos="4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OUR 2.0% EXCHANGEABLE SUBORDINATED DEBENTURES DUE 2029</w:t>
      </w:r>
    </w:p>
    <w:p>
      <w:pPr>
        <w:spacing w:after="0" w:line="21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The following summary of our 2.0% Exchangeable Subordinated Debentures due 2029 (the “ZONES”) is based on the indenture dated as of June 15, 1999 between Comcast Holdings Corporation (“Comcast Holdings” or the “Issuer”) and Deutsche Bank Trust Company Americas (formerly known as Bankers Trust Company), as Trustee (the “Trustee”) (the “Base Indenture”), as amended by the first supplemental indenture dated as of September 12, 2005 among Comcast Holdings, the Trustee and Comcast (together with the Base Indenture, the “Indenture”). This summary does not purport to be complete and is qualified in its entirety by reference to such Indenture. For the purposes of this summary, references to “we” and “our” refer only to Comcast Holdings.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ZONES are unsecured, subordinated obligations of Comcast Holdings and will mature on November 15, 2029.</w:t>
      </w:r>
    </w:p>
    <w:p>
      <w:pPr>
        <w:spacing w:after="0" w:line="24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Principal, premium, if any, and interest on the ZONES are payable at the office or agency we maintain for such purpose within the City and State of New York or, at our option, payment of interest may be made by check mailed to the holders of the ZONES at their respective addresses set forth in the register of holders of the ZONES, provided that all payments with respect to ZONES, the holders of which have given wire transfer instructions, on or prior to the relevant record date, to the paying agent, are made by wire transfer of immediately available funds to the accounts specified by the holders. Until we otherwise designate, our office or agency in New York will be the office of the trustee maintained for that purpose. The ZONES are issued in denominations of one ZONES and integral multiples thereof.</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21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We make quarterly interest payments in an amount equal to $0.4082 per ZONES, or 2.0% per year of the original principal amount, plus the amount of any quarterly cash dividend paid on the reference shares attributable to each ZONES. Holders of the ZONES are not expected to receive interest attributable to any cash dividend on the reference shares for this payment period because Sprint has never paid a cash dividend on its Sprint PCS stock.</w:t>
      </w:r>
    </w:p>
    <w:p>
      <w:pPr>
        <w:spacing w:after="0" w:line="188"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Interest on the ZONES accrues from the issue date of the ZONES. We pay this interest quarterly in arrears on February 15, May 15, August 15 and November 15 of each year, beginning February 15, 2000, but subject to our right to defer quarterly payments of interest.</w:t>
      </w:r>
    </w:p>
    <w:p>
      <w:pPr>
        <w:spacing w:after="0" w:line="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We also distribute, as additional interest on the ZONES, any property, including cash (other than any quarterly cash dividend), distributed on or with respect to the reference shares (other than publicly traded equity securities, which will themselves become reference shares). If the additional interest on the reference shares includes publicly traded securities (other than equity securities), we will distribute those securities. We will not, however, distribute fractional units of securities. We will pay cash instead of distributing the fractional units. Otherwise, we will distribute the fair market value of any property comprising additional interest as determined in good faith by our board of directors. We will distribute any additional interest to holders of the ZONES on the 20th business day after it is distributed on the reference shares. The record date for any distribution of additional interest is the 10th business day after the date any cash or property is distributed on the reference shares.</w:t>
      </w:r>
    </w:p>
    <w:p>
      <w:pPr>
        <w:spacing w:after="0" w:line="18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extraordinary dividends on the reference shares are paid, the contingent principal amount will be reduced on a quarterly basis to the extent necessary so that the yield to the date of computation (including all interest payments other than those attributable to regular periodic cash</w:t>
      </w:r>
    </w:p>
    <w:p>
      <w:pPr>
        <w:sectPr>
          <w:pgSz w:w="11900" w:h="16838" w:orient="portrait"/>
          <w:cols w:equalWidth="0" w:num="1">
            <w:col w:w="11240"/>
          </w:cols>
          <w:pgMar w:left="320" w:top="1395" w:right="339" w:bottom="1440" w:gutter="0" w:footer="0" w:header="0"/>
        </w:sectPr>
      </w:pPr>
    </w:p>
    <w:bookmarkStart w:id="110" w:name="page111"/>
    <w:bookmarkEnd w:id="110"/>
    <w:p>
      <w:pPr>
        <w:jc w:val="both"/>
        <w:spacing w:after="0" w:line="232" w:lineRule="auto"/>
        <w:rPr>
          <w:sz w:val="20"/>
          <w:szCs w:val="20"/>
          <w:color w:val="auto"/>
        </w:rPr>
      </w:pPr>
      <w:r>
        <w:rPr>
          <w:rFonts w:ascii="Arial" w:cs="Arial" w:eastAsia="Arial" w:hAnsi="Arial"/>
          <w:sz w:val="22"/>
          <w:szCs w:val="22"/>
          <w:color w:val="auto"/>
        </w:rPr>
        <w:t>dividends) does not exceed 2.0%. In no event will the contingent principal amount be less than zero. Changes in the contingent principal amount will not affect the amount of the quarterly interest payments.</w:t>
      </w:r>
    </w:p>
    <w:p>
      <w:pPr>
        <w:spacing w:after="0" w:line="18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The City of New York are authorized or obligated by law or regulation to close.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Deferral of interest payments</w:t>
      </w:r>
    </w:p>
    <w:p>
      <w:pPr>
        <w:spacing w:after="0" w:line="212"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If no event of default has occurred and is continuing under the ZONES, we can, on one or more occasions, defer quarterly interest payments on the ZONES for up to 20 consecutive quarterly periods. If we terminate a deferral period and subsequently elect to defer quarterly interest payments, we will again be subject to the 20 consecutive quarterly period limitation.</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We will not, however, be subject to the 20 consecutive quarterly period limitation on deferral if, as a result of a tender offer, an exchange offer, a business combination or otherwise, all reference shares cease to be outstanding, and we subsequently elect to defer quarterly payments of interest on the ZONES.</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Any deferral of interest payments cannot extend, however, beyond the maturity date of the ZONES. We can never defer distributions of additional interest.</w:t>
      </w:r>
    </w:p>
    <w:p>
      <w:pPr>
        <w:spacing w:after="0" w:line="1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If we defer quarterly payments of interest, the contingent principal amount of the ZONES will increase by the amount of the deferred quarterly payments of interest, plus accrued interest thereon at an annual rate of 2.0%, compounded quarterly, and the early exchange ratio will be 100% for the quarter following each deferral of a payment of quarterly interest. Once we have paid all deferred quarterly interest, plus accrued interest thereon, together with the quarterly interest payment for the current quarterly interest payment period, the contingent principal amount will reduce by the amount of that payment of deferred quarterly interest plus accrued interest thereon, the early exchange ratio will decrease to 95% and we can again defer quarterly interest payments as described above. Instead of accruing cash interest on the ZONES during a quarterly deferral period, so long as the current market value of the reference shares exceeds the original principal amount of the ZONES, we may at our option, but are not obligated to, increase the number of reference shares attributable to each ZONES by an annual rate of 2.0%. If we elect to make this increase, we will be deemed current on that quarterly payment of interest and will not increase the contingent principal amount, although the early exchange ratio will remain at 100% only for the five business days immediately following the scheduled quarterly interest payment date related to the deferral. After that five 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we elect to defer interest on the ZONES in any particular quarter, we will give the trustee notice. We will also prepare a press release and provide it to DTC for dissemination through the DTC broadcast facility. We will give this notice one business day before the earlier of:</w:t>
      </w:r>
    </w:p>
    <w:p>
      <w:pPr>
        <w:spacing w:after="0" w:line="159" w:lineRule="exact"/>
        <w:rPr>
          <w:sz w:val="20"/>
          <w:szCs w:val="20"/>
          <w:color w:val="auto"/>
        </w:rPr>
      </w:pPr>
    </w:p>
    <w:p>
      <w:pPr>
        <w:ind w:left="1300" w:hanging="320"/>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record date for the next date that interest on the ZONES is payable; or</w:t>
      </w:r>
    </w:p>
    <w:p>
      <w:pPr>
        <w:sectPr>
          <w:pgSz w:w="11900" w:h="16838" w:orient="portrait"/>
          <w:cols w:equalWidth="0" w:num="1">
            <w:col w:w="11240"/>
          </w:cols>
          <w:pgMar w:left="320" w:top="1401" w:right="339" w:bottom="1440" w:gutter="0" w:footer="0" w:header="0"/>
        </w:sectPr>
      </w:pPr>
    </w:p>
    <w:bookmarkStart w:id="111" w:name="page112"/>
    <w:bookmarkEnd w:id="111"/>
    <w:p>
      <w:pPr>
        <w:ind w:left="1300" w:right="380" w:hanging="320"/>
        <w:spacing w:after="0" w:line="298" w:lineRule="auto"/>
        <w:tabs>
          <w:tab w:leader="none" w:pos="1295"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date we are required to give notice to the NYSE (or any other applicable self-regulatory organization) or to holders of the ZONES of the record date or the date any quarterly interest payment is payable.</w:t>
      </w:r>
    </w:p>
    <w:p>
      <w:pPr>
        <w:spacing w:after="0" w:line="10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amount</w:t>
      </w:r>
    </w:p>
    <w:p>
      <w:pPr>
        <w:spacing w:after="0" w:line="21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The original principal amount per ZONES is equal to its initial purchase price, or $81.6325. The minimum amount payable upon redemption or maturity of a ZONES (which we refer to as the contingent principal amount) will initially be equal to the original principal amount. If an “extraordinary dividend” is ever paid on the reference shares, the contingent principal amount will be reduced on a quarterly basis to the extent necessary so that the yield to the date of computation (including all quarterly interest payments other than those attributable to regular periodic cash dividends) does not exceed a 2.0% annual yield. In no event will the contingent principal amount be less than zero.</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An “extraordinary dividend” means a dividend or distribution consisting of cash or any other property (other than additional reference shares), except for regular periodic cash dividends.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At maturity, holders will be entitled to receive the higher of (a) the contingent principal amount of the ZONES or (b) the sum of the current market value of the reference shares on the maturity date plus any deferred quarterly payments of interest (including any accrued interest thereon), plus, in each case, the final period distribution.</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final period distribution</w:t>
      </w:r>
      <w:r>
        <w:rPr>
          <w:rFonts w:ascii="Arial" w:cs="Arial" w:eastAsia="Arial" w:hAnsi="Arial"/>
          <w:sz w:val="19"/>
          <w:szCs w:val="19"/>
          <w:color w:val="auto"/>
        </w:rPr>
        <w:t>” means, in respect of (a) the maturity date, a distribution determined in accordance with clauses (2), (3) and (4) below, and (b) the redemption date, a distribution determined in accordance with clauses (1), (2), (3) and</w:t>
      </w:r>
    </w:p>
    <w:p>
      <w:pPr>
        <w:ind w:left="320" w:hanging="312"/>
        <w:spacing w:after="0" w:line="237" w:lineRule="auto"/>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below. If the redemption date is in connection with a rollover offering, the distribution determined in accordance with clause</w:t>
      </w:r>
    </w:p>
    <w:p>
      <w:pPr>
        <w:ind w:right="20" w:firstLine="8"/>
        <w:spacing w:after="0" w:line="224" w:lineRule="auto"/>
        <w:tabs>
          <w:tab w:leader="none" w:pos="332" w:val="left"/>
        </w:tabs>
        <w:numPr>
          <w:ilvl w:val="0"/>
          <w:numId w:val="57"/>
        </w:numPr>
        <w:rPr>
          <w:rFonts w:ascii="Arial" w:cs="Arial" w:eastAsia="Arial" w:hAnsi="Arial"/>
          <w:sz w:val="22"/>
          <w:szCs w:val="22"/>
          <w:color w:val="auto"/>
        </w:rPr>
      </w:pPr>
      <w:r>
        <w:rPr>
          <w:rFonts w:ascii="Arial" w:cs="Arial" w:eastAsia="Arial" w:hAnsi="Arial"/>
          <w:sz w:val="22"/>
          <w:szCs w:val="22"/>
          <w:color w:val="auto"/>
        </w:rPr>
        <w:t>shall be all dividends and distributions on or in respect of the reference shares which a holder of reference shares on the pricing date (defined below) would be entitled to receive.</w:t>
      </w:r>
    </w:p>
    <w:p>
      <w:pPr>
        <w:spacing w:after="0" w:line="157" w:lineRule="exact"/>
        <w:rPr>
          <w:rFonts w:ascii="Arial" w:cs="Arial" w:eastAsia="Arial" w:hAnsi="Arial"/>
          <w:sz w:val="22"/>
          <w:szCs w:val="22"/>
          <w:color w:val="auto"/>
        </w:rPr>
      </w:pPr>
    </w:p>
    <w:p>
      <w:pPr>
        <w:ind w:left="1300" w:right="60" w:hanging="320"/>
        <w:spacing w:after="0" w:line="218" w:lineRule="auto"/>
        <w:tabs>
          <w:tab w:leader="none" w:pos="1295" w:val="left"/>
        </w:tabs>
        <w:numPr>
          <w:ilvl w:val="1"/>
          <w:numId w:val="57"/>
        </w:numPr>
        <w:rPr>
          <w:rFonts w:ascii="Arial" w:cs="Arial" w:eastAsia="Arial" w:hAnsi="Arial"/>
          <w:sz w:val="22"/>
          <w:szCs w:val="22"/>
          <w:color w:val="auto"/>
        </w:rPr>
      </w:pPr>
      <w:r>
        <w:rPr>
          <w:rFonts w:ascii="Arial" w:cs="Arial" w:eastAsia="Arial" w:hAnsi="Arial"/>
          <w:sz w:val="22"/>
          <w:szCs w:val="22"/>
          <w:color w:val="auto"/>
        </w:rPr>
        <w:t>Unless (a) the scheduled redemption date of the ZONES is also a scheduled quarterly interest payment date or (b) quarterly interest has been deferred for the then current quarterly dividend period, an amount equal to an annual rate of 2.0% on the original principal amount of the ZONES from the most recent scheduled interest payment date to the date of redemption, plus</w:t>
      </w:r>
    </w:p>
    <w:p>
      <w:pPr>
        <w:spacing w:after="0" w:line="160" w:lineRule="exact"/>
        <w:rPr>
          <w:rFonts w:ascii="Arial" w:cs="Arial" w:eastAsia="Arial" w:hAnsi="Arial"/>
          <w:sz w:val="22"/>
          <w:szCs w:val="22"/>
          <w:color w:val="auto"/>
        </w:rPr>
      </w:pPr>
    </w:p>
    <w:p>
      <w:pPr>
        <w:ind w:left="1300" w:right="560" w:hanging="320"/>
        <w:spacing w:after="0" w:line="257" w:lineRule="auto"/>
        <w:tabs>
          <w:tab w:leader="none" w:pos="1295" w:val="left"/>
        </w:tabs>
        <w:numPr>
          <w:ilvl w:val="1"/>
          <w:numId w:val="57"/>
        </w:numPr>
        <w:rPr>
          <w:rFonts w:ascii="Arial" w:cs="Arial" w:eastAsia="Arial" w:hAnsi="Arial"/>
          <w:sz w:val="19"/>
          <w:szCs w:val="19"/>
          <w:color w:val="auto"/>
        </w:rPr>
      </w:pPr>
      <w:r>
        <w:rPr>
          <w:rFonts w:ascii="Arial" w:cs="Arial" w:eastAsia="Arial" w:hAnsi="Arial"/>
          <w:sz w:val="19"/>
          <w:szCs w:val="19"/>
          <w:color w:val="auto"/>
        </w:rPr>
        <w:t>all dividends and distributions on or in respect of the reference shares declared by the applicable reference company and for which the ex- date for the dividend or distribution falls during the period from the date of original issuance of the ZONES to the most recent scheduled interest payment date and which have not been distributed to holders of reference shares prior to the most recent scheduled interest payment date, plus</w:t>
      </w:r>
    </w:p>
    <w:p>
      <w:pPr>
        <w:sectPr>
          <w:pgSz w:w="11900" w:h="16838" w:orient="portrait"/>
          <w:cols w:equalWidth="0" w:num="1">
            <w:col w:w="11240"/>
          </w:cols>
          <w:pgMar w:left="320" w:top="1401" w:right="339" w:bottom="1440" w:gutter="0" w:footer="0" w:header="0"/>
        </w:sectPr>
      </w:pPr>
    </w:p>
    <w:bookmarkStart w:id="112" w:name="page113"/>
    <w:bookmarkEnd w:id="112"/>
    <w:p>
      <w:pPr>
        <w:jc w:val="both"/>
        <w:ind w:left="1300" w:right="260" w:hanging="320"/>
        <w:spacing w:after="0" w:line="223" w:lineRule="auto"/>
        <w:tabs>
          <w:tab w:leader="none" w:pos="1295" w:val="left"/>
        </w:tabs>
        <w:numPr>
          <w:ilvl w:val="0"/>
          <w:numId w:val="58"/>
        </w:numPr>
        <w:rPr>
          <w:rFonts w:ascii="Arial" w:cs="Arial" w:eastAsia="Arial" w:hAnsi="Arial"/>
          <w:sz w:val="22"/>
          <w:szCs w:val="22"/>
          <w:color w:val="auto"/>
        </w:rPr>
      </w:pPr>
      <w:r>
        <w:rPr>
          <w:rFonts w:ascii="Arial" w:cs="Arial" w:eastAsia="Arial" w:hAnsi="Arial"/>
          <w:sz w:val="22"/>
          <w:szCs w:val="22"/>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158" w:lineRule="exact"/>
        <w:rPr>
          <w:rFonts w:ascii="Arial" w:cs="Arial" w:eastAsia="Arial" w:hAnsi="Arial"/>
          <w:sz w:val="22"/>
          <w:szCs w:val="22"/>
          <w:color w:val="auto"/>
        </w:rPr>
      </w:pPr>
    </w:p>
    <w:p>
      <w:pPr>
        <w:ind w:left="1300" w:right="40" w:hanging="320"/>
        <w:spacing w:after="0" w:line="298" w:lineRule="auto"/>
        <w:tabs>
          <w:tab w:leader="none" w:pos="1295"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 x (1 - 0.05n)</w:t>
      </w:r>
    </w:p>
    <w:p>
      <w:pPr>
        <w:ind w:left="660"/>
        <w:spacing w:after="0"/>
        <w:rPr>
          <w:sz w:val="20"/>
          <w:szCs w:val="20"/>
          <w:color w:val="auto"/>
        </w:rPr>
      </w:pPr>
      <w:r>
        <w:rPr>
          <w:rFonts w:ascii="Arial" w:cs="Arial" w:eastAsia="Arial" w:hAnsi="Arial"/>
          <w:sz w:val="22"/>
          <w:szCs w:val="22"/>
          <w:color w:val="auto"/>
        </w:rPr>
        <w:t>where:</w:t>
      </w:r>
    </w:p>
    <w:p>
      <w:pPr>
        <w:spacing w:after="0" w:line="188" w:lineRule="exact"/>
        <w:rPr>
          <w:sz w:val="20"/>
          <w:szCs w:val="20"/>
          <w:color w:val="auto"/>
        </w:rPr>
      </w:pPr>
    </w:p>
    <w:p>
      <w:pPr>
        <w:jc w:val="both"/>
        <w:ind w:left="1300" w:right="220" w:hanging="404"/>
        <w:spacing w:after="0" w:line="268" w:lineRule="auto"/>
        <w:rPr>
          <w:sz w:val="20"/>
          <w:szCs w:val="20"/>
          <w:color w:val="auto"/>
        </w:rPr>
      </w:pPr>
      <w:r>
        <w:rPr>
          <w:rFonts w:ascii="Arial" w:cs="Arial" w:eastAsia="Arial" w:hAnsi="Arial"/>
          <w:sz w:val="19"/>
          <w:szCs w:val="19"/>
          <w:color w:val="auto"/>
        </w:rPr>
        <w:t>E = all dividends and distributions on or in respect of the reference shares which a holder of reference shares on the applicable day would be entitled to receive, provided that an ex- date that occurs on a day that is not a scheduled trading day shall be deemed to have occurred on the immediately preceding scheduled trading day; and</w:t>
      </w:r>
    </w:p>
    <w:p>
      <w:pPr>
        <w:spacing w:after="0" w:line="132" w:lineRule="exact"/>
        <w:rPr>
          <w:sz w:val="20"/>
          <w:szCs w:val="20"/>
          <w:color w:val="auto"/>
        </w:rPr>
      </w:pPr>
    </w:p>
    <w:p>
      <w:pPr>
        <w:ind w:left="1300" w:right="360" w:hanging="404"/>
        <w:spacing w:after="0" w:line="232" w:lineRule="auto"/>
        <w:rPr>
          <w:sz w:val="20"/>
          <w:szCs w:val="20"/>
          <w:color w:val="auto"/>
        </w:rPr>
      </w:pPr>
      <w:r>
        <w:rPr>
          <w:rFonts w:ascii="Arial" w:cs="Arial" w:eastAsia="Arial" w:hAnsi="Arial"/>
          <w:sz w:val="22"/>
          <w:szCs w:val="22"/>
          <w:color w:val="auto"/>
        </w:rPr>
        <w:t>n = the number of scheduled trading days that have elapsed in the averaging period with the first trading day of the averaging period being counted as zero.</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A holder of the ZONES is only entitled to receive distributions determined in accordance with clauses (2), (3) or (4) to the extent actually distributed by the applicable reference company. Amounts calculated with respect to cash amounts paid by the applicable reference company on reference shares as described in clauses (2), (3) or (4) before the redemption date or the maturity date, as the case may be, will be paid on the redemption date or the maturity date, as the case may be. Amounts calculated with respect to all other property distributed, or the cash value of the property, will be distributed within 20 business days after it is distributed on the reference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option</w:t>
      </w:r>
    </w:p>
    <w:p>
      <w:pPr>
        <w:spacing w:after="0" w:line="21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At any time or from time to time, holders of the ZONES may exchange the ZONES for an amount of cash equal to 95% (which we refer to as the early exchange ratio) of the exchange market value of the reference shares attributable to each ZONES. The early exchange ratio will be equal to (a) 95% of the exchange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We will pay the amount due upon exchange as soon as reasonably practicable after delivery of an exchange notice to the trustee, but in no event earlier than three trading days after the date of the notice or later than ten trading days after the date of the notice.</w:t>
      </w:r>
    </w:p>
    <w:p>
      <w:pPr>
        <w:spacing w:after="0" w:line="18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 “exchange market value” means the closing price (as defined below) on the trading day (as defined below) following the date of delivery of an exchange notice to the trustee, unless more than 500,000 ZONES have been delivered for exchange on that date. If more than 500,000 ZONES have been delivered for exchange, then the exchange market value shall be the average closing price on the five trading days following that date.</w:t>
      </w:r>
    </w:p>
    <w:p>
      <w:pPr>
        <w:spacing w:after="0" w:line="18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more than 500,000 ZONES are delivered for exchange on any one day, we will give the trustee notice. We will also issue a press release prior to 9:00 a.m., New York City time, on the next trading day, and provide it to DTC for dissemination through the DTC broadcast facility.</w:t>
      </w:r>
    </w:p>
    <w:p>
      <w:pPr>
        <w:sectPr>
          <w:pgSz w:w="11900" w:h="16838" w:orient="portrait"/>
          <w:cols w:equalWidth="0" w:num="1">
            <w:col w:w="11240"/>
          </w:cols>
          <w:pgMar w:left="320" w:top="1401" w:right="3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Our failure to provide these notices, however, will not affect the determination of exchange market value as described above.</w:t>
      </w:r>
    </w:p>
    <w:p>
      <w:pPr>
        <w:spacing w:after="0" w:line="24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So long as the ZONES are held through DTC, a holder may exercise his or her exchange right through the relevant direct participant in the DTC ATOP system. If the ZONES are held in certificated form, such holder may exercise his or her exchange right as follows:</w:t>
      </w:r>
    </w:p>
    <w:p>
      <w:pPr>
        <w:spacing w:after="0" w:line="159" w:lineRule="exact"/>
        <w:rPr>
          <w:sz w:val="20"/>
          <w:szCs w:val="20"/>
          <w:color w:val="auto"/>
        </w:rPr>
      </w:pPr>
    </w:p>
    <w:p>
      <w:pPr>
        <w:ind w:left="1300" w:right="20" w:hanging="320"/>
        <w:spacing w:after="0" w:line="232" w:lineRule="auto"/>
        <w:tabs>
          <w:tab w:leader="none" w:pos="1295" w:val="left"/>
        </w:tabs>
        <w:numPr>
          <w:ilvl w:val="0"/>
          <w:numId w:val="59"/>
        </w:numPr>
        <w:rPr>
          <w:rFonts w:ascii="Arial" w:cs="Arial" w:eastAsia="Arial" w:hAnsi="Arial"/>
          <w:sz w:val="22"/>
          <w:szCs w:val="22"/>
          <w:color w:val="auto"/>
        </w:rPr>
      </w:pPr>
      <w:r>
        <w:rPr>
          <w:rFonts w:ascii="Arial" w:cs="Arial" w:eastAsia="Arial" w:hAnsi="Arial"/>
          <w:sz w:val="22"/>
          <w:szCs w:val="22"/>
          <w:color w:val="auto"/>
        </w:rPr>
        <w:t>complete and manually sign an exchange notice in the form available from the trustee and deliver this notice to the trustee at the office maintained by the trustee for this purpose;</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surrender the ZONES to the trustee;</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required, furnish appropriate endorsement and transfer documents; and</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required, pay all transfer or similar taxes.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Pursuant to the Indenture, the date on which all of the foregoing requirements have been satisfied is the redemption date with respect to the ZONES delivered for exchange.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w:t>
      </w:r>
    </w:p>
    <w:p>
      <w:pPr>
        <w:spacing w:after="0" w:line="212"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We may redeem at any time all but not some of the ZONES at a redemption price equal to the sum of the higher of the contingent principal amount of the ZONES or the sum of the current market value of the reference shares plus any deferred quarterly payments of interest, plus, in either case, the final period distribution.</w:t>
      </w:r>
    </w:p>
    <w:p>
      <w:pPr>
        <w:spacing w:after="0" w:line="18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i w:val="1"/>
          <w:iCs w:val="1"/>
          <w:color w:val="auto"/>
        </w:rPr>
        <w:t>current market value</w:t>
      </w:r>
      <w:r>
        <w:rPr>
          <w:rFonts w:ascii="Arial" w:cs="Arial" w:eastAsia="Arial" w:hAnsi="Arial"/>
          <w:sz w:val="21"/>
          <w:szCs w:val="21"/>
          <w:color w:val="auto"/>
        </w:rPr>
        <w:t>” (other than in the case of a rollover offering, which is described below) is defined as the average closing price per reference share on the 20 trading days (which we refer to as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rollover offering</w:t>
      </w:r>
      <w:r>
        <w:rPr>
          <w:rFonts w:ascii="Arial" w:cs="Arial" w:eastAsia="Arial" w:hAnsi="Arial"/>
          <w:sz w:val="19"/>
          <w:szCs w:val="19"/>
          <w:color w:val="auto"/>
        </w:rPr>
        <w:t>” means a refinancing by us of the ZONES by way of either (a) a sale of the reference shares or (b) a sale of securities that are priced by reference to the reference shares, in either case, by means of a completed public offering or offerings by us (which may include one or more exchange offers) and which is expected to yield net proceeds which are sufficient to pay the redemption amount for all of the ZONES. The trustee will notify holders if we elect to redeem their ZONES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w:t>
      </w:r>
    </w:p>
    <w:p>
      <w:pPr>
        <w:sectPr>
          <w:pgSz w:w="11900" w:h="16838" w:orient="portrait"/>
          <w:cols w:equalWidth="0" w:num="1">
            <w:col w:w="11240"/>
          </w:cols>
          <w:pgMar w:left="320" w:top="1401" w:right="339" w:bottom="1440" w:gutter="0" w:footer="0" w:header="0"/>
        </w:sectPr>
      </w:pPr>
    </w:p>
    <w:bookmarkStart w:id="114" w:name="page115"/>
    <w:bookmarkEnd w:id="114"/>
    <w:p>
      <w:pPr>
        <w:jc w:val="both"/>
        <w:spacing w:after="0" w:line="223" w:lineRule="auto"/>
        <w:rPr>
          <w:sz w:val="20"/>
          <w:szCs w:val="20"/>
          <w:color w:val="auto"/>
        </w:rPr>
      </w:pPr>
      <w:r>
        <w:rPr>
          <w:rFonts w:ascii="Arial" w:cs="Arial" w:eastAsia="Arial" w:hAnsi="Arial"/>
          <w:sz w:val="22"/>
          <w:szCs w:val="22"/>
          <w:color w:val="auto"/>
        </w:rPr>
        <w:t>for the reference shares by which the current market value will be measured will be the closing price on the trading date immediately preceding the pricing date or the closing price on the pricing date. We will provide that press release to DTC for dissemination through the DTC broadcast facility.</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closing price</w:t>
      </w:r>
      <w:r>
        <w:rPr>
          <w:rFonts w:ascii="Arial" w:cs="Arial" w:eastAsia="Arial" w:hAnsi="Arial"/>
          <w:sz w:val="19"/>
          <w:szCs w:val="19"/>
          <w:color w:val="auto"/>
        </w:rPr>
        <w:t>”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pacing w:after="0" w:line="19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trading day</w:t>
      </w:r>
      <w:r>
        <w:rPr>
          <w:rFonts w:ascii="Arial" w:cs="Arial" w:eastAsia="Arial" w:hAnsi="Arial"/>
          <w:sz w:val="22"/>
          <w:szCs w:val="22"/>
          <w:color w:val="auto"/>
        </w:rPr>
        <w:t>”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w:t>
      </w:r>
    </w:p>
    <w:p>
      <w:pPr>
        <w:spacing w:after="0" w:line="18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In addition, if at any time on or prior to January 30, 2000, a “</w:t>
      </w:r>
      <w:r>
        <w:rPr>
          <w:rFonts w:ascii="Arial" w:cs="Arial" w:eastAsia="Arial" w:hAnsi="Arial"/>
          <w:sz w:val="22"/>
          <w:szCs w:val="22"/>
          <w:b w:val="1"/>
          <w:bCs w:val="1"/>
          <w:i w:val="1"/>
          <w:iCs w:val="1"/>
          <w:color w:val="auto"/>
        </w:rPr>
        <w:t>tax event</w:t>
      </w:r>
      <w:r>
        <w:rPr>
          <w:rFonts w:ascii="Arial" w:cs="Arial" w:eastAsia="Arial" w:hAnsi="Arial"/>
          <w:sz w:val="22"/>
          <w:szCs w:val="22"/>
          <w:color w:val="auto"/>
        </w:rPr>
        <w:t>” shall occur and be continuing, we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tax event</w:t>
      </w:r>
      <w:r>
        <w:rPr>
          <w:rFonts w:ascii="Arial" w:cs="Arial" w:eastAsia="Arial" w:hAnsi="Arial"/>
          <w:sz w:val="19"/>
          <w:szCs w:val="19"/>
          <w:color w:val="auto"/>
        </w:rPr>
        <w: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this prospectus supplement (a “change in tax law”), there is the creation by such change in tax law of a substantial risk that, as a result of entrance into the ZONES, we will be treated for purposes of Section 1259 of the Internal Revenue Code as having constructively sold some or all of our Sprint PCS Stock.</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We will give holders 30 business days’ notice before the redemption of the ZONES (in the case of a redemption not pursuant to a “tax event”) and will irrevocably deposit with the trustee sufficient funds to pay the redemption amount. Distributions to be paid on or before the redemption date of the ZONES will be payable to the holders on the record dates for the related dates of distribution.</w:t>
      </w:r>
    </w:p>
    <w:p>
      <w:pPr>
        <w:sectPr>
          <w:pgSz w:w="11900" w:h="16838" w:orient="portrait"/>
          <w:cols w:equalWidth="0" w:num="1">
            <w:col w:w="11240"/>
          </w:cols>
          <w:pgMar w:left="320" w:top="1401" w:right="339" w:bottom="1440" w:gutter="0" w:footer="0" w:header="0"/>
        </w:sectPr>
      </w:pPr>
    </w:p>
    <w:bookmarkStart w:id="115" w:name="page116"/>
    <w:bookmarkEnd w:id="115"/>
    <w:p>
      <w:pPr>
        <w:jc w:val="both"/>
        <w:ind w:firstLine="648"/>
        <w:spacing w:after="0" w:line="218" w:lineRule="auto"/>
        <w:rPr>
          <w:sz w:val="20"/>
          <w:szCs w:val="20"/>
          <w:color w:val="auto"/>
        </w:rPr>
      </w:pPr>
      <w:r>
        <w:rPr>
          <w:rFonts w:ascii="Arial" w:cs="Arial" w:eastAsia="Arial" w:hAnsi="Arial"/>
          <w:sz w:val="22"/>
          <w:szCs w:val="22"/>
          <w:color w:val="auto"/>
        </w:rPr>
        <w:t>Once notice of redemption is given and funds are irrevocably deposited, interest on the ZONES will cease to accrue on and after the date of redemption and all rights of the holders of the ZONES will cease, except for the right of the holders to receive the redemption amount (but without interest on that redemption amount), including, if applicable, the final period distribution.</w:t>
      </w:r>
    </w:p>
    <w:p>
      <w:pPr>
        <w:spacing w:after="0" w:line="18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the redemption date is not a business day, then the redemption amount will be payable on the next business day (and without any interest or other payment in respect of that delay). However, if the next business day is in the next calendar year, the redemption amount will be payable on the preceding business day.</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If we improperly withhold or refuse to pay the redemption amount for the ZONES, interest on the ZONES will continue to accrue at an annual rate of 2.0% from the original redemption date to the actual date of payment. In this case, the actual payment date will be considered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In compliance with applicable law (including the United States federal securities laws), we and our affiliates may, at any time, purchase outstanding ZONES by tender, in the open market or by private agreement.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Subordination</w:t>
      </w: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ZONES are unsecured and junior in right of payment to all senior indebtedness (as we define below). This means that no payment of principal, premium (if any) or interest on the ZONES may be made if:</w:t>
      </w:r>
    </w:p>
    <w:p>
      <w:pPr>
        <w:spacing w:after="0" w:line="159" w:lineRule="exact"/>
        <w:rPr>
          <w:sz w:val="20"/>
          <w:szCs w:val="20"/>
          <w:color w:val="auto"/>
        </w:rPr>
      </w:pPr>
    </w:p>
    <w:p>
      <w:pPr>
        <w:ind w:left="1300" w:right="180" w:hanging="320"/>
        <w:spacing w:after="0" w:line="223" w:lineRule="auto"/>
        <w:tabs>
          <w:tab w:leader="none" w:pos="1295"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of our senior indebtedness is not paid when due, any applicable grace period with respect to any default for non-payment of principal, premium, interest or any other payment due on any senior indebtedness has ended and that default has not been cured or waived or ceased to exist; or</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maturity of any senior indebtedness has been accelerated because of a default.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On any distribution of our assets to creditors upon any dissolution, winding-up, liquidation or reorganization, whether voluntary or involuntary or in bankruptcy, insolvency, receivership, reorganization or other similar proceedings, all principal of, premium, if any, interest and any other amounts due or to become due on, all senior indebtedness must be paid in full before the holders of the ZONES are entitled to receive or retain any payment. Because of this subordination, if we dissolve or otherwise liquidate, holders of senior indebtedness may receive more, ratably, and holders of subordinated debt, including the ZONES, may receive less, ratably, than our other creditors. Upon payment in full of the senior indebtedness, the holders of the ZONES will assume rights similar to the holders of senior indebtedness to receive any remaining payments or distributions applicable to senior indebtedness until all amounts owing on the ZONES are paid in full. The ZONES are intended to rank equally with all other existing and future subordinated debt and trade obligations of Comcast Holdings.</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indebtedness</w:t>
      </w:r>
      <w:r>
        <w:rPr>
          <w:rFonts w:ascii="Arial" w:cs="Arial" w:eastAsia="Arial" w:hAnsi="Arial"/>
          <w:sz w:val="22"/>
          <w:szCs w:val="22"/>
          <w:color w:val="auto"/>
        </w:rPr>
        <w:t>” means the principal of, premium, if any, interest on, and any other payment due pursuant to any of the following, whether outstanding today or incurred by us in the future:</w:t>
      </w:r>
    </w:p>
    <w:p>
      <w:pPr>
        <w:spacing w:after="0" w:line="159" w:lineRule="exact"/>
        <w:rPr>
          <w:sz w:val="20"/>
          <w:szCs w:val="20"/>
          <w:color w:val="auto"/>
        </w:rPr>
      </w:pPr>
    </w:p>
    <w:p>
      <w:pPr>
        <w:ind w:left="1300" w:right="580" w:hanging="320"/>
        <w:spacing w:after="0" w:line="232" w:lineRule="auto"/>
        <w:tabs>
          <w:tab w:leader="none" w:pos="1295" w:val="left"/>
        </w:tabs>
        <w:numPr>
          <w:ilvl w:val="0"/>
          <w:numId w:val="61"/>
        </w:numPr>
        <w:rPr>
          <w:rFonts w:ascii="Arial" w:cs="Arial" w:eastAsia="Arial" w:hAnsi="Arial"/>
          <w:sz w:val="22"/>
          <w:szCs w:val="22"/>
          <w:color w:val="auto"/>
        </w:rPr>
      </w:pPr>
      <w:r>
        <w:rPr>
          <w:rFonts w:ascii="Arial" w:cs="Arial" w:eastAsia="Arial" w:hAnsi="Arial"/>
          <w:sz w:val="22"/>
          <w:szCs w:val="22"/>
          <w:color w:val="auto"/>
        </w:rPr>
        <w:t>all of our indebtedness for money borrowed, including any indebtedness secured by a mortgage or other lien which is (1) given to secure all or part of the purchase</w:t>
      </w:r>
    </w:p>
    <w:p>
      <w:pPr>
        <w:sectPr>
          <w:pgSz w:w="11900" w:h="16838" w:orient="portrait"/>
          <w:cols w:equalWidth="0" w:num="1">
            <w:col w:w="11240"/>
          </w:cols>
          <w:pgMar w:left="320" w:top="1401" w:right="339" w:bottom="1440" w:gutter="0" w:footer="0" w:header="0"/>
        </w:sectPr>
      </w:pPr>
    </w:p>
    <w:bookmarkStart w:id="116" w:name="page117"/>
    <w:bookmarkEnd w:id="116"/>
    <w:p>
      <w:pPr>
        <w:ind w:left="1300" w:right="80"/>
        <w:spacing w:after="0" w:line="232" w:lineRule="auto"/>
        <w:rPr>
          <w:sz w:val="20"/>
          <w:szCs w:val="20"/>
          <w:color w:val="auto"/>
        </w:rPr>
      </w:pPr>
      <w:r>
        <w:rPr>
          <w:rFonts w:ascii="Arial" w:cs="Arial" w:eastAsia="Arial" w:hAnsi="Arial"/>
          <w:sz w:val="22"/>
          <w:szCs w:val="22"/>
          <w:color w:val="auto"/>
        </w:rPr>
        <w:t>price of property subject to the mortgage or lien, whether given to the vendor of that property or to another lender, or (2) existing on property at the time we acquire it;</w:t>
      </w:r>
    </w:p>
    <w:p>
      <w:pPr>
        <w:spacing w:after="0" w:line="159" w:lineRule="exact"/>
        <w:rPr>
          <w:sz w:val="20"/>
          <w:szCs w:val="20"/>
          <w:color w:val="auto"/>
        </w:rPr>
      </w:pPr>
    </w:p>
    <w:p>
      <w:pPr>
        <w:ind w:left="1300" w:hanging="320"/>
        <w:spacing w:after="0"/>
        <w:tabs>
          <w:tab w:leader="none" w:pos="13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all of our indebtedness evidenced by notes, debentures, bonds or other securities sold by us for money;</w:t>
      </w:r>
    </w:p>
    <w:p>
      <w:pPr>
        <w:spacing w:after="0" w:line="190" w:lineRule="exact"/>
        <w:rPr>
          <w:rFonts w:ascii="Arial" w:cs="Arial" w:eastAsia="Arial" w:hAnsi="Arial"/>
          <w:sz w:val="21"/>
          <w:szCs w:val="21"/>
          <w:color w:val="auto"/>
        </w:rPr>
      </w:pPr>
    </w:p>
    <w:p>
      <w:pPr>
        <w:ind w:left="1300" w:right="220" w:hanging="320"/>
        <w:spacing w:after="0" w:line="232" w:lineRule="auto"/>
        <w:tabs>
          <w:tab w:leader="none" w:pos="1295"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of our lease obligations which are capitalized on our books in accordance with generally accepted accounting principles;</w:t>
      </w:r>
    </w:p>
    <w:p>
      <w:pPr>
        <w:spacing w:after="0" w:line="158" w:lineRule="exact"/>
        <w:rPr>
          <w:rFonts w:ascii="Arial" w:cs="Arial" w:eastAsia="Arial" w:hAnsi="Arial"/>
          <w:sz w:val="22"/>
          <w:szCs w:val="22"/>
          <w:color w:val="auto"/>
        </w:rPr>
      </w:pPr>
    </w:p>
    <w:p>
      <w:pPr>
        <w:ind w:left="1300" w:right="120" w:hanging="320"/>
        <w:spacing w:after="0" w:line="268" w:lineRule="auto"/>
        <w:tabs>
          <w:tab w:leader="none" w:pos="1295"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132" w:lineRule="exact"/>
        <w:rPr>
          <w:rFonts w:ascii="Arial" w:cs="Arial" w:eastAsia="Arial" w:hAnsi="Arial"/>
          <w:sz w:val="19"/>
          <w:szCs w:val="19"/>
          <w:color w:val="auto"/>
        </w:rPr>
      </w:pPr>
    </w:p>
    <w:p>
      <w:pPr>
        <w:ind w:left="1300" w:right="20" w:hanging="320"/>
        <w:spacing w:after="0" w:line="298" w:lineRule="auto"/>
        <w:tabs>
          <w:tab w:leader="none" w:pos="1295"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0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subordinated debt securities. Our senior debt securities, and any indebtedness outstanding under our senior subordinated debentures indenture dated as of October 17, 1991 between us and Harris Trust and Savings Bank as successor trustee to Morgan Guaranty Trust Company of New York, constitute senior indebtedness for purposes of the Indenture. Senior Indebtedness does not include any indebtedness that is by its terms junior or equal with the ZONES.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ZONES do not limit our ability or that of our subsidiaries to incur additional indebtedness, including indebtedness that ranks senior in priority of payment to the ZONES.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Amount payable upon bankruptcy</w:t>
      </w:r>
    </w:p>
    <w:p>
      <w:pPr>
        <w:spacing w:after="0" w:line="21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Upon dissolution, winding-up, liquidation or reorganization, whether voluntary or involuntary or in bankruptcy, insolvency, receivership or other similar proceedings in respect of Comcast Holdings, holders of the ZONES should be entitled to a claim against us in an amount equal to the higher of (a) the contingent principal amount of the ZONES or (b) the sum of the current market value (without giving effect to the provisions relating to rollover offerings) of the reference shares plus any deferred quarterly payments of interest (including any accrued interest thereon), plus, in either case, the final period distribution determined as if the date of such event was the maturity date of the ZONES.</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Because of the subordination provisions contained in the Indenture, the amount holders actually receive is likely to be substantially less than the amount of their claim.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Dilution adjustments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For purposes of this document, “reference company” means Sprint and any other issuer of a reference share.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reference share</w:t>
      </w:r>
      <w:r>
        <w:rPr>
          <w:rFonts w:ascii="Arial" w:cs="Arial" w:eastAsia="Arial" w:hAnsi="Arial"/>
          <w:sz w:val="22"/>
          <w:szCs w:val="22"/>
          <w:color w:val="auto"/>
        </w:rPr>
        <w:t>” means, collectively:</w:t>
      </w:r>
    </w:p>
    <w:p>
      <w:pPr>
        <w:sectPr>
          <w:pgSz w:w="11900" w:h="16838" w:orient="portrait"/>
          <w:cols w:equalWidth="0" w:num="1">
            <w:col w:w="11240"/>
          </w:cols>
          <w:pgMar w:left="320" w:top="1401" w:right="339" w:bottom="1440" w:gutter="0" w:footer="0" w:header="0"/>
        </w:sectPr>
      </w:pPr>
    </w:p>
    <w:bookmarkStart w:id="117" w:name="page118"/>
    <w:bookmarkEnd w:id="117"/>
    <w:p>
      <w:pPr>
        <w:ind w:left="320" w:hanging="320"/>
        <w:spacing w:after="0"/>
        <w:tabs>
          <w:tab w:leader="none" w:pos="3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initially, one share of Sprint PCS stock; and</w:t>
      </w:r>
    </w:p>
    <w:p>
      <w:pPr>
        <w:spacing w:after="0" w:line="179" w:lineRule="exact"/>
        <w:rPr>
          <w:rFonts w:ascii="Arial" w:cs="Arial" w:eastAsia="Arial" w:hAnsi="Arial"/>
          <w:sz w:val="22"/>
          <w:szCs w:val="22"/>
          <w:color w:val="auto"/>
        </w:rPr>
      </w:pPr>
    </w:p>
    <w:p>
      <w:pPr>
        <w:ind w:left="320" w:hanging="320"/>
        <w:spacing w:after="0" w:line="257" w:lineRule="auto"/>
        <w:tabs>
          <w:tab w:leader="none" w:pos="315" w:val="left"/>
        </w:tabs>
        <w:numPr>
          <w:ilvl w:val="0"/>
          <w:numId w:val="63"/>
        </w:numPr>
        <w:rPr>
          <w:rFonts w:ascii="Arial" w:cs="Arial" w:eastAsia="Arial" w:hAnsi="Arial"/>
          <w:sz w:val="19"/>
          <w:szCs w:val="19"/>
          <w:color w:val="auto"/>
        </w:rPr>
      </w:pPr>
      <w:r>
        <w:rPr>
          <w:rFonts w:ascii="Arial" w:cs="Arial" w:eastAsia="Arial" w:hAnsi="Arial"/>
          <w:sz w:val="19"/>
          <w:szCs w:val="19"/>
          <w:color w:val="auto"/>
        </w:rPr>
        <w:t>after the issuance of the ZONES, each share or fraction of a share of publicly traded equity securities received by a holder of a reference share in respect of that reference share, and, to the extent the reference share remains outstanding after any of the following events but without duplication, including the reference share, in each case directly or as the result of successive applications of this paragraph upon any of the following events:</w:t>
      </w:r>
    </w:p>
    <w:p>
      <w:pPr>
        <w:spacing w:after="0" w:line="144" w:lineRule="exact"/>
        <w:rPr>
          <w:rFonts w:ascii="Arial" w:cs="Arial" w:eastAsia="Arial" w:hAnsi="Arial"/>
          <w:sz w:val="19"/>
          <w:szCs w:val="19"/>
          <w:color w:val="auto"/>
        </w:rPr>
      </w:pPr>
    </w:p>
    <w:p>
      <w:pPr>
        <w:ind w:left="960" w:hanging="312"/>
        <w:spacing w:after="0"/>
        <w:tabs>
          <w:tab w:leader="none" w:pos="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distribution on or in respect of a reference share in reference shares;</w:t>
      </w:r>
    </w:p>
    <w:p>
      <w:pPr>
        <w:spacing w:after="0" w:line="179" w:lineRule="exact"/>
        <w:rPr>
          <w:rFonts w:ascii="Arial" w:cs="Arial" w:eastAsia="Arial" w:hAnsi="Arial"/>
          <w:sz w:val="22"/>
          <w:szCs w:val="22"/>
          <w:color w:val="auto"/>
        </w:rPr>
      </w:pPr>
    </w:p>
    <w:p>
      <w:pPr>
        <w:ind w:left="960" w:hanging="312"/>
        <w:spacing w:after="0"/>
        <w:tabs>
          <w:tab w:leader="none" w:pos="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combination of reference shares into a smaller number of shares or other units;</w:t>
      </w:r>
    </w:p>
    <w:p>
      <w:pPr>
        <w:spacing w:after="0" w:line="179" w:lineRule="exact"/>
        <w:rPr>
          <w:rFonts w:ascii="Arial" w:cs="Arial" w:eastAsia="Arial" w:hAnsi="Arial"/>
          <w:sz w:val="22"/>
          <w:szCs w:val="22"/>
          <w:color w:val="auto"/>
        </w:rPr>
      </w:pPr>
    </w:p>
    <w:p>
      <w:pPr>
        <w:ind w:left="960" w:hanging="312"/>
        <w:spacing w:after="0"/>
        <w:tabs>
          <w:tab w:leader="none" w:pos="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subdivision of outstanding shares or other units of reference shares;</w:t>
      </w:r>
    </w:p>
    <w:p>
      <w:pPr>
        <w:spacing w:after="0" w:line="179" w:lineRule="exact"/>
        <w:rPr>
          <w:rFonts w:ascii="Arial" w:cs="Arial" w:eastAsia="Arial" w:hAnsi="Arial"/>
          <w:sz w:val="22"/>
          <w:szCs w:val="22"/>
          <w:color w:val="auto"/>
        </w:rPr>
      </w:pPr>
    </w:p>
    <w:p>
      <w:pPr>
        <w:ind w:left="960" w:hanging="312"/>
        <w:spacing w:after="0"/>
        <w:tabs>
          <w:tab w:leader="none" w:pos="960"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conversion or reclassification of reference shares by issuance or exchange of other securities;</w:t>
      </w:r>
    </w:p>
    <w:p>
      <w:pPr>
        <w:spacing w:after="0" w:line="190" w:lineRule="exact"/>
        <w:rPr>
          <w:rFonts w:ascii="Arial" w:cs="Arial" w:eastAsia="Arial" w:hAnsi="Arial"/>
          <w:sz w:val="21"/>
          <w:szCs w:val="21"/>
          <w:color w:val="auto"/>
        </w:rPr>
      </w:pPr>
    </w:p>
    <w:p>
      <w:pPr>
        <w:ind w:left="980" w:right="40" w:hanging="332"/>
        <w:spacing w:after="0" w:line="252" w:lineRule="auto"/>
        <w:tabs>
          <w:tab w:leader="none" w:pos="976"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pacing w:after="0" w:line="148" w:lineRule="exact"/>
        <w:rPr>
          <w:rFonts w:ascii="Arial" w:cs="Arial" w:eastAsia="Arial" w:hAnsi="Arial"/>
          <w:sz w:val="19"/>
          <w:szCs w:val="19"/>
          <w:color w:val="auto"/>
        </w:rPr>
      </w:pPr>
    </w:p>
    <w:p>
      <w:pPr>
        <w:ind w:left="980" w:right="300" w:hanging="332"/>
        <w:spacing w:after="0" w:line="252" w:lineRule="auto"/>
        <w:tabs>
          <w:tab w:leader="none" w:pos="976"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w:t>
      </w:r>
    </w:p>
    <w:p>
      <w:pPr>
        <w:spacing w:after="0" w:line="148" w:lineRule="exact"/>
        <w:rPr>
          <w:rFonts w:ascii="Arial" w:cs="Arial" w:eastAsia="Arial" w:hAnsi="Arial"/>
          <w:sz w:val="19"/>
          <w:szCs w:val="19"/>
          <w:color w:val="auto"/>
        </w:rPr>
      </w:pPr>
    </w:p>
    <w:p>
      <w:pPr>
        <w:ind w:left="-320" w:right="160" w:firstLine="968"/>
        <w:spacing w:after="0" w:line="409" w:lineRule="auto"/>
        <w:tabs>
          <w:tab w:leader="none" w:pos="972"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liquidation, dissolution or winding up of the reference company or any reference company successor. For purposes of the foregoing:</w:t>
      </w:r>
    </w:p>
    <w:p>
      <w:pPr>
        <w:spacing w:after="0" w:line="1" w:lineRule="exact"/>
        <w:rPr>
          <w:rFonts w:ascii="Arial" w:cs="Arial" w:eastAsia="Arial" w:hAnsi="Arial"/>
          <w:sz w:val="22"/>
          <w:szCs w:val="22"/>
          <w:color w:val="auto"/>
        </w:rPr>
      </w:pPr>
    </w:p>
    <w:p>
      <w:pPr>
        <w:ind w:left="320" w:right="60" w:hanging="320"/>
        <w:spacing w:after="0" w:line="249" w:lineRule="auto"/>
        <w:tabs>
          <w:tab w:leader="none" w:pos="315"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conversion or redemption by Sprint of all shares of Sprint PCS stock pursuant to Article Sixth, Section 7.1 of its Articles of Incorporation shall be deemed a consolidation or merger, with the Sprint PCS Group deemed to be the reference company, with Sprint deemed to be the reference company successor if Sprint FON stock or any other common stock of Sprint is issued in exchange for the Sprint PCS stock or with the relevant acquiror of the Sprint PCS Group assets deemed to be the reference company successor if common stock other than Sprint FON stock is issued in exchange for the Sprint PCS stock; and</w:t>
      </w:r>
    </w:p>
    <w:p>
      <w:pPr>
        <w:spacing w:after="0" w:line="151" w:lineRule="exact"/>
        <w:rPr>
          <w:rFonts w:ascii="Arial" w:cs="Arial" w:eastAsia="Arial" w:hAnsi="Arial"/>
          <w:sz w:val="19"/>
          <w:szCs w:val="19"/>
          <w:color w:val="auto"/>
        </w:rPr>
      </w:pPr>
    </w:p>
    <w:p>
      <w:pPr>
        <w:ind w:left="320" w:right="120" w:hanging="320"/>
        <w:spacing w:after="0" w:line="223" w:lineRule="auto"/>
        <w:tabs>
          <w:tab w:leader="none" w:pos="315"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redemption by Sprint pursuant to Article Sixth, Section 7.2 of its Articles of Incorporation of all of the outstanding shares of Sprint PCS stock in exchange for common stock of one or more wholly-owned subsidiaries that collectively hold all</w:t>
      </w:r>
    </w:p>
    <w:p>
      <w:pPr>
        <w:sectPr>
          <w:pgSz w:w="11900" w:h="16838" w:orient="portrait"/>
          <w:cols w:equalWidth="0" w:num="1">
            <w:col w:w="10240"/>
          </w:cols>
          <w:pgMar w:left="1300" w:top="1401" w:right="359" w:bottom="1440" w:gutter="0" w:footer="0" w:header="0"/>
        </w:sectPr>
      </w:pPr>
    </w:p>
    <w:bookmarkStart w:id="118" w:name="page119"/>
    <w:bookmarkEnd w:id="118"/>
    <w:p>
      <w:pPr>
        <w:ind w:left="1300" w:right="80"/>
        <w:spacing w:after="0" w:line="232" w:lineRule="auto"/>
        <w:rPr>
          <w:sz w:val="20"/>
          <w:szCs w:val="20"/>
          <w:color w:val="auto"/>
        </w:rPr>
      </w:pPr>
      <w:r>
        <w:rPr>
          <w:rFonts w:ascii="Arial" w:cs="Arial" w:eastAsia="Arial" w:hAnsi="Arial"/>
          <w:sz w:val="22"/>
          <w:szCs w:val="22"/>
          <w:color w:val="auto"/>
        </w:rPr>
        <w:t>of the assets and liabilities attributed to its PCS Group shall be deemed an exchange of shares of Sprint PCS stock for shares of common stock of the relevant subsidiary or subsidiaries.</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As described above under “Interest,” we will pay as additional interest to holders of the ZONES any property received in distribution on a reference share, unless it is also a reference share, in which case it shall become part of a reference share. Upon any distribution of fractional shares or units of securities, other than fractional reference shares, we will pay the holders cash in lieu of distribution of such fractional shares or other units.</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A “</w:t>
      </w:r>
      <w:r>
        <w:rPr>
          <w:rFonts w:ascii="Arial" w:cs="Arial" w:eastAsia="Arial" w:hAnsi="Arial"/>
          <w:sz w:val="21"/>
          <w:szCs w:val="21"/>
          <w:b w:val="1"/>
          <w:bCs w:val="1"/>
          <w:i w:val="1"/>
          <w:iCs w:val="1"/>
          <w:color w:val="auto"/>
        </w:rPr>
        <w:t>reference share offer</w:t>
      </w:r>
      <w:r>
        <w:rPr>
          <w:rFonts w:ascii="Arial" w:cs="Arial" w:eastAsia="Arial" w:hAnsi="Arial"/>
          <w:sz w:val="21"/>
          <w:szCs w:val="21"/>
          <w:color w:val="auto"/>
        </w:rPr>
        <w:t>” means any tender offer or exchange offer made for all or a portion of a class of reference shares of a reference company. A “reference share offer” shall include a conversion or redemption by Sprint of less than all shares of Sprint PCS stock pursuant to Article Sixth, Section 7.1 of its Articles of Incorporation.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 reference share offer is made, we may, at our option, either:</w:t>
      </w:r>
    </w:p>
    <w:p>
      <w:pPr>
        <w:spacing w:after="0" w:line="179" w:lineRule="exact"/>
        <w:rPr>
          <w:sz w:val="20"/>
          <w:szCs w:val="20"/>
          <w:color w:val="auto"/>
        </w:rPr>
      </w:pPr>
    </w:p>
    <w:p>
      <w:pPr>
        <w:ind w:left="1300" w:hanging="320"/>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during the pendency of the offer, increase the early exchange ratio to 100%; or</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make a reference share offer adjustment.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i w:val="1"/>
          <w:iCs w:val="1"/>
          <w:color w:val="auto"/>
        </w:rPr>
        <w:t>reference share offer adjustment</w:t>
      </w:r>
      <w:r>
        <w:rPr>
          <w:rFonts w:ascii="Arial" w:cs="Arial" w:eastAsia="Arial" w:hAnsi="Arial"/>
          <w:sz w:val="22"/>
          <w:szCs w:val="22"/>
          <w:color w:val="auto"/>
        </w:rPr>
        <w: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18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reference share proportionate reduction</w:t>
      </w:r>
      <w:r>
        <w:rPr>
          <w:rFonts w:ascii="Arial" w:cs="Arial" w:eastAsia="Arial" w:hAnsi="Arial"/>
          <w:sz w:val="22"/>
          <w:szCs w:val="22"/>
          <w:color w:val="auto"/>
        </w:rPr>
        <w:t>” means a proportionate reduction in the number of reference shares which are the subject of the applicable reference share offer and attributable to one ZONES calculated in accordance with the following formula:</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ind w:left="660"/>
        <w:spacing w:after="0"/>
        <w:rPr>
          <w:sz w:val="20"/>
          <w:szCs w:val="20"/>
          <w:color w:val="auto"/>
        </w:rPr>
      </w:pPr>
      <w:r>
        <w:rPr>
          <w:rFonts w:ascii="Arial" w:cs="Arial" w:eastAsia="Arial" w:hAnsi="Arial"/>
          <w:sz w:val="22"/>
          <w:szCs w:val="22"/>
          <w:color w:val="auto"/>
        </w:rPr>
        <w:t>R = X / N</w:t>
      </w:r>
    </w:p>
    <w:p>
      <w:pPr>
        <w:spacing w:after="0" w:line="161" w:lineRule="exact"/>
        <w:rPr>
          <w:sz w:val="20"/>
          <w:szCs w:val="20"/>
          <w:color w:val="auto"/>
        </w:rPr>
      </w:pPr>
    </w:p>
    <w:p>
      <w:pPr>
        <w:ind w:left="1300" w:right="100" w:hanging="647"/>
        <w:spacing w:after="0" w:line="232" w:lineRule="auto"/>
        <w:tabs>
          <w:tab w:leader="none" w:pos="1280" w:val="left"/>
        </w:tabs>
        <w:rPr>
          <w:sz w:val="20"/>
          <w:szCs w:val="20"/>
          <w:color w:val="auto"/>
        </w:rPr>
      </w:pPr>
      <w:r>
        <w:rPr>
          <w:rFonts w:ascii="Arial" w:cs="Arial" w:eastAsia="Arial" w:hAnsi="Arial"/>
          <w:sz w:val="22"/>
          <w:szCs w:val="22"/>
          <w:color w:val="auto"/>
        </w:rPr>
        <w:t>R =</w:t>
        <w:tab/>
        <w:t>the fraction by which the number of reference shares of the class of reference shares subject to the reference share offer and attributable to one ZONES will be reduced.</w:t>
      </w:r>
    </w:p>
    <w:p>
      <w:pPr>
        <w:spacing w:after="0" w:line="159" w:lineRule="exact"/>
        <w:rPr>
          <w:sz w:val="20"/>
          <w:szCs w:val="20"/>
          <w:color w:val="auto"/>
        </w:rPr>
      </w:pPr>
    </w:p>
    <w:p>
      <w:pPr>
        <w:ind w:left="1300" w:right="640" w:hanging="647"/>
        <w:spacing w:after="0" w:line="232" w:lineRule="auto"/>
        <w:tabs>
          <w:tab w:leader="none" w:pos="1280" w:val="left"/>
        </w:tabs>
        <w:rPr>
          <w:sz w:val="20"/>
          <w:szCs w:val="20"/>
          <w:color w:val="auto"/>
        </w:rPr>
      </w:pPr>
      <w:r>
        <w:rPr>
          <w:rFonts w:ascii="Arial" w:cs="Arial" w:eastAsia="Arial" w:hAnsi="Arial"/>
          <w:sz w:val="22"/>
          <w:szCs w:val="22"/>
          <w:color w:val="auto"/>
        </w:rPr>
        <w:t>X =</w:t>
        <w:tab/>
        <w:t>the aggregate number of reference shares of the class of reference shares subject to the reference share offer accepted in the reference share offer.</w:t>
      </w:r>
    </w:p>
    <w:p>
      <w:pPr>
        <w:spacing w:after="0" w:line="159" w:lineRule="exact"/>
        <w:rPr>
          <w:sz w:val="20"/>
          <w:szCs w:val="20"/>
          <w:color w:val="auto"/>
        </w:rPr>
      </w:pPr>
    </w:p>
    <w:p>
      <w:pPr>
        <w:ind w:left="1300" w:right="640" w:hanging="647"/>
        <w:spacing w:after="0" w:line="247" w:lineRule="auto"/>
        <w:tabs>
          <w:tab w:leader="none" w:pos="1280" w:val="left"/>
        </w:tabs>
        <w:rPr>
          <w:sz w:val="20"/>
          <w:szCs w:val="20"/>
          <w:color w:val="auto"/>
        </w:rPr>
      </w:pPr>
      <w:r>
        <w:rPr>
          <w:rFonts w:ascii="Arial" w:cs="Arial" w:eastAsia="Arial" w:hAnsi="Arial"/>
          <w:sz w:val="22"/>
          <w:szCs w:val="22"/>
          <w:color w:val="auto"/>
        </w:rPr>
        <w:t>N =</w:t>
      </w:r>
      <w:r>
        <w:rPr>
          <w:sz w:val="20"/>
          <w:szCs w:val="20"/>
          <w:color w:val="auto"/>
        </w:rPr>
        <w:tab/>
      </w:r>
      <w:r>
        <w:rPr>
          <w:rFonts w:ascii="Arial" w:cs="Arial" w:eastAsia="Arial" w:hAnsi="Arial"/>
          <w:sz w:val="21"/>
          <w:szCs w:val="21"/>
          <w:color w:val="auto"/>
        </w:rPr>
        <w:t>the aggregate number of reference shares of the class of reference shares subject to the reference share offer outstanding immediately prior to the expiration of the reference share offer.</w:t>
      </w:r>
    </w:p>
    <w:p>
      <w:pPr>
        <w:spacing w:after="0" w:line="15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If we elect to make a reference share offer adjustment, we will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w:t>
      </w:r>
    </w:p>
    <w:p>
      <w:pPr>
        <w:sectPr>
          <w:pgSz w:w="11900" w:h="16838" w:orient="portrait"/>
          <w:cols w:equalWidth="0" w:num="1">
            <w:col w:w="11240"/>
          </w:cols>
          <w:pgMar w:left="320" w:top="1401" w:right="339" w:bottom="1440" w:gutter="0" w:footer="0" w:header="0"/>
        </w:sectPr>
      </w:pPr>
    </w:p>
    <w:bookmarkStart w:id="119" w:name="page120"/>
    <w:bookmarkEnd w:id="119"/>
    <w:p>
      <w:pPr>
        <w:jc w:val="both"/>
        <w:spacing w:after="0" w:line="232" w:lineRule="auto"/>
        <w:rPr>
          <w:sz w:val="20"/>
          <w:szCs w:val="20"/>
          <w:color w:val="auto"/>
        </w:rPr>
      </w:pPr>
      <w:r>
        <w:rPr>
          <w:rFonts w:ascii="Arial" w:cs="Arial" w:eastAsia="Arial" w:hAnsi="Arial"/>
          <w:sz w:val="22"/>
          <w:szCs w:val="22"/>
          <w:color w:val="auto"/>
        </w:rPr>
        <w:t>reference share offer (other than average transaction consideration that is publicly traded equity securities which will themselves become reference shares as a result of a reference share offer adjustment).</w:t>
      </w:r>
    </w:p>
    <w:p>
      <w:pPr>
        <w:spacing w:after="0" w:line="18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 share offer, or we can continue to elect to make a reference share offer adjustment. We will similarly be entitled to change our election for each further reference share offer made during the pendency of any reference share offer for the same class of reference shares. For the purposes of these adjustments, a material change to the terms of an existing reference share offer will be deemed to be a new reference share offer.</w:t>
      </w:r>
    </w:p>
    <w:p>
      <w:pPr>
        <w:spacing w:after="0" w:line="19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17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Calculations in respect of the ZONES</w:t>
      </w: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We will be responsible for making all calculations called for under the ZONES. These calculations include, but are not limited to, determination of:</w:t>
      </w:r>
    </w:p>
    <w:p>
      <w:pPr>
        <w:spacing w:after="0" w:line="159" w:lineRule="exact"/>
        <w:rPr>
          <w:sz w:val="20"/>
          <w:szCs w:val="20"/>
          <w:color w:val="auto"/>
        </w:rPr>
      </w:pPr>
    </w:p>
    <w:p>
      <w:pPr>
        <w:ind w:left="1300" w:hanging="320"/>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contingent principal amount of the ZONES;</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current market value of the reference shares;</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exchange market value of the reference shares;</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final period distribution on the ZONES;</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cash value of any property distributed on the reference shares;</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average transaction consideration in a reference share offer;</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composition of a reference share; and</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amount of accrued interest payable upon redemption or at maturity of the ZONES.</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We will make all these calculations in good faith and, absent manifest error, our calculations are final and binding on holders of the ZONES. We will provide a schedule of our calculations to the trustee and the trustee is entitled to rely upon the accuracy of our calculations without independent verification.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ectPr>
          <w:pgSz w:w="11900" w:h="16838" w:orient="portrait"/>
          <w:cols w:equalWidth="0" w:num="1">
            <w:col w:w="11240"/>
          </w:cols>
          <w:pgMar w:left="320" w:top="1401" w:right="339" w:bottom="1440" w:gutter="0" w:footer="0" w:header="0"/>
        </w:sectPr>
      </w:pPr>
    </w:p>
    <w:bookmarkStart w:id="120" w:name="page121"/>
    <w:bookmarkEnd w:id="120"/>
    <w:p>
      <w:pPr>
        <w:jc w:val="both"/>
        <w:ind w:firstLine="648"/>
        <w:spacing w:after="0" w:line="223" w:lineRule="auto"/>
        <w:rPr>
          <w:sz w:val="20"/>
          <w:szCs w:val="20"/>
          <w:color w:val="auto"/>
        </w:rPr>
      </w:pPr>
      <w:r>
        <w:rPr>
          <w:rFonts w:ascii="Arial" w:cs="Arial" w:eastAsia="Arial" w:hAnsi="Arial"/>
          <w:sz w:val="22"/>
          <w:szCs w:val="22"/>
          <w:color w:val="auto"/>
        </w:rPr>
        <w:t>Comcast Holdings, when authorized by a resolution of its Board certified to the Trustee, and the Trustee, without consent of holders, may from time to time and at any time enter into an indenture or indentures supplemental hereto for one or more of the following purposes:</w:t>
      </w:r>
    </w:p>
    <w:p>
      <w:pPr>
        <w:spacing w:after="0" w:line="186" w:lineRule="exact"/>
        <w:rPr>
          <w:sz w:val="20"/>
          <w:szCs w:val="20"/>
          <w:color w:val="auto"/>
        </w:rPr>
      </w:pPr>
    </w:p>
    <w:p>
      <w:pPr>
        <w:ind w:firstLine="656"/>
        <w:spacing w:after="0" w:line="232" w:lineRule="auto"/>
        <w:tabs>
          <w:tab w:leader="none" w:pos="954"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evidence the succession of another corporation to the Issuer, or successive successions, and the assumption by the successor corporation of the covenants, agreements and obligations of the Issuer;</w:t>
      </w:r>
    </w:p>
    <w:p>
      <w:pPr>
        <w:spacing w:after="0" w:line="185" w:lineRule="exact"/>
        <w:rPr>
          <w:rFonts w:ascii="Arial" w:cs="Arial" w:eastAsia="Arial" w:hAnsi="Arial"/>
          <w:sz w:val="22"/>
          <w:szCs w:val="22"/>
          <w:color w:val="auto"/>
        </w:rPr>
      </w:pPr>
    </w:p>
    <w:p>
      <w:pPr>
        <w:jc w:val="both"/>
        <w:ind w:firstLine="656"/>
        <w:spacing w:after="0" w:line="216" w:lineRule="auto"/>
        <w:tabs>
          <w:tab w:leader="none" w:pos="974"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the Indenture or under any supplemental indenture as the Board may deem necessary or desirable and which shall not adversely affect the interests of the holders of the ZONES in any material respect;</w:t>
      </w:r>
    </w:p>
    <w:p>
      <w:pPr>
        <w:spacing w:after="0" w:line="184" w:lineRule="exact"/>
        <w:rPr>
          <w:rFonts w:ascii="Arial" w:cs="Arial" w:eastAsia="Arial" w:hAnsi="Arial"/>
          <w:sz w:val="22"/>
          <w:szCs w:val="22"/>
          <w:color w:val="auto"/>
        </w:rPr>
      </w:pPr>
    </w:p>
    <w:p>
      <w:pPr>
        <w:ind w:left="940" w:hanging="284"/>
        <w:spacing w:after="0"/>
        <w:tabs>
          <w:tab w:leader="none" w:pos="9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establish the form or terms of securities of any series as permitted by Sections 2.01 and 2.03 to the Base Indenture;</w:t>
      </w:r>
    </w:p>
    <w:p>
      <w:pPr>
        <w:spacing w:after="0" w:line="240" w:lineRule="exact"/>
        <w:rPr>
          <w:rFonts w:ascii="Arial" w:cs="Arial" w:eastAsia="Arial" w:hAnsi="Arial"/>
          <w:sz w:val="19"/>
          <w:szCs w:val="19"/>
          <w:color w:val="auto"/>
        </w:rPr>
      </w:pPr>
    </w:p>
    <w:p>
      <w:pPr>
        <w:jc w:val="both"/>
        <w:ind w:firstLine="656"/>
        <w:spacing w:after="0" w:line="218" w:lineRule="auto"/>
        <w:tabs>
          <w:tab w:leader="none" w:pos="994"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hereunder by a successor trustee with respect to the ZONES and to add to or change any of the provisions of the Base Indenture as shall be necessary to provide for or facilitate the administration of the trusts hereunder by more than one trustee, pursuant to the requirements of Section 5.10 to the Base Indenture;</w:t>
      </w:r>
    </w:p>
    <w:p>
      <w:pPr>
        <w:spacing w:after="0" w:line="187" w:lineRule="exact"/>
        <w:rPr>
          <w:rFonts w:ascii="Arial" w:cs="Arial" w:eastAsia="Arial" w:hAnsi="Arial"/>
          <w:sz w:val="22"/>
          <w:szCs w:val="22"/>
          <w:color w:val="auto"/>
        </w:rPr>
      </w:pPr>
    </w:p>
    <w:p>
      <w:pPr>
        <w:ind w:left="960" w:hanging="304"/>
        <w:spacing w:after="0"/>
        <w:tabs>
          <w:tab w:leader="none" w:pos="9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comply with any requirements in connection with the qualification of the Indenture under the Trust Indenture Act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1939;</w:t>
      </w:r>
    </w:p>
    <w:p>
      <w:pPr>
        <w:spacing w:after="0" w:line="188" w:lineRule="exact"/>
        <w:rPr>
          <w:rFonts w:ascii="Arial" w:cs="Arial" w:eastAsia="Arial" w:hAnsi="Arial"/>
          <w:sz w:val="19"/>
          <w:szCs w:val="19"/>
          <w:color w:val="auto"/>
        </w:rPr>
      </w:pPr>
    </w:p>
    <w:p>
      <w:pPr>
        <w:ind w:left="920" w:hanging="264"/>
        <w:spacing w:after="0"/>
        <w:tabs>
          <w:tab w:leader="none" w:pos="920" w:val="left"/>
        </w:tabs>
        <w:numPr>
          <w:ilvl w:val="0"/>
          <w:numId w:val="66"/>
        </w:numPr>
        <w:rPr>
          <w:rFonts w:ascii="Arial" w:cs="Arial" w:eastAsia="Arial" w:hAnsi="Arial"/>
          <w:sz w:val="21"/>
          <w:szCs w:val="21"/>
          <w:color w:val="auto"/>
        </w:rPr>
      </w:pPr>
      <w:r>
        <w:rPr>
          <w:rFonts w:ascii="Arial" w:cs="Arial" w:eastAsia="Arial" w:hAnsi="Arial"/>
          <w:sz w:val="21"/>
          <w:szCs w:val="21"/>
          <w:color w:val="auto"/>
        </w:rPr>
        <w:t>to provide for uncertificated or unregistered securities and to make all appropriate changes for such purpose;</w:t>
      </w:r>
    </w:p>
    <w:p>
      <w:pPr>
        <w:spacing w:after="0" w:line="217" w:lineRule="exact"/>
        <w:rPr>
          <w:rFonts w:ascii="Arial" w:cs="Arial" w:eastAsia="Arial" w:hAnsi="Arial"/>
          <w:sz w:val="21"/>
          <w:szCs w:val="21"/>
          <w:color w:val="auto"/>
        </w:rPr>
      </w:pPr>
    </w:p>
    <w:p>
      <w:pPr>
        <w:ind w:left="960" w:hanging="304"/>
        <w:spacing w:after="0"/>
        <w:tabs>
          <w:tab w:leader="none" w:pos="9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w:t>
      </w:r>
    </w:p>
    <w:p>
      <w:pPr>
        <w:spacing w:after="0" w:line="206" w:lineRule="exact"/>
        <w:rPr>
          <w:rFonts w:ascii="Arial" w:cs="Arial" w:eastAsia="Arial" w:hAnsi="Arial"/>
          <w:sz w:val="22"/>
          <w:szCs w:val="22"/>
          <w:color w:val="auto"/>
        </w:rPr>
      </w:pPr>
    </w:p>
    <w:p>
      <w:pPr>
        <w:ind w:firstLine="656"/>
        <w:spacing w:after="0" w:line="232" w:lineRule="auto"/>
        <w:tabs>
          <w:tab w:leader="none" w:pos="978" w:val="left"/>
        </w:tabs>
        <w:numPr>
          <w:ilvl w:val="0"/>
          <w:numId w:val="66"/>
        </w:numPr>
        <w:rPr>
          <w:rFonts w:ascii="Arial" w:cs="Arial" w:eastAsia="Arial" w:hAnsi="Arial"/>
          <w:sz w:val="22"/>
          <w:szCs w:val="22"/>
          <w:color w:val="auto"/>
        </w:rPr>
      </w:pPr>
      <w:r>
        <w:rPr>
          <w:rFonts w:ascii="Arial" w:cs="Arial" w:eastAsia="Arial" w:hAnsi="Arial"/>
          <w:sz w:val="22"/>
          <w:szCs w:val="22"/>
          <w:color w:val="auto"/>
        </w:rPr>
        <w:t>as provided by or pursuant to a board resolution or indenture supplemental hereto establishing the terms of one or more series of ZONES;</w:t>
      </w:r>
    </w:p>
    <w:p>
      <w:pPr>
        <w:spacing w:after="0" w:line="185" w:lineRule="exact"/>
        <w:rPr>
          <w:rFonts w:ascii="Arial" w:cs="Arial" w:eastAsia="Arial" w:hAnsi="Arial"/>
          <w:sz w:val="22"/>
          <w:szCs w:val="22"/>
          <w:color w:val="auto"/>
        </w:rPr>
      </w:pPr>
    </w:p>
    <w:p>
      <w:pPr>
        <w:jc w:val="both"/>
        <w:ind w:firstLine="656"/>
        <w:spacing w:after="0" w:line="246" w:lineRule="auto"/>
        <w:tabs>
          <w:tab w:leader="none" w:pos="939"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add to the covenants of the Issuer such new covenants, restrictions, conditions or provisions as its Board shall consider to be for the protection of the holders of ZONES,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ZONES to waive such an Event of Default; or</w:t>
      </w:r>
    </w:p>
    <w:p>
      <w:pPr>
        <w:spacing w:after="0" w:line="179" w:lineRule="exact"/>
        <w:rPr>
          <w:rFonts w:ascii="Arial" w:cs="Arial" w:eastAsia="Arial" w:hAnsi="Arial"/>
          <w:sz w:val="19"/>
          <w:szCs w:val="19"/>
          <w:color w:val="auto"/>
        </w:rPr>
      </w:pPr>
    </w:p>
    <w:p>
      <w:pPr>
        <w:ind w:left="920" w:hanging="264"/>
        <w:spacing w:after="0"/>
        <w:tabs>
          <w:tab w:leader="none" w:pos="9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make any change so long as no ZONES are outstanding.</w:t>
      </w:r>
    </w:p>
    <w:p>
      <w:pPr>
        <w:spacing w:after="0" w:line="20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With the consent of the holders of not less than a majority in aggregate principal amount of the ZONES at the time outstanding of all series affected by such supplemental indenture (voting as one class), the Issuer, when authorized by a resolution of its Board, and the Trustee may, from time to time and at any time, enter into an indenture or indentures supplemental hereto for the purpose of adding any provisions to or changing in any manner or eliminating any of the</w:t>
      </w:r>
    </w:p>
    <w:p>
      <w:pPr>
        <w:sectPr>
          <w:pgSz w:w="11900" w:h="16838" w:orient="portrait"/>
          <w:cols w:equalWidth="0" w:num="1">
            <w:col w:w="11240"/>
          </w:cols>
          <w:pgMar w:left="320" w:top="1401" w:right="33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color w:val="auto"/>
        </w:rPr>
        <w:t>provisions of the Indenture or of any supplemental indenture or of modifying in any manner the rights of the holders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ZONES; provided, that no such supplemental indenture shall without the consent of each holder affected thereby:</w:t>
      </w:r>
    </w:p>
    <w:p>
      <w:pPr>
        <w:spacing w:after="0" w:line="188"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change the stated maturity of the principal of, or any sinking fund obligation or any installment of interest on the</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ZONES;</w:t>
      </w:r>
    </w:p>
    <w:p>
      <w:pPr>
        <w:spacing w:after="0" w:line="188" w:lineRule="exact"/>
        <w:rPr>
          <w:rFonts w:ascii="Arial" w:cs="Arial" w:eastAsia="Arial" w:hAnsi="Arial"/>
          <w:sz w:val="19"/>
          <w:szCs w:val="19"/>
          <w:color w:val="auto"/>
        </w:rPr>
      </w:pPr>
    </w:p>
    <w:p>
      <w:pPr>
        <w:ind w:left="960" w:hanging="304"/>
        <w:spacing w:after="0"/>
        <w:tabs>
          <w:tab w:leader="none" w:pos="9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reduce the principal thereof or the rate of interest thereon, or any premium payable with respect thereto;</w:t>
      </w:r>
    </w:p>
    <w:p>
      <w:pPr>
        <w:spacing w:after="0" w:line="206" w:lineRule="exact"/>
        <w:rPr>
          <w:rFonts w:ascii="Arial" w:cs="Arial" w:eastAsia="Arial" w:hAnsi="Arial"/>
          <w:sz w:val="22"/>
          <w:szCs w:val="22"/>
          <w:color w:val="auto"/>
        </w:rPr>
      </w:pPr>
    </w:p>
    <w:p>
      <w:pPr>
        <w:ind w:left="660" w:hanging="4"/>
        <w:spacing w:after="0" w:line="232" w:lineRule="auto"/>
        <w:tabs>
          <w:tab w:leader="none" w:pos="964" w:val="left"/>
        </w:tabs>
        <w:numPr>
          <w:ilvl w:val="0"/>
          <w:numId w:val="67"/>
        </w:numPr>
        <w:rPr>
          <w:rFonts w:ascii="Arial" w:cs="Arial" w:eastAsia="Arial" w:hAnsi="Arial"/>
          <w:sz w:val="22"/>
          <w:szCs w:val="22"/>
          <w:color w:val="auto"/>
        </w:rPr>
      </w:pPr>
      <w:r>
        <w:rPr>
          <w:rFonts w:ascii="Arial" w:cs="Arial" w:eastAsia="Arial" w:hAnsi="Arial"/>
          <w:sz w:val="22"/>
          <w:szCs w:val="22"/>
          <w:color w:val="auto"/>
        </w:rPr>
        <w:t>change any place of payment where, or the currency in which, any ZONES or any premium or the interest thereon is payable;</w:t>
      </w:r>
    </w:p>
    <w:p>
      <w:pPr>
        <w:spacing w:after="0" w:line="185" w:lineRule="exact"/>
        <w:rPr>
          <w:rFonts w:ascii="Arial" w:cs="Arial" w:eastAsia="Arial" w:hAnsi="Arial"/>
          <w:sz w:val="22"/>
          <w:szCs w:val="22"/>
          <w:color w:val="auto"/>
        </w:rPr>
      </w:pPr>
    </w:p>
    <w:p>
      <w:pPr>
        <w:ind w:left="660" w:hanging="4"/>
        <w:spacing w:after="0" w:line="232" w:lineRule="auto"/>
        <w:tabs>
          <w:tab w:leader="none" w:pos="987" w:val="left"/>
        </w:tabs>
        <w:numPr>
          <w:ilvl w:val="0"/>
          <w:numId w:val="67"/>
        </w:numPr>
        <w:rPr>
          <w:rFonts w:ascii="Arial" w:cs="Arial" w:eastAsia="Arial" w:hAnsi="Arial"/>
          <w:sz w:val="22"/>
          <w:szCs w:val="22"/>
          <w:color w:val="auto"/>
        </w:rPr>
      </w:pPr>
      <w:r>
        <w:rPr>
          <w:rFonts w:ascii="Arial" w:cs="Arial" w:eastAsia="Arial" w:hAnsi="Arial"/>
          <w:sz w:val="22"/>
          <w:szCs w:val="22"/>
          <w:color w:val="auto"/>
        </w:rPr>
        <w:t>change the provisions for calculating the optional redemption price, including the definitions relating thereto; make any change to Section 4.07 or 4.10 to the Base Indenture;</w:t>
      </w:r>
    </w:p>
    <w:p>
      <w:pPr>
        <w:spacing w:after="0" w:line="185" w:lineRule="exact"/>
        <w:rPr>
          <w:rFonts w:ascii="Arial" w:cs="Arial" w:eastAsia="Arial" w:hAnsi="Arial"/>
          <w:sz w:val="22"/>
          <w:szCs w:val="22"/>
          <w:color w:val="auto"/>
        </w:rPr>
      </w:pPr>
    </w:p>
    <w:p>
      <w:pPr>
        <w:jc w:val="both"/>
        <w:ind w:left="660" w:hanging="4"/>
        <w:spacing w:after="0" w:line="223" w:lineRule="auto"/>
        <w:tabs>
          <w:tab w:leader="none" w:pos="9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reduce the percentage in principal amount of outstanding ZONES the consent of whose holders is required for any such supplemental indenture, for any waiver of compliance with any provisions of the Indenture or any defaults and their consequences provided for in the Base Indenture;</w:t>
      </w:r>
    </w:p>
    <w:p>
      <w:pPr>
        <w:spacing w:after="0" w:line="185" w:lineRule="exact"/>
        <w:rPr>
          <w:rFonts w:ascii="Arial" w:cs="Arial" w:eastAsia="Arial" w:hAnsi="Arial"/>
          <w:sz w:val="22"/>
          <w:szCs w:val="22"/>
          <w:color w:val="auto"/>
        </w:rPr>
      </w:pPr>
    </w:p>
    <w:p>
      <w:pPr>
        <w:ind w:left="660" w:hanging="4"/>
        <w:spacing w:after="0" w:line="232" w:lineRule="auto"/>
        <w:tabs>
          <w:tab w:leader="none" w:pos="959"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alter or impair the right to convert any ZONES at the rate and upon the terms provided in Article 13 to the Base Indenture;</w:t>
      </w:r>
    </w:p>
    <w:p>
      <w:pPr>
        <w:spacing w:after="0" w:line="185" w:lineRule="exact"/>
        <w:rPr>
          <w:rFonts w:ascii="Arial" w:cs="Arial" w:eastAsia="Arial" w:hAnsi="Arial"/>
          <w:sz w:val="22"/>
          <w:szCs w:val="22"/>
          <w:color w:val="auto"/>
        </w:rPr>
      </w:pPr>
    </w:p>
    <w:p>
      <w:pPr>
        <w:ind w:left="960" w:hanging="304"/>
        <w:spacing w:after="0"/>
        <w:tabs>
          <w:tab w:leader="none" w:pos="9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waive a default in the payment of principal of or interest on any ZONES;</w:t>
      </w:r>
    </w:p>
    <w:p>
      <w:pPr>
        <w:spacing w:after="0" w:line="206" w:lineRule="exact"/>
        <w:rPr>
          <w:rFonts w:ascii="Arial" w:cs="Arial" w:eastAsia="Arial" w:hAnsi="Arial"/>
          <w:sz w:val="22"/>
          <w:szCs w:val="22"/>
          <w:color w:val="auto"/>
        </w:rPr>
      </w:pPr>
    </w:p>
    <w:p>
      <w:pPr>
        <w:ind w:left="660" w:hanging="4"/>
        <w:spacing w:after="0" w:line="232" w:lineRule="auto"/>
        <w:tabs>
          <w:tab w:leader="none" w:pos="99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adversely affect the rights of such holder under any mandatory redemption or repurchase provision or any right of redemption or repurchase at the option of such holder;</w:t>
      </w:r>
    </w:p>
    <w:p>
      <w:pPr>
        <w:spacing w:after="0" w:line="185" w:lineRule="exact"/>
        <w:rPr>
          <w:rFonts w:ascii="Arial" w:cs="Arial" w:eastAsia="Arial" w:hAnsi="Arial"/>
          <w:sz w:val="22"/>
          <w:szCs w:val="22"/>
          <w:color w:val="auto"/>
        </w:rPr>
      </w:pPr>
    </w:p>
    <w:p>
      <w:pPr>
        <w:jc w:val="both"/>
        <w:ind w:left="660" w:hanging="4"/>
        <w:spacing w:after="0" w:line="223" w:lineRule="auto"/>
        <w:tabs>
          <w:tab w:leader="none" w:pos="950" w:val="left"/>
        </w:tabs>
        <w:numPr>
          <w:ilvl w:val="0"/>
          <w:numId w:val="67"/>
        </w:numPr>
        <w:rPr>
          <w:rFonts w:ascii="Arial" w:cs="Arial" w:eastAsia="Arial" w:hAnsi="Arial"/>
          <w:sz w:val="22"/>
          <w:szCs w:val="22"/>
          <w:color w:val="auto"/>
        </w:rPr>
      </w:pPr>
      <w:r>
        <w:rPr>
          <w:rFonts w:ascii="Arial" w:cs="Arial" w:eastAsia="Arial" w:hAnsi="Arial"/>
          <w:sz w:val="22"/>
          <w:szCs w:val="22"/>
          <w:color w:val="auto"/>
        </w:rPr>
        <w:t>modify any of the provisions of Section 7.02 to the Base Indenture, except to increase any such percentage or to provide that certain other provisions of the Indenture cannot be modified or waived without the consent of the holder of ZONES affected thereby; or</w:t>
      </w:r>
    </w:p>
    <w:p>
      <w:pPr>
        <w:spacing w:after="0" w:line="185" w:lineRule="exact"/>
        <w:rPr>
          <w:rFonts w:ascii="Arial" w:cs="Arial" w:eastAsia="Arial" w:hAnsi="Arial"/>
          <w:sz w:val="22"/>
          <w:szCs w:val="22"/>
          <w:color w:val="auto"/>
        </w:rPr>
      </w:pPr>
    </w:p>
    <w:p>
      <w:pPr>
        <w:ind w:left="660" w:hanging="4"/>
        <w:spacing w:after="0" w:line="232" w:lineRule="auto"/>
        <w:tabs>
          <w:tab w:leader="none" w:pos="935" w:val="left"/>
        </w:tabs>
        <w:numPr>
          <w:ilvl w:val="0"/>
          <w:numId w:val="67"/>
        </w:numPr>
        <w:rPr>
          <w:rFonts w:ascii="Arial" w:cs="Arial" w:eastAsia="Arial" w:hAnsi="Arial"/>
          <w:sz w:val="22"/>
          <w:szCs w:val="22"/>
          <w:color w:val="auto"/>
        </w:rPr>
      </w:pPr>
      <w:r>
        <w:rPr>
          <w:rFonts w:ascii="Arial" w:cs="Arial" w:eastAsia="Arial" w:hAnsi="Arial"/>
          <w:sz w:val="22"/>
          <w:szCs w:val="22"/>
          <w:color w:val="auto"/>
        </w:rPr>
        <w:t>change or waive any provision that, pursuant to a board resolution or indenture supplemental hereto establishing the terms of the ZONES, is prohibited to be so changed or waived.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“Event of Default” means each one of the following events which shall have occurred and be continuing:</w:t>
      </w:r>
    </w:p>
    <w:p>
      <w:pPr>
        <w:spacing w:after="0" w:line="179" w:lineRule="exact"/>
        <w:rPr>
          <w:sz w:val="20"/>
          <w:szCs w:val="20"/>
          <w:color w:val="auto"/>
        </w:rPr>
      </w:pPr>
    </w:p>
    <w:p>
      <w:pPr>
        <w:ind w:left="1300" w:hanging="320"/>
        <w:spacing w:after="0" w:line="232" w:lineRule="auto"/>
        <w:tabs>
          <w:tab w:leader="none" w:pos="1297"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default in the payment of any installment of interest upon any ZONES as and when the same shall become due and payable, and continuance of such default for a period of 30 days;</w:t>
      </w:r>
    </w:p>
    <w:p>
      <w:pPr>
        <w:spacing w:after="0" w:line="158" w:lineRule="exact"/>
        <w:rPr>
          <w:rFonts w:ascii="Arial" w:cs="Arial" w:eastAsia="Arial" w:hAnsi="Arial"/>
          <w:sz w:val="22"/>
          <w:szCs w:val="22"/>
          <w:color w:val="auto"/>
        </w:rPr>
      </w:pPr>
    </w:p>
    <w:p>
      <w:pPr>
        <w:ind w:left="1300" w:right="260" w:hanging="320"/>
        <w:spacing w:after="0" w:line="232" w:lineRule="auto"/>
        <w:tabs>
          <w:tab w:leader="none" w:pos="1295"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default in the payment of all or any part of the principal on any ZONES as and when the same shall become due and payable either at maturity, upon redemption, by declaration or otherwise;</w:t>
      </w:r>
    </w:p>
    <w:p>
      <w:pPr>
        <w:spacing w:after="0" w:line="158" w:lineRule="exact"/>
        <w:rPr>
          <w:rFonts w:ascii="Arial" w:cs="Arial" w:eastAsia="Arial" w:hAnsi="Arial"/>
          <w:sz w:val="22"/>
          <w:szCs w:val="22"/>
          <w:color w:val="auto"/>
        </w:rPr>
      </w:pPr>
    </w:p>
    <w:p>
      <w:pPr>
        <w:ind w:left="1300" w:right="320" w:hanging="320"/>
        <w:spacing w:after="0" w:line="232" w:lineRule="auto"/>
        <w:tabs>
          <w:tab w:leader="none" w:pos="1297"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default in the performance, or breach, of any covenant or warranty of the Issuer in respect of the ZONES (other than a covenant or warranty in respect of the</w:t>
      </w:r>
    </w:p>
    <w:p>
      <w:pPr>
        <w:sectPr>
          <w:pgSz w:w="11900" w:h="16838" w:orient="portrait"/>
          <w:cols w:equalWidth="0" w:num="1">
            <w:col w:w="11240"/>
          </w:cols>
          <w:pgMar w:left="320" w:top="1401" w:right="339" w:bottom="1440" w:gutter="0" w:footer="0" w:header="0"/>
        </w:sectPr>
      </w:pPr>
    </w:p>
    <w:bookmarkStart w:id="122" w:name="page123"/>
    <w:bookmarkEnd w:id="122"/>
    <w:p>
      <w:pPr>
        <w:ind w:left="1300" w:right="20"/>
        <w:spacing w:after="0" w:line="252" w:lineRule="auto"/>
        <w:rPr>
          <w:sz w:val="20"/>
          <w:szCs w:val="20"/>
          <w:color w:val="auto"/>
        </w:rPr>
      </w:pPr>
      <w:r>
        <w:rPr>
          <w:rFonts w:ascii="Arial" w:cs="Arial" w:eastAsia="Arial" w:hAnsi="Arial"/>
          <w:sz w:val="19"/>
          <w:szCs w:val="19"/>
          <w:color w:val="auto"/>
        </w:rPr>
        <w:t>ZONES a default in whose performance or whose breach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ZONES affected thereby, a written notice specifying such default or breach and requiring it to be remedied and stating that such notice is a “Notice of Default” pursuant to the Indenture;</w:t>
      </w:r>
    </w:p>
    <w:p>
      <w:pPr>
        <w:spacing w:after="0" w:line="149" w:lineRule="exact"/>
        <w:rPr>
          <w:sz w:val="20"/>
          <w:szCs w:val="20"/>
          <w:color w:val="auto"/>
        </w:rPr>
      </w:pPr>
    </w:p>
    <w:p>
      <w:pPr>
        <w:ind w:left="1300" w:right="20" w:hanging="320"/>
        <w:spacing w:after="0" w:line="226" w:lineRule="auto"/>
        <w:tabs>
          <w:tab w:leader="none" w:pos="1295" w:val="left"/>
        </w:tabs>
        <w:numPr>
          <w:ilvl w:val="0"/>
          <w:numId w:val="69"/>
        </w:numPr>
        <w:rPr>
          <w:rFonts w:ascii="Arial" w:cs="Arial" w:eastAsia="Arial" w:hAnsi="Arial"/>
          <w:sz w:val="21"/>
          <w:szCs w:val="21"/>
          <w:color w:val="auto"/>
        </w:rPr>
      </w:pPr>
      <w:r>
        <w:rPr>
          <w:rFonts w:ascii="Arial" w:cs="Arial" w:eastAsia="Arial" w:hAnsi="Arial"/>
          <w:sz w:val="21"/>
          <w:szCs w:val="21"/>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any substantial part of its property or ordering the winding up or liquidation of its affairs, and such decree or order shall remain unstayed and in effect for a period of 180 consecutive days;</w:t>
      </w:r>
    </w:p>
    <w:p>
      <w:pPr>
        <w:spacing w:after="0" w:line="159" w:lineRule="exact"/>
        <w:rPr>
          <w:rFonts w:ascii="Arial" w:cs="Arial" w:eastAsia="Arial" w:hAnsi="Arial"/>
          <w:sz w:val="21"/>
          <w:szCs w:val="21"/>
          <w:color w:val="auto"/>
        </w:rPr>
      </w:pPr>
    </w:p>
    <w:p>
      <w:pPr>
        <w:jc w:val="both"/>
        <w:ind w:left="1300" w:hanging="320"/>
        <w:spacing w:after="0" w:line="216" w:lineRule="auto"/>
        <w:tabs>
          <w:tab w:leader="none" w:pos="1297"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157" w:lineRule="exact"/>
        <w:rPr>
          <w:rFonts w:ascii="Arial" w:cs="Arial" w:eastAsia="Arial" w:hAnsi="Arial"/>
          <w:sz w:val="22"/>
          <w:szCs w:val="22"/>
          <w:color w:val="auto"/>
        </w:rPr>
      </w:pPr>
    </w:p>
    <w:p>
      <w:pPr>
        <w:ind w:left="1300" w:hanging="320"/>
        <w:spacing w:after="0" w:line="232" w:lineRule="auto"/>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other Event of Default provided in the supplemental indenture or resolution of the Board under which such ZONES are issued or in the form of security for such series.</w:t>
      </w:r>
    </w:p>
    <w:p>
      <w:pPr>
        <w:spacing w:after="0" w:line="159" w:lineRule="exact"/>
        <w:rPr>
          <w:sz w:val="20"/>
          <w:szCs w:val="20"/>
          <w:color w:val="auto"/>
        </w:rPr>
      </w:pPr>
    </w:p>
    <w:p>
      <w:pPr>
        <w:jc w:val="both"/>
        <w:ind w:firstLine="1026"/>
        <w:spacing w:after="0" w:line="246" w:lineRule="auto"/>
        <w:rPr>
          <w:sz w:val="20"/>
          <w:szCs w:val="20"/>
          <w:color w:val="auto"/>
        </w:rPr>
      </w:pPr>
      <w:r>
        <w:rPr>
          <w:rFonts w:ascii="Arial" w:cs="Arial" w:eastAsia="Arial" w:hAnsi="Arial"/>
          <w:sz w:val="19"/>
          <w:szCs w:val="19"/>
          <w:color w:val="auto"/>
        </w:rPr>
        <w:t>If an Event of Default described in clauses (a), (b), (c), or (f) above occurs and is continuing, then, and in each and every such case, unless the principal of all ZONES shall have already become due and payable, either the Trustee or the holders of not less than 25% in aggregate principal amount of the ZONES then outstanding hereunder (each such series voting as a separate class) by notice in writing to the Issuer (and to the Trustee if given by holders), may declare the entire principal of all ZONES and the interest accrued thereon, if any, to be due and payable immediately, and upon any such declaration the same shall become immediately due and payable. If an Event of Default described in clauses (d) or (e) occurs and is continuing, then the principal amount of all ZONES then outstanding and interest accrued thereon, if any, shall be and become immediately due and payable, without any notice or other action by any holder or the Trustee, to the full extent permitted by applicable law.</w:t>
      </w:r>
    </w:p>
    <w:p>
      <w:pPr>
        <w:spacing w:after="0" w:line="173" w:lineRule="exact"/>
        <w:rPr>
          <w:sz w:val="20"/>
          <w:szCs w:val="20"/>
          <w:color w:val="auto"/>
        </w:rPr>
      </w:pPr>
    </w:p>
    <w:p>
      <w:pPr>
        <w:ind w:left="480" w:hanging="472"/>
        <w:spacing w:after="0"/>
        <w:tabs>
          <w:tab w:leader="none" w:pos="48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OUR 9.455% GUARANTEED NOTES DUE 2022</w:t>
      </w:r>
    </w:p>
    <w:p>
      <w:pPr>
        <w:spacing w:after="0" w:line="21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The following summary of our 9.455% Guaranteed Notes due 2022 (the “2022 Notes”) is based on the indenture dated as of November 14, 2002 between AT&amp;T Broadband Corp., certain guarantors named therein and the Bank of New York (the “Base Indenture”), as amended by the first supplemental indenture dated as of August 31, 2009, the second supplemental indenture dated as of March 27, 2013 and the third supplemental indenture dated as of October 1, 2015 among Comcast Cable Communications, LLC as the obligor (as successor issuer to AT&amp;T Broadband Corp., the “Issuer”), Comcast, NBCUniversal Media, LLC (together with Comcast, the “Guarantors”), and The Bank of New York Mellon (f/k/a The Bank of New York), as trustee (the “Trustee”) (collectively with the Base Indenture, the “Indenture”). This summary does not purport to be complete and is qualified in its entirety by reference to such Indenture. For the purposes of this summary, references to “we” and “our” refer to Comcast Cable Communications, LLC.</w:t>
      </w:r>
    </w:p>
    <w:p>
      <w:pPr>
        <w:sectPr>
          <w:pgSz w:w="11900" w:h="16838" w:orient="portrait"/>
          <w:cols w:equalWidth="0" w:num="1">
            <w:col w:w="11240"/>
          </w:cols>
          <w:pgMar w:left="320" w:top="1401" w:right="339" w:bottom="1440" w:gutter="0" w:footer="0" w:header="0"/>
        </w:sectPr>
      </w:pPr>
    </w:p>
    <w:bookmarkStart w:id="123" w:name="page124"/>
    <w:bookmarkEnd w:id="123"/>
    <w:p>
      <w:pPr>
        <w:jc w:val="both"/>
        <w:ind w:firstLine="648"/>
        <w:spacing w:after="0" w:line="232" w:lineRule="auto"/>
        <w:rPr>
          <w:sz w:val="20"/>
          <w:szCs w:val="20"/>
          <w:color w:val="auto"/>
        </w:rPr>
      </w:pPr>
      <w:r>
        <w:rPr>
          <w:rFonts w:ascii="Arial" w:cs="Arial" w:eastAsia="Arial" w:hAnsi="Arial"/>
          <w:sz w:val="22"/>
          <w:szCs w:val="22"/>
          <w:color w:val="auto"/>
        </w:rPr>
        <w:t>The 2022 Notes are the Issuer’s direct unsecured and unsubordinated obligations and are fully and unconditionally guaranteed by the Guarantors.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Payments</w:t>
      </w:r>
    </w:p>
    <w:p>
      <w:pPr>
        <w:spacing w:after="0" w:line="21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The 2029 Notes bears interest at a rate of 9.455% per annum and the Issuer will pay interest semi-annually in arrears on each May 15 and November 15, commencing May 15, 2003. Interest for the 2022 Notes is computed on the basis of a 360-day year consisting of twelve 30-day months. Interest on the 2022 Notes will accrue from the date of original issuance, or from the most recent interest payment date to which interest has been paid and will be payable semiannually on interest payment dates described of each year.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guarantees will rank equally with all other general unsecured and unsubordinated obligations of the Guarantors.</w:t>
      </w:r>
    </w:p>
    <w:p>
      <w:pPr>
        <w:spacing w:after="0" w:line="24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guarantees will not contain any restrictions on the ability of any of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Optional Redemption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2022 Notes will not be subject to optional redemption by the Issuer.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Mandatory Redemption or Sinking Fund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is no mandatory redemption prior to maturity or sinking fund payments for the 2022 Notes.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Indenture does not limit the amount of debt the Issuer may issue under the Indenture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21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The Indenture does not contain any financial covenants other than those summarized below and does not restrict the Issuer or its subsidiaries from paying dividends or incurring additional debt. In addition, the Indenture does not protect holders of notes issued under it in the event of a highly leveraged transaction or a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Liens Securing Indebtedness</w:t>
      </w:r>
    </w:p>
    <w:p>
      <w:pPr>
        <w:spacing w:after="0" w:line="20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w:t>
      </w:r>
    </w:p>
    <w:p>
      <w:pPr>
        <w:sectPr>
          <w:pgSz w:w="11900" w:h="16838" w:orient="portrait"/>
          <w:cols w:equalWidth="0" w:num="1">
            <w:col w:w="11240"/>
          </w:cols>
          <w:pgMar w:left="320" w:top="1401" w:right="339" w:bottom="1440" w:gutter="0" w:footer="0" w:header="0"/>
        </w:sectPr>
      </w:pPr>
    </w:p>
    <w:bookmarkStart w:id="124" w:name="page125"/>
    <w:bookmarkEnd w:id="124"/>
    <w:p>
      <w:pPr>
        <w:spacing w:after="0" w:line="232" w:lineRule="auto"/>
        <w:rPr>
          <w:sz w:val="20"/>
          <w:szCs w:val="20"/>
          <w:color w:val="auto"/>
        </w:rPr>
      </w:pPr>
      <w:r>
        <w:rPr>
          <w:rFonts w:ascii="Arial" w:cs="Arial" w:eastAsia="Arial" w:hAnsi="Arial"/>
          <w:sz w:val="22"/>
          <w:szCs w:val="22"/>
          <w:color w:val="auto"/>
        </w:rPr>
        <w:t>Issuer secures the outstanding 2022 Notes equally and ratably with (or prior to) all Indebtedness secured by such Lien, so long as such Indebtedness shall be so secured.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Sale and Leaseback Transactions</w:t>
      </w:r>
    </w:p>
    <w:p>
      <w:pPr>
        <w:spacing w:after="0" w:line="206"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Neither the Issuer nor any Guarantor shall enter into any Sale and Leaseback Transaction involving any of such person’s assets, including the Capital Stock of its wholly owned subsidiaries.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restriction in the foregoing paragraph shall not apply to any Sale and Leaseback Transaction if:</w:t>
      </w:r>
    </w:p>
    <w:p>
      <w:pPr>
        <w:spacing w:after="0" w:line="179" w:lineRule="exact"/>
        <w:rPr>
          <w:sz w:val="20"/>
          <w:szCs w:val="20"/>
          <w:color w:val="auto"/>
        </w:rPr>
      </w:pPr>
    </w:p>
    <w:p>
      <w:pPr>
        <w:ind w:left="1300" w:hanging="320"/>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lease is for a period of not in excess of three years, including renewal of rights;</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lease secures or relates to industrial revenue or similar financing;</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transaction is solely between the Issuer and a Guarantor or between or among Guarantors; or</w:t>
      </w:r>
    </w:p>
    <w:p>
      <w:pPr>
        <w:spacing w:after="0" w:line="179" w:lineRule="exact"/>
        <w:rPr>
          <w:rFonts w:ascii="Arial" w:cs="Arial" w:eastAsia="Arial" w:hAnsi="Arial"/>
          <w:sz w:val="22"/>
          <w:szCs w:val="22"/>
          <w:color w:val="auto"/>
        </w:rPr>
      </w:pPr>
    </w:p>
    <w:p>
      <w:pPr>
        <w:ind w:left="1300" w:right="140" w:hanging="320"/>
        <w:spacing w:after="0" w:line="268" w:lineRule="auto"/>
        <w:tabs>
          <w:tab w:leader="none" w:pos="1295"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Issuer or such Guarantor, within 270 days after the sale is completed, applies an amount equal to or greater than (a) the net proceeds of the sale of the assets or part thereof leased or (b) the fair market value of the assets or part thereof leased (as determined in good faith by the Issuer’s Board of Directors) either to:</w:t>
      </w:r>
    </w:p>
    <w:p>
      <w:pPr>
        <w:spacing w:after="0" w:line="132" w:lineRule="exact"/>
        <w:rPr>
          <w:rFonts w:ascii="Arial" w:cs="Arial" w:eastAsia="Arial" w:hAnsi="Arial"/>
          <w:sz w:val="19"/>
          <w:szCs w:val="19"/>
          <w:color w:val="auto"/>
        </w:rPr>
      </w:pPr>
    </w:p>
    <w:p>
      <w:pPr>
        <w:ind w:left="1960" w:right="120" w:hanging="332"/>
        <w:spacing w:after="0" w:line="247" w:lineRule="auto"/>
        <w:tabs>
          <w:tab w:leader="none" w:pos="1956" w:val="left"/>
        </w:tabs>
        <w:numPr>
          <w:ilvl w:val="1"/>
          <w:numId w:val="71"/>
        </w:numPr>
        <w:rPr>
          <w:rFonts w:ascii="Arial" w:cs="Arial" w:eastAsia="Arial" w:hAnsi="Arial"/>
          <w:sz w:val="21"/>
          <w:szCs w:val="21"/>
          <w:color w:val="auto"/>
        </w:rPr>
      </w:pPr>
      <w:r>
        <w:rPr>
          <w:rFonts w:ascii="Arial" w:cs="Arial" w:eastAsia="Arial" w:hAnsi="Arial"/>
          <w:sz w:val="21"/>
          <w:szCs w:val="21"/>
          <w:color w:val="auto"/>
        </w:rPr>
        <w:t>the retirement (or open market purchase) of notes, other long-term Indebtedness of the Issuer ranking on a parity with or senior to the 2022 Notes or long-term Indebtedness of a Guarantor; or</w:t>
      </w:r>
    </w:p>
    <w:p>
      <w:pPr>
        <w:spacing w:after="0" w:line="150" w:lineRule="exact"/>
        <w:rPr>
          <w:rFonts w:ascii="Arial" w:cs="Arial" w:eastAsia="Arial" w:hAnsi="Arial"/>
          <w:sz w:val="21"/>
          <w:szCs w:val="21"/>
          <w:color w:val="auto"/>
        </w:rPr>
      </w:pPr>
    </w:p>
    <w:p>
      <w:pPr>
        <w:ind w:left="1960" w:right="80" w:hanging="332"/>
        <w:spacing w:after="0" w:line="298" w:lineRule="auto"/>
        <w:tabs>
          <w:tab w:leader="none" w:pos="1956"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purchase by the Issuer or any Guarantor of other property, plant or equipment related to the business of the Issuer or any Guarantor having a value at least equal to the value of the assets or part thereof leased.</w:t>
      </w:r>
    </w:p>
    <w:p>
      <w:pPr>
        <w:spacing w:after="0" w:line="10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Capitalized Lease</w:t>
      </w:r>
      <w:r>
        <w:rPr>
          <w:rFonts w:ascii="Arial" w:cs="Arial" w:eastAsia="Arial" w:hAnsi="Arial"/>
          <w:sz w:val="22"/>
          <w:szCs w:val="22"/>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Stock</w:t>
      </w:r>
      <w:r>
        <w:rPr>
          <w:rFonts w:ascii="Arial" w:cs="Arial" w:eastAsia="Arial" w:hAnsi="Arial"/>
          <w:sz w:val="19"/>
          <w:szCs w:val="19"/>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Currency Agreement</w:t>
      </w:r>
      <w:r>
        <w:rPr>
          <w:rFonts w:ascii="Arial" w:cs="Arial" w:eastAsia="Arial" w:hAnsi="Arial"/>
          <w:sz w:val="22"/>
          <w:szCs w:val="22"/>
          <w:color w:val="auto"/>
        </w:rPr>
        <w:t>” means any foreign exchange contract, currency swap agreement, or other similar agreement or arrangement designed to protect against the fluctuation in currency values.</w:t>
      </w:r>
    </w:p>
    <w:p>
      <w:pPr>
        <w:spacing w:after="0" w:line="18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GAAP</w:t>
      </w:r>
      <w:r>
        <w:rPr>
          <w:rFonts w:ascii="Arial" w:cs="Arial" w:eastAsia="Arial" w:hAnsi="Arial"/>
          <w:sz w:val="21"/>
          <w:szCs w:val="21"/>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w:t>
      </w:r>
    </w:p>
    <w:p>
      <w:pPr>
        <w:sectPr>
          <w:pgSz w:w="11900" w:h="16838" w:orient="portrait"/>
          <w:cols w:equalWidth="0" w:num="1">
            <w:col w:w="11240"/>
          </w:cols>
          <w:pgMar w:left="320" w:top="1401" w:right="339" w:bottom="1440" w:gutter="0" w:footer="0" w:header="0"/>
        </w:sectPr>
      </w:pPr>
    </w:p>
    <w:bookmarkStart w:id="125" w:name="page126"/>
    <w:bookmarkEnd w:id="125"/>
    <w:p>
      <w:pPr>
        <w:jc w:val="both"/>
        <w:spacing w:after="0" w:line="232" w:lineRule="auto"/>
        <w:rPr>
          <w:sz w:val="20"/>
          <w:szCs w:val="20"/>
          <w:color w:val="auto"/>
        </w:rPr>
      </w:pPr>
      <w:r>
        <w:rPr>
          <w:rFonts w:ascii="Arial" w:cs="Arial" w:eastAsia="Arial" w:hAnsi="Arial"/>
          <w:sz w:val="22"/>
          <w:szCs w:val="22"/>
          <w:color w:val="auto"/>
        </w:rPr>
        <w:t>segment of the accounting profession. All ratios and computations contained in the Indenture shall be computed in conformity with GAAP applied on a consistent basis.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w:t>
      </w:r>
      <w:r>
        <w:rPr>
          <w:rFonts w:ascii="Arial" w:cs="Arial" w:eastAsia="Arial" w:hAnsi="Arial"/>
          <w:sz w:val="22"/>
          <w:szCs w:val="22"/>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59" w:lineRule="exact"/>
        <w:rPr>
          <w:sz w:val="20"/>
          <w:szCs w:val="20"/>
          <w:color w:val="auto"/>
        </w:rPr>
      </w:pPr>
    </w:p>
    <w:p>
      <w:pPr>
        <w:ind w:left="1300" w:right="60" w:hanging="320"/>
        <w:spacing w:after="0" w:line="218" w:lineRule="auto"/>
        <w:tabs>
          <w:tab w:leader="none" w:pos="129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60" w:lineRule="exact"/>
        <w:rPr>
          <w:rFonts w:ascii="Arial" w:cs="Arial" w:eastAsia="Arial" w:hAnsi="Arial"/>
          <w:sz w:val="22"/>
          <w:szCs w:val="22"/>
          <w:color w:val="auto"/>
        </w:rPr>
      </w:pPr>
    </w:p>
    <w:p>
      <w:pPr>
        <w:ind w:left="1300" w:right="220" w:hanging="320"/>
        <w:spacing w:after="0" w:line="298" w:lineRule="auto"/>
        <w:tabs>
          <w:tab w:leader="none" w:pos="1295" w:val="left"/>
        </w:tabs>
        <w:numPr>
          <w:ilvl w:val="0"/>
          <w:numId w:val="72"/>
        </w:numPr>
        <w:rPr>
          <w:rFonts w:ascii="Arial" w:cs="Arial" w:eastAsia="Arial" w:hAnsi="Arial"/>
          <w:sz w:val="19"/>
          <w:szCs w:val="19"/>
          <w:color w:val="auto"/>
        </w:rPr>
      </w:pPr>
      <w:r>
        <w:rPr>
          <w:rFonts w:ascii="Arial" w:cs="Arial" w:eastAsia="Arial" w:hAnsi="Arial"/>
          <w:sz w:val="19"/>
          <w:szCs w:val="19"/>
          <w:color w:val="auto"/>
        </w:rPr>
        <w:t>entered into for purposes of assuring in any other manner the obligee of such Indebtedness or other obligation of the payment thereof or to protect such obligee against loss in respect thereof (in whole or in part);</w:t>
      </w:r>
    </w:p>
    <w:p>
      <w:pPr>
        <w:spacing w:after="0" w:line="10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provided that the term “Guarantee” shall not include endorsements for collection or deposit in the ordinary course of business. The term “Guarantee” used as a verb has a corresponding meaning.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Indebtedness</w:t>
      </w:r>
      <w:r>
        <w:rPr>
          <w:rFonts w:ascii="Arial" w:cs="Arial" w:eastAsia="Arial" w:hAnsi="Arial"/>
          <w:sz w:val="22"/>
          <w:szCs w:val="22"/>
          <w:color w:val="auto"/>
        </w:rPr>
        <w:t>” means, with respect to any person at any date of determination (without duplication):</w:t>
      </w:r>
    </w:p>
    <w:p>
      <w:pPr>
        <w:spacing w:after="0" w:line="179" w:lineRule="exact"/>
        <w:rPr>
          <w:sz w:val="20"/>
          <w:szCs w:val="20"/>
          <w:color w:val="auto"/>
        </w:rPr>
      </w:pPr>
    </w:p>
    <w:p>
      <w:pPr>
        <w:ind w:left="1300" w:hanging="320"/>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indebtedness of such person for borrowed money;</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obligations of such person evidenced by bonds, debentures, notes, or other similar instruments;</w:t>
      </w:r>
    </w:p>
    <w:p>
      <w:pPr>
        <w:spacing w:after="0" w:line="179" w:lineRule="exact"/>
        <w:rPr>
          <w:rFonts w:ascii="Arial" w:cs="Arial" w:eastAsia="Arial" w:hAnsi="Arial"/>
          <w:sz w:val="22"/>
          <w:szCs w:val="22"/>
          <w:color w:val="auto"/>
        </w:rPr>
      </w:pPr>
    </w:p>
    <w:p>
      <w:pPr>
        <w:ind w:left="1300" w:right="180" w:hanging="320"/>
        <w:spacing w:after="0" w:line="232" w:lineRule="auto"/>
        <w:tabs>
          <w:tab w:leader="none" w:pos="1295"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obligations of such person in respect of letters of credit or other similar instruments (including reimbursement obligations with respect thereto);</w:t>
      </w:r>
    </w:p>
    <w:p>
      <w:pPr>
        <w:spacing w:after="0" w:line="158" w:lineRule="exact"/>
        <w:rPr>
          <w:rFonts w:ascii="Arial" w:cs="Arial" w:eastAsia="Arial" w:hAnsi="Arial"/>
          <w:sz w:val="22"/>
          <w:szCs w:val="22"/>
          <w:color w:val="auto"/>
        </w:rPr>
      </w:pPr>
    </w:p>
    <w:p>
      <w:pPr>
        <w:ind w:left="1300" w:right="100" w:hanging="320"/>
        <w:spacing w:after="0" w:line="247" w:lineRule="auto"/>
        <w:tabs>
          <w:tab w:leader="none" w:pos="1295" w:val="left"/>
        </w:tabs>
        <w:numPr>
          <w:ilvl w:val="0"/>
          <w:numId w:val="73"/>
        </w:numPr>
        <w:rPr>
          <w:rFonts w:ascii="Arial" w:cs="Arial" w:eastAsia="Arial" w:hAnsi="Arial"/>
          <w:sz w:val="21"/>
          <w:szCs w:val="21"/>
          <w:color w:val="auto"/>
        </w:rPr>
      </w:pPr>
      <w:r>
        <w:rPr>
          <w:rFonts w:ascii="Arial" w:cs="Arial" w:eastAsia="Arial" w:hAnsi="Arial"/>
          <w:sz w:val="21"/>
          <w:szCs w:val="21"/>
          <w:color w:val="auto"/>
        </w:rPr>
        <w:t>all obligations of such person to pay the deferred and unpaid purchase price of property or services (but excluding trade accounts payable or accrued liabilities arising in the ordinary course of business);</w:t>
      </w:r>
    </w:p>
    <w:p>
      <w:pPr>
        <w:spacing w:after="0" w:line="150" w:lineRule="exact"/>
        <w:rPr>
          <w:rFonts w:ascii="Arial" w:cs="Arial" w:eastAsia="Arial" w:hAnsi="Arial"/>
          <w:sz w:val="21"/>
          <w:szCs w:val="21"/>
          <w:color w:val="auto"/>
        </w:rPr>
      </w:pPr>
    </w:p>
    <w:p>
      <w:pPr>
        <w:ind w:left="1300" w:hanging="320"/>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obligations of such person as lessee under Capitalized Leases;</w:t>
      </w:r>
    </w:p>
    <w:p>
      <w:pPr>
        <w:spacing w:after="0" w:line="179" w:lineRule="exact"/>
        <w:rPr>
          <w:rFonts w:ascii="Arial" w:cs="Arial" w:eastAsia="Arial" w:hAnsi="Arial"/>
          <w:sz w:val="22"/>
          <w:szCs w:val="22"/>
          <w:color w:val="auto"/>
        </w:rPr>
      </w:pPr>
    </w:p>
    <w:p>
      <w:pPr>
        <w:ind w:left="1300" w:right="100" w:hanging="320"/>
        <w:spacing w:after="0" w:line="298" w:lineRule="auto"/>
        <w:tabs>
          <w:tab w:leader="none" w:pos="1295" w:val="left"/>
        </w:tabs>
        <w:numPr>
          <w:ilvl w:val="0"/>
          <w:numId w:val="73"/>
        </w:numPr>
        <w:rPr>
          <w:rFonts w:ascii="Arial" w:cs="Arial" w:eastAsia="Arial" w:hAnsi="Arial"/>
          <w:sz w:val="19"/>
          <w:szCs w:val="19"/>
          <w:color w:val="auto"/>
        </w:rPr>
      </w:pPr>
      <w:r>
        <w:rPr>
          <w:rFonts w:ascii="Arial" w:cs="Arial" w:eastAsia="Arial" w:hAnsi="Arial"/>
          <w:sz w:val="19"/>
          <w:szCs w:val="19"/>
          <w:color w:val="auto"/>
        </w:rPr>
        <w:t>all Indebtedness of other persons secured by a Lien on any asset of such person, whether or not such Indebtedness is assumed by such person; provided that the amount of such Indebtedness shall be the lesser of:</w:t>
      </w:r>
    </w:p>
    <w:p>
      <w:pPr>
        <w:spacing w:after="0" w:line="105" w:lineRule="exact"/>
        <w:rPr>
          <w:rFonts w:ascii="Arial" w:cs="Arial" w:eastAsia="Arial" w:hAnsi="Arial"/>
          <w:sz w:val="19"/>
          <w:szCs w:val="19"/>
          <w:color w:val="auto"/>
        </w:rPr>
      </w:pPr>
    </w:p>
    <w:p>
      <w:pPr>
        <w:ind w:left="1940" w:hanging="312"/>
        <w:spacing w:after="0"/>
        <w:tabs>
          <w:tab w:leader="none" w:pos="194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fair market value of such asset at such date of determination; and</w:t>
      </w:r>
    </w:p>
    <w:p>
      <w:pPr>
        <w:spacing w:after="0" w:line="179" w:lineRule="exact"/>
        <w:rPr>
          <w:rFonts w:ascii="Arial" w:cs="Arial" w:eastAsia="Arial" w:hAnsi="Arial"/>
          <w:sz w:val="22"/>
          <w:szCs w:val="22"/>
          <w:color w:val="auto"/>
        </w:rPr>
      </w:pPr>
    </w:p>
    <w:p>
      <w:pPr>
        <w:ind w:left="1940" w:hanging="312"/>
        <w:spacing w:after="0"/>
        <w:tabs>
          <w:tab w:leader="none" w:pos="194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amount of such Indebtedness;</w:t>
      </w:r>
    </w:p>
    <w:p>
      <w:pPr>
        <w:spacing w:after="0" w:line="179" w:lineRule="exact"/>
        <w:rPr>
          <w:rFonts w:ascii="Arial" w:cs="Arial" w:eastAsia="Arial" w:hAnsi="Arial"/>
          <w:sz w:val="22"/>
          <w:szCs w:val="22"/>
          <w:color w:val="auto"/>
        </w:rPr>
      </w:pPr>
    </w:p>
    <w:p>
      <w:pPr>
        <w:ind w:left="1300" w:right="420" w:hanging="320"/>
        <w:spacing w:after="0" w:line="232" w:lineRule="auto"/>
        <w:tabs>
          <w:tab w:leader="none" w:pos="1295"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Indebtedness of other persons Guaranteed by such person to the extent such Indebtedness is Guaranteed by such person; and</w:t>
      </w:r>
    </w:p>
    <w:p>
      <w:pPr>
        <w:spacing w:after="0" w:line="158" w:lineRule="exact"/>
        <w:rPr>
          <w:rFonts w:ascii="Arial" w:cs="Arial" w:eastAsia="Arial" w:hAnsi="Arial"/>
          <w:sz w:val="22"/>
          <w:szCs w:val="22"/>
          <w:color w:val="auto"/>
        </w:rPr>
      </w:pPr>
    </w:p>
    <w:p>
      <w:pPr>
        <w:ind w:left="1300" w:right="280" w:hanging="320"/>
        <w:spacing w:after="0" w:line="232" w:lineRule="auto"/>
        <w:tabs>
          <w:tab w:leader="none" w:pos="129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to the extent not otherwise included in this definition, obligations under Currency Agreements and Interest Rate Agreements.</w:t>
      </w:r>
    </w:p>
    <w:p>
      <w:pPr>
        <w:sectPr>
          <w:pgSz w:w="11900" w:h="16838" w:orient="portrait"/>
          <w:cols w:equalWidth="0" w:num="1">
            <w:col w:w="11240"/>
          </w:cols>
          <w:pgMar w:left="320" w:top="1401" w:right="339" w:bottom="1440" w:gutter="0" w:footer="0" w:header="0"/>
        </w:sectPr>
      </w:pPr>
    </w:p>
    <w:bookmarkStart w:id="126" w:name="page127"/>
    <w:bookmarkEnd w:id="126"/>
    <w:p>
      <w:pPr>
        <w:jc w:val="both"/>
        <w:ind w:firstLine="648"/>
        <w:spacing w:after="0" w:line="223" w:lineRule="auto"/>
        <w:rPr>
          <w:sz w:val="20"/>
          <w:szCs w:val="20"/>
          <w:color w:val="auto"/>
        </w:rPr>
      </w:pPr>
      <w:r>
        <w:rPr>
          <w:rFonts w:ascii="Arial" w:cs="Arial" w:eastAsia="Arial" w:hAnsi="Arial"/>
          <w:sz w:val="22"/>
          <w:szCs w:val="22"/>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59" w:lineRule="exact"/>
        <w:rPr>
          <w:sz w:val="20"/>
          <w:szCs w:val="20"/>
          <w:color w:val="auto"/>
        </w:rPr>
      </w:pPr>
    </w:p>
    <w:p>
      <w:pPr>
        <w:jc w:val="both"/>
        <w:ind w:left="1300" w:right="60" w:hanging="320"/>
        <w:spacing w:after="0" w:line="223" w:lineRule="auto"/>
        <w:tabs>
          <w:tab w:leader="none" w:pos="1295"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that Indebtedness shall not include any liability for federal, state, local, or other taxes.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Rate Agreements</w:t>
      </w:r>
      <w:r>
        <w:rPr>
          <w:rFonts w:ascii="Arial" w:cs="Arial" w:eastAsia="Arial" w:hAnsi="Arial"/>
          <w:sz w:val="19"/>
          <w:szCs w:val="19"/>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8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means:</w:t>
      </w:r>
    </w:p>
    <w:p>
      <w:pPr>
        <w:spacing w:after="0" w:line="179" w:lineRule="exact"/>
        <w:rPr>
          <w:sz w:val="20"/>
          <w:szCs w:val="20"/>
          <w:color w:val="auto"/>
        </w:rPr>
      </w:pPr>
    </w:p>
    <w:p>
      <w:pPr>
        <w:ind w:left="1300" w:hanging="320"/>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Lien on any asset incurred prior to the date of the Indenture;</w:t>
      </w:r>
    </w:p>
    <w:p>
      <w:pPr>
        <w:spacing w:after="0" w:line="179" w:lineRule="exact"/>
        <w:rPr>
          <w:rFonts w:ascii="Arial" w:cs="Arial" w:eastAsia="Arial" w:hAnsi="Arial"/>
          <w:sz w:val="22"/>
          <w:szCs w:val="22"/>
          <w:color w:val="auto"/>
        </w:rPr>
      </w:pPr>
    </w:p>
    <w:p>
      <w:pPr>
        <w:ind w:left="1300" w:hanging="320"/>
        <w:spacing w:after="0" w:line="214" w:lineRule="auto"/>
        <w:tabs>
          <w:tab w:leader="none" w:pos="1295"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 Lien shall attach only to the assets so acquired;</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Lien on any assets in favor of the Issuer or any Guarantor;</w:t>
      </w:r>
    </w:p>
    <w:p>
      <w:pPr>
        <w:spacing w:after="0" w:line="179" w:lineRule="exact"/>
        <w:rPr>
          <w:rFonts w:ascii="Arial" w:cs="Arial" w:eastAsia="Arial" w:hAnsi="Arial"/>
          <w:sz w:val="22"/>
          <w:szCs w:val="22"/>
          <w:color w:val="auto"/>
        </w:rPr>
      </w:pPr>
    </w:p>
    <w:p>
      <w:pPr>
        <w:ind w:left="1300" w:right="300" w:hanging="320"/>
        <w:spacing w:after="0" w:line="232" w:lineRule="auto"/>
        <w:tabs>
          <w:tab w:leader="none" w:pos="1295"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Lien on assets incurred in connection with the issuance of tax-exempt governmental obligations (including, without limitation, industrial revenue bonds and similar financing);</w:t>
      </w:r>
    </w:p>
    <w:p>
      <w:pPr>
        <w:spacing w:after="0" w:line="158" w:lineRule="exact"/>
        <w:rPr>
          <w:rFonts w:ascii="Arial" w:cs="Arial" w:eastAsia="Arial" w:hAnsi="Arial"/>
          <w:sz w:val="22"/>
          <w:szCs w:val="22"/>
          <w:color w:val="auto"/>
        </w:rPr>
      </w:pPr>
    </w:p>
    <w:p>
      <w:pPr>
        <w:ind w:left="1300" w:right="900" w:hanging="320"/>
        <w:spacing w:after="0" w:line="298" w:lineRule="auto"/>
        <w:tabs>
          <w:tab w:leader="none" w:pos="1295"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Lien granted by any Guarantor on assets to the extent limitations on the incurrence of such Liens are prohibited by any agreement to which such Guarantor is subject as of the date of the Indenture; and</w:t>
      </w:r>
    </w:p>
    <w:p>
      <w:pPr>
        <w:sectPr>
          <w:pgSz w:w="11900" w:h="16838" w:orient="portrait"/>
          <w:cols w:equalWidth="0" w:num="1">
            <w:col w:w="11240"/>
          </w:cols>
          <w:pgMar w:left="320" w:top="1401" w:right="339" w:bottom="1440" w:gutter="0" w:footer="0" w:header="0"/>
        </w:sectPr>
      </w:pPr>
    </w:p>
    <w:bookmarkStart w:id="127" w:name="page128"/>
    <w:bookmarkEnd w:id="127"/>
    <w:p>
      <w:pPr>
        <w:ind w:left="1300" w:right="140" w:hanging="320"/>
        <w:spacing w:after="0" w:line="218" w:lineRule="auto"/>
        <w:tabs>
          <w:tab w:leader="none" w:pos="1295"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Sale and Leaseback Transaction</w:t>
      </w:r>
      <w:r>
        <w:rPr>
          <w:rFonts w:ascii="Arial" w:cs="Arial" w:eastAsia="Arial" w:hAnsi="Arial"/>
          <w:sz w:val="22"/>
          <w:szCs w:val="22"/>
          <w:color w:val="auto"/>
        </w:rPr>
        <w:t>” means any direct or indirect arrangement with any person or to which any such person is a party, providing for the leasing to the Issuer or a Guarantor of any property, whether owned by the Issuer or such Guarantor at the date of the original issuance of the 2022 Notes or later acquired, which has been or is to be sold or transferred by the Issuer or such Guarantor to such person or to any other person by whom funds have been or are to be advanced on the security of such property.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Merger and Sale of Assets</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the Issuer and a wholly-owned subsidiary, no consideration other than common stock in the surviving person shall be issued or distributed to the Issuer’s stockholders) or permit any person to merge with or into such party unless:</w:t>
      </w:r>
    </w:p>
    <w:p>
      <w:pPr>
        <w:spacing w:after="0" w:line="152" w:lineRule="exact"/>
        <w:rPr>
          <w:sz w:val="20"/>
          <w:szCs w:val="20"/>
          <w:color w:val="auto"/>
        </w:rPr>
      </w:pPr>
    </w:p>
    <w:p>
      <w:pPr>
        <w:ind w:left="1300" w:right="40" w:hanging="320"/>
        <w:spacing w:after="0" w:line="216" w:lineRule="auto"/>
        <w:tabs>
          <w:tab w:leader="none" w:pos="1295"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 obligations on all of the 2022 Notes and under the Indenture;</w:t>
      </w:r>
    </w:p>
    <w:p>
      <w:pPr>
        <w:spacing w:after="0" w:line="157" w:lineRule="exact"/>
        <w:rPr>
          <w:rFonts w:ascii="Arial" w:cs="Arial" w:eastAsia="Arial" w:hAnsi="Arial"/>
          <w:sz w:val="22"/>
          <w:szCs w:val="22"/>
          <w:color w:val="auto"/>
        </w:rPr>
      </w:pPr>
    </w:p>
    <w:p>
      <w:pPr>
        <w:ind w:left="1300" w:right="620" w:hanging="320"/>
        <w:spacing w:after="0" w:line="232" w:lineRule="auto"/>
        <w:tabs>
          <w:tab w:leader="none" w:pos="1295" w:val="left"/>
        </w:tabs>
        <w:numPr>
          <w:ilvl w:val="0"/>
          <w:numId w:val="77"/>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default or event of default shall have occurred and be continuing; and</w:t>
      </w:r>
    </w:p>
    <w:p>
      <w:pPr>
        <w:spacing w:after="0" w:line="158" w:lineRule="exact"/>
        <w:rPr>
          <w:rFonts w:ascii="Arial" w:cs="Arial" w:eastAsia="Arial" w:hAnsi="Arial"/>
          <w:sz w:val="22"/>
          <w:szCs w:val="22"/>
          <w:color w:val="auto"/>
        </w:rPr>
      </w:pPr>
    </w:p>
    <w:p>
      <w:pPr>
        <w:ind w:left="1300" w:right="40" w:hanging="320"/>
        <w:spacing w:after="0" w:line="268" w:lineRule="auto"/>
        <w:tabs>
          <w:tab w:leader="none" w:pos="1295"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 with;</w:t>
      </w:r>
    </w:p>
    <w:p>
      <w:pPr>
        <w:spacing w:after="0" w:line="13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Upon any express assumption of the Issuer’s obligations as described above, the Issuer shall be released and discharged from all obligations and covenants under the Indenture and all the 2022 Notes.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Indenture and the guarantees do not limit the ability of any guarantor to consolidate with or merge into or sell all or substantially all its assets. Upon the sale or disposition of any guarantor (by merger, consolidation, the sale of its capital stock or the sale of all or substantially</w:t>
      </w:r>
    </w:p>
    <w:p>
      <w:pPr>
        <w:sectPr>
          <w:pgSz w:w="11900" w:h="16838" w:orient="portrait"/>
          <w:cols w:equalWidth="0" w:num="1">
            <w:col w:w="11240"/>
          </w:cols>
          <w:pgMar w:left="320" w:top="1401" w:right="339" w:bottom="1440" w:gutter="0" w:footer="0" w:header="0"/>
        </w:sectPr>
      </w:pPr>
    </w:p>
    <w:bookmarkStart w:id="128" w:name="page129"/>
    <w:bookmarkEnd w:id="128"/>
    <w:p>
      <w:pPr>
        <w:spacing w:after="0" w:line="232" w:lineRule="auto"/>
        <w:rPr>
          <w:sz w:val="20"/>
          <w:szCs w:val="20"/>
          <w:color w:val="auto"/>
        </w:rPr>
      </w:pPr>
      <w:r>
        <w:rPr>
          <w:rFonts w:ascii="Arial" w:cs="Arial" w:eastAsia="Arial" w:hAnsi="Arial"/>
          <w:sz w:val="22"/>
          <w:szCs w:val="22"/>
          <w:color w:val="auto"/>
        </w:rPr>
        <w:t>all of its assets) to any person, that guarantor will be deemed released from all its obligations under the Indenture and its guarantee.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12"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Issuer and the Trustee may amend or supplement the Indenture or the 2022 Notes without notice to or the consent of any holder:</w:t>
      </w:r>
    </w:p>
    <w:p>
      <w:pPr>
        <w:spacing w:after="0" w:line="159" w:lineRule="exact"/>
        <w:rPr>
          <w:sz w:val="20"/>
          <w:szCs w:val="20"/>
          <w:color w:val="auto"/>
        </w:rPr>
      </w:pPr>
    </w:p>
    <w:p>
      <w:pPr>
        <w:ind w:left="1300" w:right="260" w:hanging="320"/>
        <w:spacing w:after="0" w:line="232" w:lineRule="auto"/>
        <w:tabs>
          <w:tab w:leader="none" w:pos="1295"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cure any ambiguity, defect, or inconsistency in the Indenture; provided that such amendments or supplements shall not adversely affect the interests of the holders in any material respect;</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comply with the provisions described under “-Certain Covenants-Consolidation, Merger and Sale of Assets;”</w:t>
      </w:r>
    </w:p>
    <w:p>
      <w:pPr>
        <w:spacing w:after="0" w:line="213" w:lineRule="exact"/>
        <w:rPr>
          <w:rFonts w:ascii="Arial" w:cs="Arial" w:eastAsia="Arial" w:hAnsi="Arial"/>
          <w:sz w:val="19"/>
          <w:szCs w:val="19"/>
          <w:color w:val="auto"/>
        </w:rPr>
      </w:pPr>
    </w:p>
    <w:p>
      <w:pPr>
        <w:ind w:left="1300" w:right="160" w:hanging="320"/>
        <w:spacing w:after="0" w:line="232" w:lineRule="auto"/>
        <w:tabs>
          <w:tab w:leader="none" w:pos="1295"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comply with any requirements of the SEC in connection with the qualification of the Indenture under the Trust Indenture Act;</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hereunder by a successor Trustee;</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establish the form or forms or terms of the 2022 Notes as permitted by the Indenture;</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provide for uncertificated notes and to make all appropriate changes for such purpose;</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w:t>
      </w:r>
    </w:p>
    <w:p>
      <w:pPr>
        <w:spacing w:after="0" w:line="179" w:lineRule="exact"/>
        <w:rPr>
          <w:rFonts w:ascii="Arial" w:cs="Arial" w:eastAsia="Arial" w:hAnsi="Arial"/>
          <w:sz w:val="22"/>
          <w:szCs w:val="22"/>
          <w:color w:val="auto"/>
        </w:rPr>
      </w:pPr>
    </w:p>
    <w:p>
      <w:pPr>
        <w:ind w:left="1300" w:right="120" w:hanging="320"/>
        <w:spacing w:after="0" w:line="223" w:lineRule="auto"/>
        <w:tabs>
          <w:tab w:leader="none" w:pos="1295"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make any change so long as no 2022 Notes are outstanding.</w:t>
      </w:r>
    </w:p>
    <w:p>
      <w:pPr>
        <w:spacing w:after="0" w:line="17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Subject to certain conditions, without prior notice to any holder of 2022 Notes, modifications and amendments of the Indenture may be made by the Issuer and the Trustee with respect to any series of 2022 Notes with the written consent of the holders of a majority in principal amount of the affected series of 2022 Notes, and compliance by the Issuer with any provision of the Indenture with respect to any series of 2022 Notes may be waived by written notice to the Trustee by the holders of a majority in principal amount of the affected series of 2022 Notes outstanding; provided, however, that each affected holder must consent to any modification, amendment or waiver that:</w:t>
      </w:r>
    </w:p>
    <w:p>
      <w:pPr>
        <w:spacing w:after="0" w:line="160" w:lineRule="exact"/>
        <w:rPr>
          <w:sz w:val="20"/>
          <w:szCs w:val="20"/>
          <w:color w:val="auto"/>
        </w:rPr>
      </w:pPr>
    </w:p>
    <w:p>
      <w:pPr>
        <w:ind w:left="1300" w:right="400" w:hanging="320"/>
        <w:spacing w:after="0" w:line="232" w:lineRule="auto"/>
        <w:tabs>
          <w:tab w:leader="none" w:pos="1295" w:val="left"/>
        </w:tabs>
        <w:numPr>
          <w:ilvl w:val="0"/>
          <w:numId w:val="79"/>
        </w:numPr>
        <w:rPr>
          <w:rFonts w:ascii="Arial" w:cs="Arial" w:eastAsia="Arial" w:hAnsi="Arial"/>
          <w:sz w:val="22"/>
          <w:szCs w:val="22"/>
          <w:color w:val="auto"/>
        </w:rPr>
      </w:pPr>
      <w:r>
        <w:rPr>
          <w:rFonts w:ascii="Arial" w:cs="Arial" w:eastAsia="Arial" w:hAnsi="Arial"/>
          <w:sz w:val="22"/>
          <w:szCs w:val="22"/>
          <w:color w:val="auto"/>
        </w:rPr>
        <w:t>changes the stated maturity of the principal of, or any installment of interest on, the 2022 Notes of the affected series;</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reduces the principal amount of, or premium, if any, or interest on, the 2022 Notes of the affected series;</w:t>
      </w:r>
    </w:p>
    <w:p>
      <w:pPr>
        <w:spacing w:after="0" w:line="190" w:lineRule="exact"/>
        <w:rPr>
          <w:rFonts w:ascii="Arial" w:cs="Arial" w:eastAsia="Arial" w:hAnsi="Arial"/>
          <w:sz w:val="21"/>
          <w:szCs w:val="21"/>
          <w:color w:val="auto"/>
        </w:rPr>
      </w:pPr>
    </w:p>
    <w:p>
      <w:pPr>
        <w:ind w:left="1300" w:right="120" w:hanging="320"/>
        <w:spacing w:after="0" w:line="232" w:lineRule="auto"/>
        <w:tabs>
          <w:tab w:leader="none" w:pos="1295" w:val="left"/>
        </w:tabs>
        <w:numPr>
          <w:ilvl w:val="0"/>
          <w:numId w:val="79"/>
        </w:numPr>
        <w:rPr>
          <w:rFonts w:ascii="Arial" w:cs="Arial" w:eastAsia="Arial" w:hAnsi="Arial"/>
          <w:sz w:val="22"/>
          <w:szCs w:val="22"/>
          <w:color w:val="auto"/>
        </w:rPr>
      </w:pPr>
      <w:r>
        <w:rPr>
          <w:rFonts w:ascii="Arial" w:cs="Arial" w:eastAsia="Arial" w:hAnsi="Arial"/>
          <w:sz w:val="22"/>
          <w:szCs w:val="22"/>
          <w:color w:val="auto"/>
        </w:rPr>
        <w:t>changes the place or currency of payment of principal of, or premium, if any, or interest on, the 2022 Notes of the affected series;</w:t>
      </w:r>
    </w:p>
    <w:p>
      <w:pPr>
        <w:sectPr>
          <w:pgSz w:w="11900" w:h="16838" w:orient="portrait"/>
          <w:cols w:equalWidth="0" w:num="1">
            <w:col w:w="11240"/>
          </w:cols>
          <w:pgMar w:left="320" w:top="1401" w:right="339" w:bottom="1440" w:gutter="0" w:footer="0" w:header="0"/>
        </w:sectPr>
      </w:pPr>
    </w:p>
    <w:bookmarkStart w:id="129" w:name="page130"/>
    <w:bookmarkEnd w:id="129"/>
    <w:p>
      <w:pPr>
        <w:ind w:left="1300" w:hanging="320"/>
        <w:spacing w:after="0"/>
        <w:tabs>
          <w:tab w:leader="none" w:pos="13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changes the provisions for calculating the optional redemption price, including the definitions relating thereto;</w:t>
      </w:r>
    </w:p>
    <w:p>
      <w:pPr>
        <w:spacing w:after="0" w:line="213" w:lineRule="exact"/>
        <w:rPr>
          <w:rFonts w:ascii="Arial" w:cs="Arial" w:eastAsia="Arial" w:hAnsi="Arial"/>
          <w:sz w:val="19"/>
          <w:szCs w:val="19"/>
          <w:color w:val="auto"/>
        </w:rPr>
      </w:pPr>
    </w:p>
    <w:p>
      <w:pPr>
        <w:ind w:left="1300" w:right="80" w:hanging="320"/>
        <w:spacing w:after="0" w:line="223" w:lineRule="auto"/>
        <w:tabs>
          <w:tab w:leader="none" w:pos="1295" w:val="left"/>
        </w:tabs>
        <w:numPr>
          <w:ilvl w:val="0"/>
          <w:numId w:val="80"/>
        </w:numPr>
        <w:rPr>
          <w:rFonts w:ascii="Arial" w:cs="Arial" w:eastAsia="Arial" w:hAnsi="Arial"/>
          <w:sz w:val="22"/>
          <w:szCs w:val="22"/>
          <w:color w:val="auto"/>
        </w:rPr>
      </w:pPr>
      <w:r>
        <w:rPr>
          <w:rFonts w:ascii="Arial" w:cs="Arial" w:eastAsia="Arial" w:hAnsi="Arial"/>
          <w:sz w:val="22"/>
          <w:szCs w:val="22"/>
          <w:color w:val="auto"/>
        </w:rPr>
        <w:t>changes the provisions relating to the waiver of past defaults or changes or impairs the right of holders to receive payment or to institute suit for the enforcement of any payment of the 2022 Notes of the affected series on or after the due date therefor;</w:t>
      </w:r>
    </w:p>
    <w:p>
      <w:pPr>
        <w:spacing w:after="0" w:line="158" w:lineRule="exact"/>
        <w:rPr>
          <w:rFonts w:ascii="Arial" w:cs="Arial" w:eastAsia="Arial" w:hAnsi="Arial"/>
          <w:sz w:val="22"/>
          <w:szCs w:val="22"/>
          <w:color w:val="auto"/>
        </w:rPr>
      </w:pPr>
    </w:p>
    <w:p>
      <w:pPr>
        <w:ind w:left="1300" w:right="80" w:hanging="320"/>
        <w:spacing w:after="0" w:line="298" w:lineRule="auto"/>
        <w:tabs>
          <w:tab w:leader="none" w:pos="1295"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reduces the above-stated percentage of outstanding 2022 Notes of the affected series the consent of whose holders is necessary to modify or amend or to waive certain provisions of or defaults under the Indenture;</w:t>
      </w:r>
    </w:p>
    <w:p>
      <w:pPr>
        <w:spacing w:after="0" w:line="105" w:lineRule="exact"/>
        <w:rPr>
          <w:rFonts w:ascii="Arial" w:cs="Arial" w:eastAsia="Arial" w:hAnsi="Arial"/>
          <w:sz w:val="19"/>
          <w:szCs w:val="19"/>
          <w:color w:val="auto"/>
        </w:rPr>
      </w:pPr>
    </w:p>
    <w:p>
      <w:pPr>
        <w:ind w:left="1300" w:hanging="320"/>
        <w:spacing w:after="0"/>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waives a default in the payment of principal of, premium, if any, or interest on the 2022 Notes; or</w:t>
      </w:r>
    </w:p>
    <w:p>
      <w:pPr>
        <w:spacing w:after="0" w:line="179" w:lineRule="exact"/>
        <w:rPr>
          <w:rFonts w:ascii="Arial" w:cs="Arial" w:eastAsia="Arial" w:hAnsi="Arial"/>
          <w:sz w:val="22"/>
          <w:szCs w:val="22"/>
          <w:color w:val="auto"/>
        </w:rPr>
      </w:pPr>
    </w:p>
    <w:p>
      <w:pPr>
        <w:ind w:left="1300" w:right="160" w:hanging="320"/>
        <w:spacing w:after="0" w:line="223" w:lineRule="auto"/>
        <w:tabs>
          <w:tab w:leader="none" w:pos="1295" w:val="left"/>
        </w:tabs>
        <w:numPr>
          <w:ilvl w:val="0"/>
          <w:numId w:val="80"/>
        </w:numPr>
        <w:rPr>
          <w:rFonts w:ascii="Arial" w:cs="Arial" w:eastAsia="Arial" w:hAnsi="Arial"/>
          <w:sz w:val="22"/>
          <w:szCs w:val="22"/>
          <w:color w:val="auto"/>
        </w:rPr>
      </w:pPr>
      <w:r>
        <w:rPr>
          <w:rFonts w:ascii="Arial" w:cs="Arial" w:eastAsia="Arial" w:hAnsi="Arial"/>
          <w:sz w:val="22"/>
          <w:szCs w:val="22"/>
          <w:color w:val="auto"/>
        </w:rPr>
        <w:t>modifies any of the provisions of this paragraph, except to increase any required percentage or to provide that certain other provisions cannot be modified or waived without the consent of the holder of each 2022 Note of the series affected by the modification.</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purposes of this section, the term “Obligor” shall mean each of the Issuer and Guarantors, in each case excluding such entities’ subsidiaries.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event of default for a series of 2022 Notes is defined under the Indenture as being:</w:t>
      </w:r>
    </w:p>
    <w:p>
      <w:pPr>
        <w:spacing w:after="0" w:line="179" w:lineRule="exact"/>
        <w:rPr>
          <w:sz w:val="20"/>
          <w:szCs w:val="20"/>
          <w:color w:val="auto"/>
        </w:rPr>
      </w:pPr>
    </w:p>
    <w:p>
      <w:pPr>
        <w:ind w:left="1300" w:right="160" w:hanging="320"/>
        <w:spacing w:after="0" w:line="247" w:lineRule="auto"/>
        <w:tabs>
          <w:tab w:leader="none" w:pos="1295" w:val="left"/>
        </w:tabs>
        <w:numPr>
          <w:ilvl w:val="0"/>
          <w:numId w:val="81"/>
        </w:numPr>
        <w:rPr>
          <w:rFonts w:ascii="Arial" w:cs="Arial" w:eastAsia="Arial" w:hAnsi="Arial"/>
          <w:sz w:val="21"/>
          <w:szCs w:val="21"/>
          <w:color w:val="auto"/>
        </w:rPr>
      </w:pPr>
      <w:r>
        <w:rPr>
          <w:rFonts w:ascii="Arial" w:cs="Arial" w:eastAsia="Arial" w:hAnsi="Arial"/>
          <w:sz w:val="21"/>
          <w:szCs w:val="21"/>
          <w:color w:val="auto"/>
        </w:rPr>
        <w:t>a default by any Obligor in the payment of principal or premium on the 2022 Notes of such series when the same becomes due and payable whether at maturity, upon acceleration, redemption or otherwise;</w:t>
      </w:r>
    </w:p>
    <w:p>
      <w:pPr>
        <w:spacing w:after="0" w:line="150" w:lineRule="exact"/>
        <w:rPr>
          <w:rFonts w:ascii="Arial" w:cs="Arial" w:eastAsia="Arial" w:hAnsi="Arial"/>
          <w:sz w:val="21"/>
          <w:szCs w:val="21"/>
          <w:color w:val="auto"/>
        </w:rPr>
      </w:pPr>
    </w:p>
    <w:p>
      <w:pPr>
        <w:ind w:left="1300" w:right="200" w:hanging="320"/>
        <w:spacing w:after="0" w:line="232" w:lineRule="auto"/>
        <w:tabs>
          <w:tab w:leader="none" w:pos="1295"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default by any Obligor in the payment of interest on the 2022 Notes of such series when the same becomes due and payable, if that default continues for a period of 30 days;</w:t>
      </w:r>
    </w:p>
    <w:p>
      <w:pPr>
        <w:spacing w:after="0" w:line="158" w:lineRule="exact"/>
        <w:rPr>
          <w:rFonts w:ascii="Arial" w:cs="Arial" w:eastAsia="Arial" w:hAnsi="Arial"/>
          <w:sz w:val="22"/>
          <w:szCs w:val="22"/>
          <w:color w:val="auto"/>
        </w:rPr>
      </w:pPr>
    </w:p>
    <w:p>
      <w:pPr>
        <w:ind w:left="1300" w:right="60" w:hanging="320"/>
        <w:spacing w:after="0" w:line="257" w:lineRule="auto"/>
        <w:tabs>
          <w:tab w:leader="none" w:pos="1295" w:val="left"/>
        </w:tabs>
        <w:numPr>
          <w:ilvl w:val="0"/>
          <w:numId w:val="81"/>
        </w:numPr>
        <w:rPr>
          <w:rFonts w:ascii="Arial" w:cs="Arial" w:eastAsia="Arial" w:hAnsi="Arial"/>
          <w:sz w:val="19"/>
          <w:szCs w:val="19"/>
          <w:color w:val="auto"/>
        </w:rPr>
      </w:pPr>
      <w:r>
        <w:rPr>
          <w:rFonts w:ascii="Arial" w:cs="Arial" w:eastAsia="Arial" w:hAnsi="Arial"/>
          <w:sz w:val="19"/>
          <w:szCs w:val="19"/>
          <w:color w:val="auto"/>
        </w:rPr>
        <w:t>default by any Obligor in the performance of or breach by any Obligor of any of its other covenants or agreements in the Indenture applicable to all the 2022 Notes or applicable to the 2022 Notes of any series and that default or breach continues for a period of 30 consecutive days after written notice is received from the Trustee or from the holders of 25% or more in aggregate principal amount of the 2022 Notes of all affected series;</w:t>
      </w:r>
    </w:p>
    <w:p>
      <w:pPr>
        <w:spacing w:after="0" w:line="144" w:lineRule="exact"/>
        <w:rPr>
          <w:rFonts w:ascii="Arial" w:cs="Arial" w:eastAsia="Arial" w:hAnsi="Arial"/>
          <w:sz w:val="19"/>
          <w:szCs w:val="19"/>
          <w:color w:val="auto"/>
        </w:rPr>
      </w:pPr>
    </w:p>
    <w:p>
      <w:pPr>
        <w:ind w:left="1300" w:hanging="320"/>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guarantee is not in full force and effect;</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court having jurisdiction enters a decree or order for:</w:t>
      </w:r>
    </w:p>
    <w:p>
      <w:pPr>
        <w:sectPr>
          <w:pgSz w:w="11900" w:h="16838" w:orient="portrait"/>
          <w:cols w:equalWidth="0" w:num="1">
            <w:col w:w="11240"/>
          </w:cols>
          <w:pgMar w:left="320" w:top="1401" w:right="339" w:bottom="1440" w:gutter="0" w:footer="0" w:header="0"/>
        </w:sectPr>
      </w:pPr>
    </w:p>
    <w:bookmarkStart w:id="130" w:name="page131"/>
    <w:bookmarkEnd w:id="130"/>
    <w:p>
      <w:pPr>
        <w:ind w:left="1960" w:right="480" w:hanging="332"/>
        <w:spacing w:after="0" w:line="232" w:lineRule="auto"/>
        <w:tabs>
          <w:tab w:leader="none" w:pos="1955" w:val="left"/>
        </w:tabs>
        <w:numPr>
          <w:ilvl w:val="1"/>
          <w:numId w:val="82"/>
        </w:numPr>
        <w:rPr>
          <w:rFonts w:ascii="Arial" w:cs="Arial" w:eastAsia="Arial" w:hAnsi="Arial"/>
          <w:sz w:val="22"/>
          <w:szCs w:val="22"/>
          <w:color w:val="auto"/>
        </w:rPr>
      </w:pPr>
      <w:r>
        <w:rPr>
          <w:rFonts w:ascii="Arial" w:cs="Arial" w:eastAsia="Arial" w:hAnsi="Arial"/>
          <w:sz w:val="22"/>
          <w:szCs w:val="22"/>
          <w:color w:val="auto"/>
        </w:rPr>
        <w:t>relief in respect of any Obligor in an involuntary case under any applicable bankruptcy, insolvency, or other similar law now or hereafter in effect;</w:t>
      </w:r>
    </w:p>
    <w:p>
      <w:pPr>
        <w:spacing w:after="0" w:line="158" w:lineRule="exact"/>
        <w:rPr>
          <w:rFonts w:ascii="Arial" w:cs="Arial" w:eastAsia="Arial" w:hAnsi="Arial"/>
          <w:sz w:val="22"/>
          <w:szCs w:val="22"/>
          <w:color w:val="auto"/>
        </w:rPr>
      </w:pPr>
    </w:p>
    <w:p>
      <w:pPr>
        <w:ind w:left="1960" w:right="320" w:hanging="332"/>
        <w:spacing w:after="0" w:line="232" w:lineRule="auto"/>
        <w:tabs>
          <w:tab w:leader="none" w:pos="1955" w:val="left"/>
        </w:tabs>
        <w:numPr>
          <w:ilvl w:val="1"/>
          <w:numId w:val="82"/>
        </w:numPr>
        <w:rPr>
          <w:rFonts w:ascii="Arial" w:cs="Arial" w:eastAsia="Arial" w:hAnsi="Arial"/>
          <w:sz w:val="22"/>
          <w:szCs w:val="22"/>
          <w:color w:val="auto"/>
        </w:rPr>
      </w:pPr>
      <w:r>
        <w:rPr>
          <w:rFonts w:ascii="Arial" w:cs="Arial" w:eastAsia="Arial" w:hAnsi="Arial"/>
          <w:sz w:val="22"/>
          <w:szCs w:val="22"/>
          <w:color w:val="auto"/>
        </w:rPr>
        <w:t>appointment of a receiver, liquidator, assignee, custodian, Trustee, sequestrator or similar official of any Obligor for any substantial part of such party’s property and assets; or</w:t>
      </w:r>
    </w:p>
    <w:p>
      <w:pPr>
        <w:spacing w:after="0" w:line="158" w:lineRule="exact"/>
        <w:rPr>
          <w:rFonts w:ascii="Arial" w:cs="Arial" w:eastAsia="Arial" w:hAnsi="Arial"/>
          <w:sz w:val="22"/>
          <w:szCs w:val="22"/>
          <w:color w:val="auto"/>
        </w:rPr>
      </w:pPr>
    </w:p>
    <w:p>
      <w:pPr>
        <w:ind w:left="1960" w:right="220" w:hanging="332"/>
        <w:spacing w:after="0" w:line="232" w:lineRule="auto"/>
        <w:tabs>
          <w:tab w:leader="none" w:pos="1955"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winding up or liquidation of any Obligor’s affairs and such decree or order shall remain unstayed and in effect for a period of 180 consecutive days; or</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Obligor:</w:t>
      </w:r>
    </w:p>
    <w:p>
      <w:pPr>
        <w:spacing w:after="0" w:line="179" w:lineRule="exact"/>
        <w:rPr>
          <w:rFonts w:ascii="Arial" w:cs="Arial" w:eastAsia="Arial" w:hAnsi="Arial"/>
          <w:sz w:val="22"/>
          <w:szCs w:val="22"/>
          <w:color w:val="auto"/>
        </w:rPr>
      </w:pPr>
    </w:p>
    <w:p>
      <w:pPr>
        <w:ind w:left="1960" w:right="160" w:hanging="332"/>
        <w:spacing w:after="0" w:line="298" w:lineRule="auto"/>
        <w:tabs>
          <w:tab w:leader="none" w:pos="1955" w:val="left"/>
        </w:tabs>
        <w:numPr>
          <w:ilvl w:val="1"/>
          <w:numId w:val="82"/>
        </w:numPr>
        <w:rPr>
          <w:rFonts w:ascii="Arial" w:cs="Arial" w:eastAsia="Arial" w:hAnsi="Arial"/>
          <w:sz w:val="19"/>
          <w:szCs w:val="19"/>
          <w:color w:val="auto"/>
        </w:rPr>
      </w:pPr>
      <w:r>
        <w:rPr>
          <w:rFonts w:ascii="Arial" w:cs="Arial" w:eastAsia="Arial" w:hAnsi="Arial"/>
          <w:sz w:val="19"/>
          <w:szCs w:val="19"/>
          <w:color w:val="auto"/>
        </w:rPr>
        <w:t>commences a voluntary case under any applicable bankruptcy, insolvency, or other similar law now or hereafter in effect, or consent to the entry of an order for relief in an involuntary case under any such law;</w:t>
      </w:r>
    </w:p>
    <w:p>
      <w:pPr>
        <w:spacing w:after="0" w:line="105" w:lineRule="exact"/>
        <w:rPr>
          <w:rFonts w:ascii="Arial" w:cs="Arial" w:eastAsia="Arial" w:hAnsi="Arial"/>
          <w:sz w:val="19"/>
          <w:szCs w:val="19"/>
          <w:color w:val="auto"/>
        </w:rPr>
      </w:pPr>
    </w:p>
    <w:p>
      <w:pPr>
        <w:ind w:left="1960" w:right="220" w:hanging="332"/>
        <w:spacing w:after="0" w:line="298" w:lineRule="auto"/>
        <w:tabs>
          <w:tab w:leader="none" w:pos="1955" w:val="left"/>
        </w:tabs>
        <w:numPr>
          <w:ilvl w:val="1"/>
          <w:numId w:val="82"/>
        </w:numPr>
        <w:rPr>
          <w:rFonts w:ascii="Arial" w:cs="Arial" w:eastAsia="Arial" w:hAnsi="Arial"/>
          <w:sz w:val="19"/>
          <w:szCs w:val="19"/>
          <w:color w:val="auto"/>
        </w:rPr>
      </w:pPr>
      <w:r>
        <w:rPr>
          <w:rFonts w:ascii="Arial" w:cs="Arial" w:eastAsia="Arial" w:hAnsi="Arial"/>
          <w:sz w:val="19"/>
          <w:szCs w:val="19"/>
          <w:color w:val="auto"/>
        </w:rPr>
        <w:t>consents to the appointment of or taking possession by a receiver, liquidator, assignee, custodian, trustee, sequestrator, or similar official of such party or for any substantial part of such party’s property; or</w:t>
      </w:r>
    </w:p>
    <w:p>
      <w:pPr>
        <w:spacing w:after="0" w:line="105" w:lineRule="exact"/>
        <w:rPr>
          <w:rFonts w:ascii="Arial" w:cs="Arial" w:eastAsia="Arial" w:hAnsi="Arial"/>
          <w:sz w:val="19"/>
          <w:szCs w:val="19"/>
          <w:color w:val="auto"/>
        </w:rPr>
      </w:pPr>
    </w:p>
    <w:p>
      <w:pPr>
        <w:ind w:left="1940" w:hanging="312"/>
        <w:spacing w:after="0"/>
        <w:tabs>
          <w:tab w:leader="none" w:pos="1940" w:val="left"/>
        </w:tabs>
        <w:numPr>
          <w:ilvl w:val="1"/>
          <w:numId w:val="82"/>
        </w:numPr>
        <w:rPr>
          <w:rFonts w:ascii="Arial" w:cs="Arial" w:eastAsia="Arial" w:hAnsi="Arial"/>
          <w:sz w:val="22"/>
          <w:szCs w:val="22"/>
          <w:color w:val="auto"/>
        </w:rPr>
      </w:pPr>
      <w:r>
        <w:rPr>
          <w:rFonts w:ascii="Arial" w:cs="Arial" w:eastAsia="Arial" w:hAnsi="Arial"/>
          <w:sz w:val="22"/>
          <w:szCs w:val="22"/>
          <w:color w:val="auto"/>
        </w:rPr>
        <w:t>effects any general assignment for the benefit of creditors.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default under any Obligor’s other indebtedness is not a default under the Indenture.</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If an event of default other than an event of default specified in clauses (5) and (6) above occurs with respect to an issue of 2022 Notes and is continuing under the Indenture, then, and in each and every such case, either the Trustee or the holders of not less than 25% in aggregate principal amount of such 2022 Notes then outstanding under the Indenture by written notice to the Issuer and to the Trustee, if such notice is given by the holders, may, and the Trustee at the request of such holders shall, declare the principal amount of and accrued interest, if any, on such 2022 Notes to be immediately due and payable. The amount due upon acceleration shall include only the original issue price of the 2022 Notes and accrued to the date of acceleration and accrued interest, if any. Upon a declaration of acceleration, such principal amount of and accrued interest, if any, on such 2022 Notes shall be immediately due and payable. If an event of default specified in clauses (5) and (6) above occurs with respect to any Obligor, the principal amount of and accrued interest, if any, on each issue of 2022 Notes then outstanding shall be and become immediately due and payable without any notice or other action on the part of the Trustee or any holder.</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Upon certain conditions such declarations may be rescinded and annulled and past defaults may be waived by the holders of a majority in aggregate principal amount of an issue of 2022 Notes that has been accelerated. Furthermore, subject to various provisions in the Indenture, the holders of at least a majority in aggregate principal amount of an issue of 2022 Notes by notice to the Trustee may waive an existing default or event of default with respect to such 2022 Notes and its consequences, except a default in the payment of principal of or interest on such 2022 Notes or in respect of a covenant or provision of the Indenture which cannot be modified or amended without the consent of the holders of each such 2022 Notes. Upon any such waiver, such default shall cease to exist, and any event of default with respect to such 2022 Notes shall be deemed to have been cured, for every purpose of the Indenture; but no such waiver shall extend to any subsequent or other default or event of default or impair any right consequent thereto. For information as to the waiver of defaults, see “-- Modification and Waiver.”</w:t>
      </w:r>
    </w:p>
    <w:p>
      <w:pPr>
        <w:sectPr>
          <w:pgSz w:w="11900" w:h="16838" w:orient="portrait"/>
          <w:cols w:equalWidth="0" w:num="1">
            <w:col w:w="11240"/>
          </w:cols>
          <w:pgMar w:left="320" w:top="1401" w:right="339" w:bottom="1440" w:gutter="0" w:footer="0" w:header="0"/>
        </w:sectPr>
      </w:pPr>
    </w:p>
    <w:bookmarkStart w:id="131" w:name="page132"/>
    <w:bookmarkEnd w:id="131"/>
    <w:p>
      <w:pPr>
        <w:jc w:val="both"/>
        <w:ind w:firstLine="648"/>
        <w:spacing w:after="0" w:line="247" w:lineRule="auto"/>
        <w:rPr>
          <w:sz w:val="20"/>
          <w:szCs w:val="20"/>
          <w:color w:val="auto"/>
        </w:rPr>
      </w:pPr>
      <w:r>
        <w:rPr>
          <w:rFonts w:ascii="Arial" w:cs="Arial" w:eastAsia="Arial" w:hAnsi="Arial"/>
          <w:sz w:val="19"/>
          <w:szCs w:val="19"/>
          <w:color w:val="auto"/>
        </w:rPr>
        <w:t>The holders of at least a majority in aggregate principal amount of an issue of 2022 Notes may direct the time, method, and place of conducting any proceeding for any remedy available to the Trustee or exercising any trust or power conferred on the Trustee with respect to such 2022 Notes. However, the Trustee may refuse to follow any direction that conflicts with law or the Indenture, that may involve the Trustee in personal liability, or that the Trustee determines in good faith may be unduly prejudicial to the rights of holders of such issue of 2022 Notes not joining in the giving of such direction and may take any other action it deems proper that is not inconsistent with any such direction received from holders of such issue of 2022 Notes. A holder may not pursue any remedy with respect to the Indenture or any series of 2022 Notes unless:</w:t>
      </w:r>
    </w:p>
    <w:p>
      <w:pPr>
        <w:spacing w:after="0" w:line="154" w:lineRule="exact"/>
        <w:rPr>
          <w:sz w:val="20"/>
          <w:szCs w:val="20"/>
          <w:color w:val="auto"/>
        </w:rPr>
      </w:pPr>
    </w:p>
    <w:p>
      <w:pPr>
        <w:ind w:left="1300" w:hanging="320"/>
        <w:spacing w:after="0"/>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holder gives the Trustee written notice of a continuing event of default;</w:t>
      </w:r>
    </w:p>
    <w:p>
      <w:pPr>
        <w:spacing w:after="0" w:line="179" w:lineRule="exact"/>
        <w:rPr>
          <w:rFonts w:ascii="Arial" w:cs="Arial" w:eastAsia="Arial" w:hAnsi="Arial"/>
          <w:sz w:val="22"/>
          <w:szCs w:val="22"/>
          <w:color w:val="auto"/>
        </w:rPr>
      </w:pPr>
    </w:p>
    <w:p>
      <w:pPr>
        <w:ind w:left="1300" w:right="260" w:hanging="320"/>
        <w:spacing w:after="0" w:line="232" w:lineRule="auto"/>
        <w:tabs>
          <w:tab w:leader="none" w:pos="1295"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such series of 2022 Notes make a written request to the Trustee to pursue the remedy in respect of such event of default;</w:t>
      </w:r>
    </w:p>
    <w:p>
      <w:pPr>
        <w:spacing w:after="0" w:line="158" w:lineRule="exact"/>
        <w:rPr>
          <w:rFonts w:ascii="Arial" w:cs="Arial" w:eastAsia="Arial" w:hAnsi="Arial"/>
          <w:sz w:val="22"/>
          <w:szCs w:val="22"/>
          <w:color w:val="auto"/>
        </w:rPr>
      </w:pPr>
    </w:p>
    <w:p>
      <w:pPr>
        <w:ind w:left="1300" w:right="160" w:hanging="320"/>
        <w:spacing w:after="0" w:line="232" w:lineRule="auto"/>
        <w:tabs>
          <w:tab w:leader="none" w:pos="1295"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requesting holder or holders offer the Trustee indemnity satisfactory to the Trustee against any costs, liability, or expense;</w:t>
      </w:r>
    </w:p>
    <w:p>
      <w:pPr>
        <w:spacing w:after="0" w:line="158" w:lineRule="exact"/>
        <w:rPr>
          <w:rFonts w:ascii="Arial" w:cs="Arial" w:eastAsia="Arial" w:hAnsi="Arial"/>
          <w:sz w:val="22"/>
          <w:szCs w:val="22"/>
          <w:color w:val="auto"/>
        </w:rPr>
      </w:pPr>
    </w:p>
    <w:p>
      <w:pPr>
        <w:ind w:left="1300" w:right="40" w:hanging="320"/>
        <w:spacing w:after="0" w:line="232" w:lineRule="auto"/>
        <w:tabs>
          <w:tab w:leader="none" w:pos="1295"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indemnity; and</w:t>
      </w:r>
    </w:p>
    <w:p>
      <w:pPr>
        <w:spacing w:after="0" w:line="158" w:lineRule="exact"/>
        <w:rPr>
          <w:rFonts w:ascii="Arial" w:cs="Arial" w:eastAsia="Arial" w:hAnsi="Arial"/>
          <w:sz w:val="22"/>
          <w:szCs w:val="22"/>
          <w:color w:val="auto"/>
        </w:rPr>
      </w:pPr>
    </w:p>
    <w:p>
      <w:pPr>
        <w:ind w:left="1300" w:right="20" w:hanging="320"/>
        <w:spacing w:after="0" w:line="232" w:lineRule="auto"/>
        <w:tabs>
          <w:tab w:leader="none" w:pos="1295" w:val="left"/>
        </w:tabs>
        <w:numPr>
          <w:ilvl w:val="0"/>
          <w:numId w:val="83"/>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such series of 2022 Notes do not give the Trustee a direction that is inconsistent with the request.</w:t>
      </w:r>
    </w:p>
    <w:p>
      <w:pPr>
        <w:spacing w:after="0" w:line="15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These limitations, however, do not apply to the right of any holder of the 2022 Note to receive payment of the principal of, premium, if any, or interest on such the 2022 Note, or to bring suit for the enforcement of any such payment, on or after the due date for the 2022 Notes, which right shall not be impaired or affected without the consent of the holder.</w:t>
      </w:r>
    </w:p>
    <w:p>
      <w:pPr>
        <w:spacing w:after="0" w:line="15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The Indenture will require certain of officers of the Issuer to certify, on or before a date not more than 120 days after the end of each fiscal year, as to their knowledge of the Issuer’s compliance with all conditions and covenants under the Indenture, such compliance to be determined without regard to any period of grace or requirement of notice provided under the Indenture.</w:t>
      </w:r>
    </w:p>
    <w:p>
      <w:pPr>
        <w:spacing w:after="0" w:line="153" w:lineRule="exact"/>
        <w:rPr>
          <w:sz w:val="20"/>
          <w:szCs w:val="20"/>
          <w:color w:val="auto"/>
        </w:rPr>
      </w:pPr>
    </w:p>
    <w:p>
      <w:pPr>
        <w:ind w:left="480" w:hanging="472"/>
        <w:spacing w:after="0"/>
        <w:tabs>
          <w:tab w:leader="none" w:pos="48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OUR 5.50% NOTES DUE 2029</w:t>
      </w:r>
    </w:p>
    <w:p>
      <w:pPr>
        <w:spacing w:after="0" w:line="21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The following summary of our 5.50% Notes due 2029 (the “2029 Notes”) is based on the indenture dated as of January 7, 2003 among Comcast as the issuer (the “Issuer”), certain guarantors named therein and the Bank of New York (the “Base Indenture”), as amended by the first supplemental indenture dated as of March 25, 2003, the second supplemental indenture dated as of August 31, 2009, the third supplemental indenture dated as of March 27, 2013 and the fourth supplemental indenture dated as of October 1, 2015 among Comcast, Comcast Cable Communications, LLC, NBCUniversal Media, LLC (together with Comcast Cable Communications, LLC, the “Guarantors”), and The Bank of New York Mellon (f/k/a The Bank of New York), as trustee (the “Trustee”) (collectively with the Base Indenture, the “Indenture”). This summary does not purport to be complete and is qualified in its entirety by reference to such Indenture.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Payments</w:t>
      </w:r>
    </w:p>
    <w:p>
      <w:pPr>
        <w:sectPr>
          <w:pgSz w:w="11900" w:h="16838" w:orient="portrait"/>
          <w:cols w:equalWidth="0" w:num="1">
            <w:col w:w="11240"/>
          </w:cols>
          <w:pgMar w:left="320" w:top="1401" w:right="339" w:bottom="1440" w:gutter="0" w:footer="0" w:header="0"/>
        </w:sectPr>
      </w:pPr>
    </w:p>
    <w:bookmarkStart w:id="132" w:name="page133"/>
    <w:bookmarkEnd w:id="132"/>
    <w:p>
      <w:pPr>
        <w:jc w:val="both"/>
        <w:ind w:firstLine="648"/>
        <w:spacing w:after="0" w:line="212" w:lineRule="auto"/>
        <w:rPr>
          <w:sz w:val="20"/>
          <w:szCs w:val="20"/>
          <w:color w:val="auto"/>
        </w:rPr>
      </w:pPr>
      <w:r>
        <w:rPr>
          <w:rFonts w:ascii="Arial" w:cs="Arial" w:eastAsia="Arial" w:hAnsi="Arial"/>
          <w:sz w:val="22"/>
          <w:szCs w:val="22"/>
          <w:color w:val="auto"/>
        </w:rPr>
        <w:t>The 2029 Notes bears interest at a rate of 5.50% per annum and we will pay interest on the 2029 Notes on November 23 of each year, beginning November 23, 2011. Interest on the 2029 Notes is computed on the basis of the actual number of days in the period for which interest is being calculated and the actual number of days from and including the date from which interest begins to accrue for the period (or November 23, 2010 if no interest has been paid on the 2029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Guarantees</w:t>
      </w: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Our obligations under the 2029 Notes and the Indenture, including the payment of principal, premium, if any, and interest, are fully and unconditionally guaranteed by each of the Guarantors</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1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We have the right at our option to redeem any of the 2029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 28 basis points (the “Make-Whole Amount”) plus, in each case, accrued and unpaid interest thereon to the date of redemption.</w:t>
      </w:r>
    </w:p>
    <w:p>
      <w:pPr>
        <w:spacing w:after="0" w:line="19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Government Bond Rate</w:t>
      </w:r>
      <w:r>
        <w:rPr>
          <w:rFonts w:ascii="Arial" w:cs="Arial" w:eastAsia="Arial" w:hAnsi="Arial"/>
          <w:sz w:val="22"/>
          <w:szCs w:val="22"/>
          <w:color w:val="auto"/>
        </w:rPr>
        <w:t>” means the price, expressed as a percentage (rounded to three decimal places, 0.0005 being rounded upwards), at which the gross redemption yield (as calculated by the trustee) on the 2029 Notes,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8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Comparable Government Bond</w:t>
      </w:r>
      <w:r>
        <w:rPr>
          <w:rFonts w:ascii="Arial" w:cs="Arial" w:eastAsia="Arial" w:hAnsi="Arial"/>
          <w:sz w:val="21"/>
          <w:szCs w:val="21"/>
          <w:color w:val="auto"/>
        </w:rPr>
        <w:t>” means, in relation to any Comparable Government Bond Rate calculation, at the discretion of an independent investment bank selected by us, a United Kingdom government bond whose maturity is closest to the maturity of the 2029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18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On and after the redemption date, interest will cease to accrue on the 2029 Notes or any portion of the 2029 Notes called for redemption (unless we default in the payment of the redemption price and accrued interest). On or before the redemption date, we will deposit with</w:t>
      </w:r>
    </w:p>
    <w:p>
      <w:pPr>
        <w:sectPr>
          <w:pgSz w:w="11900" w:h="16838" w:orient="portrait"/>
          <w:cols w:equalWidth="0" w:num="1">
            <w:col w:w="11240"/>
          </w:cols>
          <w:pgMar w:left="320" w:top="1400" w:right="339" w:bottom="1440" w:gutter="0" w:footer="0" w:header="0"/>
        </w:sectPr>
      </w:pPr>
    </w:p>
    <w:bookmarkStart w:id="133" w:name="page134"/>
    <w:bookmarkEnd w:id="133"/>
    <w:p>
      <w:pPr>
        <w:jc w:val="both"/>
        <w:spacing w:after="0" w:line="216" w:lineRule="auto"/>
        <w:rPr>
          <w:sz w:val="20"/>
          <w:szCs w:val="20"/>
          <w:color w:val="auto"/>
        </w:rPr>
      </w:pPr>
      <w:r>
        <w:rPr>
          <w:rFonts w:ascii="Arial" w:cs="Arial" w:eastAsia="Arial" w:hAnsi="Arial"/>
          <w:sz w:val="22"/>
          <w:szCs w:val="22"/>
          <w:color w:val="auto"/>
        </w:rPr>
        <w:t>the trustee money sufficient to pay the redemption price of and (unless the redemption date shall be an interest payment date) accrued and unpaid interest to the redemption date on the 2029 Notes to be redeemed on such date. If less than all of the 2029 Notes of any series are to be redeemed, the 2029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2029 Notes are also subject to redemption prior to maturity if certain events occur involving United States taxation. If any of these special tax events do occur, the 2029 Notes will be redeemed at a redemption price of 100% of their principal amount plus accrued and unpaid interest to the date fixed for redemption. See “-Redemption for Tax Reasons.”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Additional Amounts</w:t>
      </w:r>
    </w:p>
    <w:p>
      <w:pPr>
        <w:spacing w:after="0" w:line="21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We are required, subject to the exceptions and limitations set forth below, to pay as additional interest on the 2029 Notes such additional amounts as are necessary in order that the net payment by us or a paying agent of the principal of and interest on the 2029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2029 Notes to be then due and payable; provided, however, that the foregoing obligation to pay additional amounts shall not apply:</w:t>
      </w:r>
    </w:p>
    <w:p>
      <w:pPr>
        <w:spacing w:after="0" w:line="160" w:lineRule="exact"/>
        <w:rPr>
          <w:sz w:val="20"/>
          <w:szCs w:val="20"/>
          <w:color w:val="auto"/>
        </w:rPr>
      </w:pPr>
    </w:p>
    <w:p>
      <w:pPr>
        <w:ind w:left="1300" w:right="280" w:hanging="320"/>
        <w:spacing w:after="0" w:line="218" w:lineRule="auto"/>
        <w:tabs>
          <w:tab w:leader="none" w:pos="1295" w:val="left"/>
        </w:tabs>
        <w:numPr>
          <w:ilvl w:val="0"/>
          <w:numId w:val="85"/>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160" w:lineRule="exact"/>
        <w:rPr>
          <w:rFonts w:ascii="Arial" w:cs="Arial" w:eastAsia="Arial" w:hAnsi="Arial"/>
          <w:sz w:val="22"/>
          <w:szCs w:val="22"/>
          <w:color w:val="auto"/>
        </w:rPr>
      </w:pPr>
    </w:p>
    <w:p>
      <w:pPr>
        <w:ind w:left="1960" w:right="800" w:hanging="656"/>
        <w:spacing w:after="0" w:line="232" w:lineRule="auto"/>
        <w:tabs>
          <w:tab w:leader="none" w:pos="1957" w:val="left"/>
        </w:tabs>
        <w:numPr>
          <w:ilvl w:val="1"/>
          <w:numId w:val="85"/>
        </w:numPr>
        <w:rPr>
          <w:rFonts w:ascii="Arial" w:cs="Arial" w:eastAsia="Arial" w:hAnsi="Arial"/>
          <w:sz w:val="22"/>
          <w:szCs w:val="22"/>
          <w:color w:val="auto"/>
        </w:rPr>
      </w:pPr>
      <w:r>
        <w:rPr>
          <w:rFonts w:ascii="Arial" w:cs="Arial" w:eastAsia="Arial" w:hAnsi="Arial"/>
          <w:sz w:val="22"/>
          <w:szCs w:val="22"/>
          <w:color w:val="auto"/>
        </w:rPr>
        <w:t>being or having been engaged in a trade or business in the United States or having or having had a permanent establishment in the United States;</w:t>
      </w:r>
    </w:p>
    <w:p>
      <w:pPr>
        <w:spacing w:after="0" w:line="158" w:lineRule="exact"/>
        <w:rPr>
          <w:rFonts w:ascii="Arial" w:cs="Arial" w:eastAsia="Arial" w:hAnsi="Arial"/>
          <w:sz w:val="22"/>
          <w:szCs w:val="22"/>
          <w:color w:val="auto"/>
        </w:rPr>
      </w:pPr>
    </w:p>
    <w:p>
      <w:pPr>
        <w:ind w:left="1960" w:right="300" w:hanging="656"/>
        <w:spacing w:after="0" w:line="268" w:lineRule="auto"/>
        <w:tabs>
          <w:tab w:leader="none" w:pos="1955" w:val="left"/>
        </w:tabs>
        <w:numPr>
          <w:ilvl w:val="1"/>
          <w:numId w:val="85"/>
        </w:numPr>
        <w:rPr>
          <w:rFonts w:ascii="Arial" w:cs="Arial" w:eastAsia="Arial" w:hAnsi="Arial"/>
          <w:sz w:val="19"/>
          <w:szCs w:val="19"/>
          <w:color w:val="auto"/>
        </w:rPr>
      </w:pPr>
      <w:r>
        <w:rPr>
          <w:rFonts w:ascii="Arial" w:cs="Arial" w:eastAsia="Arial" w:hAnsi="Arial"/>
          <w:sz w:val="19"/>
          <w:szCs w:val="19"/>
          <w:color w:val="auto"/>
        </w:rPr>
        <w:t>having a current or former connection with the United States (other than a connection arising solely as a result of the ownership of the 2029 Notes, the receipt of any payment or the enforcement of any rights hereunder), including being or having been a citizen or resident of the United States;</w:t>
      </w:r>
    </w:p>
    <w:p>
      <w:pPr>
        <w:spacing w:after="0" w:line="132" w:lineRule="exact"/>
        <w:rPr>
          <w:rFonts w:ascii="Arial" w:cs="Arial" w:eastAsia="Arial" w:hAnsi="Arial"/>
          <w:sz w:val="19"/>
          <w:szCs w:val="19"/>
          <w:color w:val="auto"/>
        </w:rPr>
      </w:pPr>
    </w:p>
    <w:p>
      <w:pPr>
        <w:ind w:left="1960" w:right="260" w:hanging="656"/>
        <w:spacing w:after="0" w:line="223" w:lineRule="auto"/>
        <w:tabs>
          <w:tab w:leader="none" w:pos="1957" w:val="left"/>
        </w:tabs>
        <w:numPr>
          <w:ilvl w:val="1"/>
          <w:numId w:val="85"/>
        </w:numPr>
        <w:rPr>
          <w:rFonts w:ascii="Arial" w:cs="Arial" w:eastAsia="Arial" w:hAnsi="Arial"/>
          <w:sz w:val="22"/>
          <w:szCs w:val="22"/>
          <w:color w:val="auto"/>
        </w:rPr>
      </w:pPr>
      <w:r>
        <w:rPr>
          <w:rFonts w:ascii="Arial" w:cs="Arial" w:eastAsia="Arial" w:hAnsi="Arial"/>
          <w:sz w:val="22"/>
          <w:szCs w:val="22"/>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158" w:lineRule="exact"/>
        <w:rPr>
          <w:rFonts w:ascii="Arial" w:cs="Arial" w:eastAsia="Arial" w:hAnsi="Arial"/>
          <w:sz w:val="22"/>
          <w:szCs w:val="22"/>
          <w:color w:val="auto"/>
        </w:rPr>
      </w:pPr>
    </w:p>
    <w:p>
      <w:pPr>
        <w:ind w:left="1960" w:right="160" w:hanging="656"/>
        <w:spacing w:after="0" w:line="298" w:lineRule="auto"/>
        <w:tabs>
          <w:tab w:leader="none" w:pos="1955" w:val="left"/>
        </w:tabs>
        <w:numPr>
          <w:ilvl w:val="1"/>
          <w:numId w:val="85"/>
        </w:numPr>
        <w:rPr>
          <w:rFonts w:ascii="Arial" w:cs="Arial" w:eastAsia="Arial" w:hAnsi="Arial"/>
          <w:sz w:val="19"/>
          <w:szCs w:val="19"/>
          <w:color w:val="auto"/>
        </w:rPr>
      </w:pPr>
      <w:r>
        <w:rPr>
          <w:rFonts w:ascii="Arial" w:cs="Arial" w:eastAsia="Arial" w:hAnsi="Arial"/>
          <w:sz w:val="19"/>
          <w:szCs w:val="19"/>
          <w:color w:val="auto"/>
        </w:rPr>
        <w:t>being or having been a “10-percent shareholder” of Comcast as defined in section 871(h)(3) of the United States Internal Revenue Code of 1986, as amended (the “Code”) or any successor provision; or</w:t>
      </w:r>
    </w:p>
    <w:p>
      <w:pPr>
        <w:spacing w:after="0" w:line="105" w:lineRule="exact"/>
        <w:rPr>
          <w:rFonts w:ascii="Arial" w:cs="Arial" w:eastAsia="Arial" w:hAnsi="Arial"/>
          <w:sz w:val="19"/>
          <w:szCs w:val="19"/>
          <w:color w:val="auto"/>
        </w:rPr>
      </w:pPr>
    </w:p>
    <w:p>
      <w:pPr>
        <w:ind w:left="1960" w:right="100" w:hanging="656"/>
        <w:spacing w:after="0" w:line="232" w:lineRule="auto"/>
        <w:tabs>
          <w:tab w:leader="none" w:pos="1957" w:val="left"/>
        </w:tabs>
        <w:numPr>
          <w:ilvl w:val="1"/>
          <w:numId w:val="85"/>
        </w:numPr>
        <w:rPr>
          <w:rFonts w:ascii="Arial" w:cs="Arial" w:eastAsia="Arial" w:hAnsi="Arial"/>
          <w:sz w:val="22"/>
          <w:szCs w:val="22"/>
          <w:color w:val="auto"/>
        </w:rPr>
      </w:pPr>
      <w:r>
        <w:rPr>
          <w:rFonts w:ascii="Arial" w:cs="Arial" w:eastAsia="Arial" w:hAnsi="Arial"/>
          <w:sz w:val="22"/>
          <w:szCs w:val="22"/>
          <w:color w:val="auto"/>
        </w:rPr>
        <w:t>being a bank receiving payments on an extension of credit made pursuant to a loan agreement entered into the ordinary course of its trade or business;</w:t>
      </w:r>
    </w:p>
    <w:p>
      <w:pPr>
        <w:spacing w:after="0" w:line="158" w:lineRule="exact"/>
        <w:rPr>
          <w:rFonts w:ascii="Arial" w:cs="Arial" w:eastAsia="Arial" w:hAnsi="Arial"/>
          <w:sz w:val="22"/>
          <w:szCs w:val="22"/>
          <w:color w:val="auto"/>
        </w:rPr>
      </w:pPr>
    </w:p>
    <w:p>
      <w:pPr>
        <w:ind w:left="1300" w:right="200" w:hanging="320"/>
        <w:spacing w:after="0" w:line="268" w:lineRule="auto"/>
        <w:tabs>
          <w:tab w:leader="none" w:pos="1295"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any holder that is not the sole beneficial owner of the 2029 Notes, or a portion of the 2029 Notes, or that is a fiduciary, partnership or limited liability company, but only to the extent that a beneficiary or settlor with respect to the fiduciary, a beneficial owner or member of the partnership or limited liability company would</w:t>
      </w:r>
    </w:p>
    <w:p>
      <w:pPr>
        <w:sectPr>
          <w:pgSz w:w="11900" w:h="16838" w:orient="portrait"/>
          <w:cols w:equalWidth="0" w:num="1">
            <w:col w:w="11240"/>
          </w:cols>
          <w:pgMar w:left="320" w:top="1400" w:right="339" w:bottom="1440" w:gutter="0" w:footer="0" w:header="0"/>
        </w:sectPr>
      </w:pPr>
    </w:p>
    <w:bookmarkStart w:id="134" w:name="page135"/>
    <w:bookmarkEnd w:id="134"/>
    <w:p>
      <w:pPr>
        <w:ind w:left="1300" w:right="460"/>
        <w:spacing w:after="0" w:line="232" w:lineRule="auto"/>
        <w:rPr>
          <w:sz w:val="20"/>
          <w:szCs w:val="20"/>
          <w:color w:val="auto"/>
        </w:rPr>
      </w:pPr>
      <w:r>
        <w:rPr>
          <w:rFonts w:ascii="Arial" w:cs="Arial" w:eastAsia="Arial" w:hAnsi="Arial"/>
          <w:sz w:val="22"/>
          <w:szCs w:val="22"/>
          <w:color w:val="auto"/>
        </w:rPr>
        <w:t>not have been entitled to the payment of an additional amount had the beneficiary, settlor, beneficial owner or member received directly its beneficial or distributive share of the payment;</w:t>
      </w:r>
    </w:p>
    <w:p>
      <w:pPr>
        <w:spacing w:after="0" w:line="159" w:lineRule="exact"/>
        <w:rPr>
          <w:sz w:val="20"/>
          <w:szCs w:val="20"/>
          <w:color w:val="auto"/>
        </w:rPr>
      </w:pPr>
    </w:p>
    <w:p>
      <w:pPr>
        <w:ind w:left="1300" w:right="280" w:hanging="320"/>
        <w:spacing w:after="0" w:line="249" w:lineRule="auto"/>
        <w:tabs>
          <w:tab w:leader="none" w:pos="1295"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2029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51" w:lineRule="exact"/>
        <w:rPr>
          <w:rFonts w:ascii="Arial" w:cs="Arial" w:eastAsia="Arial" w:hAnsi="Arial"/>
          <w:sz w:val="19"/>
          <w:szCs w:val="19"/>
          <w:color w:val="auto"/>
        </w:rPr>
      </w:pPr>
    </w:p>
    <w:p>
      <w:pPr>
        <w:ind w:left="1300" w:right="480" w:hanging="320"/>
        <w:spacing w:after="0" w:line="232" w:lineRule="auto"/>
        <w:tabs>
          <w:tab w:leader="none" w:pos="12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is imposed otherwise than by withholding by us or a paying agent from the payment;</w:t>
      </w:r>
    </w:p>
    <w:p>
      <w:pPr>
        <w:spacing w:after="0" w:line="158" w:lineRule="exact"/>
        <w:rPr>
          <w:rFonts w:ascii="Arial" w:cs="Arial" w:eastAsia="Arial" w:hAnsi="Arial"/>
          <w:sz w:val="22"/>
          <w:szCs w:val="22"/>
          <w:color w:val="auto"/>
        </w:rPr>
      </w:pPr>
    </w:p>
    <w:p>
      <w:pPr>
        <w:ind w:left="1300" w:right="120" w:hanging="320"/>
        <w:spacing w:after="0" w:line="223" w:lineRule="auto"/>
        <w:tabs>
          <w:tab w:leader="none" w:pos="12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58" w:lineRule="exact"/>
        <w:rPr>
          <w:rFonts w:ascii="Arial" w:cs="Arial" w:eastAsia="Arial" w:hAnsi="Arial"/>
          <w:sz w:val="22"/>
          <w:szCs w:val="22"/>
          <w:color w:val="auto"/>
        </w:rPr>
      </w:pPr>
    </w:p>
    <w:p>
      <w:pPr>
        <w:ind w:left="1300" w:right="180" w:hanging="320"/>
        <w:spacing w:after="0" w:line="232" w:lineRule="auto"/>
        <w:tabs>
          <w:tab w:leader="none" w:pos="12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any estate, inheritance, gift, sales, excise, transfer, wealth, capital gains or personal property tax or similar tax, assessment or other governmental charge;</w:t>
      </w:r>
    </w:p>
    <w:p>
      <w:pPr>
        <w:spacing w:after="0" w:line="158" w:lineRule="exact"/>
        <w:rPr>
          <w:rFonts w:ascii="Arial" w:cs="Arial" w:eastAsia="Arial" w:hAnsi="Arial"/>
          <w:sz w:val="22"/>
          <w:szCs w:val="22"/>
          <w:color w:val="auto"/>
        </w:rPr>
      </w:pPr>
    </w:p>
    <w:p>
      <w:pPr>
        <w:ind w:left="1300" w:right="220" w:hanging="320"/>
        <w:spacing w:after="0" w:line="223" w:lineRule="auto"/>
        <w:tabs>
          <w:tab w:leader="none" w:pos="12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158" w:lineRule="exact"/>
        <w:rPr>
          <w:rFonts w:ascii="Arial" w:cs="Arial" w:eastAsia="Arial" w:hAnsi="Arial"/>
          <w:sz w:val="22"/>
          <w:szCs w:val="22"/>
          <w:color w:val="auto"/>
        </w:rPr>
      </w:pPr>
    </w:p>
    <w:p>
      <w:pPr>
        <w:ind w:left="1300" w:right="100" w:hanging="320"/>
        <w:spacing w:after="0" w:line="223" w:lineRule="auto"/>
        <w:tabs>
          <w:tab w:leader="none" w:pos="12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58" w:lineRule="exact"/>
        <w:rPr>
          <w:rFonts w:ascii="Arial" w:cs="Arial" w:eastAsia="Arial" w:hAnsi="Arial"/>
          <w:sz w:val="22"/>
          <w:szCs w:val="22"/>
          <w:color w:val="auto"/>
        </w:rPr>
      </w:pPr>
    </w:p>
    <w:p>
      <w:pPr>
        <w:ind w:left="1300" w:right="80" w:hanging="320"/>
        <w:spacing w:after="0" w:line="218" w:lineRule="auto"/>
        <w:tabs>
          <w:tab w:leader="none" w:pos="12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or</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22"/>
          <w:szCs w:val="22"/>
          <w:color w:val="auto"/>
        </w:rPr>
        <w:t>(10) in the case of any combination of items (1), (2), (3), (4), (5), (6), (7), (8), and (9).</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The 2029 Notes are subject in all cases to any tax, fiscal or other law or regulation or administrative or judicial interpretation applicable to the 2029 Notes. Except as specifically provided under this heading “-Payments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8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As used under this heading “-Payments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w:t>
      </w:r>
    </w:p>
    <w:p>
      <w:pPr>
        <w:sectPr>
          <w:pgSz w:w="11900" w:h="16838" w:orient="portrait"/>
          <w:cols w:equalWidth="0" w:num="1">
            <w:col w:w="11240"/>
          </w:cols>
          <w:pgMar w:left="320" w:top="1400" w:right="339" w:bottom="1440" w:gutter="0" w:footer="0" w:header="0"/>
        </w:sectPr>
      </w:pPr>
    </w:p>
    <w:bookmarkStart w:id="135" w:name="page136"/>
    <w:bookmarkEnd w:id="135"/>
    <w:p>
      <w:pPr>
        <w:jc w:val="both"/>
        <w:spacing w:after="0" w:line="223" w:lineRule="auto"/>
        <w:rPr>
          <w:sz w:val="20"/>
          <w:szCs w:val="20"/>
          <w:color w:val="auto"/>
        </w:rPr>
      </w:pPr>
      <w:r>
        <w:rPr>
          <w:rFonts w:ascii="Arial" w:cs="Arial" w:eastAsia="Arial" w:hAnsi="Arial"/>
          <w:sz w:val="22"/>
          <w:szCs w:val="22"/>
          <w:color w:val="auto"/>
        </w:rPr>
        <w:t>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for Tax Reasons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2029 Notes, then we may at any time at our option redeem, in whole, but not in part, the 2029 Notes on not less than 30 nor more than 60 days prior notice, at a redemption price equal to 100% of their principal amount, together with interest accrued but unpaid on those notes to the date fixed for redemption.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Mandatory Redemption or Sinking Fund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is no mandatory redemption prior to maturity or sinking fund payments for the 2029 Notes.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indenture does not limit the amount of debt we may issue under the indenture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21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Issuer and the Guarantors are subject to some restrictions on their activities for the benefit of holders of all series of debt securities issued under the Indenture. The restrictive covenants summarized below apply, unless the covenants are waived or amended, so long as any of the debt securities are outstanding.</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Indenture does not contain any financial covenants other than those summarized below and does not restrict the Issuer or its subsidiaries from paying dividends or incurring additional debt. In addition, the Indenture will not protect holders of notes issued under it in the event of a highly leveraged transaction or a change in control.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Liens Securing Indebtedness</w:t>
      </w:r>
    </w:p>
    <w:p>
      <w:pPr>
        <w:spacing w:after="0" w:line="20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Neither Issuer nor any Guarantor shall create, incur or assume any Lien (other than any Permitted Lien) on such person’s assets, including the Capital Stock of its wholly owned subsidiaries to secure the payment of Indebtedness of the Issuer or any Guarantor, unless the Issuer secures the outstanding 2029 Notes equally and ratably with (or prior to) all Indebtedness secured by such Lien, so long as such Indebtedness shall be so secured.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Sale and Leaseback Transactions</w:t>
      </w:r>
    </w:p>
    <w:p>
      <w:pPr>
        <w:spacing w:after="0" w:line="20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Neither the Issuer nor any Guarantor shall enter into any Sale and Leaseback Transaction involving any of such person’s assets, including the Capital Stock of its wholly owned subsidiaries.</w:t>
      </w:r>
    </w:p>
    <w:p>
      <w:pPr>
        <w:sectPr>
          <w:pgSz w:w="11900" w:h="16838" w:orient="portrait"/>
          <w:cols w:equalWidth="0" w:num="1">
            <w:col w:w="11240"/>
          </w:cols>
          <w:pgMar w:left="320" w:top="1400" w:right="339" w:bottom="1440" w:gutter="0" w:footer="0" w:header="0"/>
        </w:sectPr>
      </w:pPr>
    </w:p>
    <w:bookmarkStart w:id="136" w:name="page137"/>
    <w:bookmarkEnd w:id="136"/>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restriction in the foregoing paragraph shall not apply to any Sale and Leaseback Transaction if:</w:t>
      </w:r>
    </w:p>
    <w:p>
      <w:pPr>
        <w:spacing w:after="0" w:line="179" w:lineRule="exact"/>
        <w:rPr>
          <w:sz w:val="20"/>
          <w:szCs w:val="20"/>
          <w:color w:val="auto"/>
        </w:rPr>
      </w:pPr>
    </w:p>
    <w:p>
      <w:pPr>
        <w:ind w:left="1300" w:hanging="320"/>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lease is for a period of not in excess of three years, including renewal of rights;</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lease secures or relates to industrial revenue or similar financing;</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transaction is solely between the Issuer and a Guarantor or between or among Guarantors; or</w:t>
      </w:r>
    </w:p>
    <w:p>
      <w:pPr>
        <w:spacing w:after="0" w:line="179" w:lineRule="exact"/>
        <w:rPr>
          <w:rFonts w:ascii="Arial" w:cs="Arial" w:eastAsia="Arial" w:hAnsi="Arial"/>
          <w:sz w:val="22"/>
          <w:szCs w:val="22"/>
          <w:color w:val="auto"/>
        </w:rPr>
      </w:pPr>
    </w:p>
    <w:p>
      <w:pPr>
        <w:ind w:left="1300" w:right="140" w:hanging="320"/>
        <w:spacing w:after="0" w:line="268" w:lineRule="auto"/>
        <w:tabs>
          <w:tab w:leader="none" w:pos="1295"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Issuer or such Guarantor, within 270 days after the sale is completed, applies an amount equal to or greater than (a) the net proceeds of the sale of the assets or part thereof leased or (b) the fair market value of the assets or part thereof leased (as determined in good faith by the Issuer’s Board of Directors) either to:</w:t>
      </w:r>
    </w:p>
    <w:p>
      <w:pPr>
        <w:spacing w:after="0" w:line="132" w:lineRule="exact"/>
        <w:rPr>
          <w:rFonts w:ascii="Arial" w:cs="Arial" w:eastAsia="Arial" w:hAnsi="Arial"/>
          <w:sz w:val="19"/>
          <w:szCs w:val="19"/>
          <w:color w:val="auto"/>
        </w:rPr>
      </w:pPr>
    </w:p>
    <w:p>
      <w:pPr>
        <w:ind w:left="1960" w:right="120" w:hanging="332"/>
        <w:spacing w:after="0" w:line="247" w:lineRule="auto"/>
        <w:tabs>
          <w:tab w:leader="none" w:pos="1956" w:val="left"/>
        </w:tabs>
        <w:numPr>
          <w:ilvl w:val="1"/>
          <w:numId w:val="87"/>
        </w:numPr>
        <w:rPr>
          <w:rFonts w:ascii="Arial" w:cs="Arial" w:eastAsia="Arial" w:hAnsi="Arial"/>
          <w:sz w:val="21"/>
          <w:szCs w:val="21"/>
          <w:color w:val="auto"/>
        </w:rPr>
      </w:pPr>
      <w:r>
        <w:rPr>
          <w:rFonts w:ascii="Arial" w:cs="Arial" w:eastAsia="Arial" w:hAnsi="Arial"/>
          <w:sz w:val="21"/>
          <w:szCs w:val="21"/>
          <w:color w:val="auto"/>
        </w:rPr>
        <w:t>the retirement (or open market purchase) of notes, other long-term Indebtedness of the Issuer ranking on a parity with or senior to the 2029 Notes or long-term Indebtedness of a Guarantor; or</w:t>
      </w:r>
    </w:p>
    <w:p>
      <w:pPr>
        <w:spacing w:after="0" w:line="150" w:lineRule="exact"/>
        <w:rPr>
          <w:rFonts w:ascii="Arial" w:cs="Arial" w:eastAsia="Arial" w:hAnsi="Arial"/>
          <w:sz w:val="21"/>
          <w:szCs w:val="21"/>
          <w:color w:val="auto"/>
        </w:rPr>
      </w:pPr>
    </w:p>
    <w:p>
      <w:pPr>
        <w:ind w:left="1960" w:right="80" w:hanging="332"/>
        <w:spacing w:after="0" w:line="298" w:lineRule="auto"/>
        <w:tabs>
          <w:tab w:leader="none" w:pos="1956"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purchase by the Issuer or any Guarantor of other property, plant or equipment related to the business of the Issuer or any Guarantor having a value at least equal to the value of the assets or part thereof leased.</w:t>
      </w:r>
    </w:p>
    <w:p>
      <w:pPr>
        <w:spacing w:after="0" w:line="10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Capitalized Lease</w:t>
      </w:r>
      <w:r>
        <w:rPr>
          <w:rFonts w:ascii="Arial" w:cs="Arial" w:eastAsia="Arial" w:hAnsi="Arial"/>
          <w:sz w:val="22"/>
          <w:szCs w:val="22"/>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Stock</w:t>
      </w:r>
      <w:r>
        <w:rPr>
          <w:rFonts w:ascii="Arial" w:cs="Arial" w:eastAsia="Arial" w:hAnsi="Arial"/>
          <w:sz w:val="19"/>
          <w:szCs w:val="19"/>
          <w:color w:val="auto"/>
        </w:rPr>
        <w:t>” means, with respect to any person, any and all shares, interests, participations, or other equivalents (however designated, whether voting or non-voting) of such person’s capital stock or other ownership interests, whether now outstanding or issued after the date of the Indenture, including, without limitation, all common stock and preferred stock.</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Currency Agreement</w:t>
      </w:r>
      <w:r>
        <w:rPr>
          <w:rFonts w:ascii="Arial" w:cs="Arial" w:eastAsia="Arial" w:hAnsi="Arial"/>
          <w:sz w:val="22"/>
          <w:szCs w:val="22"/>
          <w:color w:val="auto"/>
        </w:rPr>
        <w:t>” means any foreign exchange contract, currency swap agreement, or other similar agreement or arrangement designed to protect against the fluctuation in currency values.</w:t>
      </w:r>
    </w:p>
    <w:p>
      <w:pPr>
        <w:spacing w:after="0" w:line="18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Indenture shall be computed in conformity with GAAP applied on a consistent basis.</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w:t>
      </w:r>
      <w:r>
        <w:rPr>
          <w:rFonts w:ascii="Arial" w:cs="Arial" w:eastAsia="Arial" w:hAnsi="Arial"/>
          <w:sz w:val="22"/>
          <w:szCs w:val="22"/>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ectPr>
          <w:pgSz w:w="11900" w:h="16838" w:orient="portrait"/>
          <w:cols w:equalWidth="0" w:num="1">
            <w:col w:w="11240"/>
          </w:cols>
          <w:pgMar w:left="320" w:top="1440" w:right="339" w:bottom="1440" w:gutter="0" w:footer="0" w:header="0"/>
        </w:sectPr>
      </w:pPr>
    </w:p>
    <w:bookmarkStart w:id="137" w:name="page138"/>
    <w:bookmarkEnd w:id="137"/>
    <w:p>
      <w:pPr>
        <w:ind w:left="1300" w:right="60" w:hanging="320"/>
        <w:spacing w:after="0" w:line="218" w:lineRule="auto"/>
        <w:tabs>
          <w:tab w:leader="none" w:pos="1295" w:val="left"/>
        </w:tabs>
        <w:numPr>
          <w:ilvl w:val="0"/>
          <w:numId w:val="88"/>
        </w:numPr>
        <w:rPr>
          <w:rFonts w:ascii="Arial" w:cs="Arial" w:eastAsia="Arial" w:hAnsi="Arial"/>
          <w:sz w:val="22"/>
          <w:szCs w:val="22"/>
          <w:color w:val="auto"/>
        </w:rPr>
      </w:pPr>
      <w:r>
        <w:rPr>
          <w:rFonts w:ascii="Arial" w:cs="Arial" w:eastAsia="Arial" w:hAnsi="Arial"/>
          <w:sz w:val="22"/>
          <w:szCs w:val="22"/>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60" w:lineRule="exact"/>
        <w:rPr>
          <w:rFonts w:ascii="Arial" w:cs="Arial" w:eastAsia="Arial" w:hAnsi="Arial"/>
          <w:sz w:val="22"/>
          <w:szCs w:val="22"/>
          <w:color w:val="auto"/>
        </w:rPr>
      </w:pPr>
    </w:p>
    <w:p>
      <w:pPr>
        <w:ind w:left="1300" w:right="220" w:hanging="320"/>
        <w:spacing w:after="0" w:line="298" w:lineRule="auto"/>
        <w:tabs>
          <w:tab w:leader="none" w:pos="1295" w:val="left"/>
        </w:tabs>
        <w:numPr>
          <w:ilvl w:val="0"/>
          <w:numId w:val="88"/>
        </w:numPr>
        <w:rPr>
          <w:rFonts w:ascii="Arial" w:cs="Arial" w:eastAsia="Arial" w:hAnsi="Arial"/>
          <w:sz w:val="19"/>
          <w:szCs w:val="19"/>
          <w:color w:val="auto"/>
        </w:rPr>
      </w:pPr>
      <w:r>
        <w:rPr>
          <w:rFonts w:ascii="Arial" w:cs="Arial" w:eastAsia="Arial" w:hAnsi="Arial"/>
          <w:sz w:val="19"/>
          <w:szCs w:val="19"/>
          <w:color w:val="auto"/>
        </w:rPr>
        <w:t>entered into for purposes of assuring in any other manner the obligee of such Indebtedness or other obligation of the payment thereof or to protect such obligee against loss in respect thereof (in whole or in part);</w:t>
      </w:r>
    </w:p>
    <w:p>
      <w:pPr>
        <w:spacing w:after="0" w:line="10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provided that the term “Guarantee” shall not include endorsements for collection or deposit in the ordinary course of business. The term “Guarantee” used as a verb has a corresponding meaning.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Indebtedness</w:t>
      </w:r>
      <w:r>
        <w:rPr>
          <w:rFonts w:ascii="Arial" w:cs="Arial" w:eastAsia="Arial" w:hAnsi="Arial"/>
          <w:sz w:val="22"/>
          <w:szCs w:val="22"/>
          <w:color w:val="auto"/>
        </w:rPr>
        <w:t>” means, with respect to any person at any date of determination (without duplication):</w:t>
      </w:r>
    </w:p>
    <w:p>
      <w:pPr>
        <w:spacing w:after="0" w:line="179" w:lineRule="exact"/>
        <w:rPr>
          <w:sz w:val="20"/>
          <w:szCs w:val="20"/>
          <w:color w:val="auto"/>
        </w:rPr>
      </w:pPr>
    </w:p>
    <w:p>
      <w:pPr>
        <w:ind w:left="1300" w:hanging="320"/>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indebtedness of such person for borrowed money;</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obligations of such person evidenced by bonds, debentures, notes, or other similar instruments;</w:t>
      </w:r>
    </w:p>
    <w:p>
      <w:pPr>
        <w:spacing w:after="0" w:line="179" w:lineRule="exact"/>
        <w:rPr>
          <w:rFonts w:ascii="Arial" w:cs="Arial" w:eastAsia="Arial" w:hAnsi="Arial"/>
          <w:sz w:val="22"/>
          <w:szCs w:val="22"/>
          <w:color w:val="auto"/>
        </w:rPr>
      </w:pPr>
    </w:p>
    <w:p>
      <w:pPr>
        <w:ind w:left="1300" w:right="180" w:hanging="320"/>
        <w:spacing w:after="0" w:line="232" w:lineRule="auto"/>
        <w:tabs>
          <w:tab w:leader="none" w:pos="1295"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obligations of such person in respect of letters of credit or other similar instruments (including reimbursement obligations with respect thereto);</w:t>
      </w:r>
    </w:p>
    <w:p>
      <w:pPr>
        <w:spacing w:after="0" w:line="158" w:lineRule="exact"/>
        <w:rPr>
          <w:rFonts w:ascii="Arial" w:cs="Arial" w:eastAsia="Arial" w:hAnsi="Arial"/>
          <w:sz w:val="22"/>
          <w:szCs w:val="22"/>
          <w:color w:val="auto"/>
        </w:rPr>
      </w:pPr>
    </w:p>
    <w:p>
      <w:pPr>
        <w:ind w:left="1300" w:right="100" w:hanging="320"/>
        <w:spacing w:after="0" w:line="247" w:lineRule="auto"/>
        <w:tabs>
          <w:tab w:leader="none" w:pos="1295" w:val="left"/>
        </w:tabs>
        <w:numPr>
          <w:ilvl w:val="0"/>
          <w:numId w:val="89"/>
        </w:numPr>
        <w:rPr>
          <w:rFonts w:ascii="Arial" w:cs="Arial" w:eastAsia="Arial" w:hAnsi="Arial"/>
          <w:sz w:val="21"/>
          <w:szCs w:val="21"/>
          <w:color w:val="auto"/>
        </w:rPr>
      </w:pPr>
      <w:r>
        <w:rPr>
          <w:rFonts w:ascii="Arial" w:cs="Arial" w:eastAsia="Arial" w:hAnsi="Arial"/>
          <w:sz w:val="21"/>
          <w:szCs w:val="21"/>
          <w:color w:val="auto"/>
        </w:rPr>
        <w:t>all obligations of such person to pay the deferred and unpaid purchase price of property or services (but excluding trade accounts payable or accrued liabilities arising in the ordinary course of business);</w:t>
      </w:r>
    </w:p>
    <w:p>
      <w:pPr>
        <w:spacing w:after="0" w:line="150" w:lineRule="exact"/>
        <w:rPr>
          <w:rFonts w:ascii="Arial" w:cs="Arial" w:eastAsia="Arial" w:hAnsi="Arial"/>
          <w:sz w:val="21"/>
          <w:szCs w:val="21"/>
          <w:color w:val="auto"/>
        </w:rPr>
      </w:pPr>
    </w:p>
    <w:p>
      <w:pPr>
        <w:ind w:left="1300" w:hanging="320"/>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obligations of such person as lessee under Capitalized Leases;</w:t>
      </w:r>
    </w:p>
    <w:p>
      <w:pPr>
        <w:spacing w:after="0" w:line="179" w:lineRule="exact"/>
        <w:rPr>
          <w:rFonts w:ascii="Arial" w:cs="Arial" w:eastAsia="Arial" w:hAnsi="Arial"/>
          <w:sz w:val="22"/>
          <w:szCs w:val="22"/>
          <w:color w:val="auto"/>
        </w:rPr>
      </w:pPr>
    </w:p>
    <w:p>
      <w:pPr>
        <w:ind w:left="1300" w:right="100" w:hanging="320"/>
        <w:spacing w:after="0" w:line="298" w:lineRule="auto"/>
        <w:tabs>
          <w:tab w:leader="none" w:pos="1295" w:val="left"/>
        </w:tabs>
        <w:numPr>
          <w:ilvl w:val="0"/>
          <w:numId w:val="89"/>
        </w:numPr>
        <w:rPr>
          <w:rFonts w:ascii="Arial" w:cs="Arial" w:eastAsia="Arial" w:hAnsi="Arial"/>
          <w:sz w:val="19"/>
          <w:szCs w:val="19"/>
          <w:color w:val="auto"/>
        </w:rPr>
      </w:pPr>
      <w:r>
        <w:rPr>
          <w:rFonts w:ascii="Arial" w:cs="Arial" w:eastAsia="Arial" w:hAnsi="Arial"/>
          <w:sz w:val="19"/>
          <w:szCs w:val="19"/>
          <w:color w:val="auto"/>
        </w:rPr>
        <w:t>all Indebtedness of other persons secured by a Lien on any asset of such person, whether or not such Indebtedness is assumed by such person; provided that the amount of such Indebtedness shall be the lesser of:</w:t>
      </w:r>
    </w:p>
    <w:p>
      <w:pPr>
        <w:spacing w:after="0" w:line="105" w:lineRule="exact"/>
        <w:rPr>
          <w:rFonts w:ascii="Arial" w:cs="Arial" w:eastAsia="Arial" w:hAnsi="Arial"/>
          <w:sz w:val="19"/>
          <w:szCs w:val="19"/>
          <w:color w:val="auto"/>
        </w:rPr>
      </w:pPr>
    </w:p>
    <w:p>
      <w:pPr>
        <w:ind w:left="1940" w:hanging="312"/>
        <w:spacing w:after="0"/>
        <w:tabs>
          <w:tab w:leader="none" w:pos="1940"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fair market value of such asset at such date of determination; and</w:t>
      </w:r>
    </w:p>
    <w:p>
      <w:pPr>
        <w:spacing w:after="0" w:line="179" w:lineRule="exact"/>
        <w:rPr>
          <w:rFonts w:ascii="Arial" w:cs="Arial" w:eastAsia="Arial" w:hAnsi="Arial"/>
          <w:sz w:val="22"/>
          <w:szCs w:val="22"/>
          <w:color w:val="auto"/>
        </w:rPr>
      </w:pPr>
    </w:p>
    <w:p>
      <w:pPr>
        <w:ind w:left="1940" w:hanging="312"/>
        <w:spacing w:after="0"/>
        <w:tabs>
          <w:tab w:leader="none" w:pos="1940"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amount of such Indebtedness;</w:t>
      </w:r>
    </w:p>
    <w:p>
      <w:pPr>
        <w:spacing w:after="0" w:line="179" w:lineRule="exact"/>
        <w:rPr>
          <w:rFonts w:ascii="Arial" w:cs="Arial" w:eastAsia="Arial" w:hAnsi="Arial"/>
          <w:sz w:val="22"/>
          <w:szCs w:val="22"/>
          <w:color w:val="auto"/>
        </w:rPr>
      </w:pPr>
    </w:p>
    <w:p>
      <w:pPr>
        <w:ind w:left="1300" w:right="420" w:hanging="320"/>
        <w:spacing w:after="0" w:line="232" w:lineRule="auto"/>
        <w:tabs>
          <w:tab w:leader="none" w:pos="1295"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Indebtedness of other persons Guaranteed by such person to the extent such Indebtedness is Guaranteed by such person; and</w:t>
      </w:r>
    </w:p>
    <w:p>
      <w:pPr>
        <w:spacing w:after="0" w:line="158" w:lineRule="exact"/>
        <w:rPr>
          <w:rFonts w:ascii="Arial" w:cs="Arial" w:eastAsia="Arial" w:hAnsi="Arial"/>
          <w:sz w:val="22"/>
          <w:szCs w:val="22"/>
          <w:color w:val="auto"/>
        </w:rPr>
      </w:pPr>
    </w:p>
    <w:p>
      <w:pPr>
        <w:ind w:left="1300" w:right="280" w:hanging="320"/>
        <w:spacing w:after="0" w:line="232" w:lineRule="auto"/>
        <w:tabs>
          <w:tab w:leader="none" w:pos="1295" w:val="left"/>
        </w:tabs>
        <w:numPr>
          <w:ilvl w:val="0"/>
          <w:numId w:val="89"/>
        </w:numPr>
        <w:rPr>
          <w:rFonts w:ascii="Arial" w:cs="Arial" w:eastAsia="Arial" w:hAnsi="Arial"/>
          <w:sz w:val="22"/>
          <w:szCs w:val="22"/>
          <w:color w:val="auto"/>
        </w:rPr>
      </w:pPr>
      <w:r>
        <w:rPr>
          <w:rFonts w:ascii="Arial" w:cs="Arial" w:eastAsia="Arial" w:hAnsi="Arial"/>
          <w:sz w:val="22"/>
          <w:szCs w:val="22"/>
          <w:color w:val="auto"/>
        </w:rPr>
        <w:t>to the extent not otherwise included in this definition, obligations under Currency Agreements and Interest Rate Agreements.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59" w:lineRule="exact"/>
        <w:rPr>
          <w:sz w:val="20"/>
          <w:szCs w:val="20"/>
          <w:color w:val="auto"/>
        </w:rPr>
      </w:pPr>
    </w:p>
    <w:p>
      <w:pPr>
        <w:jc w:val="both"/>
        <w:ind w:left="1300" w:right="60" w:hanging="320"/>
        <w:spacing w:after="0" w:line="223" w:lineRule="auto"/>
        <w:tabs>
          <w:tab w:leader="none" w:pos="1295"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ectPr>
          <w:pgSz w:w="11900" w:h="16838" w:orient="portrait"/>
          <w:cols w:equalWidth="0" w:num="1">
            <w:col w:w="11240"/>
          </w:cols>
          <w:pgMar w:left="320" w:top="1400" w:right="339" w:bottom="1440" w:gutter="0" w:footer="0" w:header="0"/>
        </w:sectPr>
      </w:pPr>
    </w:p>
    <w:bookmarkStart w:id="138" w:name="page139"/>
    <w:bookmarkEnd w:id="138"/>
    <w:p>
      <w:pPr>
        <w:ind w:left="1300" w:hanging="320"/>
        <w:spacing w:after="0"/>
        <w:tabs>
          <w:tab w:leader="none" w:pos="13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that Indebtedness shall not include any liability for federal, state, local, or other taxes.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Rate Agreements</w:t>
      </w:r>
      <w:r>
        <w:rPr>
          <w:rFonts w:ascii="Arial" w:cs="Arial" w:eastAsia="Arial" w:hAnsi="Arial"/>
          <w:sz w:val="19"/>
          <w:szCs w:val="19"/>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8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Indenture, the Issuer or any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Liens</w:t>
      </w:r>
      <w:r>
        <w:rPr>
          <w:rFonts w:ascii="Arial" w:cs="Arial" w:eastAsia="Arial" w:hAnsi="Arial"/>
          <w:sz w:val="22"/>
          <w:szCs w:val="22"/>
          <w:color w:val="auto"/>
        </w:rPr>
        <w:t>” means:</w:t>
      </w:r>
    </w:p>
    <w:p>
      <w:pPr>
        <w:spacing w:after="0" w:line="179" w:lineRule="exact"/>
        <w:rPr>
          <w:sz w:val="20"/>
          <w:szCs w:val="20"/>
          <w:color w:val="auto"/>
        </w:rPr>
      </w:pPr>
    </w:p>
    <w:p>
      <w:pPr>
        <w:ind w:left="1300" w:hanging="320"/>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Lien on any asset incurred prior to the date of the Indenture;</w:t>
      </w:r>
    </w:p>
    <w:p>
      <w:pPr>
        <w:spacing w:after="0" w:line="179" w:lineRule="exact"/>
        <w:rPr>
          <w:rFonts w:ascii="Arial" w:cs="Arial" w:eastAsia="Arial" w:hAnsi="Arial"/>
          <w:sz w:val="22"/>
          <w:szCs w:val="22"/>
          <w:color w:val="auto"/>
        </w:rPr>
      </w:pPr>
    </w:p>
    <w:p>
      <w:pPr>
        <w:ind w:left="1300" w:hanging="320"/>
        <w:spacing w:after="0" w:line="214" w:lineRule="auto"/>
        <w:tabs>
          <w:tab w:leader="none" w:pos="1295"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Lien on any assets acquired after the date of the Indenture (including by way of merger or consolidation) by the Issuer or any Guarantor, which Lien is created, incurred or assumed contemporaneously with such acquisition, or within 270 days thereafter, to secure or provide for the payment or financing of any part of the purchase price thereof, or any Lien upon any assets acquired after the date of the Indenture existing at the time of such acquisition (whether or not assumed by the Issuer or any Guarantor), provided that any such Lien shall attach only to the assets so acquired;</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Lien on any assets in favor of the Issuer or any Guarantor;</w:t>
      </w:r>
    </w:p>
    <w:p>
      <w:pPr>
        <w:spacing w:after="0" w:line="179" w:lineRule="exact"/>
        <w:rPr>
          <w:rFonts w:ascii="Arial" w:cs="Arial" w:eastAsia="Arial" w:hAnsi="Arial"/>
          <w:sz w:val="22"/>
          <w:szCs w:val="22"/>
          <w:color w:val="auto"/>
        </w:rPr>
      </w:pPr>
    </w:p>
    <w:p>
      <w:pPr>
        <w:ind w:left="1300" w:right="300" w:hanging="320"/>
        <w:spacing w:after="0" w:line="232" w:lineRule="auto"/>
        <w:tabs>
          <w:tab w:leader="none" w:pos="1295"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Lien on assets incurred in connection with the issuance of tax-exempt governmental obligations (including, without limitation, industrial revenue bonds and similar financing);</w:t>
      </w:r>
    </w:p>
    <w:p>
      <w:pPr>
        <w:spacing w:after="0" w:line="158" w:lineRule="exact"/>
        <w:rPr>
          <w:rFonts w:ascii="Arial" w:cs="Arial" w:eastAsia="Arial" w:hAnsi="Arial"/>
          <w:sz w:val="22"/>
          <w:szCs w:val="22"/>
          <w:color w:val="auto"/>
        </w:rPr>
      </w:pPr>
    </w:p>
    <w:p>
      <w:pPr>
        <w:ind w:left="1300" w:right="900" w:hanging="320"/>
        <w:spacing w:after="0" w:line="298" w:lineRule="auto"/>
        <w:tabs>
          <w:tab w:leader="none" w:pos="1295"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Lien granted by any Guarantor on assets to the extent limitations on the incurrence of such Liens are prohibited by any agreement to which such Guarantor is subject as of the date of the Indenture; and</w:t>
      </w:r>
    </w:p>
    <w:p>
      <w:pPr>
        <w:spacing w:after="0" w:line="105" w:lineRule="exact"/>
        <w:rPr>
          <w:rFonts w:ascii="Arial" w:cs="Arial" w:eastAsia="Arial" w:hAnsi="Arial"/>
          <w:sz w:val="19"/>
          <w:szCs w:val="19"/>
          <w:color w:val="auto"/>
        </w:rPr>
      </w:pPr>
    </w:p>
    <w:p>
      <w:pPr>
        <w:ind w:left="1300" w:right="140" w:hanging="320"/>
        <w:spacing w:after="0" w:line="218" w:lineRule="auto"/>
        <w:tabs>
          <w:tab w:leader="none" w:pos="1295"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Sale and Leaseback Transaction</w:t>
      </w:r>
      <w:r>
        <w:rPr>
          <w:rFonts w:ascii="Arial" w:cs="Arial" w:eastAsia="Arial" w:hAnsi="Arial"/>
          <w:sz w:val="19"/>
          <w:szCs w:val="19"/>
          <w:color w:val="auto"/>
        </w:rPr>
        <w:t>” means any direct or indirect arrangement with any person or to which any such person is a party, providing for the leasing to the Issuer or a Guarantor of any property, whether owned by the Issuer or such Guarantor at the date of the original issuance of the 2029 Notes or later acquired, which has been or is to be sold or</w:t>
      </w:r>
    </w:p>
    <w:p>
      <w:pPr>
        <w:sectPr>
          <w:pgSz w:w="11900" w:h="16838" w:orient="portrait"/>
          <w:cols w:equalWidth="0" w:num="1">
            <w:col w:w="11240"/>
          </w:cols>
          <w:pgMar w:left="320" w:top="1400" w:right="339" w:bottom="1440" w:gutter="0" w:footer="0" w:header="0"/>
        </w:sectPr>
      </w:pPr>
    </w:p>
    <w:bookmarkStart w:id="139" w:name="page140"/>
    <w:bookmarkEnd w:id="139"/>
    <w:p>
      <w:pPr>
        <w:jc w:val="both"/>
        <w:ind w:right="20"/>
        <w:spacing w:after="0" w:line="232" w:lineRule="auto"/>
        <w:rPr>
          <w:sz w:val="20"/>
          <w:szCs w:val="20"/>
          <w:color w:val="auto"/>
        </w:rPr>
      </w:pPr>
      <w:r>
        <w:rPr>
          <w:rFonts w:ascii="Arial" w:cs="Arial" w:eastAsia="Arial" w:hAnsi="Arial"/>
          <w:sz w:val="22"/>
          <w:szCs w:val="22"/>
          <w:color w:val="auto"/>
        </w:rPr>
        <w:t>transferred by the Issuer or such Guarantor to such person or to any other person by whom funds have been or are to be advanced on the security of such property.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Merger and Sale of Assets</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The Indenture restricts the Issuer’s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the Issuer and a wholly-owned subsidiary, no consideration other than common stock in the surviving person shall be issued or distributed to the Issuer’s stockholders) or permit any person to merge with or into such party unless:</w:t>
      </w:r>
    </w:p>
    <w:p>
      <w:pPr>
        <w:spacing w:after="0" w:line="152" w:lineRule="exact"/>
        <w:rPr>
          <w:sz w:val="20"/>
          <w:szCs w:val="20"/>
          <w:color w:val="auto"/>
        </w:rPr>
      </w:pPr>
    </w:p>
    <w:p>
      <w:pPr>
        <w:ind w:left="1300" w:right="40" w:hanging="320"/>
        <w:spacing w:after="0" w:line="216" w:lineRule="auto"/>
        <w:tabs>
          <w:tab w:leader="none" w:pos="1295"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Issuer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the Issuer’s obligations on all of the 2029 Notes and under the Indenture;</w:t>
      </w:r>
    </w:p>
    <w:p>
      <w:pPr>
        <w:spacing w:after="0" w:line="157" w:lineRule="exact"/>
        <w:rPr>
          <w:rFonts w:ascii="Arial" w:cs="Arial" w:eastAsia="Arial" w:hAnsi="Arial"/>
          <w:sz w:val="22"/>
          <w:szCs w:val="22"/>
          <w:color w:val="auto"/>
        </w:rPr>
      </w:pPr>
    </w:p>
    <w:p>
      <w:pPr>
        <w:ind w:left="1300" w:right="620" w:hanging="320"/>
        <w:spacing w:after="0" w:line="232" w:lineRule="auto"/>
        <w:tabs>
          <w:tab w:leader="none" w:pos="1295" w:val="left"/>
        </w:tabs>
        <w:numPr>
          <w:ilvl w:val="0"/>
          <w:numId w:val="93"/>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default or event of default shall have occurred and be continuing; and</w:t>
      </w:r>
    </w:p>
    <w:p>
      <w:pPr>
        <w:spacing w:after="0" w:line="158" w:lineRule="exact"/>
        <w:rPr>
          <w:rFonts w:ascii="Arial" w:cs="Arial" w:eastAsia="Arial" w:hAnsi="Arial"/>
          <w:sz w:val="22"/>
          <w:szCs w:val="22"/>
          <w:color w:val="auto"/>
        </w:rPr>
      </w:pPr>
    </w:p>
    <w:p>
      <w:pPr>
        <w:ind w:left="1300" w:right="40" w:hanging="320"/>
        <w:spacing w:after="0" w:line="268" w:lineRule="auto"/>
        <w:tabs>
          <w:tab w:leader="none" w:pos="1295"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Issuer delivers to the Trustee an officers’ certificate and opinion of counsel, in each case stating that such consolidation, merger, or transfer and such supplemental indenture complies with this provision and that all conditions precedent provided for in the Indenture and notes relating to such transaction have been complied with;</w:t>
      </w:r>
    </w:p>
    <w:p>
      <w:pPr>
        <w:spacing w:after="0" w:line="13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provided, however, that the foregoing limitations will not apply if, in the good faith determination of the Issuer’s board of directors, whose determination must be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Upon any express assumption of the Issuer’s obligations as described above, the Issuer shall be released and discharged from all obligations and covenants under the Indenture and all the 2029 Notes.</w:t>
      </w:r>
    </w:p>
    <w:p>
      <w:pPr>
        <w:spacing w:after="0" w:line="18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The Indenture and the guarantees do not limit the ability of any guarantor to consolidate with or merge into or sell all or substantially all its assets. Upon the sale or disposition of any guarantor (by merger, consolidation, the sale of its capital stock or the sale of all or substantially all of its assets) to any person, that guarantor will be deemed released from all its obligations under the Indenture and its guarantee.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Issuer and the Trustee may amend or supplement the Indenture or the 2029 Notes without notice to or the consent of any holder:</w:t>
      </w:r>
    </w:p>
    <w:p>
      <w:pPr>
        <w:sectPr>
          <w:pgSz w:w="11900" w:h="16838" w:orient="portrait"/>
          <w:cols w:equalWidth="0" w:num="1">
            <w:col w:w="11240"/>
          </w:cols>
          <w:pgMar w:left="320" w:top="1400" w:right="339" w:bottom="1440" w:gutter="0" w:footer="0" w:header="0"/>
        </w:sectPr>
      </w:pPr>
    </w:p>
    <w:bookmarkStart w:id="140" w:name="page141"/>
    <w:bookmarkEnd w:id="140"/>
    <w:p>
      <w:pPr>
        <w:ind w:left="1300" w:right="260" w:hanging="320"/>
        <w:spacing w:after="0" w:line="232" w:lineRule="auto"/>
        <w:tabs>
          <w:tab w:leader="none" w:pos="129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cure any ambiguity, defect, or inconsistency in the Indenture; provided that such amendments or supplements shall not adversely affect the interests of the holders in any material respect;</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to comply with the provisions described under “-Certain Covenants-Consolidation, Merger and Sale of Assets;”</w:t>
      </w:r>
    </w:p>
    <w:p>
      <w:pPr>
        <w:spacing w:after="0" w:line="213" w:lineRule="exact"/>
        <w:rPr>
          <w:rFonts w:ascii="Arial" w:cs="Arial" w:eastAsia="Arial" w:hAnsi="Arial"/>
          <w:sz w:val="19"/>
          <w:szCs w:val="19"/>
          <w:color w:val="auto"/>
        </w:rPr>
      </w:pPr>
    </w:p>
    <w:p>
      <w:pPr>
        <w:ind w:left="1300" w:right="160" w:hanging="320"/>
        <w:spacing w:after="0" w:line="232" w:lineRule="auto"/>
        <w:tabs>
          <w:tab w:leader="none" w:pos="129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comply with any requirements of the SEC in connection with the qualification of the Indenture under the Trust Indenture Act;</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hereunder by a successor Trustee;</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establish the form or forms or terms of the 2029 Notes as permitted by the Indenture;</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provide for uncertificated notes and to make all appropriate changes for such purpose;</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w:t>
      </w:r>
    </w:p>
    <w:p>
      <w:pPr>
        <w:spacing w:after="0" w:line="179" w:lineRule="exact"/>
        <w:rPr>
          <w:rFonts w:ascii="Arial" w:cs="Arial" w:eastAsia="Arial" w:hAnsi="Arial"/>
          <w:sz w:val="22"/>
          <w:szCs w:val="22"/>
          <w:color w:val="auto"/>
        </w:rPr>
      </w:pPr>
    </w:p>
    <w:p>
      <w:pPr>
        <w:ind w:left="1300" w:right="120" w:hanging="320"/>
        <w:spacing w:after="0" w:line="223" w:lineRule="auto"/>
        <w:tabs>
          <w:tab w:leader="none" w:pos="129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make any change so long as no 2029 Notes are outstanding.</w:t>
      </w:r>
    </w:p>
    <w:p>
      <w:pPr>
        <w:spacing w:after="0" w:line="17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Subject to certain conditions, without prior notice to any holder of 2029 Notes, modifications and amendments of the Indenture may be made by the Issuer and the Trustee with respect to any series of 2029 Notes with the written consent of the holders of a majority in principal amount of the affected series of 2029 Notes, and compliance by the Issuer with any provision of the Indenture with respect to any series of 2029 Notes may be waived by written notice to the Trustee by the holders of a majority in principal amount of the affected series of 2029 Notes outstanding; provided, however, that each affected holder must consent to any modification, amendment or waiver that:</w:t>
      </w:r>
    </w:p>
    <w:p>
      <w:pPr>
        <w:spacing w:after="0" w:line="160" w:lineRule="exact"/>
        <w:rPr>
          <w:sz w:val="20"/>
          <w:szCs w:val="20"/>
          <w:color w:val="auto"/>
        </w:rPr>
      </w:pPr>
    </w:p>
    <w:p>
      <w:pPr>
        <w:ind w:left="1300" w:right="400" w:hanging="320"/>
        <w:spacing w:after="0" w:line="232" w:lineRule="auto"/>
        <w:tabs>
          <w:tab w:leader="none" w:pos="1295" w:val="left"/>
        </w:tabs>
        <w:numPr>
          <w:ilvl w:val="0"/>
          <w:numId w:val="95"/>
        </w:numPr>
        <w:rPr>
          <w:rFonts w:ascii="Arial" w:cs="Arial" w:eastAsia="Arial" w:hAnsi="Arial"/>
          <w:sz w:val="22"/>
          <w:szCs w:val="22"/>
          <w:color w:val="auto"/>
        </w:rPr>
      </w:pPr>
      <w:r>
        <w:rPr>
          <w:rFonts w:ascii="Arial" w:cs="Arial" w:eastAsia="Arial" w:hAnsi="Arial"/>
          <w:sz w:val="22"/>
          <w:szCs w:val="22"/>
          <w:color w:val="auto"/>
        </w:rPr>
        <w:t>changes the stated maturity of the principal of, or any installment of interest on, the 2029 Notes of the affected series;</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95"/>
        </w:numPr>
        <w:rPr>
          <w:rFonts w:ascii="Arial" w:cs="Arial" w:eastAsia="Arial" w:hAnsi="Arial"/>
          <w:sz w:val="21"/>
          <w:szCs w:val="21"/>
          <w:color w:val="auto"/>
        </w:rPr>
      </w:pPr>
      <w:r>
        <w:rPr>
          <w:rFonts w:ascii="Arial" w:cs="Arial" w:eastAsia="Arial" w:hAnsi="Arial"/>
          <w:sz w:val="21"/>
          <w:szCs w:val="21"/>
          <w:color w:val="auto"/>
        </w:rPr>
        <w:t>reduces the principal amount of, or premium, if any, or interest on, the 2029 Notes of the affected series;</w:t>
      </w:r>
    </w:p>
    <w:p>
      <w:pPr>
        <w:spacing w:after="0" w:line="190" w:lineRule="exact"/>
        <w:rPr>
          <w:rFonts w:ascii="Arial" w:cs="Arial" w:eastAsia="Arial" w:hAnsi="Arial"/>
          <w:sz w:val="21"/>
          <w:szCs w:val="21"/>
          <w:color w:val="auto"/>
        </w:rPr>
      </w:pPr>
    </w:p>
    <w:p>
      <w:pPr>
        <w:ind w:left="1300" w:right="120" w:hanging="320"/>
        <w:spacing w:after="0" w:line="232" w:lineRule="auto"/>
        <w:tabs>
          <w:tab w:leader="none" w:pos="1295" w:val="left"/>
        </w:tabs>
        <w:numPr>
          <w:ilvl w:val="0"/>
          <w:numId w:val="95"/>
        </w:numPr>
        <w:rPr>
          <w:rFonts w:ascii="Arial" w:cs="Arial" w:eastAsia="Arial" w:hAnsi="Arial"/>
          <w:sz w:val="22"/>
          <w:szCs w:val="22"/>
          <w:color w:val="auto"/>
        </w:rPr>
      </w:pPr>
      <w:r>
        <w:rPr>
          <w:rFonts w:ascii="Arial" w:cs="Arial" w:eastAsia="Arial" w:hAnsi="Arial"/>
          <w:sz w:val="22"/>
          <w:szCs w:val="22"/>
          <w:color w:val="auto"/>
        </w:rPr>
        <w:t>changes the place or currency of payment of principal of, or premium, if any, or interest on, the 2029 Notes of the affected series;</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changes the provisions for calculating the optional redemption price, including the definitions relating thereto;</w:t>
      </w:r>
    </w:p>
    <w:p>
      <w:pPr>
        <w:spacing w:after="0" w:line="213" w:lineRule="exact"/>
        <w:rPr>
          <w:rFonts w:ascii="Arial" w:cs="Arial" w:eastAsia="Arial" w:hAnsi="Arial"/>
          <w:sz w:val="19"/>
          <w:szCs w:val="19"/>
          <w:color w:val="auto"/>
        </w:rPr>
      </w:pPr>
    </w:p>
    <w:p>
      <w:pPr>
        <w:ind w:left="1300" w:right="80" w:hanging="320"/>
        <w:spacing w:after="0" w:line="223" w:lineRule="auto"/>
        <w:tabs>
          <w:tab w:leader="none" w:pos="1295" w:val="left"/>
        </w:tabs>
        <w:numPr>
          <w:ilvl w:val="0"/>
          <w:numId w:val="95"/>
        </w:numPr>
        <w:rPr>
          <w:rFonts w:ascii="Arial" w:cs="Arial" w:eastAsia="Arial" w:hAnsi="Arial"/>
          <w:sz w:val="22"/>
          <w:szCs w:val="22"/>
          <w:color w:val="auto"/>
        </w:rPr>
      </w:pPr>
      <w:r>
        <w:rPr>
          <w:rFonts w:ascii="Arial" w:cs="Arial" w:eastAsia="Arial" w:hAnsi="Arial"/>
          <w:sz w:val="22"/>
          <w:szCs w:val="22"/>
          <w:color w:val="auto"/>
        </w:rPr>
        <w:t>changes the provisions relating to the waiver of past defaults or changes or impairs the right of holders to receive payment or to institute suit for the enforcement of any payment of the 2029 Notes of the affected series on or after the due date therefor;</w:t>
      </w:r>
    </w:p>
    <w:p>
      <w:pPr>
        <w:sectPr>
          <w:pgSz w:w="11900" w:h="16838" w:orient="portrait"/>
          <w:cols w:equalWidth="0" w:num="1">
            <w:col w:w="11240"/>
          </w:cols>
          <w:pgMar w:left="320" w:top="1400" w:right="339" w:bottom="1440" w:gutter="0" w:footer="0" w:header="0"/>
        </w:sectPr>
      </w:pPr>
    </w:p>
    <w:bookmarkStart w:id="141" w:name="page142"/>
    <w:bookmarkEnd w:id="141"/>
    <w:p>
      <w:pPr>
        <w:ind w:left="1300" w:right="80" w:hanging="320"/>
        <w:spacing w:after="0" w:line="298" w:lineRule="auto"/>
        <w:tabs>
          <w:tab w:leader="none" w:pos="1295" w:val="left"/>
        </w:tabs>
        <w:numPr>
          <w:ilvl w:val="0"/>
          <w:numId w:val="96"/>
        </w:numPr>
        <w:rPr>
          <w:rFonts w:ascii="Arial" w:cs="Arial" w:eastAsia="Arial" w:hAnsi="Arial"/>
          <w:sz w:val="19"/>
          <w:szCs w:val="19"/>
          <w:color w:val="auto"/>
        </w:rPr>
      </w:pPr>
      <w:r>
        <w:rPr>
          <w:rFonts w:ascii="Arial" w:cs="Arial" w:eastAsia="Arial" w:hAnsi="Arial"/>
          <w:sz w:val="19"/>
          <w:szCs w:val="19"/>
          <w:color w:val="auto"/>
        </w:rPr>
        <w:t>reduces the above-stated percentage of outstanding 2029 Notes of the affected series the consent of whose holders is necessary to modify or amend or to waive certain provisions of or defaults under the Indenture;</w:t>
      </w:r>
    </w:p>
    <w:p>
      <w:pPr>
        <w:spacing w:after="0" w:line="105" w:lineRule="exact"/>
        <w:rPr>
          <w:rFonts w:ascii="Arial" w:cs="Arial" w:eastAsia="Arial" w:hAnsi="Arial"/>
          <w:sz w:val="19"/>
          <w:szCs w:val="19"/>
          <w:color w:val="auto"/>
        </w:rPr>
      </w:pPr>
    </w:p>
    <w:p>
      <w:pPr>
        <w:ind w:left="1300" w:hanging="320"/>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waives a default in the payment of principal of, premium, if any, or interest on the 2029 Notes; or</w:t>
      </w:r>
    </w:p>
    <w:p>
      <w:pPr>
        <w:spacing w:after="0" w:line="179" w:lineRule="exact"/>
        <w:rPr>
          <w:rFonts w:ascii="Arial" w:cs="Arial" w:eastAsia="Arial" w:hAnsi="Arial"/>
          <w:sz w:val="22"/>
          <w:szCs w:val="22"/>
          <w:color w:val="auto"/>
        </w:rPr>
      </w:pPr>
    </w:p>
    <w:p>
      <w:pPr>
        <w:ind w:left="1300" w:right="160" w:hanging="320"/>
        <w:spacing w:after="0" w:line="223" w:lineRule="auto"/>
        <w:tabs>
          <w:tab w:leader="none" w:pos="1295" w:val="left"/>
        </w:tabs>
        <w:numPr>
          <w:ilvl w:val="0"/>
          <w:numId w:val="96"/>
        </w:numPr>
        <w:rPr>
          <w:rFonts w:ascii="Arial" w:cs="Arial" w:eastAsia="Arial" w:hAnsi="Arial"/>
          <w:sz w:val="22"/>
          <w:szCs w:val="22"/>
          <w:color w:val="auto"/>
        </w:rPr>
      </w:pPr>
      <w:r>
        <w:rPr>
          <w:rFonts w:ascii="Arial" w:cs="Arial" w:eastAsia="Arial" w:hAnsi="Arial"/>
          <w:sz w:val="22"/>
          <w:szCs w:val="22"/>
          <w:color w:val="auto"/>
        </w:rPr>
        <w:t>modifies any of the provisions of this paragraph, except to increase any required percentage or to provide that certain other provisions cannot be modified or waived without the consent of the holder of each 2029 Note of the series affected by the modification.</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It is not necessary for the consent of the holders under the Indenture to approve the particular form of any note amendment, supplement or waiver, but it shall be sufficient if such consent approves the substance thereof. After an amendment, supplement or waiver under the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purposes of this section, the term “Obligor” shall mean each of the Issuer and Guarantors, in each case excluding such entities’ subsidiaries.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event of default for a series of 2029 Notes is defined under the Indenture as being:</w:t>
      </w:r>
    </w:p>
    <w:p>
      <w:pPr>
        <w:spacing w:after="0" w:line="179" w:lineRule="exact"/>
        <w:rPr>
          <w:sz w:val="20"/>
          <w:szCs w:val="20"/>
          <w:color w:val="auto"/>
        </w:rPr>
      </w:pPr>
    </w:p>
    <w:p>
      <w:pPr>
        <w:ind w:left="1300" w:right="160" w:hanging="320"/>
        <w:spacing w:after="0" w:line="247" w:lineRule="auto"/>
        <w:tabs>
          <w:tab w:leader="none" w:pos="1295" w:val="left"/>
        </w:tabs>
        <w:numPr>
          <w:ilvl w:val="0"/>
          <w:numId w:val="97"/>
        </w:numPr>
        <w:rPr>
          <w:rFonts w:ascii="Arial" w:cs="Arial" w:eastAsia="Arial" w:hAnsi="Arial"/>
          <w:sz w:val="21"/>
          <w:szCs w:val="21"/>
          <w:color w:val="auto"/>
        </w:rPr>
      </w:pPr>
      <w:r>
        <w:rPr>
          <w:rFonts w:ascii="Arial" w:cs="Arial" w:eastAsia="Arial" w:hAnsi="Arial"/>
          <w:sz w:val="21"/>
          <w:szCs w:val="21"/>
          <w:color w:val="auto"/>
        </w:rPr>
        <w:t>a default by any Obligor in the payment of principal or premium on the 2029 Notes of such series when the same becomes due and payable whether at maturity, upon acceleration, redemption or otherwise;</w:t>
      </w:r>
    </w:p>
    <w:p>
      <w:pPr>
        <w:spacing w:after="0" w:line="150" w:lineRule="exact"/>
        <w:rPr>
          <w:rFonts w:ascii="Arial" w:cs="Arial" w:eastAsia="Arial" w:hAnsi="Arial"/>
          <w:sz w:val="21"/>
          <w:szCs w:val="21"/>
          <w:color w:val="auto"/>
        </w:rPr>
      </w:pPr>
    </w:p>
    <w:p>
      <w:pPr>
        <w:ind w:left="1300" w:right="200" w:hanging="320"/>
        <w:spacing w:after="0" w:line="232" w:lineRule="auto"/>
        <w:tabs>
          <w:tab w:leader="none" w:pos="1295"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default by any Obligor in the payment of interest on the 2029 Notes of such series when the same becomes due and payable, if that default continues for a period of 30 days;</w:t>
      </w:r>
    </w:p>
    <w:p>
      <w:pPr>
        <w:spacing w:after="0" w:line="158" w:lineRule="exact"/>
        <w:rPr>
          <w:rFonts w:ascii="Arial" w:cs="Arial" w:eastAsia="Arial" w:hAnsi="Arial"/>
          <w:sz w:val="22"/>
          <w:szCs w:val="22"/>
          <w:color w:val="auto"/>
        </w:rPr>
      </w:pPr>
    </w:p>
    <w:p>
      <w:pPr>
        <w:ind w:left="1300" w:right="60" w:hanging="320"/>
        <w:spacing w:after="0" w:line="257" w:lineRule="auto"/>
        <w:tabs>
          <w:tab w:leader="none" w:pos="1295" w:val="left"/>
        </w:tabs>
        <w:numPr>
          <w:ilvl w:val="0"/>
          <w:numId w:val="97"/>
        </w:numPr>
        <w:rPr>
          <w:rFonts w:ascii="Arial" w:cs="Arial" w:eastAsia="Arial" w:hAnsi="Arial"/>
          <w:sz w:val="19"/>
          <w:szCs w:val="19"/>
          <w:color w:val="auto"/>
        </w:rPr>
      </w:pPr>
      <w:r>
        <w:rPr>
          <w:rFonts w:ascii="Arial" w:cs="Arial" w:eastAsia="Arial" w:hAnsi="Arial"/>
          <w:sz w:val="19"/>
          <w:szCs w:val="19"/>
          <w:color w:val="auto"/>
        </w:rPr>
        <w:t>default by any Obligor in the performance of or breach by any Obligor of any of its other covenants or agreements in the Indenture applicable to all the 2029 Notes or applicable to the 2029 Notes of any series and that default or breach continues for a period of 30 consecutive days after written notice is received from the Trustee or from the holders of 25% or more in aggregate principal amount of the 2029 Notes of all affected series;</w:t>
      </w:r>
    </w:p>
    <w:p>
      <w:pPr>
        <w:spacing w:after="0" w:line="144" w:lineRule="exact"/>
        <w:rPr>
          <w:rFonts w:ascii="Arial" w:cs="Arial" w:eastAsia="Arial" w:hAnsi="Arial"/>
          <w:sz w:val="19"/>
          <w:szCs w:val="19"/>
          <w:color w:val="auto"/>
        </w:rPr>
      </w:pPr>
    </w:p>
    <w:p>
      <w:pPr>
        <w:ind w:left="1300" w:hanging="320"/>
        <w:spacing w:after="0"/>
        <w:tabs>
          <w:tab w:leader="none" w:pos="13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guarantee is not in full force and effect;</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court having jurisdiction enters a decree or order for:</w:t>
      </w:r>
    </w:p>
    <w:p>
      <w:pPr>
        <w:spacing w:after="0" w:line="179" w:lineRule="exact"/>
        <w:rPr>
          <w:rFonts w:ascii="Arial" w:cs="Arial" w:eastAsia="Arial" w:hAnsi="Arial"/>
          <w:sz w:val="22"/>
          <w:szCs w:val="22"/>
          <w:color w:val="auto"/>
        </w:rPr>
      </w:pPr>
    </w:p>
    <w:p>
      <w:pPr>
        <w:ind w:left="1960" w:right="480" w:hanging="332"/>
        <w:spacing w:after="0" w:line="232" w:lineRule="auto"/>
        <w:tabs>
          <w:tab w:leader="none" w:pos="1955" w:val="left"/>
        </w:tabs>
        <w:numPr>
          <w:ilvl w:val="1"/>
          <w:numId w:val="97"/>
        </w:numPr>
        <w:rPr>
          <w:rFonts w:ascii="Arial" w:cs="Arial" w:eastAsia="Arial" w:hAnsi="Arial"/>
          <w:sz w:val="22"/>
          <w:szCs w:val="22"/>
          <w:color w:val="auto"/>
        </w:rPr>
      </w:pPr>
      <w:r>
        <w:rPr>
          <w:rFonts w:ascii="Arial" w:cs="Arial" w:eastAsia="Arial" w:hAnsi="Arial"/>
          <w:sz w:val="22"/>
          <w:szCs w:val="22"/>
          <w:color w:val="auto"/>
        </w:rPr>
        <w:t>relief in respect of any Obligor in an involuntary case under any applicable bankruptcy, insolvency, or other similar law now or hereafter in effect;</w:t>
      </w:r>
    </w:p>
    <w:p>
      <w:pPr>
        <w:spacing w:after="0" w:line="158" w:lineRule="exact"/>
        <w:rPr>
          <w:rFonts w:ascii="Arial" w:cs="Arial" w:eastAsia="Arial" w:hAnsi="Arial"/>
          <w:sz w:val="22"/>
          <w:szCs w:val="22"/>
          <w:color w:val="auto"/>
        </w:rPr>
      </w:pPr>
    </w:p>
    <w:p>
      <w:pPr>
        <w:ind w:left="1960" w:right="320" w:hanging="332"/>
        <w:spacing w:after="0" w:line="232" w:lineRule="auto"/>
        <w:tabs>
          <w:tab w:leader="none" w:pos="1955" w:val="left"/>
        </w:tabs>
        <w:numPr>
          <w:ilvl w:val="1"/>
          <w:numId w:val="97"/>
        </w:numPr>
        <w:rPr>
          <w:rFonts w:ascii="Arial" w:cs="Arial" w:eastAsia="Arial" w:hAnsi="Arial"/>
          <w:sz w:val="22"/>
          <w:szCs w:val="22"/>
          <w:color w:val="auto"/>
        </w:rPr>
      </w:pPr>
      <w:r>
        <w:rPr>
          <w:rFonts w:ascii="Arial" w:cs="Arial" w:eastAsia="Arial" w:hAnsi="Arial"/>
          <w:sz w:val="22"/>
          <w:szCs w:val="22"/>
          <w:color w:val="auto"/>
        </w:rPr>
        <w:t>appointment of a receiver, liquidator, assignee, custodian, Trustee, sequestrator or similar official of any Obligor for any substantial part of such party’s property and assets; or</w:t>
      </w:r>
    </w:p>
    <w:p>
      <w:pPr>
        <w:sectPr>
          <w:pgSz w:w="11900" w:h="16838" w:orient="portrait"/>
          <w:cols w:equalWidth="0" w:num="1">
            <w:col w:w="11240"/>
          </w:cols>
          <w:pgMar w:left="320" w:top="1400" w:right="339" w:bottom="1440" w:gutter="0" w:footer="0" w:header="0"/>
        </w:sectPr>
      </w:pPr>
    </w:p>
    <w:bookmarkStart w:id="142" w:name="page143"/>
    <w:bookmarkEnd w:id="142"/>
    <w:p>
      <w:pPr>
        <w:ind w:left="1960" w:right="220" w:hanging="332"/>
        <w:spacing w:after="0" w:line="232" w:lineRule="auto"/>
        <w:tabs>
          <w:tab w:leader="none" w:pos="1955"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winding up or liquidation of any Obligor’s affairs and such decree or order shall remain unstayed and in effect for a period of 180 consecutive days; or</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Obligor:</w:t>
      </w:r>
    </w:p>
    <w:p>
      <w:pPr>
        <w:spacing w:after="0" w:line="206" w:lineRule="exact"/>
        <w:rPr>
          <w:rFonts w:ascii="Arial" w:cs="Arial" w:eastAsia="Arial" w:hAnsi="Arial"/>
          <w:sz w:val="22"/>
          <w:szCs w:val="22"/>
          <w:color w:val="auto"/>
        </w:rPr>
      </w:pPr>
    </w:p>
    <w:p>
      <w:pPr>
        <w:ind w:left="1960" w:right="160" w:hanging="332"/>
        <w:spacing w:after="0" w:line="298" w:lineRule="auto"/>
        <w:tabs>
          <w:tab w:leader="none" w:pos="1955" w:val="left"/>
        </w:tabs>
        <w:numPr>
          <w:ilvl w:val="1"/>
          <w:numId w:val="98"/>
        </w:numPr>
        <w:rPr>
          <w:rFonts w:ascii="Arial" w:cs="Arial" w:eastAsia="Arial" w:hAnsi="Arial"/>
          <w:sz w:val="19"/>
          <w:szCs w:val="19"/>
          <w:color w:val="auto"/>
        </w:rPr>
      </w:pPr>
      <w:r>
        <w:rPr>
          <w:rFonts w:ascii="Arial" w:cs="Arial" w:eastAsia="Arial" w:hAnsi="Arial"/>
          <w:sz w:val="19"/>
          <w:szCs w:val="19"/>
          <w:color w:val="auto"/>
        </w:rPr>
        <w:t>commences a voluntary case under any applicable bankruptcy, insolvency, or other similar law now or hereafter in effect, or consent to the entry of an order for relief in an involuntary case under any such law;</w:t>
      </w:r>
    </w:p>
    <w:p>
      <w:pPr>
        <w:spacing w:after="0" w:line="105" w:lineRule="exact"/>
        <w:rPr>
          <w:rFonts w:ascii="Arial" w:cs="Arial" w:eastAsia="Arial" w:hAnsi="Arial"/>
          <w:sz w:val="19"/>
          <w:szCs w:val="19"/>
          <w:color w:val="auto"/>
        </w:rPr>
      </w:pPr>
    </w:p>
    <w:p>
      <w:pPr>
        <w:ind w:left="1960" w:right="220" w:hanging="332"/>
        <w:spacing w:after="0" w:line="298" w:lineRule="auto"/>
        <w:tabs>
          <w:tab w:leader="none" w:pos="1955" w:val="left"/>
        </w:tabs>
        <w:numPr>
          <w:ilvl w:val="1"/>
          <w:numId w:val="98"/>
        </w:numPr>
        <w:rPr>
          <w:rFonts w:ascii="Arial" w:cs="Arial" w:eastAsia="Arial" w:hAnsi="Arial"/>
          <w:sz w:val="19"/>
          <w:szCs w:val="19"/>
          <w:color w:val="auto"/>
        </w:rPr>
      </w:pPr>
      <w:r>
        <w:rPr>
          <w:rFonts w:ascii="Arial" w:cs="Arial" w:eastAsia="Arial" w:hAnsi="Arial"/>
          <w:sz w:val="19"/>
          <w:szCs w:val="19"/>
          <w:color w:val="auto"/>
        </w:rPr>
        <w:t>consents to the appointment of or taking possession by a receiver, liquidator, assignee, custodian, trustee, sequestrator, or similar official of such party or for any substantial part of such party’s property; or</w:t>
      </w:r>
    </w:p>
    <w:p>
      <w:pPr>
        <w:spacing w:after="0" w:line="105" w:lineRule="exact"/>
        <w:rPr>
          <w:rFonts w:ascii="Arial" w:cs="Arial" w:eastAsia="Arial" w:hAnsi="Arial"/>
          <w:sz w:val="19"/>
          <w:szCs w:val="19"/>
          <w:color w:val="auto"/>
        </w:rPr>
      </w:pPr>
    </w:p>
    <w:p>
      <w:pPr>
        <w:ind w:left="1940" w:hanging="312"/>
        <w:spacing w:after="0"/>
        <w:tabs>
          <w:tab w:leader="none" w:pos="1940" w:val="left"/>
        </w:tabs>
        <w:numPr>
          <w:ilvl w:val="1"/>
          <w:numId w:val="98"/>
        </w:numPr>
        <w:rPr>
          <w:rFonts w:ascii="Arial" w:cs="Arial" w:eastAsia="Arial" w:hAnsi="Arial"/>
          <w:sz w:val="22"/>
          <w:szCs w:val="22"/>
          <w:color w:val="auto"/>
        </w:rPr>
      </w:pPr>
      <w:r>
        <w:rPr>
          <w:rFonts w:ascii="Arial" w:cs="Arial" w:eastAsia="Arial" w:hAnsi="Arial"/>
          <w:sz w:val="22"/>
          <w:szCs w:val="22"/>
          <w:color w:val="auto"/>
        </w:rPr>
        <w:t>effects any general assignment for the benefit of creditors.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default under any Obligor’s other indebtedness is not a default under the Indenture.</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If an event of default other than an event of default specified in clauses (5) and (6) above occurs with respect to an issue of 2029 Notes and is continuing under the Indenture, then, and in each and every such case, either the Trustee or the holders of not less than 25% in aggregate principal amount of such 2029 Notes then outstanding under the Indenture by written notice to the Issuer and to the Trustee, if such notice is given by the holders, may, and the Trustee at the request of such holders shall, declare the principal amount of and accrued interest, if any, on such 2029 Notes to be immediately due and payable. The amount due upon acceleration shall include only the original issue price of the 2029 Notes and accrued to the date of acceleration and accrued interest, if any. Upon a declaration of acceleration, such principal amount of and accrued interest, if any, on such 2029 Notes shall be immediately due and payable. If an event of default specified in clauses (5) and (6) above occurs with respect to any Obligor, the principal amount of and accrued interest, if any, on each issue of 2029 Notes then outstanding shall be and become immediately due and payable without any notice or other action on the part of the Trustee or any holder.</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Upon certain conditions such declarations may be rescinded and annulled and past defaults may be waived by the holders of a majority in aggregate principal amount of an issue of 2029 Notes that has been accelerated. Furthermore, subject to various provisions in the Indenture, the holders of at least a majority in aggregate principal amount of an issue of 2029 Notes by notice to the Trustee may waive an existing default or event of default with respect to such 2029 Notes and its consequences, except a default in the payment of principal of or interest on such 2029 Notes or in respect of a covenant or provision of the Indenture which cannot be modified or amended without the consent of the holders of each such 2029 Notes. Upon any such waiver, such default shall cease to exist, and any event of default with respect to such 2029 Notes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The holders of at least a majority in aggregate principal amount of an issue of 2029 Notes may direct the time, method, and place of conducting any proceeding for any remedy available to the Trustee or exercising any trust or power conferred on the Trustee with respect to such 2029 Notes. However, the Trustee may refuse to follow any direction that conflicts with law or the Indenture, that may involve the Trustee in personal liability, or that the Trustee determines in good faith may be unduly prejudicial to the rights of holders of such issue of 2029 Notes not joining in the giving of such direction and may take any other action it deems proper that is not</w:t>
      </w:r>
    </w:p>
    <w:p>
      <w:pPr>
        <w:sectPr>
          <w:pgSz w:w="11900" w:h="16838" w:orient="portrait"/>
          <w:cols w:equalWidth="0" w:num="1">
            <w:col w:w="11240"/>
          </w:cols>
          <w:pgMar w:left="320" w:top="1400" w:right="339" w:bottom="1440" w:gutter="0" w:footer="0" w:header="0"/>
        </w:sectPr>
      </w:pPr>
    </w:p>
    <w:bookmarkStart w:id="143" w:name="page144"/>
    <w:bookmarkEnd w:id="143"/>
    <w:p>
      <w:pPr>
        <w:ind w:right="20"/>
        <w:spacing w:after="0" w:line="232" w:lineRule="auto"/>
        <w:rPr>
          <w:sz w:val="20"/>
          <w:szCs w:val="20"/>
          <w:color w:val="auto"/>
        </w:rPr>
      </w:pPr>
      <w:r>
        <w:rPr>
          <w:rFonts w:ascii="Arial" w:cs="Arial" w:eastAsia="Arial" w:hAnsi="Arial"/>
          <w:sz w:val="22"/>
          <w:szCs w:val="22"/>
          <w:color w:val="auto"/>
        </w:rPr>
        <w:t>inconsistent with any such direction received from holders of such issue of 2029 Notes. A holder may not pursue any remedy with respect to the Indenture or any series of 2029 Notes unless:</w:t>
      </w:r>
    </w:p>
    <w:p>
      <w:pPr>
        <w:spacing w:after="0" w:line="159" w:lineRule="exact"/>
        <w:rPr>
          <w:sz w:val="20"/>
          <w:szCs w:val="20"/>
          <w:color w:val="auto"/>
        </w:rPr>
      </w:pPr>
    </w:p>
    <w:p>
      <w:pPr>
        <w:ind w:left="1300" w:hanging="320"/>
        <w:spacing w:after="0"/>
        <w:tabs>
          <w:tab w:leader="none" w:pos="13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holder gives the Trustee written notice of a continuing event of default;</w:t>
      </w:r>
    </w:p>
    <w:p>
      <w:pPr>
        <w:spacing w:after="0" w:line="179" w:lineRule="exact"/>
        <w:rPr>
          <w:rFonts w:ascii="Arial" w:cs="Arial" w:eastAsia="Arial" w:hAnsi="Arial"/>
          <w:sz w:val="22"/>
          <w:szCs w:val="22"/>
          <w:color w:val="auto"/>
        </w:rPr>
      </w:pPr>
    </w:p>
    <w:p>
      <w:pPr>
        <w:ind w:left="1300" w:right="260" w:hanging="320"/>
        <w:spacing w:after="0" w:line="232" w:lineRule="auto"/>
        <w:tabs>
          <w:tab w:leader="none" w:pos="1295"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such series of 2029 Notes make a written request to the Trustee to pursue the remedy in respect of such event of default;</w:t>
      </w:r>
    </w:p>
    <w:p>
      <w:pPr>
        <w:spacing w:after="0" w:line="158" w:lineRule="exact"/>
        <w:rPr>
          <w:rFonts w:ascii="Arial" w:cs="Arial" w:eastAsia="Arial" w:hAnsi="Arial"/>
          <w:sz w:val="22"/>
          <w:szCs w:val="22"/>
          <w:color w:val="auto"/>
        </w:rPr>
      </w:pPr>
    </w:p>
    <w:p>
      <w:pPr>
        <w:ind w:left="1300" w:right="160" w:hanging="320"/>
        <w:spacing w:after="0" w:line="232" w:lineRule="auto"/>
        <w:tabs>
          <w:tab w:leader="none" w:pos="1295"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requesting holder or holders offer the Trustee indemnity satisfactory to the Trustee against any costs, liability, or expense;</w:t>
      </w:r>
    </w:p>
    <w:p>
      <w:pPr>
        <w:spacing w:after="0" w:line="158" w:lineRule="exact"/>
        <w:rPr>
          <w:rFonts w:ascii="Arial" w:cs="Arial" w:eastAsia="Arial" w:hAnsi="Arial"/>
          <w:sz w:val="22"/>
          <w:szCs w:val="22"/>
          <w:color w:val="auto"/>
        </w:rPr>
      </w:pPr>
    </w:p>
    <w:p>
      <w:pPr>
        <w:ind w:left="1300" w:right="40" w:hanging="320"/>
        <w:spacing w:after="0" w:line="232" w:lineRule="auto"/>
        <w:tabs>
          <w:tab w:leader="none" w:pos="1295"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indemnity; and</w:t>
      </w:r>
    </w:p>
    <w:p>
      <w:pPr>
        <w:spacing w:after="0" w:line="158" w:lineRule="exact"/>
        <w:rPr>
          <w:rFonts w:ascii="Arial" w:cs="Arial" w:eastAsia="Arial" w:hAnsi="Arial"/>
          <w:sz w:val="22"/>
          <w:szCs w:val="22"/>
          <w:color w:val="auto"/>
        </w:rPr>
      </w:pPr>
    </w:p>
    <w:p>
      <w:pPr>
        <w:ind w:left="1300" w:right="20" w:hanging="320"/>
        <w:spacing w:after="0" w:line="232" w:lineRule="auto"/>
        <w:tabs>
          <w:tab w:leader="none" w:pos="1295" w:val="left"/>
        </w:tabs>
        <w:numPr>
          <w:ilvl w:val="0"/>
          <w:numId w:val="99"/>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such series of 2029 Notes do not give the Trustee a direction that is inconsistent with the request.</w:t>
      </w:r>
    </w:p>
    <w:p>
      <w:pPr>
        <w:spacing w:after="0" w:line="15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These limitations, however, do not apply to the right of any holder of the 2029 Note to receive payment of the principal of, premium, if any, or interest on such the 2029 Note, or to bring suit for the enforcement of any such payment, on or after the due date for the 2029 Notes, which right shall not be impaired or affected without the consent of the holder.</w:t>
      </w:r>
    </w:p>
    <w:p>
      <w:pPr>
        <w:spacing w:after="0" w:line="15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9"/>
          <w:szCs w:val="19"/>
          <w:color w:val="auto"/>
        </w:rPr>
        <w:t>The Indenture will require certain of officers of the Issuer to certify, on or before a date not more than 120 days after the end of each fiscal year, as to their knowledge of the Issuer’s compliance with all conditions and covenants under the Indenture, such compliance to be determined without regard to any period of grace or requirement of notice provided under the Indenture.</w:t>
      </w:r>
    </w:p>
    <w:p>
      <w:pPr>
        <w:spacing w:after="0" w:line="153" w:lineRule="exact"/>
        <w:rPr>
          <w:sz w:val="20"/>
          <w:szCs w:val="20"/>
          <w:color w:val="auto"/>
        </w:rPr>
      </w:pPr>
    </w:p>
    <w:p>
      <w:pPr>
        <w:ind w:left="660" w:hanging="652"/>
        <w:spacing w:after="0" w:line="225" w:lineRule="auto"/>
        <w:tabs>
          <w:tab w:leader="none" w:pos="494"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OUR 0.000% NOTES DUE 2026, OUR 0.250% NOTES DUE 2027, OUR 0.250% NOTES DUE 2029, OUR 0.750% NOTES DUE 2032, OUR 1.250% NOTES DUE 2040, OUR 1.500% NOTES DUE 2029 AND OUR 1.875% NOTES DUE 2036</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The following summary of our 0.000% Notes due 2026 (the “2026 Euro Notes”), our 0.250% Notes due 2027 (the “2027 Euro Notes”), our 0.250% Notes due 2029 (the “2029 Euro Notes”), our 0.750% Notes due 2032 (the “2032 Euro Notes”), our 1.250% Notes due 2040 (the “2040 Euro Notes”), our 1.500% Notes due 2029 (the “2029 Sterling Notes”) and our 1.875% Notes due 2036 (the “2036 Sterling Notes” and together with the 2026 Euro Notes, the 2027 Euro Notes, the 2029 Euro Notes, the 2032 Euro Notes, the 2040 Euro Notes and the 2029 Sterling Notes, collectively, the “Notes”) is based on the senior indenture dated as of September 18, 2013 among Comcast as issuer (the “Issuer”), Comcast Cable Communications, LLC and NBCUniversal Media, LLC (the “Guarantors”) and The Bank of New York Mellon (f/k/a The Bank of New York), as trustee (the “Trustee”) (the “Base Indenture”), as amended by the first supplemental indenture dated as of November 17, 2015 among the Issuer, the Guarantors and the Trustee (collectively with the Base Indenture, the “Indenture”). This summary does not purport to be complete and is qualified in its entirety by reference to such Indenture.</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231F20"/>
        </w:rPr>
        <w:t>Interest Payments</w:t>
      </w:r>
    </w:p>
    <w:p>
      <w:pPr>
        <w:spacing w:after="0" w:line="226" w:lineRule="exact"/>
        <w:rPr>
          <w:sz w:val="20"/>
          <w:szCs w:val="20"/>
          <w:color w:val="auto"/>
        </w:rPr>
      </w:pPr>
    </w:p>
    <w:p>
      <w:pPr>
        <w:ind w:left="40" w:firstLine="612"/>
        <w:spacing w:after="0" w:line="263" w:lineRule="auto"/>
        <w:rPr>
          <w:sz w:val="20"/>
          <w:szCs w:val="20"/>
          <w:color w:val="auto"/>
        </w:rPr>
      </w:pPr>
      <w:r>
        <w:rPr>
          <w:rFonts w:ascii="Arial" w:cs="Arial" w:eastAsia="Arial" w:hAnsi="Arial"/>
          <w:sz w:val="22"/>
          <w:szCs w:val="22"/>
          <w:color w:val="231F20"/>
        </w:rPr>
        <w:t>Interest on the Notes will be computed on the basis of the actual number of days in the period for which interest is being calculated and the actual number of days from and including</w:t>
      </w:r>
    </w:p>
    <w:p>
      <w:pPr>
        <w:sectPr>
          <w:pgSz w:w="11900" w:h="16838" w:orient="portrait"/>
          <w:cols w:equalWidth="0" w:num="1">
            <w:col w:w="11240"/>
          </w:cols>
          <w:pgMar w:left="320" w:top="1400" w:right="339" w:bottom="1440" w:gutter="0" w:footer="0" w:header="0"/>
        </w:sectPr>
      </w:pPr>
    </w:p>
    <w:bookmarkStart w:id="144" w:name="page145"/>
    <w:bookmarkEnd w:id="144"/>
    <w:p>
      <w:pPr>
        <w:spacing w:after="0" w:line="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231F20"/>
        </w:rPr>
        <w:t>the last date to which interest was paid on the Notes (or February 20, 2020 if no interest has been paid in the case of the 2027 Euro Notes, the 2032 Euro Notes, the 2040 Euro Notes, the 2029 Sterling Notes or the 2036 Sterling Notes, or September 14, 2021 if no interest has been paid in the case of the 2026 Euro Notes or the 2029 Euro Notes), to but excluding the next scheduled interest payment date. This payment convention is referred to as ACTUAL/ACTUAL (ICMA) as defined in the rulebook of the International Capital Market Association.</w:t>
      </w:r>
    </w:p>
    <w:p>
      <w:pPr>
        <w:spacing w:after="0" w:line="138" w:lineRule="exact"/>
        <w:rPr>
          <w:sz w:val="20"/>
          <w:szCs w:val="20"/>
          <w:color w:val="auto"/>
        </w:rPr>
      </w:pPr>
    </w:p>
    <w:p>
      <w:pPr>
        <w:jc w:val="both"/>
        <w:ind w:firstLine="612"/>
        <w:spacing w:after="0" w:line="253" w:lineRule="auto"/>
        <w:rPr>
          <w:sz w:val="20"/>
          <w:szCs w:val="20"/>
          <w:color w:val="auto"/>
        </w:rPr>
      </w:pPr>
      <w:r>
        <w:rPr>
          <w:rFonts w:ascii="Arial" w:cs="Arial" w:eastAsia="Arial" w:hAnsi="Arial"/>
          <w:sz w:val="22"/>
          <w:szCs w:val="22"/>
          <w:color w:val="231F20"/>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31" w:lineRule="exact"/>
        <w:rPr>
          <w:sz w:val="20"/>
          <w:szCs w:val="20"/>
          <w:color w:val="auto"/>
        </w:rPr>
      </w:pPr>
    </w:p>
    <w:p>
      <w:pPr>
        <w:jc w:val="both"/>
        <w:ind w:firstLine="612"/>
        <w:spacing w:after="0" w:line="248" w:lineRule="auto"/>
        <w:rPr>
          <w:sz w:val="20"/>
          <w:szCs w:val="20"/>
          <w:color w:val="auto"/>
        </w:rPr>
      </w:pPr>
      <w:r>
        <w:rPr>
          <w:rFonts w:ascii="Arial" w:cs="Arial" w:eastAsia="Arial" w:hAnsi="Arial"/>
          <w:sz w:val="22"/>
          <w:szCs w:val="22"/>
          <w:color w:val="231F20"/>
        </w:rPr>
        <w:t>The term “business day” means any day other than a Saturday or Sunday (i) which is not a day on which banking institutions in The City of New York or London are authorized or obligated by law, regulation or executive order to close and (ii) in the case of the 2026 Euro Notes, the 2027 Euro Notes, the 2029 Euro Notes, the 2032 Euro Notes and the 2040 Euro Notes (collectively, the “Euro Notes”), on which the Trans-European Automated Real-Time Gross Settlement Express Transfer System (the TARGET2 system) or any successor thereto is open.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Issuance in Euro; Issuance in GBP</w:t>
      </w:r>
    </w:p>
    <w:p>
      <w:pPr>
        <w:spacing w:after="0" w:line="172" w:lineRule="exact"/>
        <w:rPr>
          <w:sz w:val="20"/>
          <w:szCs w:val="20"/>
          <w:color w:val="auto"/>
        </w:rPr>
      </w:pPr>
    </w:p>
    <w:p>
      <w:pPr>
        <w:jc w:val="both"/>
        <w:ind w:firstLine="612"/>
        <w:spacing w:after="0" w:line="294" w:lineRule="auto"/>
        <w:rPr>
          <w:sz w:val="20"/>
          <w:szCs w:val="20"/>
          <w:color w:val="auto"/>
        </w:rPr>
      </w:pPr>
      <w:r>
        <w:rPr>
          <w:rFonts w:ascii="Arial" w:cs="Arial" w:eastAsia="Arial" w:hAnsi="Arial"/>
          <w:sz w:val="19"/>
          <w:szCs w:val="19"/>
          <w:color w:val="231F20"/>
        </w:rPr>
        <w:t>Principal, premium, if any, and interest payments in respect of the Euro Notes will be payable in euro. If euro is unavailable to the Issuer due to the imposition of exchange controls or other circumstances beyond the Issuer’s control, then all payments in respect of the Euro Notes will be made in U.S. dollars until euro is again available to the Issuer.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95" w:lineRule="exact"/>
        <w:rPr>
          <w:sz w:val="20"/>
          <w:szCs w:val="20"/>
          <w:color w:val="auto"/>
        </w:rPr>
      </w:pPr>
    </w:p>
    <w:p>
      <w:pPr>
        <w:jc w:val="both"/>
        <w:ind w:firstLine="612"/>
        <w:spacing w:after="0" w:line="260" w:lineRule="auto"/>
        <w:rPr>
          <w:sz w:val="20"/>
          <w:szCs w:val="20"/>
          <w:color w:val="auto"/>
        </w:rPr>
      </w:pPr>
      <w:r>
        <w:rPr>
          <w:rFonts w:ascii="Arial" w:cs="Arial" w:eastAsia="Arial" w:hAnsi="Arial"/>
          <w:sz w:val="21"/>
          <w:szCs w:val="21"/>
          <w:color w:val="231F20"/>
        </w:rPr>
        <w:t>Principal, premium, if any, and interest payments in respect of the 2029 Sterling Notes and the 2036 Sterling Notes (together, the “Sterling Notes”) will be payable in GBP. If GBP is unavailable to the Issuer due to the imposition of exchange controls or other circumstances beyond the Issuer’s control, then all payments in respect of the Sterling Notes will be made in U.S. dollars until GBP is again available to the Issuer. The 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26" w:lineRule="exact"/>
        <w:rPr>
          <w:sz w:val="20"/>
          <w:szCs w:val="20"/>
          <w:color w:val="auto"/>
        </w:rPr>
      </w:pPr>
    </w:p>
    <w:p>
      <w:pPr>
        <w:jc w:val="both"/>
        <w:ind w:firstLine="612"/>
        <w:spacing w:after="0" w:line="297" w:lineRule="auto"/>
        <w:rPr>
          <w:sz w:val="20"/>
          <w:szCs w:val="20"/>
          <w:color w:val="auto"/>
        </w:rPr>
      </w:pPr>
      <w:r>
        <w:rPr>
          <w:rFonts w:ascii="Arial" w:cs="Arial" w:eastAsia="Arial" w:hAnsi="Arial"/>
          <w:sz w:val="19"/>
          <w:szCs w:val="19"/>
          <w:color w:val="231F20"/>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ectPr>
          <w:pgSz w:w="11900" w:h="16838" w:orient="portrait"/>
          <w:cols w:equalWidth="0" w:num="1">
            <w:col w:w="11200"/>
          </w:cols>
          <w:pgMar w:left="360" w:top="1440" w:right="339" w:bottom="1440" w:gutter="0" w:footer="0" w:header="0"/>
        </w:sectPr>
      </w:pPr>
    </w:p>
    <w:bookmarkStart w:id="145" w:name="page146"/>
    <w:bookmarkEnd w:id="145"/>
    <w:p>
      <w:pPr>
        <w:spacing w:after="0" w:line="150" w:lineRule="exact"/>
        <w:rPr>
          <w:sz w:val="20"/>
          <w:szCs w:val="20"/>
          <w:color w:val="auto"/>
        </w:rPr>
      </w:pPr>
    </w:p>
    <w:p>
      <w:pPr>
        <w:jc w:val="both"/>
        <w:ind w:left="40" w:firstLine="612"/>
        <w:spacing w:after="0" w:line="253"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Market Exchange Rate</w:t>
      </w:r>
      <w:r>
        <w:rPr>
          <w:rFonts w:ascii="Arial" w:cs="Arial" w:eastAsia="Arial" w:hAnsi="Arial"/>
          <w:sz w:val="22"/>
          <w:szCs w:val="22"/>
          <w:color w:val="231F20"/>
        </w:rPr>
        <w:t>” means the noon buying rate in The City of New York for cable transfers of euro or GBP, as applicable, as certified for customs purposes (or, if not so certified, as otherwise determined) by the Federal Reserve Bank of New York.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Guarantees</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The Issuer’s obligations, including the payment of principal, premium, if any, and interest, will be fully and unconditionally guaranteed by each of the Guarantors as described in the accompanying prospectus.</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231F20"/>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Optional Redemption</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231F20"/>
        </w:rPr>
        <w:t>The Issuer will have the right at the Issuer’s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The Issuer will calculate the Redemption Price in connection with any redemption hereunder.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Redemption Price</w:t>
      </w:r>
      <w:r>
        <w:rPr>
          <w:rFonts w:ascii="Arial" w:cs="Arial" w:eastAsia="Arial" w:hAnsi="Arial"/>
          <w:sz w:val="22"/>
          <w:szCs w:val="22"/>
          <w:color w:val="231F20"/>
        </w:rPr>
        <w:t>” means:</w:t>
      </w:r>
    </w:p>
    <w:p>
      <w:pPr>
        <w:spacing w:after="0" w:line="260" w:lineRule="exact"/>
        <w:rPr>
          <w:sz w:val="20"/>
          <w:szCs w:val="20"/>
          <w:color w:val="auto"/>
        </w:rPr>
      </w:pPr>
    </w:p>
    <w:p>
      <w:pPr>
        <w:jc w:val="both"/>
        <w:ind w:left="740" w:hanging="408"/>
        <w:spacing w:after="0" w:line="292" w:lineRule="auto"/>
        <w:tabs>
          <w:tab w:leader="none" w:pos="735" w:val="left"/>
        </w:tabs>
        <w:numPr>
          <w:ilvl w:val="0"/>
          <w:numId w:val="101"/>
        </w:numPr>
        <w:rPr>
          <w:rFonts w:ascii="Arial" w:cs="Arial" w:eastAsia="Arial" w:hAnsi="Arial"/>
          <w:sz w:val="19"/>
          <w:szCs w:val="19"/>
          <w:color w:val="auto"/>
        </w:rPr>
      </w:pPr>
      <w:r>
        <w:rPr>
          <w:rFonts w:ascii="Arial" w:cs="Arial" w:eastAsia="Arial" w:hAnsi="Arial"/>
          <w:sz w:val="19"/>
          <w:szCs w:val="19"/>
          <w:color w:val="231F20"/>
        </w:rPr>
        <w:t>with respect to the 2026 Euro Notes, at any time prior to August 14, 2026 (one month prior to the maturity of the 2026 Euro Notes) (the “2026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2026 Par Call Date, in each case discounted to the redemption date on an actual (ACTUAL/ACTUAL (ICMA)) basis at a rate equal to the applicable comparable government bond rate plus 10 basis points; provided that, if the 2026 Euro Notes are redeemed on or after the 2026 Par Call Date, the Redemption Price will equal 100% of the principal amount of such notes;</w:t>
      </w:r>
    </w:p>
    <w:p>
      <w:pPr>
        <w:spacing w:after="0" w:line="177" w:lineRule="exact"/>
        <w:rPr>
          <w:rFonts w:ascii="Arial" w:cs="Arial" w:eastAsia="Arial" w:hAnsi="Arial"/>
          <w:sz w:val="19"/>
          <w:szCs w:val="19"/>
          <w:color w:val="auto"/>
        </w:rPr>
      </w:pPr>
    </w:p>
    <w:p>
      <w:pPr>
        <w:jc w:val="both"/>
        <w:ind w:left="740" w:hanging="408"/>
        <w:spacing w:after="0" w:line="294" w:lineRule="auto"/>
        <w:tabs>
          <w:tab w:leader="none" w:pos="735" w:val="left"/>
        </w:tabs>
        <w:numPr>
          <w:ilvl w:val="0"/>
          <w:numId w:val="101"/>
        </w:numPr>
        <w:rPr>
          <w:rFonts w:ascii="Arial" w:cs="Arial" w:eastAsia="Arial" w:hAnsi="Arial"/>
          <w:sz w:val="19"/>
          <w:szCs w:val="19"/>
          <w:color w:val="231F20"/>
        </w:rPr>
      </w:pPr>
      <w:r>
        <w:rPr>
          <w:rFonts w:ascii="Arial" w:cs="Arial" w:eastAsia="Arial" w:hAnsi="Arial"/>
          <w:sz w:val="19"/>
          <w:szCs w:val="19"/>
          <w:color w:val="231F20"/>
        </w:rPr>
        <w:t>with respect to the 2027 Euro Notes, at any time prior to March 20, 2027 (two months prior to the maturity of the 2027 Euro Notes) (the “2027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2027 Par Call Date, in each case discounted to the redemption date on an actual (ACTUAL/ACTUAL (ICMA)) basis at a rate equal to the applicable comparable government bond rate plus 15 basis points; provided that, if the 2027 Euro Notes are</w:t>
      </w:r>
    </w:p>
    <w:p>
      <w:pPr>
        <w:sectPr>
          <w:pgSz w:w="11900" w:h="16838" w:orient="portrait"/>
          <w:cols w:equalWidth="0" w:num="1">
            <w:col w:w="11240"/>
          </w:cols>
          <w:pgMar w:left="320" w:top="1440" w:right="339" w:bottom="1440" w:gutter="0" w:footer="0" w:header="0"/>
        </w:sectPr>
      </w:pPr>
    </w:p>
    <w:bookmarkStart w:id="146" w:name="page147"/>
    <w:bookmarkEnd w:id="146"/>
    <w:p>
      <w:pPr>
        <w:ind w:left="408"/>
        <w:spacing w:after="0" w:line="263" w:lineRule="auto"/>
        <w:rPr>
          <w:sz w:val="20"/>
          <w:szCs w:val="20"/>
          <w:color w:val="auto"/>
        </w:rPr>
      </w:pPr>
      <w:r>
        <w:rPr>
          <w:rFonts w:ascii="Arial" w:cs="Arial" w:eastAsia="Arial" w:hAnsi="Arial"/>
          <w:sz w:val="22"/>
          <w:szCs w:val="22"/>
          <w:color w:val="231F20"/>
        </w:rPr>
        <w:t>redeemed on or after the 2027 Par Call Date, the Redemption Price will equal 100% of the principal amount of such notes;</w:t>
      </w:r>
    </w:p>
    <w:p>
      <w:pPr>
        <w:spacing w:after="0" w:line="202" w:lineRule="exact"/>
        <w:rPr>
          <w:sz w:val="20"/>
          <w:szCs w:val="20"/>
          <w:color w:val="auto"/>
        </w:rPr>
      </w:pPr>
    </w:p>
    <w:p>
      <w:pPr>
        <w:jc w:val="both"/>
        <w:ind w:left="408" w:hanging="408"/>
        <w:spacing w:after="0" w:line="292" w:lineRule="auto"/>
        <w:tabs>
          <w:tab w:leader="none" w:pos="403" w:val="left"/>
        </w:tabs>
        <w:numPr>
          <w:ilvl w:val="0"/>
          <w:numId w:val="102"/>
        </w:numPr>
        <w:rPr>
          <w:rFonts w:ascii="Arial" w:cs="Arial" w:eastAsia="Arial" w:hAnsi="Arial"/>
          <w:sz w:val="19"/>
          <w:szCs w:val="19"/>
          <w:color w:val="auto"/>
        </w:rPr>
      </w:pPr>
      <w:r>
        <w:rPr>
          <w:rFonts w:ascii="Arial" w:cs="Arial" w:eastAsia="Arial" w:hAnsi="Arial"/>
          <w:sz w:val="19"/>
          <w:szCs w:val="19"/>
          <w:color w:val="231F20"/>
        </w:rPr>
        <w:t>with respect to the 2029 Euro Notes, at any time prior to June 14, 2029 (three months prior to the maturity of the 2029 Euro Notes)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Euro Notes are redeemed on or after the 2029 Par Call Date, the Redemption Price will equal 100% of the principal amount of such notes;</w:t>
      </w:r>
    </w:p>
    <w:p>
      <w:pPr>
        <w:spacing w:after="0" w:line="177" w:lineRule="exact"/>
        <w:rPr>
          <w:rFonts w:ascii="Arial" w:cs="Arial" w:eastAsia="Arial" w:hAnsi="Arial"/>
          <w:sz w:val="19"/>
          <w:szCs w:val="19"/>
          <w:color w:val="auto"/>
        </w:rPr>
      </w:pPr>
    </w:p>
    <w:p>
      <w:pPr>
        <w:jc w:val="both"/>
        <w:ind w:left="408" w:hanging="408"/>
        <w:spacing w:after="0" w:line="292" w:lineRule="auto"/>
        <w:tabs>
          <w:tab w:leader="none" w:pos="403" w:val="left"/>
        </w:tabs>
        <w:numPr>
          <w:ilvl w:val="0"/>
          <w:numId w:val="102"/>
        </w:numPr>
        <w:rPr>
          <w:rFonts w:ascii="Arial" w:cs="Arial" w:eastAsia="Arial" w:hAnsi="Arial"/>
          <w:sz w:val="19"/>
          <w:szCs w:val="19"/>
          <w:color w:val="auto"/>
        </w:rPr>
      </w:pPr>
      <w:r>
        <w:rPr>
          <w:rFonts w:ascii="Arial" w:cs="Arial" w:eastAsia="Arial" w:hAnsi="Arial"/>
          <w:sz w:val="19"/>
          <w:szCs w:val="19"/>
          <w:color w:val="231F20"/>
        </w:rPr>
        <w:t>with respect to the 2032 Euro Notes, at any time prior to November 20, 2031 (three months prior to the maturity of the 2032 Euro Notes) (the “2032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2032 Par Call Date, in each case discounted to the redemption date on an actual (ACTUAL/ACTUAL (ICMA)) basis at a rate equal to the applicable comparable government bond rate plus 20 basis points; provided that, if the 2032 Euro Notes are redeemed on or after the 2032 Par Call Date, the Redemption Price will equal 100% of the principal amount of such notes;</w:t>
      </w:r>
    </w:p>
    <w:p>
      <w:pPr>
        <w:spacing w:after="0" w:line="191" w:lineRule="exact"/>
        <w:rPr>
          <w:rFonts w:ascii="Arial" w:cs="Arial" w:eastAsia="Arial" w:hAnsi="Arial"/>
          <w:sz w:val="19"/>
          <w:szCs w:val="19"/>
          <w:color w:val="auto"/>
        </w:rPr>
      </w:pPr>
    </w:p>
    <w:p>
      <w:pPr>
        <w:jc w:val="both"/>
        <w:ind w:left="408" w:hanging="408"/>
        <w:spacing w:after="0" w:line="292" w:lineRule="auto"/>
        <w:tabs>
          <w:tab w:leader="none" w:pos="403" w:val="left"/>
        </w:tabs>
        <w:numPr>
          <w:ilvl w:val="0"/>
          <w:numId w:val="102"/>
        </w:numPr>
        <w:rPr>
          <w:rFonts w:ascii="Arial" w:cs="Arial" w:eastAsia="Arial" w:hAnsi="Arial"/>
          <w:sz w:val="19"/>
          <w:szCs w:val="19"/>
          <w:color w:val="auto"/>
        </w:rPr>
      </w:pPr>
      <w:r>
        <w:rPr>
          <w:rFonts w:ascii="Arial" w:cs="Arial" w:eastAsia="Arial" w:hAnsi="Arial"/>
          <w:sz w:val="19"/>
          <w:szCs w:val="19"/>
          <w:color w:val="231F20"/>
        </w:rPr>
        <w:t>with respect to the 2040 Euro Notes, at any time prior to August 20, 2039 (six months prior to the maturity of the 2040 Euro Notes) (the “2040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2040 Par Call Date, in each case discounted to the redemption date on an actual (ACTUAL/ACTUAL (ICMA)) basis at a rate equal to the applicable comparable government bond rate plus 25 basis points; provided that, if the 2040 Euro Notes are redeemed on or after the 2040 Par Call Date, the Redemption Price will equal 100% of the principal amount of such notes;</w:t>
      </w:r>
    </w:p>
    <w:p>
      <w:pPr>
        <w:spacing w:after="0" w:line="56" w:lineRule="exact"/>
        <w:rPr>
          <w:rFonts w:ascii="Arial" w:cs="Arial" w:eastAsia="Arial" w:hAnsi="Arial"/>
          <w:sz w:val="19"/>
          <w:szCs w:val="19"/>
          <w:color w:val="auto"/>
        </w:rPr>
      </w:pPr>
    </w:p>
    <w:p>
      <w:pPr>
        <w:jc w:val="both"/>
        <w:ind w:left="408" w:hanging="408"/>
        <w:spacing w:after="0" w:line="294" w:lineRule="auto"/>
        <w:tabs>
          <w:tab w:leader="none" w:pos="403" w:val="left"/>
        </w:tabs>
        <w:numPr>
          <w:ilvl w:val="0"/>
          <w:numId w:val="102"/>
        </w:numPr>
        <w:rPr>
          <w:rFonts w:ascii="Arial" w:cs="Arial" w:eastAsia="Arial" w:hAnsi="Arial"/>
          <w:sz w:val="19"/>
          <w:szCs w:val="19"/>
          <w:color w:val="auto"/>
        </w:rPr>
      </w:pPr>
      <w:r>
        <w:rPr>
          <w:rFonts w:ascii="Arial" w:cs="Arial" w:eastAsia="Arial" w:hAnsi="Arial"/>
          <w:sz w:val="19"/>
          <w:szCs w:val="19"/>
          <w:color w:val="231F20"/>
        </w:rPr>
        <w:t>with respect to the 2029 Sterling Notes, at any time prior to November 20, 2028 (three months prior to the maturity of the 2029 Sterling Notes)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2029 Sterling Notes are</w:t>
      </w:r>
    </w:p>
    <w:p>
      <w:pPr>
        <w:sectPr>
          <w:pgSz w:w="11900" w:h="16838" w:orient="portrait"/>
          <w:cols w:equalWidth="0" w:num="1">
            <w:col w:w="10908"/>
          </w:cols>
          <w:pgMar w:left="652" w:top="1427" w:right="339" w:bottom="1440" w:gutter="0" w:footer="0" w:header="0"/>
        </w:sectPr>
      </w:pPr>
    </w:p>
    <w:bookmarkStart w:id="147" w:name="page148"/>
    <w:bookmarkEnd w:id="147"/>
    <w:p>
      <w:pPr>
        <w:spacing w:after="0" w:line="109" w:lineRule="exact"/>
        <w:rPr>
          <w:sz w:val="20"/>
          <w:szCs w:val="20"/>
          <w:color w:val="auto"/>
        </w:rPr>
      </w:pPr>
    </w:p>
    <w:p>
      <w:pPr>
        <w:ind w:left="740"/>
        <w:spacing w:after="0" w:line="263" w:lineRule="auto"/>
        <w:rPr>
          <w:sz w:val="20"/>
          <w:szCs w:val="20"/>
          <w:color w:val="auto"/>
        </w:rPr>
      </w:pPr>
      <w:r>
        <w:rPr>
          <w:rFonts w:ascii="Arial" w:cs="Arial" w:eastAsia="Arial" w:hAnsi="Arial"/>
          <w:sz w:val="22"/>
          <w:szCs w:val="22"/>
          <w:color w:val="231F20"/>
        </w:rPr>
        <w:t>redeemed on or after the 2029 Par Call Date, the Redemption Price will equal 100% of the principal amount of such notes; and</w:t>
      </w:r>
    </w:p>
    <w:p>
      <w:pPr>
        <w:spacing w:after="0" w:line="202" w:lineRule="exact"/>
        <w:rPr>
          <w:sz w:val="20"/>
          <w:szCs w:val="20"/>
          <w:color w:val="auto"/>
        </w:rPr>
      </w:pPr>
    </w:p>
    <w:p>
      <w:pPr>
        <w:jc w:val="both"/>
        <w:ind w:left="740" w:hanging="408"/>
        <w:spacing w:after="0" w:line="292" w:lineRule="auto"/>
        <w:tabs>
          <w:tab w:leader="none" w:pos="735" w:val="left"/>
        </w:tabs>
        <w:numPr>
          <w:ilvl w:val="0"/>
          <w:numId w:val="103"/>
        </w:numPr>
        <w:rPr>
          <w:rFonts w:ascii="Arial" w:cs="Arial" w:eastAsia="Arial" w:hAnsi="Arial"/>
          <w:sz w:val="19"/>
          <w:szCs w:val="19"/>
          <w:color w:val="auto"/>
        </w:rPr>
      </w:pPr>
      <w:r>
        <w:rPr>
          <w:rFonts w:ascii="Arial" w:cs="Arial" w:eastAsia="Arial" w:hAnsi="Arial"/>
          <w:sz w:val="19"/>
          <w:szCs w:val="19"/>
          <w:color w:val="231F20"/>
        </w:rPr>
        <w:t>with respect to the 2036 Sterling Notes, at any time prior to November 20, 2035 (three months prior to the maturity of the 2036 Sterling Notes) (the “2036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2036 Par Call Date, in each case discounted to the redemption date on an actual (ACTUAL/ACTUAL (ICMA)) basis at a rate equal to the applicable comparable government bond rate plus 15 basis points; provided that, if the 2036 Sterling Notes are redeemed on or after the 2036 Par Call Date, the Redemption Price will equal 100% of the principal amount of such notes;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231F20"/>
        </w:rPr>
        <w:t>plus, in each case, accrued and unpaid interest thereon to the date of redemption.</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231F20"/>
        </w:rPr>
        <w:t>The term “</w:t>
      </w:r>
      <w:r>
        <w:rPr>
          <w:rFonts w:ascii="Arial" w:cs="Arial" w:eastAsia="Arial" w:hAnsi="Arial"/>
          <w:sz w:val="19"/>
          <w:szCs w:val="19"/>
          <w:b w:val="1"/>
          <w:bCs w:val="1"/>
          <w:i w:val="1"/>
          <w:iCs w:val="1"/>
          <w:color w:val="231F20"/>
        </w:rPr>
        <w:t>comparable government bond</w:t>
      </w:r>
      <w:r>
        <w:rPr>
          <w:rFonts w:ascii="Arial" w:cs="Arial" w:eastAsia="Arial" w:hAnsi="Arial"/>
          <w:sz w:val="19"/>
          <w:szCs w:val="19"/>
          <w:color w:val="231F20"/>
        </w:rPr>
        <w:t>”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 or market makers in, German government bonds selected by us, determine to be appropriate for determining the comparable government bond rate and (ii) 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2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231F20"/>
        </w:rPr>
        <w:t>The term “</w:t>
      </w:r>
      <w:r>
        <w:rPr>
          <w:rFonts w:ascii="Arial" w:cs="Arial" w:eastAsia="Arial" w:hAnsi="Arial"/>
          <w:sz w:val="19"/>
          <w:szCs w:val="19"/>
          <w:b w:val="1"/>
          <w:bCs w:val="1"/>
          <w:i w:val="1"/>
          <w:iCs w:val="1"/>
          <w:color w:val="231F20"/>
        </w:rPr>
        <w:t>comparable government bond rate</w:t>
      </w:r>
      <w:r>
        <w:rPr>
          <w:rFonts w:ascii="Arial" w:cs="Arial" w:eastAsia="Arial" w:hAnsi="Arial"/>
          <w:sz w:val="19"/>
          <w:szCs w:val="19"/>
          <w:color w:val="231F20"/>
        </w:rPr>
        <w:t>”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term “</w:t>
      </w:r>
      <w:r>
        <w:rPr>
          <w:rFonts w:ascii="Arial" w:cs="Arial" w:eastAsia="Arial" w:hAnsi="Arial"/>
          <w:sz w:val="22"/>
          <w:szCs w:val="22"/>
          <w:b w:val="1"/>
          <w:bCs w:val="1"/>
          <w:i w:val="1"/>
          <w:iCs w:val="1"/>
          <w:color w:val="231F20"/>
        </w:rPr>
        <w:t>independent investment banker</w:t>
      </w:r>
      <w:r>
        <w:rPr>
          <w:rFonts w:ascii="Arial" w:cs="Arial" w:eastAsia="Arial" w:hAnsi="Arial"/>
          <w:sz w:val="22"/>
          <w:szCs w:val="22"/>
          <w:color w:val="231F20"/>
        </w:rPr>
        <w:t>” means each of BNP Paribas, Citigroup Global Markets Limited and J.P. Morgan Securities plc (or their respective successors), with respect to the 2027 Euro Notes, the 2032 Euro Notes, the 2040 Euro Notes and the Sterling</w:t>
      </w:r>
    </w:p>
    <w:p>
      <w:pPr>
        <w:sectPr>
          <w:pgSz w:w="11900" w:h="16838" w:orient="portrait"/>
          <w:cols w:equalWidth="0" w:num="1">
            <w:col w:w="11240"/>
          </w:cols>
          <w:pgMar w:left="320" w:top="1440" w:right="339" w:bottom="1440" w:gutter="0" w:footer="0" w:header="0"/>
        </w:sectPr>
      </w:pPr>
    </w:p>
    <w:bookmarkStart w:id="148" w:name="page149"/>
    <w:bookmarkEnd w:id="148"/>
    <w:p>
      <w:pPr>
        <w:jc w:val="both"/>
        <w:spacing w:after="0" w:line="271" w:lineRule="auto"/>
        <w:rPr>
          <w:sz w:val="20"/>
          <w:szCs w:val="20"/>
          <w:color w:val="auto"/>
        </w:rPr>
      </w:pPr>
      <w:r>
        <w:rPr>
          <w:rFonts w:ascii="Arial" w:cs="Arial" w:eastAsia="Arial" w:hAnsi="Arial"/>
          <w:sz w:val="21"/>
          <w:szCs w:val="21"/>
          <w:color w:val="231F20"/>
        </w:rPr>
        <w:t>Notes, and Barclays Bank PLC and Deutsche Bank AG, London Branch (or their respective successors), with respect to the 2026 Euro Notes and the 2029 Euro Notes, or if each such firm is unwilling or unable to select the comparable government bond, an independent investment banking institution of international standing appointed by us.</w:t>
      </w:r>
    </w:p>
    <w:p>
      <w:pPr>
        <w:spacing w:after="0" w:line="20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231F20"/>
        </w:rPr>
        <w:t>On and after the redemption date, interest will cease to accrue on the Notes or any portion of the Notes called for redemption (unless the Issuer defaults in the payment of the Redemption Price and accrued interest). On or before the redemption date, the Issuer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Additionally, the Issuer may at any time repurchase Notes in the open market and may hold or surrender such Notes to the Trustee for cancellation.</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Payment of Additional Amounts</w:t>
      </w:r>
    </w:p>
    <w:p>
      <w:pPr>
        <w:spacing w:after="0" w:line="2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231F20"/>
        </w:rPr>
        <w:t>The Issuer will, subject to the exceptions and limitations set forth below, pay as additional interest in respect of the Notes such additional amounts as are necessary in order that the net payment by the Issuer or its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52" w:lineRule="exact"/>
        <w:rPr>
          <w:sz w:val="20"/>
          <w:szCs w:val="20"/>
          <w:color w:val="auto"/>
        </w:rPr>
      </w:pPr>
    </w:p>
    <w:p>
      <w:pPr>
        <w:jc w:val="both"/>
        <w:ind w:left="760" w:hanging="563"/>
        <w:spacing w:after="0" w:line="302" w:lineRule="auto"/>
        <w:tabs>
          <w:tab w:leader="none" w:pos="697" w:val="left"/>
        </w:tabs>
        <w:numPr>
          <w:ilvl w:val="0"/>
          <w:numId w:val="104"/>
        </w:numPr>
        <w:rPr>
          <w:rFonts w:ascii="Arial" w:cs="Arial" w:eastAsia="Arial" w:hAnsi="Arial"/>
          <w:sz w:val="19"/>
          <w:szCs w:val="19"/>
          <w:color w:val="231F20"/>
        </w:rPr>
      </w:pPr>
      <w:r>
        <w:rPr>
          <w:rFonts w:ascii="Arial" w:cs="Arial" w:eastAsia="Arial" w:hAnsi="Arial"/>
          <w:sz w:val="19"/>
          <w:szCs w:val="19"/>
          <w:color w:val="231F20"/>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01" w:lineRule="exact"/>
        <w:rPr>
          <w:rFonts w:ascii="Arial" w:cs="Arial" w:eastAsia="Arial" w:hAnsi="Arial"/>
          <w:sz w:val="19"/>
          <w:szCs w:val="19"/>
          <w:color w:val="231F20"/>
        </w:rPr>
      </w:pPr>
    </w:p>
    <w:p>
      <w:pPr>
        <w:ind w:left="1200" w:hanging="364"/>
        <w:spacing w:after="0" w:line="263" w:lineRule="auto"/>
        <w:tabs>
          <w:tab w:leader="none" w:pos="1377" w:val="left"/>
        </w:tabs>
        <w:numPr>
          <w:ilvl w:val="1"/>
          <w:numId w:val="104"/>
        </w:numPr>
        <w:rPr>
          <w:rFonts w:ascii="Arial" w:cs="Arial" w:eastAsia="Arial" w:hAnsi="Arial"/>
          <w:sz w:val="22"/>
          <w:szCs w:val="22"/>
          <w:color w:val="231F20"/>
        </w:rPr>
      </w:pPr>
      <w:r>
        <w:rPr>
          <w:rFonts w:ascii="Arial" w:cs="Arial" w:eastAsia="Arial" w:hAnsi="Arial"/>
          <w:sz w:val="22"/>
          <w:szCs w:val="22"/>
          <w:color w:val="231F20"/>
        </w:rPr>
        <w:t>being or having been engaged in a trade or business in the United States or having or having had a permanent establishment in the United States;</w:t>
      </w:r>
    </w:p>
    <w:p>
      <w:pPr>
        <w:spacing w:after="0" w:line="134" w:lineRule="exact"/>
        <w:rPr>
          <w:rFonts w:ascii="Arial" w:cs="Arial" w:eastAsia="Arial" w:hAnsi="Arial"/>
          <w:sz w:val="22"/>
          <w:szCs w:val="22"/>
          <w:color w:val="231F20"/>
        </w:rPr>
      </w:pPr>
    </w:p>
    <w:p>
      <w:pPr>
        <w:ind w:left="1200" w:hanging="364"/>
        <w:spacing w:after="0" w:line="263" w:lineRule="auto"/>
        <w:tabs>
          <w:tab w:leader="none" w:pos="1339" w:val="left"/>
        </w:tabs>
        <w:numPr>
          <w:ilvl w:val="1"/>
          <w:numId w:val="104"/>
        </w:numPr>
        <w:rPr>
          <w:rFonts w:ascii="Arial" w:cs="Arial" w:eastAsia="Arial" w:hAnsi="Arial"/>
          <w:sz w:val="22"/>
          <w:szCs w:val="22"/>
          <w:color w:val="231F20"/>
        </w:rPr>
      </w:pPr>
      <w:r>
        <w:rPr>
          <w:rFonts w:ascii="Arial" w:cs="Arial" w:eastAsia="Arial" w:hAnsi="Arial"/>
          <w:sz w:val="22"/>
          <w:szCs w:val="22"/>
          <w:color w:val="231F20"/>
        </w:rPr>
        <w:t>having a current or former connection with the United States (other than a connection arising solely as a result of the ownership of the Notes or the receipt of</w:t>
      </w:r>
    </w:p>
    <w:p>
      <w:pPr>
        <w:sectPr>
          <w:pgSz w:w="11900" w:h="16838" w:orient="portrait"/>
          <w:cols w:equalWidth="0" w:num="1">
            <w:col w:w="11240"/>
          </w:cols>
          <w:pgMar w:left="320" w:top="1427" w:right="339" w:bottom="1440" w:gutter="0" w:footer="0" w:header="0"/>
        </w:sectPr>
      </w:pPr>
    </w:p>
    <w:bookmarkStart w:id="149" w:name="page150"/>
    <w:bookmarkEnd w:id="149"/>
    <w:p>
      <w:pPr>
        <w:spacing w:after="0" w:line="163" w:lineRule="exact"/>
        <w:rPr>
          <w:sz w:val="20"/>
          <w:szCs w:val="20"/>
          <w:color w:val="auto"/>
        </w:rPr>
      </w:pPr>
    </w:p>
    <w:p>
      <w:pPr>
        <w:ind w:left="1003"/>
        <w:spacing w:after="0" w:line="263" w:lineRule="auto"/>
        <w:rPr>
          <w:sz w:val="20"/>
          <w:szCs w:val="20"/>
          <w:color w:val="auto"/>
        </w:rPr>
      </w:pPr>
      <w:r>
        <w:rPr>
          <w:rFonts w:ascii="Arial" w:cs="Arial" w:eastAsia="Arial" w:hAnsi="Arial"/>
          <w:sz w:val="22"/>
          <w:szCs w:val="22"/>
          <w:color w:val="231F20"/>
        </w:rPr>
        <w:t>any payment or the enforcement of any rights thereunder), including being or having been a citizen or resident of the United States;</w:t>
      </w:r>
    </w:p>
    <w:p>
      <w:pPr>
        <w:spacing w:after="0" w:line="134" w:lineRule="exact"/>
        <w:rPr>
          <w:sz w:val="20"/>
          <w:szCs w:val="20"/>
          <w:color w:val="auto"/>
        </w:rPr>
      </w:pPr>
    </w:p>
    <w:p>
      <w:pPr>
        <w:jc w:val="both"/>
        <w:ind w:left="1003" w:hanging="364"/>
        <w:spacing w:after="0" w:line="253" w:lineRule="auto"/>
        <w:tabs>
          <w:tab w:leader="none" w:pos="1145" w:val="left"/>
        </w:tabs>
        <w:numPr>
          <w:ilvl w:val="1"/>
          <w:numId w:val="105"/>
        </w:numPr>
        <w:rPr>
          <w:rFonts w:ascii="Arial" w:cs="Arial" w:eastAsia="Arial" w:hAnsi="Arial"/>
          <w:sz w:val="22"/>
          <w:szCs w:val="22"/>
          <w:color w:val="231F20"/>
        </w:rPr>
      </w:pPr>
      <w:r>
        <w:rPr>
          <w:rFonts w:ascii="Arial" w:cs="Arial" w:eastAsia="Arial" w:hAnsi="Arial"/>
          <w:sz w:val="22"/>
          <w:szCs w:val="22"/>
          <w:color w:val="231F20"/>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44" w:lineRule="exact"/>
        <w:rPr>
          <w:rFonts w:ascii="Arial" w:cs="Arial" w:eastAsia="Arial" w:hAnsi="Arial"/>
          <w:sz w:val="22"/>
          <w:szCs w:val="22"/>
          <w:color w:val="231F20"/>
        </w:rPr>
      </w:pPr>
    </w:p>
    <w:p>
      <w:pPr>
        <w:ind w:left="1123" w:hanging="484"/>
        <w:spacing w:after="0"/>
        <w:tabs>
          <w:tab w:leader="none" w:pos="1123" w:val="left"/>
        </w:tabs>
        <w:numPr>
          <w:ilvl w:val="1"/>
          <w:numId w:val="105"/>
        </w:numPr>
        <w:rPr>
          <w:rFonts w:ascii="Arial" w:cs="Arial" w:eastAsia="Arial" w:hAnsi="Arial"/>
          <w:sz w:val="19"/>
          <w:szCs w:val="19"/>
          <w:color w:val="231F20"/>
        </w:rPr>
      </w:pPr>
      <w:r>
        <w:rPr>
          <w:rFonts w:ascii="Arial" w:cs="Arial" w:eastAsia="Arial" w:hAnsi="Arial"/>
          <w:sz w:val="19"/>
          <w:szCs w:val="19"/>
          <w:color w:val="231F20"/>
        </w:rPr>
        <w:t>being or having been a “10-percent shareholder” of the Issuer or applicable Guarantor as defined in section 871(h)</w:t>
      </w:r>
    </w:p>
    <w:p>
      <w:pPr>
        <w:spacing w:after="0" w:line="55" w:lineRule="exact"/>
        <w:rPr>
          <w:rFonts w:ascii="Arial" w:cs="Arial" w:eastAsia="Arial" w:hAnsi="Arial"/>
          <w:sz w:val="19"/>
          <w:szCs w:val="19"/>
          <w:color w:val="231F20"/>
        </w:rPr>
      </w:pPr>
    </w:p>
    <w:p>
      <w:pPr>
        <w:ind w:left="1003"/>
        <w:spacing w:after="0"/>
        <w:rPr>
          <w:rFonts w:ascii="Arial" w:cs="Arial" w:eastAsia="Arial" w:hAnsi="Arial"/>
          <w:sz w:val="19"/>
          <w:szCs w:val="19"/>
          <w:color w:val="231F20"/>
        </w:rPr>
      </w:pPr>
      <w:r>
        <w:rPr>
          <w:rFonts w:ascii="Arial" w:cs="Arial" w:eastAsia="Arial" w:hAnsi="Arial"/>
          <w:sz w:val="21"/>
          <w:szCs w:val="21"/>
          <w:color w:val="231F20"/>
        </w:rPr>
        <w:t>(3) of the U.S. Internal Revenue Code of 1986, as amended (the “Code”), or any successor provision; or</w:t>
      </w:r>
    </w:p>
    <w:p>
      <w:pPr>
        <w:spacing w:after="0" w:line="172" w:lineRule="exact"/>
        <w:rPr>
          <w:rFonts w:ascii="Arial" w:cs="Arial" w:eastAsia="Arial" w:hAnsi="Arial"/>
          <w:sz w:val="19"/>
          <w:szCs w:val="19"/>
          <w:color w:val="231F20"/>
        </w:rPr>
      </w:pPr>
    </w:p>
    <w:p>
      <w:pPr>
        <w:ind w:left="1003" w:hanging="364"/>
        <w:spacing w:after="0" w:line="343" w:lineRule="auto"/>
        <w:tabs>
          <w:tab w:leader="none" w:pos="1136" w:val="left"/>
        </w:tabs>
        <w:numPr>
          <w:ilvl w:val="1"/>
          <w:numId w:val="105"/>
        </w:numPr>
        <w:rPr>
          <w:rFonts w:ascii="Arial" w:cs="Arial" w:eastAsia="Arial" w:hAnsi="Arial"/>
          <w:sz w:val="19"/>
          <w:szCs w:val="19"/>
          <w:color w:val="231F20"/>
        </w:rPr>
      </w:pPr>
      <w:r>
        <w:rPr>
          <w:rFonts w:ascii="Arial" w:cs="Arial" w:eastAsia="Arial" w:hAnsi="Arial"/>
          <w:sz w:val="19"/>
          <w:szCs w:val="19"/>
          <w:color w:val="231F20"/>
        </w:rPr>
        <w:t>being a bank receiving payments on an extension of credit made pursuant to a loan agreement entered into in the ordinary course of its trade or business, as described in Section 881(c)(3) of the Code or any successor provision;</w:t>
      </w:r>
    </w:p>
    <w:p>
      <w:pPr>
        <w:spacing w:after="0" w:line="63" w:lineRule="exact"/>
        <w:rPr>
          <w:rFonts w:ascii="Arial" w:cs="Arial" w:eastAsia="Arial" w:hAnsi="Arial"/>
          <w:sz w:val="19"/>
          <w:szCs w:val="19"/>
          <w:color w:val="231F20"/>
        </w:rPr>
      </w:pPr>
    </w:p>
    <w:p>
      <w:pPr>
        <w:ind w:left="563" w:hanging="563"/>
        <w:spacing w:after="0" w:line="247" w:lineRule="auto"/>
        <w:tabs>
          <w:tab w:leader="none" w:pos="464" w:val="left"/>
        </w:tabs>
        <w:numPr>
          <w:ilvl w:val="0"/>
          <w:numId w:val="106"/>
        </w:numPr>
        <w:rPr>
          <w:rFonts w:ascii="Arial" w:cs="Arial" w:eastAsia="Arial" w:hAnsi="Arial"/>
          <w:sz w:val="22"/>
          <w:szCs w:val="22"/>
          <w:color w:val="231F20"/>
        </w:rPr>
      </w:pPr>
      <w:r>
        <w:rPr>
          <w:rFonts w:ascii="Arial" w:cs="Arial" w:eastAsia="Arial" w:hAnsi="Arial"/>
          <w:sz w:val="22"/>
          <w:szCs w:val="22"/>
          <w:color w:val="231F20"/>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219" w:lineRule="exact"/>
        <w:rPr>
          <w:rFonts w:ascii="Arial" w:cs="Arial" w:eastAsia="Arial" w:hAnsi="Arial"/>
          <w:sz w:val="22"/>
          <w:szCs w:val="22"/>
          <w:color w:val="231F20"/>
        </w:rPr>
      </w:pPr>
    </w:p>
    <w:p>
      <w:pPr>
        <w:jc w:val="both"/>
        <w:ind w:left="563" w:hanging="563"/>
        <w:spacing w:after="0" w:line="261" w:lineRule="auto"/>
        <w:tabs>
          <w:tab w:leader="none" w:pos="529" w:val="left"/>
        </w:tabs>
        <w:numPr>
          <w:ilvl w:val="0"/>
          <w:numId w:val="106"/>
        </w:numPr>
        <w:rPr>
          <w:rFonts w:ascii="Arial" w:cs="Arial" w:eastAsia="Arial" w:hAnsi="Arial"/>
          <w:sz w:val="21"/>
          <w:szCs w:val="21"/>
          <w:color w:val="231F20"/>
        </w:rPr>
      </w:pPr>
      <w:r>
        <w:rPr>
          <w:rFonts w:ascii="Arial" w:cs="Arial" w:eastAsia="Arial" w:hAnsi="Arial"/>
          <w:sz w:val="21"/>
          <w:szCs w:val="21"/>
          <w:color w:val="231F20"/>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84" w:lineRule="exact"/>
        <w:rPr>
          <w:rFonts w:ascii="Arial" w:cs="Arial" w:eastAsia="Arial" w:hAnsi="Arial"/>
          <w:sz w:val="21"/>
          <w:szCs w:val="21"/>
          <w:color w:val="231F20"/>
        </w:rPr>
      </w:pPr>
    </w:p>
    <w:p>
      <w:pPr>
        <w:ind w:left="563" w:hanging="563"/>
        <w:spacing w:after="0" w:line="263" w:lineRule="auto"/>
        <w:tabs>
          <w:tab w:leader="none" w:pos="525" w:val="left"/>
        </w:tabs>
        <w:numPr>
          <w:ilvl w:val="0"/>
          <w:numId w:val="106"/>
        </w:numPr>
        <w:rPr>
          <w:rFonts w:ascii="Arial" w:cs="Arial" w:eastAsia="Arial" w:hAnsi="Arial"/>
          <w:sz w:val="22"/>
          <w:szCs w:val="22"/>
          <w:color w:val="231F20"/>
        </w:rPr>
      </w:pPr>
      <w:r>
        <w:rPr>
          <w:rFonts w:ascii="Arial" w:cs="Arial" w:eastAsia="Arial" w:hAnsi="Arial"/>
          <w:sz w:val="22"/>
          <w:szCs w:val="22"/>
          <w:color w:val="231F20"/>
        </w:rPr>
        <w:t>to any tax, assessment or other governmental charge that is imposed otherwise than by withholding by the Issuer or an applicable withholding agent from the payment;</w:t>
      </w:r>
    </w:p>
    <w:p>
      <w:pPr>
        <w:spacing w:after="0" w:line="201" w:lineRule="exact"/>
        <w:rPr>
          <w:rFonts w:ascii="Arial" w:cs="Arial" w:eastAsia="Arial" w:hAnsi="Arial"/>
          <w:sz w:val="22"/>
          <w:szCs w:val="22"/>
          <w:color w:val="231F20"/>
        </w:rPr>
      </w:pPr>
    </w:p>
    <w:p>
      <w:pPr>
        <w:jc w:val="both"/>
        <w:ind w:left="563" w:hanging="563"/>
        <w:spacing w:after="0" w:line="253" w:lineRule="auto"/>
        <w:tabs>
          <w:tab w:leader="none" w:pos="631" w:val="left"/>
        </w:tabs>
        <w:numPr>
          <w:ilvl w:val="0"/>
          <w:numId w:val="106"/>
        </w:numPr>
        <w:rPr>
          <w:rFonts w:ascii="Arial" w:cs="Arial" w:eastAsia="Arial" w:hAnsi="Arial"/>
          <w:sz w:val="22"/>
          <w:szCs w:val="22"/>
          <w:color w:val="231F20"/>
        </w:rPr>
      </w:pPr>
      <w:r>
        <w:rPr>
          <w:rFonts w:ascii="Arial" w:cs="Arial" w:eastAsia="Arial" w:hAnsi="Arial"/>
          <w:sz w:val="22"/>
          <w:szCs w:val="22"/>
          <w:color w:val="231F20"/>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225" w:lineRule="exact"/>
        <w:rPr>
          <w:rFonts w:ascii="Arial" w:cs="Arial" w:eastAsia="Arial" w:hAnsi="Arial"/>
          <w:sz w:val="22"/>
          <w:szCs w:val="22"/>
          <w:color w:val="231F20"/>
        </w:rPr>
      </w:pPr>
    </w:p>
    <w:p>
      <w:pPr>
        <w:ind w:left="563" w:hanging="563"/>
        <w:spacing w:after="0" w:line="263" w:lineRule="auto"/>
        <w:tabs>
          <w:tab w:leader="none" w:pos="621" w:val="left"/>
        </w:tabs>
        <w:numPr>
          <w:ilvl w:val="0"/>
          <w:numId w:val="106"/>
        </w:numPr>
        <w:rPr>
          <w:rFonts w:ascii="Arial" w:cs="Arial" w:eastAsia="Arial" w:hAnsi="Arial"/>
          <w:sz w:val="22"/>
          <w:szCs w:val="22"/>
          <w:color w:val="231F20"/>
        </w:rPr>
      </w:pPr>
      <w:r>
        <w:rPr>
          <w:rFonts w:ascii="Arial" w:cs="Arial" w:eastAsia="Arial" w:hAnsi="Arial"/>
          <w:sz w:val="22"/>
          <w:szCs w:val="22"/>
          <w:color w:val="231F20"/>
        </w:rPr>
        <w:t>to any estate, inheritance, gift, sales, excise, transfer, wealth, capital gains or personal property tax or similar tax, assessment or other governmental charge or excise tax imposed on the transfer of Notes;</w:t>
      </w:r>
    </w:p>
    <w:p>
      <w:pPr>
        <w:sectPr>
          <w:pgSz w:w="11900" w:h="16838" w:orient="portrait"/>
          <w:cols w:equalWidth="0" w:num="1">
            <w:col w:w="11043"/>
          </w:cols>
          <w:pgMar w:left="517" w:top="1440" w:right="339" w:bottom="1440" w:gutter="0" w:footer="0" w:header="0"/>
        </w:sectPr>
      </w:pPr>
    </w:p>
    <w:bookmarkStart w:id="150" w:name="page151"/>
    <w:bookmarkEnd w:id="150"/>
    <w:p>
      <w:pPr>
        <w:jc w:val="both"/>
        <w:ind w:left="760" w:hanging="563"/>
        <w:spacing w:after="0" w:line="253" w:lineRule="auto"/>
        <w:tabs>
          <w:tab w:leader="none" w:pos="715" w:val="left"/>
        </w:tabs>
        <w:numPr>
          <w:ilvl w:val="0"/>
          <w:numId w:val="107"/>
        </w:numPr>
        <w:rPr>
          <w:rFonts w:ascii="Arial" w:cs="Arial" w:eastAsia="Arial" w:hAnsi="Arial"/>
          <w:sz w:val="22"/>
          <w:szCs w:val="22"/>
          <w:color w:val="231F20"/>
        </w:rPr>
      </w:pPr>
      <w:r>
        <w:rPr>
          <w:rFonts w:ascii="Arial" w:cs="Arial" w:eastAsia="Arial" w:hAnsi="Arial"/>
          <w:sz w:val="22"/>
          <w:szCs w:val="22"/>
          <w:color w:val="231F20"/>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225" w:lineRule="exact"/>
        <w:rPr>
          <w:rFonts w:ascii="Arial" w:cs="Arial" w:eastAsia="Arial" w:hAnsi="Arial"/>
          <w:sz w:val="22"/>
          <w:szCs w:val="22"/>
          <w:color w:val="231F20"/>
        </w:rPr>
      </w:pPr>
    </w:p>
    <w:p>
      <w:pPr>
        <w:ind w:left="760" w:hanging="563"/>
        <w:spacing w:after="0" w:line="250" w:lineRule="auto"/>
        <w:tabs>
          <w:tab w:leader="none" w:pos="675" w:val="left"/>
        </w:tabs>
        <w:numPr>
          <w:ilvl w:val="0"/>
          <w:numId w:val="107"/>
        </w:numPr>
        <w:rPr>
          <w:rFonts w:ascii="Arial" w:cs="Arial" w:eastAsia="Arial" w:hAnsi="Arial"/>
          <w:sz w:val="22"/>
          <w:szCs w:val="22"/>
          <w:color w:val="231F20"/>
        </w:rPr>
      </w:pPr>
      <w:r>
        <w:rPr>
          <w:rFonts w:ascii="Arial" w:cs="Arial" w:eastAsia="Arial" w:hAnsi="Arial"/>
          <w:sz w:val="22"/>
          <w:szCs w:val="22"/>
          <w:color w:val="231F20"/>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228" w:lineRule="exact"/>
        <w:rPr>
          <w:rFonts w:ascii="Arial" w:cs="Arial" w:eastAsia="Arial" w:hAnsi="Arial"/>
          <w:sz w:val="22"/>
          <w:szCs w:val="22"/>
          <w:color w:val="231F20"/>
        </w:rPr>
      </w:pPr>
    </w:p>
    <w:p>
      <w:pPr>
        <w:ind w:left="760" w:hanging="563"/>
        <w:spacing w:after="0" w:line="250" w:lineRule="auto"/>
        <w:tabs>
          <w:tab w:leader="none" w:pos="684" w:val="left"/>
        </w:tabs>
        <w:numPr>
          <w:ilvl w:val="0"/>
          <w:numId w:val="107"/>
        </w:numPr>
        <w:rPr>
          <w:rFonts w:ascii="Arial" w:cs="Arial" w:eastAsia="Arial" w:hAnsi="Arial"/>
          <w:sz w:val="22"/>
          <w:szCs w:val="22"/>
          <w:color w:val="231F20"/>
        </w:rPr>
      </w:pPr>
      <w:r>
        <w:rPr>
          <w:rFonts w:ascii="Arial" w:cs="Arial" w:eastAsia="Arial" w:hAnsi="Arial"/>
          <w:sz w:val="22"/>
          <w:szCs w:val="22"/>
          <w:color w:val="231F20"/>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214" w:lineRule="exact"/>
        <w:rPr>
          <w:rFonts w:ascii="Arial" w:cs="Arial" w:eastAsia="Arial" w:hAnsi="Arial"/>
          <w:sz w:val="22"/>
          <w:szCs w:val="22"/>
          <w:color w:val="231F20"/>
        </w:rPr>
      </w:pPr>
    </w:p>
    <w:p>
      <w:pPr>
        <w:jc w:val="both"/>
        <w:ind w:left="760" w:hanging="563"/>
        <w:spacing w:after="0" w:line="297" w:lineRule="auto"/>
        <w:tabs>
          <w:tab w:leader="none" w:pos="840" w:val="left"/>
        </w:tabs>
        <w:numPr>
          <w:ilvl w:val="0"/>
          <w:numId w:val="107"/>
        </w:numPr>
        <w:rPr>
          <w:rFonts w:ascii="Arial" w:cs="Arial" w:eastAsia="Arial" w:hAnsi="Arial"/>
          <w:sz w:val="19"/>
          <w:szCs w:val="19"/>
          <w:color w:val="231F20"/>
        </w:rPr>
      </w:pPr>
      <w:r>
        <w:rPr>
          <w:rFonts w:ascii="Arial" w:cs="Arial" w:eastAsia="Arial" w:hAnsi="Arial"/>
          <w:sz w:val="19"/>
          <w:szCs w:val="19"/>
          <w:color w:val="231F20"/>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173" w:lineRule="exact"/>
        <w:rPr>
          <w:rFonts w:ascii="Arial" w:cs="Arial" w:eastAsia="Arial" w:hAnsi="Arial"/>
          <w:sz w:val="19"/>
          <w:szCs w:val="19"/>
          <w:color w:val="231F20"/>
        </w:rPr>
      </w:pPr>
    </w:p>
    <w:p>
      <w:pPr>
        <w:ind w:left="760" w:hanging="563"/>
        <w:spacing w:after="0"/>
        <w:tabs>
          <w:tab w:leader="none" w:pos="760" w:val="left"/>
        </w:tabs>
        <w:numPr>
          <w:ilvl w:val="0"/>
          <w:numId w:val="107"/>
        </w:numPr>
        <w:rPr>
          <w:rFonts w:ascii="Arial" w:cs="Arial" w:eastAsia="Arial" w:hAnsi="Arial"/>
          <w:sz w:val="22"/>
          <w:szCs w:val="22"/>
          <w:color w:val="231F20"/>
        </w:rPr>
      </w:pPr>
      <w:r>
        <w:rPr>
          <w:rFonts w:ascii="Arial" w:cs="Arial" w:eastAsia="Arial" w:hAnsi="Arial"/>
          <w:sz w:val="22"/>
          <w:szCs w:val="22"/>
          <w:color w:val="231F20"/>
        </w:rPr>
        <w:t>in the case of any combination of items (1) through (10) above.</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231F20"/>
        </w:rPr>
        <w:t>If the Issuer is required to pay additional amounts with respect to the Notes, the Issuer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21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231F20"/>
        </w:rPr>
        <w:t>The Notes are subject in all cases to any tax, fiscal or other law or regulation or administrative or judicial interpretation applicable to the Notes. Except as specifically provided under this heading “—Payment of Additional Amounts,” the Issuer will not be required to make any payment for any tax, assessment or other governmental charge imposed by any government or a political subdivision or taxing authority of or in any government or political subdivision.</w:t>
      </w:r>
    </w:p>
    <w:p>
      <w:pPr>
        <w:sectPr>
          <w:pgSz w:w="11900" w:h="16838" w:orient="portrait"/>
          <w:cols w:equalWidth="0" w:num="1">
            <w:col w:w="11240"/>
          </w:cols>
          <w:pgMar w:left="320" w:top="1427" w:right="339" w:bottom="1440" w:gutter="0" w:footer="0" w:header="0"/>
        </w:sectPr>
      </w:pPr>
    </w:p>
    <w:bookmarkStart w:id="151" w:name="page152"/>
    <w:bookmarkEnd w:id="151"/>
    <w:p>
      <w:pPr>
        <w:spacing w:after="0" w:line="12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231F20"/>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Redemption for Tax Reasons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231F20"/>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the Issuer becomes or, based upon a written opinion of independent counsel selected by us, will become obligated to pay additional amounts as described under the heading “—Payment of Additional Amounts” with respect to the Notes, then the Issuer may at any time at its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 Mandatory Redemption or Sinking Fund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There will be no mandatory redemption prior to maturity or sinking fund payments for the Notes.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Additional Debt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 Indenture does not limit the amount of debt the Issuer may issue under the Indenture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212" w:lineRule="exact"/>
        <w:rPr>
          <w:sz w:val="20"/>
          <w:szCs w:val="20"/>
          <w:color w:val="auto"/>
        </w:rPr>
      </w:pPr>
    </w:p>
    <w:p>
      <w:pPr>
        <w:jc w:val="both"/>
        <w:ind w:right="80" w:firstLine="648"/>
        <w:spacing w:after="0" w:line="223" w:lineRule="auto"/>
        <w:rPr>
          <w:sz w:val="20"/>
          <w:szCs w:val="20"/>
          <w:color w:val="auto"/>
        </w:rPr>
      </w:pPr>
      <w:r>
        <w:rPr>
          <w:rFonts w:ascii="Arial" w:cs="Arial" w:eastAsia="Arial" w:hAnsi="Arial"/>
          <w:sz w:val="22"/>
          <w:szCs w:val="22"/>
          <w:color w:val="auto"/>
        </w:rPr>
        <w:t>The Issuer and the Guarantors have agreed to some restrictions on their activities for the benefit of holders of all series of the Notes issued under the Indenture. The restrictive covenants summarized below will apply, unless the covenants are waived or amended, so long as any of the Notes are outstanding.</w:t>
      </w:r>
    </w:p>
    <w:p>
      <w:pPr>
        <w:spacing w:after="0" w:line="186" w:lineRule="exact"/>
        <w:rPr>
          <w:sz w:val="20"/>
          <w:szCs w:val="20"/>
          <w:color w:val="auto"/>
        </w:rPr>
      </w:pPr>
    </w:p>
    <w:p>
      <w:pPr>
        <w:ind w:right="260" w:firstLine="648"/>
        <w:spacing w:after="0" w:line="268" w:lineRule="auto"/>
        <w:rPr>
          <w:sz w:val="20"/>
          <w:szCs w:val="20"/>
          <w:color w:val="auto"/>
        </w:rPr>
      </w:pPr>
      <w:r>
        <w:rPr>
          <w:rFonts w:ascii="Arial" w:cs="Arial" w:eastAsia="Arial" w:hAnsi="Arial"/>
          <w:sz w:val="19"/>
          <w:szCs w:val="19"/>
          <w:color w:val="auto"/>
        </w:rPr>
        <w:t>The Indenture does not contain any financial covenants other than those summarized below and does not restrict the Issuer or the Issuer’s subsidiaries from paying dividends or incurring additional debt. In addition, the Indenture will not protect holders of Notes issued under it in the event of a highly leveraged transaction or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Liens Securing Indebtedness</w:t>
      </w:r>
    </w:p>
    <w:p>
      <w:pPr>
        <w:spacing w:after="0" w:line="206" w:lineRule="exact"/>
        <w:rPr>
          <w:sz w:val="20"/>
          <w:szCs w:val="20"/>
          <w:color w:val="auto"/>
        </w:rPr>
      </w:pPr>
    </w:p>
    <w:p>
      <w:pPr>
        <w:ind w:right="20" w:firstLine="648"/>
        <w:spacing w:after="0" w:line="218" w:lineRule="auto"/>
        <w:rPr>
          <w:sz w:val="20"/>
          <w:szCs w:val="20"/>
          <w:color w:val="auto"/>
        </w:rPr>
      </w:pPr>
      <w:r>
        <w:rPr>
          <w:rFonts w:ascii="Arial" w:cs="Arial" w:eastAsia="Arial" w:hAnsi="Arial"/>
          <w:sz w:val="22"/>
          <w:szCs w:val="22"/>
          <w:color w:val="auto"/>
        </w:rPr>
        <w:t>With respect to the Notes of each series, each Obligor will covenant under the Indenture not to create or incur any Lien on any of its Properties, whether owned at the time the Indenture is executed or acquired afterward, in order to secure any of its Indebtedness, without effectively providing that the Notes of such series shall be equally and ratably secured until such time as such Indebtedness is no longer secured by such Lien, except:</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4" w:lineRule="exact"/>
        <w:rPr>
          <w:sz w:val="20"/>
          <w:szCs w:val="20"/>
          <w:color w:val="auto"/>
        </w:rPr>
      </w:pPr>
    </w:p>
    <w:p>
      <w:pPr>
        <w:ind w:left="780" w:hanging="448"/>
        <w:spacing w:after="0"/>
        <w:tabs>
          <w:tab w:leader="none" w:pos="7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Liens existing as of the date of initial issuance of the Notes of such series;</w:t>
      </w:r>
    </w:p>
    <w:p>
      <w:pPr>
        <w:spacing w:after="0" w:line="206" w:lineRule="exact"/>
        <w:rPr>
          <w:rFonts w:ascii="Arial" w:cs="Arial" w:eastAsia="Arial" w:hAnsi="Arial"/>
          <w:sz w:val="22"/>
          <w:szCs w:val="22"/>
          <w:color w:val="auto"/>
        </w:rPr>
      </w:pPr>
    </w:p>
    <w:p>
      <w:pPr>
        <w:ind w:left="660" w:right="300" w:hanging="328"/>
        <w:spacing w:after="0" w:line="232" w:lineRule="auto"/>
        <w:tabs>
          <w:tab w:leader="none" w:pos="80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Liens granted after the date of initial issuance of the Notes of such series, created in favor of the registered holders of the Notes of such series;</w:t>
      </w:r>
    </w:p>
    <w:p>
      <w:pPr>
        <w:spacing w:after="0" w:line="158" w:lineRule="exact"/>
        <w:rPr>
          <w:rFonts w:ascii="Arial" w:cs="Arial" w:eastAsia="Arial" w:hAnsi="Arial"/>
          <w:sz w:val="22"/>
          <w:szCs w:val="22"/>
          <w:color w:val="auto"/>
        </w:rPr>
      </w:pPr>
    </w:p>
    <w:p>
      <w:pPr>
        <w:ind w:left="660" w:hanging="328"/>
        <w:spacing w:after="0" w:line="252" w:lineRule="auto"/>
        <w:tabs>
          <w:tab w:leader="none" w:pos="79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75" w:lineRule="exact"/>
        <w:rPr>
          <w:rFonts w:ascii="Arial" w:cs="Arial" w:eastAsia="Arial" w:hAnsi="Arial"/>
          <w:sz w:val="19"/>
          <w:szCs w:val="19"/>
          <w:color w:val="auto"/>
        </w:rPr>
      </w:pPr>
    </w:p>
    <w:p>
      <w:pPr>
        <w:ind w:left="800" w:hanging="468"/>
        <w:spacing w:after="0"/>
        <w:tabs>
          <w:tab w:leader="none" w:pos="8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206" w:lineRule="exact"/>
        <w:rPr>
          <w:sz w:val="20"/>
          <w:szCs w:val="20"/>
          <w:color w:val="auto"/>
        </w:rPr>
      </w:pPr>
    </w:p>
    <w:p>
      <w:pPr>
        <w:ind w:right="80" w:firstLine="648"/>
        <w:spacing w:after="0" w:line="221" w:lineRule="auto"/>
        <w:rPr>
          <w:sz w:val="20"/>
          <w:szCs w:val="20"/>
          <w:color w:val="auto"/>
        </w:rPr>
      </w:pPr>
      <w:r>
        <w:rPr>
          <w:rFonts w:ascii="Arial" w:cs="Arial" w:eastAsia="Arial" w:hAnsi="Arial"/>
          <w:sz w:val="21"/>
          <w:szCs w:val="21"/>
          <w:color w:val="auto"/>
        </w:rPr>
        <w:t>Notwithstanding the restrictions above, any Obligor may, without securing the Notes of any series, create or incur Liens which would otherwise be subject to the restrictions set forth above, if after giving effect to those Liens, the Obligor’s Aggregate Debt together with the Aggregate Debt of each other Obligor does not exceed the greater of (i) 15% of the Issuer’s Consolidated Net Worth calculated as of the date of the creation or incurrence of the Lien and (ii) 15% of the Issuer’s Consolidated Net Worth calculated as of the date of initial issuance of the Notes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 on Sale and Lease-Back Transactions</w:t>
      </w:r>
    </w:p>
    <w:p>
      <w:pPr>
        <w:spacing w:after="0" w:line="206" w:lineRule="exact"/>
        <w:rPr>
          <w:sz w:val="20"/>
          <w:szCs w:val="20"/>
          <w:color w:val="auto"/>
        </w:rPr>
      </w:pPr>
    </w:p>
    <w:p>
      <w:pPr>
        <w:ind w:right="400" w:firstLine="648"/>
        <w:spacing w:after="0" w:line="223" w:lineRule="auto"/>
        <w:rPr>
          <w:sz w:val="20"/>
          <w:szCs w:val="20"/>
          <w:color w:val="auto"/>
        </w:rPr>
      </w:pPr>
      <w:r>
        <w:rPr>
          <w:rFonts w:ascii="Arial" w:cs="Arial" w:eastAsia="Arial" w:hAnsi="Arial"/>
          <w:sz w:val="22"/>
          <w:szCs w:val="22"/>
          <w:color w:val="auto"/>
        </w:rPr>
        <w:t>With respect to the Notes of each series, each Obligor will covenant under the Indenture not to enter into any sale and lease-back transaction for the sale and leasing back of any Property, whether owned at the time the Indenture is executed or acquired afterward, unless:</w:t>
      </w:r>
    </w:p>
    <w:p>
      <w:pPr>
        <w:spacing w:after="0" w:line="159"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such transaction was entered into prior to the date of the initial issuance of the Notes of such series;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such transaction was for the sale and leasing back to such Obligor of any Property by one of its Subsidiaries;</w:t>
      </w:r>
    </w:p>
    <w:p>
      <w:pPr>
        <w:spacing w:after="0" w:line="190" w:lineRule="exact"/>
        <w:rPr>
          <w:rFonts w:ascii="Arial" w:cs="Arial" w:eastAsia="Arial" w:hAnsi="Arial"/>
          <w:sz w:val="21"/>
          <w:szCs w:val="21"/>
          <w:color w:val="auto"/>
        </w:rPr>
      </w:pPr>
    </w:p>
    <w:p>
      <w:pPr>
        <w:ind w:left="660" w:hanging="328"/>
        <w:spacing w:after="0"/>
        <w:tabs>
          <w:tab w:leader="none" w:pos="6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such transaction involves a lease for less than three years;</w:t>
      </w:r>
    </w:p>
    <w:p>
      <w:pPr>
        <w:spacing w:after="0" w:line="206" w:lineRule="exact"/>
        <w:rPr>
          <w:rFonts w:ascii="Arial" w:cs="Arial" w:eastAsia="Arial" w:hAnsi="Arial"/>
          <w:sz w:val="22"/>
          <w:szCs w:val="22"/>
          <w:color w:val="auto"/>
        </w:rPr>
      </w:pPr>
    </w:p>
    <w:p>
      <w:pPr>
        <w:ind w:left="660" w:right="220" w:hanging="328"/>
        <w:spacing w:after="0" w:line="268" w:lineRule="auto"/>
        <w:tabs>
          <w:tab w:leader="none" w:pos="65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such Obligor would be entitled to incur Indebtedness secured by a mortgage on the Property to be leased in an amount equal to the Attributable Liens with respect to such sale and lease-back transaction without equally and ratably securing the Notes of such series pursuant to the first paragraph of “—Limitation on Liens Securing Indebtedness” above; or</w:t>
      </w:r>
    </w:p>
    <w:p>
      <w:pPr>
        <w:spacing w:after="0" w:line="132" w:lineRule="exact"/>
        <w:rPr>
          <w:rFonts w:ascii="Arial" w:cs="Arial" w:eastAsia="Arial" w:hAnsi="Arial"/>
          <w:sz w:val="19"/>
          <w:szCs w:val="19"/>
          <w:color w:val="auto"/>
        </w:rPr>
      </w:pPr>
    </w:p>
    <w:p>
      <w:pPr>
        <w:ind w:left="660" w:right="20" w:hanging="328"/>
        <w:spacing w:after="0" w:line="218" w:lineRule="auto"/>
        <w:tabs>
          <w:tab w:leader="none" w:pos="65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the Notes to the Trustee therefor for cancellation, such Notes to be credited at the cost thereof to the Obligor.</w:t>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204" w:lineRule="exact"/>
        <w:rPr>
          <w:sz w:val="20"/>
          <w:szCs w:val="20"/>
          <w:color w:val="auto"/>
        </w:rPr>
      </w:pPr>
    </w:p>
    <w:p>
      <w:pPr>
        <w:ind w:right="160" w:firstLine="648"/>
        <w:spacing w:after="0" w:line="214" w:lineRule="auto"/>
        <w:rPr>
          <w:sz w:val="20"/>
          <w:szCs w:val="20"/>
          <w:color w:val="auto"/>
        </w:rPr>
      </w:pPr>
      <w:r>
        <w:rPr>
          <w:rFonts w:ascii="Arial" w:cs="Arial" w:eastAsia="Arial" w:hAnsi="Arial"/>
          <w:sz w:val="22"/>
          <w:szCs w:val="22"/>
          <w:color w:val="auto"/>
        </w:rPr>
        <w:t>Notwithstanding the previous paragraph (including the bulleted list), any Obligor may enter into any sale and lease-back transaction which would otherwise be subject to the foregoing restrictions with respect to the Notes of any series if after giving effect thereto and at the time of determination, its Aggregate Debt together with the Aggregate Debt of all other Obligors does not exceed the greater of (i) 15% of the Issuer’s Consolidated Net Worth calculated as of the closing date of the sale and lease-back transaction and (ii) 15% of the Issuer’s Consolidated Net Worth calculated as of the date of initial issuance of the Notes of such series.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Aggregate Debt</w:t>
      </w:r>
      <w:r>
        <w:rPr>
          <w:rFonts w:ascii="Arial" w:cs="Arial" w:eastAsia="Arial" w:hAnsi="Arial"/>
          <w:sz w:val="21"/>
          <w:szCs w:val="21"/>
          <w:color w:val="auto"/>
        </w:rPr>
        <w:t>” means, with respect to an Obligor, the sum of the following as of the date of determination:</w:t>
      </w:r>
    </w:p>
    <w:p>
      <w:pPr>
        <w:spacing w:after="0" w:line="224" w:lineRule="exact"/>
        <w:rPr>
          <w:sz w:val="20"/>
          <w:szCs w:val="20"/>
          <w:color w:val="auto"/>
        </w:rPr>
      </w:pPr>
    </w:p>
    <w:p>
      <w:pPr>
        <w:ind w:right="200" w:firstLine="656"/>
        <w:spacing w:after="0" w:line="223" w:lineRule="auto"/>
        <w:tabs>
          <w:tab w:leader="none" w:pos="95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aggregate principal amount of such Obligor’s Indebtedness incurred after the date of initial issuance of the Notes and secured by Liens not permitted by the first paragraph (including the bulleted list) under “—Limitation on Liens Securing Indebtedness” above; and</w:t>
      </w:r>
    </w:p>
    <w:p>
      <w:pPr>
        <w:spacing w:after="0" w:line="185" w:lineRule="exact"/>
        <w:rPr>
          <w:rFonts w:ascii="Arial" w:cs="Arial" w:eastAsia="Arial" w:hAnsi="Arial"/>
          <w:sz w:val="22"/>
          <w:szCs w:val="22"/>
          <w:color w:val="auto"/>
        </w:rPr>
      </w:pPr>
    </w:p>
    <w:p>
      <w:pPr>
        <w:ind w:right="60" w:firstLine="656"/>
        <w:spacing w:after="0" w:line="298" w:lineRule="auto"/>
        <w:tabs>
          <w:tab w:leader="none" w:pos="95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such Obligor’s Attributable Liens in respect of sale and lease-back transactions entered into after the date of the initial issuance of the Notes pursuant to the last paragraph under “—Limitation on Sale and Lease-Back Transactions” above.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Attributable Liens</w:t>
      </w:r>
      <w:r>
        <w:rPr>
          <w:rFonts w:ascii="Arial" w:cs="Arial" w:eastAsia="Arial" w:hAnsi="Arial"/>
          <w:sz w:val="22"/>
          <w:szCs w:val="22"/>
          <w:color w:val="auto"/>
        </w:rPr>
        <w:t>” means in connection with a sale and lease-back transaction of an Obligor the lesser of:</w:t>
      </w:r>
    </w:p>
    <w:p>
      <w:pPr>
        <w:spacing w:after="0" w:line="212" w:lineRule="exact"/>
        <w:rPr>
          <w:sz w:val="20"/>
          <w:szCs w:val="20"/>
          <w:color w:val="auto"/>
        </w:rPr>
      </w:pPr>
    </w:p>
    <w:p>
      <w:pPr>
        <w:ind w:right="60" w:firstLine="656"/>
        <w:spacing w:after="0" w:line="232" w:lineRule="auto"/>
        <w:tabs>
          <w:tab w:leader="none" w:pos="95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transaction (as determined in good faith by the board of directors (in the case of the Issuer) or the equivalent governing body (in the case of any Guarantor)); and</w:t>
      </w:r>
    </w:p>
    <w:p>
      <w:pPr>
        <w:spacing w:after="0" w:line="185" w:lineRule="exact"/>
        <w:rPr>
          <w:rFonts w:ascii="Arial" w:cs="Arial" w:eastAsia="Arial" w:hAnsi="Arial"/>
          <w:sz w:val="22"/>
          <w:szCs w:val="22"/>
          <w:color w:val="auto"/>
        </w:rPr>
      </w:pPr>
    </w:p>
    <w:p>
      <w:pPr>
        <w:jc w:val="both"/>
        <w:ind w:right="160" w:firstLine="656"/>
        <w:spacing w:after="0" w:line="234" w:lineRule="auto"/>
        <w:tabs>
          <w:tab w:leader="none" w:pos="954"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present value (discounted at a rate per annum equal to the average interest borne by all outstanding Notes of each series issued under the Indenture determined on a weighted average basis and compounded semi-annually) of the obligations of the lessee for rental payments during the term of the related lease.</w:t>
      </w:r>
    </w:p>
    <w:p>
      <w:pPr>
        <w:spacing w:after="0" w:line="179" w:lineRule="exact"/>
        <w:rPr>
          <w:sz w:val="20"/>
          <w:szCs w:val="20"/>
          <w:color w:val="auto"/>
        </w:rPr>
      </w:pPr>
    </w:p>
    <w:p>
      <w:pPr>
        <w:ind w:right="60" w:firstLine="648"/>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Lease</w:t>
      </w:r>
      <w:r>
        <w:rPr>
          <w:rFonts w:ascii="Arial" w:cs="Arial" w:eastAsia="Arial" w:hAnsi="Arial"/>
          <w:sz w:val="22"/>
          <w:szCs w:val="22"/>
          <w:color w:val="auto"/>
        </w:rPr>
        <w:t>” means any Indebtedness represented by a lease obligation of a Person incurred with respect to real property or equipment acquired or leased by such Person and used in its business that would be required to be recorded as a capital lease in accordance with GAAP as in effect as of the date of the Indenture, whether entered into before or after the date of the Indenture.</w:t>
      </w:r>
    </w:p>
    <w:p>
      <w:pPr>
        <w:spacing w:after="0" w:line="179" w:lineRule="exact"/>
        <w:rPr>
          <w:sz w:val="20"/>
          <w:szCs w:val="20"/>
          <w:color w:val="auto"/>
        </w:rPr>
      </w:pPr>
    </w:p>
    <w:p>
      <w:pPr>
        <w:jc w:val="both"/>
        <w:ind w:right="8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Net Worth</w:t>
      </w:r>
      <w:r>
        <w:rPr>
          <w:rFonts w:ascii="Arial" w:cs="Arial" w:eastAsia="Arial" w:hAnsi="Arial"/>
          <w:sz w:val="22"/>
          <w:szCs w:val="22"/>
          <w:color w:val="auto"/>
        </w:rPr>
        <w:t>” of any Person means, as of any date of determination, the stockholders’ equity or members’ capital of such Person as reflected on the most recent consolidated balance sheet of such Person and prepared in accordance with GAAP.</w:t>
      </w:r>
    </w:p>
    <w:p>
      <w:pPr>
        <w:spacing w:after="0" w:line="180"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Obligations</w:t>
      </w:r>
      <w:r>
        <w:rPr>
          <w:rFonts w:ascii="Arial" w:cs="Arial" w:eastAsia="Arial" w:hAnsi="Arial"/>
          <w:sz w:val="22"/>
          <w:szCs w:val="22"/>
          <w:color w:val="auto"/>
        </w:rPr>
        <w:t>” means, with respect to any specified Person, the obligations of such Person under:</w:t>
      </w:r>
    </w:p>
    <w:p>
      <w:pPr>
        <w:sectPr>
          <w:pgSz w:w="11900" w:h="16838" w:orient="portrait"/>
          <w:cols w:equalWidth="0" w:num="1">
            <w:col w:w="11220"/>
          </w:cols>
          <w:pgMar w:left="320" w:top="1440" w:right="359" w:bottom="1440" w:gutter="0" w:footer="0" w:header="0"/>
        </w:sectPr>
      </w:pPr>
    </w:p>
    <w:bookmarkStart w:id="154" w:name="page155"/>
    <w:bookmarkEnd w:id="154"/>
    <w:p>
      <w:pPr>
        <w:ind w:right="200" w:firstLine="656"/>
        <w:spacing w:after="0" w:line="232" w:lineRule="auto"/>
        <w:tabs>
          <w:tab w:leader="none" w:pos="95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interest rate lock agreements and interest rate collar agreements;</w:t>
      </w:r>
    </w:p>
    <w:p>
      <w:pPr>
        <w:spacing w:after="0" w:line="185" w:lineRule="exact"/>
        <w:rPr>
          <w:rFonts w:ascii="Arial" w:cs="Arial" w:eastAsia="Arial" w:hAnsi="Arial"/>
          <w:sz w:val="22"/>
          <w:szCs w:val="22"/>
          <w:color w:val="auto"/>
        </w:rPr>
      </w:pPr>
    </w:p>
    <w:p>
      <w:pPr>
        <w:ind w:left="960" w:hanging="304"/>
        <w:spacing w:after="0"/>
        <w:tabs>
          <w:tab w:leader="none" w:pos="9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w:t>
      </w:r>
    </w:p>
    <w:p>
      <w:pPr>
        <w:spacing w:after="0" w:line="206" w:lineRule="exact"/>
        <w:rPr>
          <w:rFonts w:ascii="Arial" w:cs="Arial" w:eastAsia="Arial" w:hAnsi="Arial"/>
          <w:sz w:val="22"/>
          <w:szCs w:val="22"/>
          <w:color w:val="auto"/>
        </w:rPr>
      </w:pPr>
    </w:p>
    <w:p>
      <w:pPr>
        <w:ind w:right="220" w:firstLine="656"/>
        <w:spacing w:after="0" w:line="232" w:lineRule="auto"/>
        <w:tabs>
          <w:tab w:leader="none" w:pos="95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or commodity prices; and</w:t>
      </w:r>
    </w:p>
    <w:p>
      <w:pPr>
        <w:spacing w:after="0" w:line="185" w:lineRule="exact"/>
        <w:rPr>
          <w:rFonts w:ascii="Arial" w:cs="Arial" w:eastAsia="Arial" w:hAnsi="Arial"/>
          <w:sz w:val="22"/>
          <w:szCs w:val="22"/>
          <w:color w:val="auto"/>
        </w:rPr>
      </w:pPr>
    </w:p>
    <w:p>
      <w:pPr>
        <w:ind w:left="960" w:hanging="304"/>
        <w:spacing w:after="0"/>
        <w:tabs>
          <w:tab w:leader="none" w:pos="9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equity prices.</w:t>
      </w:r>
    </w:p>
    <w:p>
      <w:pPr>
        <w:spacing w:after="0" w:line="200" w:lineRule="exact"/>
        <w:rPr>
          <w:sz w:val="20"/>
          <w:szCs w:val="20"/>
          <w:color w:val="auto"/>
        </w:rPr>
      </w:pPr>
    </w:p>
    <w:p>
      <w:pPr>
        <w:ind w:right="80" w:firstLine="648"/>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73" w:lineRule="exact"/>
        <w:rPr>
          <w:sz w:val="20"/>
          <w:szCs w:val="20"/>
          <w:color w:val="auto"/>
        </w:rPr>
      </w:pPr>
    </w:p>
    <w:p>
      <w:pPr>
        <w:ind w:right="14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Lien</w:t>
      </w:r>
      <w:r>
        <w:rPr>
          <w:rFonts w:ascii="Arial" w:cs="Arial" w:eastAsia="Arial" w:hAnsi="Arial"/>
          <w:sz w:val="21"/>
          <w:szCs w:val="21"/>
          <w:color w:val="auto"/>
        </w:rPr>
        <w:t>” means any lien, security interest, charge or encumbrance of any kind (including any conditional sale or other title retention agreement, any lease in the nature thereof, and any agreement to give any security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Obligor</w:t>
      </w:r>
      <w:r>
        <w:rPr>
          <w:rFonts w:ascii="Arial" w:cs="Arial" w:eastAsia="Arial" w:hAnsi="Arial"/>
          <w:sz w:val="22"/>
          <w:szCs w:val="22"/>
          <w:color w:val="auto"/>
        </w:rPr>
        <w:t>” means each of the Issuer and each Guarantor.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Liens</w:t>
      </w:r>
      <w:r>
        <w:rPr>
          <w:rFonts w:ascii="Arial" w:cs="Arial" w:eastAsia="Arial" w:hAnsi="Arial"/>
          <w:sz w:val="22"/>
          <w:szCs w:val="22"/>
          <w:color w:val="auto"/>
        </w:rPr>
        <w:t>” means, with respect to an Obligor:</w:t>
      </w:r>
    </w:p>
    <w:p>
      <w:pPr>
        <w:spacing w:after="0" w:line="212" w:lineRule="exact"/>
        <w:rPr>
          <w:sz w:val="20"/>
          <w:szCs w:val="20"/>
          <w:color w:val="auto"/>
        </w:rPr>
      </w:pPr>
    </w:p>
    <w:p>
      <w:pPr>
        <w:ind w:right="500" w:firstLine="656"/>
        <w:spacing w:after="0" w:line="218" w:lineRule="auto"/>
        <w:tabs>
          <w:tab w:leader="none" w:pos="95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Liens on any of the applicable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88" w:lineRule="exact"/>
        <w:rPr>
          <w:sz w:val="20"/>
          <w:szCs w:val="20"/>
          <w:color w:val="auto"/>
        </w:rPr>
      </w:pPr>
    </w:p>
    <w:p>
      <w:pPr>
        <w:ind w:right="60" w:firstLine="648"/>
        <w:spacing w:after="0" w:line="211" w:lineRule="auto"/>
        <w:rPr>
          <w:sz w:val="20"/>
          <w:szCs w:val="20"/>
          <w:color w:val="auto"/>
        </w:rPr>
      </w:pPr>
      <w:r>
        <w:rPr>
          <w:rFonts w:ascii="Arial" w:cs="Arial" w:eastAsia="Arial" w:hAnsi="Arial"/>
          <w:sz w:val="22"/>
          <w:szCs w:val="22"/>
          <w:color w:val="auto"/>
        </w:rPr>
        <w:t>(2)(a)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(a) the Liens shall be given within 24 months after such acquisition and shall attach solely to the Property acquired or purchased and any improvements then or thereafter placed thereon, (b)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(c) all renewals, extensions, refinancings, replacements or refundings of such obligations under this clause (2);</w:t>
      </w:r>
    </w:p>
    <w:p>
      <w:pPr>
        <w:spacing w:after="0" w:line="192" w:lineRule="exact"/>
        <w:rPr>
          <w:sz w:val="20"/>
          <w:szCs w:val="20"/>
          <w:color w:val="auto"/>
        </w:rPr>
      </w:pPr>
    </w:p>
    <w:p>
      <w:pPr>
        <w:ind w:right="360" w:firstLine="656"/>
        <w:spacing w:after="0" w:line="232" w:lineRule="auto"/>
        <w:tabs>
          <w:tab w:leader="none" w:pos="95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185" w:lineRule="exact"/>
        <w:rPr>
          <w:rFonts w:ascii="Arial" w:cs="Arial" w:eastAsia="Arial" w:hAnsi="Arial"/>
          <w:sz w:val="22"/>
          <w:szCs w:val="22"/>
          <w:color w:val="auto"/>
        </w:rPr>
      </w:pPr>
    </w:p>
    <w:p>
      <w:pPr>
        <w:ind w:firstLine="656"/>
        <w:spacing w:after="0" w:line="232" w:lineRule="auto"/>
        <w:tabs>
          <w:tab w:leader="none" w:pos="95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Liens for taxes not yet due or that are being contested in good faith by appropriate proceedings, provided that adequate reserves with respect thereto are maintained on such Obligor’s books in conformity with GAAP;</w:t>
      </w:r>
    </w:p>
    <w:p>
      <w:pPr>
        <w:sectPr>
          <w:pgSz w:w="11900" w:h="16838" w:orient="portrait"/>
          <w:cols w:equalWidth="0" w:num="1">
            <w:col w:w="11240"/>
          </w:cols>
          <w:pgMar w:left="320" w:top="1401" w:right="339" w:bottom="1440" w:gutter="0" w:footer="0" w:header="0"/>
        </w:sectPr>
      </w:pPr>
    </w:p>
    <w:bookmarkStart w:id="155" w:name="page156"/>
    <w:bookmarkEnd w:id="155"/>
    <w:p>
      <w:pPr>
        <w:ind w:right="20" w:firstLine="656"/>
        <w:spacing w:after="0" w:line="232" w:lineRule="auto"/>
        <w:tabs>
          <w:tab w:leader="none" w:pos="95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securing reimbursement obligations with respect to letters of credit that encumber documents and other Property relating to such letters of credit and the products and proceeds thereof;</w:t>
      </w:r>
    </w:p>
    <w:p>
      <w:pPr>
        <w:spacing w:after="0" w:line="185" w:lineRule="exact"/>
        <w:rPr>
          <w:rFonts w:ascii="Arial" w:cs="Arial" w:eastAsia="Arial" w:hAnsi="Arial"/>
          <w:sz w:val="22"/>
          <w:szCs w:val="22"/>
          <w:color w:val="auto"/>
        </w:rPr>
      </w:pPr>
    </w:p>
    <w:p>
      <w:pPr>
        <w:ind w:right="140" w:firstLine="656"/>
        <w:spacing w:after="0" w:line="218" w:lineRule="auto"/>
        <w:tabs>
          <w:tab w:leader="none" w:pos="95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encumbering customary initial deposits and margin deposits and other Liens in the ordinary course of business, in each case securing Hedging Obligations and forward contracts, options, futures contracts, futures options, swaps, equity hedges or similar agreements or arrangements designed to protect such Obligor from fluctuations in interest rates, currencies, equities or the price of commodities;</w:t>
      </w:r>
    </w:p>
    <w:p>
      <w:pPr>
        <w:spacing w:after="0" w:line="187" w:lineRule="exact"/>
        <w:rPr>
          <w:rFonts w:ascii="Arial" w:cs="Arial" w:eastAsia="Arial" w:hAnsi="Arial"/>
          <w:sz w:val="22"/>
          <w:szCs w:val="22"/>
          <w:color w:val="auto"/>
        </w:rPr>
      </w:pPr>
    </w:p>
    <w:p>
      <w:pPr>
        <w:ind w:left="960" w:hanging="304"/>
        <w:spacing w:after="0"/>
        <w:tabs>
          <w:tab w:leader="none" w:pos="9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in favor of the Issuer or any Guarantor;</w:t>
      </w:r>
    </w:p>
    <w:p>
      <w:pPr>
        <w:spacing w:after="0" w:line="206" w:lineRule="exact"/>
        <w:rPr>
          <w:rFonts w:ascii="Arial" w:cs="Arial" w:eastAsia="Arial" w:hAnsi="Arial"/>
          <w:sz w:val="22"/>
          <w:szCs w:val="22"/>
          <w:color w:val="auto"/>
        </w:rPr>
      </w:pPr>
    </w:p>
    <w:p>
      <w:pPr>
        <w:ind w:right="480" w:firstLine="656"/>
        <w:spacing w:after="0" w:line="268" w:lineRule="auto"/>
        <w:tabs>
          <w:tab w:leader="none" w:pos="95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59" w:lineRule="exact"/>
        <w:rPr>
          <w:rFonts w:ascii="Arial" w:cs="Arial" w:eastAsia="Arial" w:hAnsi="Arial"/>
          <w:sz w:val="19"/>
          <w:szCs w:val="19"/>
          <w:color w:val="auto"/>
        </w:rPr>
      </w:pPr>
    </w:p>
    <w:p>
      <w:pPr>
        <w:jc w:val="both"/>
        <w:ind w:right="300" w:firstLine="656"/>
        <w:spacing w:after="0" w:line="223" w:lineRule="auto"/>
        <w:tabs>
          <w:tab w:leader="none" w:pos="95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85" w:lineRule="exact"/>
        <w:rPr>
          <w:rFonts w:ascii="Arial" w:cs="Arial" w:eastAsia="Arial" w:hAnsi="Arial"/>
          <w:sz w:val="22"/>
          <w:szCs w:val="22"/>
          <w:color w:val="auto"/>
        </w:rPr>
      </w:pPr>
    </w:p>
    <w:p>
      <w:pPr>
        <w:ind w:firstLine="656"/>
        <w:spacing w:after="0" w:line="232" w:lineRule="auto"/>
        <w:tabs>
          <w:tab w:leader="none" w:pos="106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consisting of pledges or deposits to secure obligations under workers’ compensation laws or similar legislation, including Liens of judgments thereunder which are not currently dischargeable;</w:t>
      </w:r>
    </w:p>
    <w:p>
      <w:pPr>
        <w:spacing w:after="0" w:line="185" w:lineRule="exact"/>
        <w:rPr>
          <w:rFonts w:ascii="Arial" w:cs="Arial" w:eastAsia="Arial" w:hAnsi="Arial"/>
          <w:sz w:val="22"/>
          <w:szCs w:val="22"/>
          <w:color w:val="auto"/>
        </w:rPr>
      </w:pPr>
    </w:p>
    <w:p>
      <w:pPr>
        <w:ind w:right="60" w:firstLine="656"/>
        <w:spacing w:after="0" w:line="218" w:lineRule="auto"/>
        <w:tabs>
          <w:tab w:leader="none" w:pos="105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87" w:lineRule="exact"/>
        <w:rPr>
          <w:rFonts w:ascii="Arial" w:cs="Arial" w:eastAsia="Arial" w:hAnsi="Arial"/>
          <w:sz w:val="22"/>
          <w:szCs w:val="22"/>
          <w:color w:val="auto"/>
        </w:rPr>
      </w:pPr>
    </w:p>
    <w:p>
      <w:pPr>
        <w:ind w:left="1060" w:hanging="404"/>
        <w:spacing w:after="0"/>
        <w:tabs>
          <w:tab w:leader="none" w:pos="10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Liens consisting of deposits of Property to secure such Obligor’s statutory obligations in the ordinary course of its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88" w:lineRule="exact"/>
        <w:rPr>
          <w:rFonts w:ascii="Arial" w:cs="Arial" w:eastAsia="Arial" w:hAnsi="Arial"/>
          <w:sz w:val="19"/>
          <w:szCs w:val="19"/>
          <w:color w:val="auto"/>
        </w:rPr>
      </w:pPr>
    </w:p>
    <w:p>
      <w:pPr>
        <w:ind w:right="340" w:firstLine="656"/>
        <w:spacing w:after="0" w:line="223" w:lineRule="auto"/>
        <w:tabs>
          <w:tab w:leader="none" w:pos="1062" w:val="left"/>
        </w:tabs>
        <w:numPr>
          <w:ilvl w:val="0"/>
          <w:numId w:val="115"/>
        </w:numPr>
        <w:rPr>
          <w:rFonts w:ascii="Arial" w:cs="Arial" w:eastAsia="Arial" w:hAnsi="Arial"/>
          <w:sz w:val="21"/>
          <w:szCs w:val="21"/>
          <w:color w:val="auto"/>
        </w:rPr>
      </w:pPr>
      <w:r>
        <w:rPr>
          <w:rFonts w:ascii="Arial" w:cs="Arial" w:eastAsia="Arial" w:hAnsi="Arial"/>
          <w:sz w:val="21"/>
          <w:szCs w:val="21"/>
          <w:color w:val="auto"/>
        </w:rPr>
        <w:t>Liens consisting of deposits of Property to secure (or in lieu of) surety, appeal or customs bonds in proceedings to which such Obligor is a party in the ordinary course of its business, but not in excess of $25,000,000;</w:t>
      </w:r>
    </w:p>
    <w:p>
      <w:pPr>
        <w:spacing w:after="0" w:line="1" w:lineRule="exact"/>
        <w:rPr>
          <w:rFonts w:ascii="Arial" w:cs="Arial" w:eastAsia="Arial" w:hAnsi="Arial"/>
          <w:sz w:val="21"/>
          <w:szCs w:val="21"/>
          <w:color w:val="auto"/>
        </w:rPr>
      </w:pPr>
    </w:p>
    <w:p>
      <w:pPr>
        <w:ind w:left="1060" w:hanging="404"/>
        <w:spacing w:after="0"/>
        <w:tabs>
          <w:tab w:leader="none" w:pos="10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Liens on “margin stock” (as defined in Regulation U of the Board of Governors of the Federal Reserve System);</w:t>
      </w:r>
    </w:p>
    <w:p>
      <w:pPr>
        <w:spacing w:after="0" w:line="222" w:lineRule="exact"/>
        <w:rPr>
          <w:rFonts w:ascii="Arial" w:cs="Arial" w:eastAsia="Arial" w:hAnsi="Arial"/>
          <w:sz w:val="19"/>
          <w:szCs w:val="19"/>
          <w:color w:val="auto"/>
        </w:rPr>
      </w:pPr>
    </w:p>
    <w:p>
      <w:pPr>
        <w:ind w:right="700" w:firstLine="656"/>
        <w:spacing w:after="0" w:line="232" w:lineRule="auto"/>
        <w:tabs>
          <w:tab w:leader="none" w:pos="106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permitted under sale and lease-back transactions, and any renewals or extensions thereof, so long as the Indebtedness secured thereby does not exceed $300,000,000 in the aggregate;</w:t>
      </w:r>
    </w:p>
    <w:p>
      <w:pPr>
        <w:spacing w:after="0" w:line="185" w:lineRule="exact"/>
        <w:rPr>
          <w:rFonts w:ascii="Arial" w:cs="Arial" w:eastAsia="Arial" w:hAnsi="Arial"/>
          <w:sz w:val="22"/>
          <w:szCs w:val="22"/>
          <w:color w:val="auto"/>
        </w:rPr>
      </w:pPr>
    </w:p>
    <w:p>
      <w:pPr>
        <w:ind w:right="540" w:firstLine="656"/>
        <w:spacing w:after="0" w:line="247" w:lineRule="auto"/>
        <w:tabs>
          <w:tab w:leader="none" w:pos="1062" w:val="left"/>
        </w:tabs>
        <w:numPr>
          <w:ilvl w:val="0"/>
          <w:numId w:val="115"/>
        </w:numPr>
        <w:rPr>
          <w:rFonts w:ascii="Arial" w:cs="Arial" w:eastAsia="Arial" w:hAnsi="Arial"/>
          <w:sz w:val="21"/>
          <w:szCs w:val="21"/>
          <w:color w:val="auto"/>
        </w:rPr>
      </w:pPr>
      <w:r>
        <w:rPr>
          <w:rFonts w:ascii="Arial" w:cs="Arial" w:eastAsia="Arial" w:hAnsi="Arial"/>
          <w:sz w:val="21"/>
          <w:szCs w:val="21"/>
          <w:color w:val="auto"/>
        </w:rPr>
        <w:t>Liens arising in connection with asset securitization transactions, so long as the aggregate outstanding principal amount of the obligations of all Obligors secured thereby does not exceed $300,000,000 at any one time;</w:t>
      </w:r>
    </w:p>
    <w:p>
      <w:pPr>
        <w:spacing w:after="0" w:line="177" w:lineRule="exact"/>
        <w:rPr>
          <w:rFonts w:ascii="Arial" w:cs="Arial" w:eastAsia="Arial" w:hAnsi="Arial"/>
          <w:sz w:val="21"/>
          <w:szCs w:val="21"/>
          <w:color w:val="auto"/>
        </w:rPr>
      </w:pPr>
    </w:p>
    <w:p>
      <w:pPr>
        <w:ind w:left="1060" w:hanging="404"/>
        <w:spacing w:after="0"/>
        <w:tabs>
          <w:tab w:leader="none" w:pos="10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securing Specified Non-Recourse Debt;</w:t>
      </w:r>
    </w:p>
    <w:p>
      <w:pPr>
        <w:spacing w:after="0" w:line="206" w:lineRule="exact"/>
        <w:rPr>
          <w:rFonts w:ascii="Arial" w:cs="Arial" w:eastAsia="Arial" w:hAnsi="Arial"/>
          <w:sz w:val="22"/>
          <w:szCs w:val="22"/>
          <w:color w:val="auto"/>
        </w:rPr>
      </w:pPr>
    </w:p>
    <w:p>
      <w:pPr>
        <w:ind w:right="320" w:firstLine="656"/>
        <w:spacing w:after="0" w:line="223" w:lineRule="auto"/>
        <w:tabs>
          <w:tab w:leader="none" w:pos="106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w:t>
      </w:r>
    </w:p>
    <w:p>
      <w:pPr>
        <w:sectPr>
          <w:pgSz w:w="11900" w:h="16838" w:orient="portrait"/>
          <w:cols w:equalWidth="0" w:num="1">
            <w:col w:w="11240"/>
          </w:cols>
          <w:pgMar w:left="320" w:top="1401" w:right="339" w:bottom="1440" w:gutter="0" w:footer="0" w:header="0"/>
        </w:sectPr>
      </w:pPr>
    </w:p>
    <w:bookmarkStart w:id="156" w:name="page157"/>
    <w:bookmarkEnd w:id="156"/>
    <w:p>
      <w:pPr>
        <w:ind w:right="280"/>
        <w:spacing w:after="0" w:line="232" w:lineRule="auto"/>
        <w:rPr>
          <w:sz w:val="20"/>
          <w:szCs w:val="20"/>
          <w:color w:val="auto"/>
        </w:rPr>
      </w:pPr>
      <w:r>
        <w:rPr>
          <w:rFonts w:ascii="Arial" w:cs="Arial" w:eastAsia="Arial" w:hAnsi="Arial"/>
          <w:sz w:val="22"/>
          <w:szCs w:val="22"/>
          <w:color w:val="auto"/>
        </w:rPr>
        <w:t>customary in the banking industry and (iii) attaching to other prepayments, deposits or earnest money in the ordinary course of business;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(19) Take-or-pay obligations arising in the ordinary course of business.</w:t>
      </w:r>
    </w:p>
    <w:p>
      <w:pPr>
        <w:spacing w:after="0" w:line="200" w:lineRule="exact"/>
        <w:rPr>
          <w:sz w:val="20"/>
          <w:szCs w:val="20"/>
          <w:color w:val="auto"/>
        </w:rPr>
      </w:pPr>
    </w:p>
    <w:p>
      <w:pPr>
        <w:jc w:val="both"/>
        <w:ind w:right="40"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2" w:lineRule="exact"/>
        <w:rPr>
          <w:sz w:val="20"/>
          <w:szCs w:val="20"/>
          <w:color w:val="auto"/>
        </w:rPr>
      </w:pPr>
    </w:p>
    <w:p>
      <w:pPr>
        <w:ind w:right="640" w:firstLine="648"/>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means with respect to any Person any property or asset, whether real, personal or mixed, or tangible or intangible, including shares of capital stock.</w:t>
      </w:r>
    </w:p>
    <w:p>
      <w:pPr>
        <w:spacing w:after="0" w:line="179" w:lineRule="exact"/>
        <w:rPr>
          <w:sz w:val="20"/>
          <w:szCs w:val="20"/>
          <w:color w:val="auto"/>
        </w:rPr>
      </w:pPr>
    </w:p>
    <w:p>
      <w:pPr>
        <w:ind w:right="260"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Non-Recourse Debt</w:t>
      </w:r>
      <w:r>
        <w:rPr>
          <w:rFonts w:ascii="Arial" w:cs="Arial" w:eastAsia="Arial" w:hAnsi="Arial"/>
          <w:sz w:val="22"/>
          <w:szCs w:val="22"/>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80"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Merger and Sale of Assets</w:t>
      </w:r>
    </w:p>
    <w:p>
      <w:pPr>
        <w:spacing w:after="0" w:line="206" w:lineRule="exact"/>
        <w:rPr>
          <w:sz w:val="20"/>
          <w:szCs w:val="20"/>
          <w:color w:val="auto"/>
        </w:rPr>
      </w:pPr>
    </w:p>
    <w:p>
      <w:pPr>
        <w:ind w:right="100" w:firstLine="648"/>
        <w:spacing w:after="0" w:line="218" w:lineRule="auto"/>
        <w:rPr>
          <w:sz w:val="20"/>
          <w:szCs w:val="20"/>
          <w:color w:val="auto"/>
        </w:rPr>
      </w:pPr>
      <w:r>
        <w:rPr>
          <w:rFonts w:ascii="Arial" w:cs="Arial" w:eastAsia="Arial" w:hAnsi="Arial"/>
          <w:sz w:val="22"/>
          <w:szCs w:val="22"/>
          <w:color w:val="auto"/>
        </w:rPr>
        <w:t>The Issuer will not consolidate or combine with or merge with or into or, directly or indirectly, sell, assign, convey, lease, transfer or otherwise dispose of all or substantially all of the Issuer’s assets to any Person or Persons (other than a transfer or other disposition of assets to any of the Issuer’s wholly owned Subsidiaries), in a single transaction or through a series of transactions, unless:</w:t>
      </w:r>
    </w:p>
    <w:p>
      <w:pPr>
        <w:spacing w:after="0" w:line="161" w:lineRule="exact"/>
        <w:rPr>
          <w:sz w:val="20"/>
          <w:szCs w:val="20"/>
          <w:color w:val="auto"/>
        </w:rPr>
      </w:pPr>
    </w:p>
    <w:p>
      <w:pPr>
        <w:ind w:left="660" w:right="40" w:hanging="328"/>
        <w:spacing w:after="0" w:line="218" w:lineRule="auto"/>
        <w:tabs>
          <w:tab w:leader="none" w:pos="65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Issuer shall be the continuing Person or, if the Issuer is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160" w:lineRule="exact"/>
        <w:rPr>
          <w:rFonts w:ascii="Arial" w:cs="Arial" w:eastAsia="Arial" w:hAnsi="Arial"/>
          <w:sz w:val="22"/>
          <w:szCs w:val="22"/>
          <w:color w:val="auto"/>
        </w:rPr>
      </w:pPr>
    </w:p>
    <w:p>
      <w:pPr>
        <w:ind w:left="660" w:right="660" w:hanging="328"/>
        <w:spacing w:after="0" w:line="298" w:lineRule="auto"/>
        <w:tabs>
          <w:tab w:leader="none" w:pos="65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surviving entity will expressly assume all of the Issuer’s obligations under the Notes and the Indenture and will execute a supplemental indenture, in a form satisfactory to the Trustee, which will be delivered to the Trustee;</w:t>
      </w:r>
    </w:p>
    <w:p>
      <w:pPr>
        <w:spacing w:after="0" w:line="105" w:lineRule="exact"/>
        <w:rPr>
          <w:rFonts w:ascii="Arial" w:cs="Arial" w:eastAsia="Arial" w:hAnsi="Arial"/>
          <w:sz w:val="19"/>
          <w:szCs w:val="19"/>
          <w:color w:val="auto"/>
        </w:rPr>
      </w:pPr>
    </w:p>
    <w:p>
      <w:pPr>
        <w:ind w:left="660" w:right="200" w:hanging="328"/>
        <w:spacing w:after="0" w:line="232" w:lineRule="auto"/>
        <w:tabs>
          <w:tab w:leader="none" w:pos="65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or series of transactions on a pro forma basis, no default has occurred and is continuing; and</w:t>
      </w:r>
    </w:p>
    <w:p>
      <w:pPr>
        <w:spacing w:after="0" w:line="158" w:lineRule="exact"/>
        <w:rPr>
          <w:rFonts w:ascii="Arial" w:cs="Arial" w:eastAsia="Arial" w:hAnsi="Arial"/>
          <w:sz w:val="22"/>
          <w:szCs w:val="22"/>
          <w:color w:val="auto"/>
        </w:rPr>
      </w:pPr>
    </w:p>
    <w:p>
      <w:pPr>
        <w:ind w:left="660" w:right="120" w:hanging="328"/>
        <w:spacing w:after="0" w:line="268" w:lineRule="auto"/>
        <w:tabs>
          <w:tab w:leader="none" w:pos="65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Issuer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59"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restrictions in the third bullet above shall not be applicable to:</w:t>
      </w:r>
    </w:p>
    <w:p>
      <w:pPr>
        <w:sectPr>
          <w:pgSz w:w="11900" w:h="16838" w:orient="portrait"/>
          <w:cols w:equalWidth="0" w:num="1">
            <w:col w:w="11240"/>
          </w:cols>
          <w:pgMar w:left="320" w:top="1401" w:right="339" w:bottom="1440" w:gutter="0" w:footer="0" w:header="0"/>
        </w:sectPr>
      </w:pPr>
    </w:p>
    <w:bookmarkStart w:id="157" w:name="page158"/>
    <w:bookmarkEnd w:id="157"/>
    <w:p>
      <w:pPr>
        <w:jc w:val="both"/>
        <w:ind w:left="660" w:right="200" w:hanging="328"/>
        <w:spacing w:after="0" w:line="223" w:lineRule="auto"/>
        <w:tabs>
          <w:tab w:leader="none" w:pos="65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merger or consolidation of the Issuer with an affiliate if the Issuer’s board of directors, determines in good faith that the purpose of such transaction is principally to change the Issuer’s state of incorporation or convert the Issuer’s form of organization to another form; or</w:t>
      </w:r>
    </w:p>
    <w:p>
      <w:pPr>
        <w:spacing w:after="0" w:line="158"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merger of the Issuer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the Issuer’s state of incorporation).</w:t>
      </w:r>
    </w:p>
    <w:p>
      <w:pPr>
        <w:spacing w:after="0" w:line="188"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If any consolidation or merger or any sale, assignment, conveyance, lease, transfer or other disposition of all or substantially all of the Issuer’s assets occurs in accordance with the Indenture, the successor person will succeed to, and be substituted for, and may exercise every right and power of ours under the Indenture with the same effect as if such successor person had been named in the Issuer’s place in the Indenture. The Issuer will (except in the case of a lease) be discharged from all obligations and covenants under the Indenture and any debt securities issued thereunder (including the Notes).</w:t>
      </w:r>
    </w:p>
    <w:p>
      <w:pPr>
        <w:spacing w:after="0" w:line="176" w:lineRule="exact"/>
        <w:rPr>
          <w:sz w:val="20"/>
          <w:szCs w:val="20"/>
          <w:color w:val="auto"/>
        </w:rPr>
      </w:pPr>
    </w:p>
    <w:p>
      <w:pPr>
        <w:ind w:right="120" w:firstLine="648"/>
        <w:spacing w:after="0" w:line="218" w:lineRule="auto"/>
        <w:rPr>
          <w:sz w:val="20"/>
          <w:szCs w:val="20"/>
          <w:color w:val="auto"/>
        </w:rPr>
      </w:pPr>
      <w:r>
        <w:rPr>
          <w:rFonts w:ascii="Arial" w:cs="Arial" w:eastAsia="Arial" w:hAnsi="Arial"/>
          <w:sz w:val="22"/>
          <w:szCs w:val="22"/>
          <w:color w:val="auto"/>
        </w:rPr>
        <w:t>Existence. Except as permitted under “—Consolidation, Merger and Sale of Assets,” the Indenture requires the Issuer to do or cause to be done all things necessary to preserve and keep in full force and effect the Issuer’s existence, rights and franchises; provided, however, that the Issuer shall not be required to preserve any right or franchise if the Issuer determines that its preservation is no longer desirable in the conduct of business.</w:t>
      </w:r>
    </w:p>
    <w:p>
      <w:pPr>
        <w:spacing w:after="0" w:line="188"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Information. The Issuer will furnish to the Trustee any document or report the Issuer is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and Waiver</w:t>
      </w:r>
    </w:p>
    <w:p>
      <w:pPr>
        <w:spacing w:after="0" w:line="212" w:lineRule="exact"/>
        <w:rPr>
          <w:sz w:val="20"/>
          <w:szCs w:val="20"/>
          <w:color w:val="auto"/>
        </w:rPr>
      </w:pPr>
    </w:p>
    <w:p>
      <w:pPr>
        <w:ind w:right="200" w:firstLine="648"/>
        <w:spacing w:after="0" w:line="232" w:lineRule="auto"/>
        <w:rPr>
          <w:sz w:val="20"/>
          <w:szCs w:val="20"/>
          <w:color w:val="auto"/>
        </w:rPr>
      </w:pPr>
      <w:r>
        <w:rPr>
          <w:rFonts w:ascii="Arial" w:cs="Arial" w:eastAsia="Arial" w:hAnsi="Arial"/>
          <w:sz w:val="22"/>
          <w:szCs w:val="22"/>
          <w:color w:val="auto"/>
        </w:rPr>
        <w:t>The Issuer, the Guarantors and the Trustee may amend or modify the Indenture or the Notes of any series without notice to or the consent of any holder in order to:</w:t>
      </w:r>
    </w:p>
    <w:p>
      <w:pPr>
        <w:spacing w:after="0" w:line="159" w:lineRule="exact"/>
        <w:rPr>
          <w:sz w:val="20"/>
          <w:szCs w:val="20"/>
          <w:color w:val="auto"/>
        </w:rPr>
      </w:pPr>
    </w:p>
    <w:p>
      <w:pPr>
        <w:ind w:left="660" w:right="100" w:hanging="328"/>
        <w:spacing w:after="0" w:line="232" w:lineRule="auto"/>
        <w:tabs>
          <w:tab w:leader="none" w:pos="65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cure any ambiguities, omissions, defects or inconsistencies in the Indenture in a manner that does not adversely affect the interests of the holders in any material respect;</w:t>
      </w:r>
    </w:p>
    <w:p>
      <w:pPr>
        <w:spacing w:after="0" w:line="158" w:lineRule="exact"/>
        <w:rPr>
          <w:rFonts w:ascii="Arial" w:cs="Arial" w:eastAsia="Arial" w:hAnsi="Arial"/>
          <w:sz w:val="22"/>
          <w:szCs w:val="22"/>
          <w:color w:val="auto"/>
        </w:rPr>
      </w:pPr>
    </w:p>
    <w:p>
      <w:pPr>
        <w:ind w:left="660" w:hanging="328"/>
        <w:spacing w:after="0"/>
        <w:tabs>
          <w:tab w:leader="none" w:pos="6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provide for or add guarantors with respect to the Notes;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secure the Notes of any series;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establish the form or terms of Notes of any series;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provide for uncertificated Notes in addition to or in place of certificated Notes;</w:t>
      </w:r>
    </w:p>
    <w:p>
      <w:pPr>
        <w:sectPr>
          <w:pgSz w:w="11900" w:h="16838" w:orient="portrait"/>
          <w:cols w:equalWidth="0" w:num="1">
            <w:col w:w="11240"/>
          </w:cols>
          <w:pgMar w:left="320" w:top="1401" w:right="339" w:bottom="1440" w:gutter="0" w:footer="0" w:header="0"/>
        </w:sectPr>
      </w:pPr>
    </w:p>
    <w:bookmarkStart w:id="158" w:name="page159"/>
    <w:bookmarkEnd w:id="158"/>
    <w:p>
      <w:pPr>
        <w:ind w:left="660" w:hanging="328"/>
        <w:spacing w:after="0"/>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evidence and provide for the acceptance of appointment by a successor trustee;</w:t>
      </w:r>
    </w:p>
    <w:p>
      <w:pPr>
        <w:spacing w:after="0" w:line="179" w:lineRule="exact"/>
        <w:rPr>
          <w:rFonts w:ascii="Arial" w:cs="Arial" w:eastAsia="Arial" w:hAnsi="Arial"/>
          <w:sz w:val="22"/>
          <w:szCs w:val="22"/>
          <w:color w:val="auto"/>
        </w:rPr>
      </w:pPr>
    </w:p>
    <w:p>
      <w:pPr>
        <w:ind w:left="660" w:right="960" w:hanging="328"/>
        <w:spacing w:after="0" w:line="232" w:lineRule="auto"/>
        <w:tabs>
          <w:tab w:leader="none" w:pos="65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provide for the assumption by the Issuer’s successor, if any, to the Issuer’s or their obligations to holders of any outstanding Notes in compliance with the applicable provisions of the Indenture;</w:t>
      </w:r>
    </w:p>
    <w:p>
      <w:pPr>
        <w:spacing w:after="0" w:line="158" w:lineRule="exact"/>
        <w:rPr>
          <w:rFonts w:ascii="Arial" w:cs="Arial" w:eastAsia="Arial" w:hAnsi="Arial"/>
          <w:sz w:val="22"/>
          <w:szCs w:val="22"/>
          <w:color w:val="auto"/>
        </w:rPr>
      </w:pPr>
    </w:p>
    <w:p>
      <w:pPr>
        <w:ind w:left="660" w:hanging="328"/>
        <w:spacing w:after="0"/>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qualify the Indenture under the Trust Indenture Act;</w:t>
      </w:r>
    </w:p>
    <w:p>
      <w:pPr>
        <w:spacing w:after="0" w:line="179" w:lineRule="exact"/>
        <w:rPr>
          <w:rFonts w:ascii="Arial" w:cs="Arial" w:eastAsia="Arial" w:hAnsi="Arial"/>
          <w:sz w:val="22"/>
          <w:szCs w:val="22"/>
          <w:color w:val="auto"/>
        </w:rPr>
      </w:pPr>
    </w:p>
    <w:p>
      <w:pPr>
        <w:ind w:left="660" w:right="400" w:hanging="328"/>
        <w:spacing w:after="0" w:line="298" w:lineRule="auto"/>
        <w:tabs>
          <w:tab w:leader="none" w:pos="65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conform any provision in the Indenture or the terms of the securities of any series to the prospectus, offering memorandum, offering circular or any other document pursuant to which the securities of such series were offered; or</w:t>
      </w:r>
    </w:p>
    <w:p>
      <w:pPr>
        <w:spacing w:after="0" w:line="132" w:lineRule="exact"/>
        <w:rPr>
          <w:rFonts w:ascii="Arial" w:cs="Arial" w:eastAsia="Arial" w:hAnsi="Arial"/>
          <w:sz w:val="19"/>
          <w:szCs w:val="19"/>
          <w:color w:val="auto"/>
        </w:rPr>
      </w:pPr>
    </w:p>
    <w:p>
      <w:pPr>
        <w:ind w:left="660" w:hanging="328"/>
        <w:spacing w:after="0"/>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make any change that does not adversely affect the rights of any holder in any material respect.</w:t>
      </w:r>
    </w:p>
    <w:p>
      <w:pPr>
        <w:spacing w:after="0" w:line="206" w:lineRule="exact"/>
        <w:rPr>
          <w:sz w:val="20"/>
          <w:szCs w:val="20"/>
          <w:color w:val="auto"/>
        </w:rPr>
      </w:pPr>
    </w:p>
    <w:p>
      <w:pPr>
        <w:ind w:right="100" w:firstLine="648"/>
        <w:spacing w:after="0" w:line="221" w:lineRule="auto"/>
        <w:rPr>
          <w:sz w:val="20"/>
          <w:szCs w:val="20"/>
          <w:color w:val="auto"/>
        </w:rPr>
      </w:pPr>
      <w:r>
        <w:rPr>
          <w:rFonts w:ascii="Arial" w:cs="Arial" w:eastAsia="Arial" w:hAnsi="Arial"/>
          <w:sz w:val="21"/>
          <w:szCs w:val="21"/>
          <w:color w:val="auto"/>
        </w:rPr>
        <w:t>Other amendments and modifications of the Indenture or the Notes of any series may be made with the consent of the holders of not less than a majority in aggregate principal amount of the Notes of all series and the debt securities of all other series outstanding under the Indenture that are affected by the amendment or modification (voting together as a single class), and the Issuer’s compliance with any provision of the Indenture with respect to the debt securities of any series issued under the Indenture (including the Notes) may be waived by written notice to the Issuer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165" w:lineRule="exact"/>
        <w:rPr>
          <w:sz w:val="20"/>
          <w:szCs w:val="20"/>
          <w:color w:val="auto"/>
        </w:rPr>
      </w:pPr>
    </w:p>
    <w:p>
      <w:pPr>
        <w:ind w:left="660" w:right="440" w:hanging="328"/>
        <w:spacing w:after="0" w:line="232" w:lineRule="auto"/>
        <w:tabs>
          <w:tab w:leader="none" w:pos="65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reduce the principal amount, or extend the fixed maturity, of the Notes of such series or alter or waive the redemption provisions of the Notes of such series;</w:t>
      </w:r>
    </w:p>
    <w:p>
      <w:pPr>
        <w:spacing w:after="0" w:line="158"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impair the right of any holder of the Notes of such series to receive payment of principal or interest on the Notes of such series on and after the due dates for such principal or interest;</w:t>
      </w:r>
    </w:p>
    <w:p>
      <w:pPr>
        <w:spacing w:after="0" w:line="158" w:lineRule="exact"/>
        <w:rPr>
          <w:rFonts w:ascii="Arial" w:cs="Arial" w:eastAsia="Arial" w:hAnsi="Arial"/>
          <w:sz w:val="22"/>
          <w:szCs w:val="22"/>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change the currency in which principal, any premium or interest is paid;</w:t>
      </w:r>
    </w:p>
    <w:p>
      <w:pPr>
        <w:spacing w:after="0" w:line="179" w:lineRule="exact"/>
        <w:rPr>
          <w:rFonts w:ascii="Arial" w:cs="Arial" w:eastAsia="Arial" w:hAnsi="Arial"/>
          <w:sz w:val="22"/>
          <w:szCs w:val="22"/>
          <w:color w:val="auto"/>
        </w:rPr>
      </w:pPr>
    </w:p>
    <w:p>
      <w:pPr>
        <w:ind w:left="660" w:right="520" w:hanging="328"/>
        <w:spacing w:after="0" w:line="232" w:lineRule="auto"/>
        <w:tabs>
          <w:tab w:leader="none" w:pos="65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reduce the percentage in principal amount outstanding of Notes of such series which must consent to an amendment, supplement or waiver or consent to take any action;</w:t>
      </w:r>
    </w:p>
    <w:p>
      <w:pPr>
        <w:spacing w:after="0" w:line="158" w:lineRule="exact"/>
        <w:rPr>
          <w:rFonts w:ascii="Arial" w:cs="Arial" w:eastAsia="Arial" w:hAnsi="Arial"/>
          <w:sz w:val="22"/>
          <w:szCs w:val="22"/>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impair the right to institute suit for the enforcement of any payment on the Notes of such series;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waive a payment default with respect to the Notes of such series;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reduce the interest rate or extend the time for payment of interest on the Notes of such series; or</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adversely affect the ranking of the Notes of such series.</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An amendment, supplemental indenture or waiver which changes, eliminates or waives any covenant or other provision of the Indenture which has expressly been included solely for the benefit of one or more particular series of the Notes, or which modifies the rights of the holders of the Notes of such series with respect to such covenant or other provision, shall be deemed not to affect the rights under the Indenture of the holders of debt securities of any other series.</w:t>
      </w:r>
    </w:p>
    <w:p>
      <w:pPr>
        <w:sectPr>
          <w:pgSz w:w="11900" w:h="16838" w:orient="portrait"/>
          <w:cols w:equalWidth="0" w:num="1">
            <w:col w:w="11240"/>
          </w:cols>
          <w:pgMar w:left="320" w:top="1401" w:right="3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b w:val="1"/>
          <w:bCs w:val="1"/>
          <w:color w:val="auto"/>
        </w:rPr>
        <w:t>Events of Default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Each of the following will constitute an event of default in the Indenture with respect to the Notes of any series:</w:t>
      </w:r>
    </w:p>
    <w:p>
      <w:pPr>
        <w:ind w:left="660" w:right="240" w:hanging="328"/>
        <w:spacing w:after="0" w:line="204" w:lineRule="auto"/>
        <w:tabs>
          <w:tab w:leader="none" w:pos="79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default in paying interest on the Notes of such series when it becomes due and the default continues for a period of 30 days or more;</w:t>
      </w:r>
    </w:p>
    <w:p>
      <w:pPr>
        <w:spacing w:after="0" w:line="1" w:lineRule="exact"/>
        <w:rPr>
          <w:rFonts w:ascii="Arial" w:cs="Arial" w:eastAsia="Arial" w:hAnsi="Arial"/>
          <w:sz w:val="22"/>
          <w:szCs w:val="22"/>
          <w:color w:val="auto"/>
        </w:rPr>
      </w:pPr>
    </w:p>
    <w:p>
      <w:pPr>
        <w:ind w:left="800" w:hanging="468"/>
        <w:spacing w:after="0" w:line="204" w:lineRule="auto"/>
        <w:tabs>
          <w:tab w:leader="none" w:pos="8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default in paying principal on the Notes of such series when due;</w:t>
      </w:r>
    </w:p>
    <w:p>
      <w:pPr>
        <w:ind w:left="660" w:hanging="328"/>
        <w:spacing w:after="0" w:line="204" w:lineRule="auto"/>
        <w:tabs>
          <w:tab w:leader="none" w:pos="79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default by any Obligor in the performance, or breach, of any covenant in the Indenture (other than defaults specified in clause (a) or (b) above) and the default or breach continues for a period of 90 days or more after the Issuer receives written notice from the Trustee or the Issuer and the Trustee receive notice from the holders of at least 25% in aggregate principal amount of the Notes of all affected series and the debt securities of all other affected series outstanding under the Indenture (voting together as a single class);</w:t>
      </w:r>
    </w:p>
    <w:p>
      <w:pPr>
        <w:spacing w:after="0" w:line="4" w:lineRule="exact"/>
        <w:rPr>
          <w:rFonts w:ascii="Arial" w:cs="Arial" w:eastAsia="Arial" w:hAnsi="Arial"/>
          <w:sz w:val="22"/>
          <w:szCs w:val="22"/>
          <w:color w:val="auto"/>
        </w:rPr>
      </w:pPr>
    </w:p>
    <w:p>
      <w:pPr>
        <w:ind w:left="660" w:right="40" w:hanging="328"/>
        <w:spacing w:after="0" w:line="204" w:lineRule="auto"/>
        <w:tabs>
          <w:tab w:leader="none" w:pos="80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certain events of bankruptcy, insolvency, reorganization, administration or similar proceedings with respect to the Issuer or any Obligor have occurred; or</w:t>
      </w:r>
    </w:p>
    <w:p>
      <w:pPr>
        <w:spacing w:after="0" w:line="1" w:lineRule="exact"/>
        <w:rPr>
          <w:rFonts w:ascii="Arial" w:cs="Arial" w:eastAsia="Arial" w:hAnsi="Arial"/>
          <w:sz w:val="22"/>
          <w:szCs w:val="22"/>
          <w:color w:val="auto"/>
        </w:rPr>
      </w:pPr>
    </w:p>
    <w:p>
      <w:pPr>
        <w:ind w:left="780" w:hanging="448"/>
        <w:spacing w:after="0"/>
        <w:tabs>
          <w:tab w:leader="none" w:pos="7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any Guarantee shall not be (or shall be claimed by the relevant Guarantor not to be) in full force and effect.</w:t>
      </w:r>
    </w:p>
    <w:p>
      <w:pPr>
        <w:spacing w:after="0" w:line="188" w:lineRule="exact"/>
        <w:rPr>
          <w:sz w:val="20"/>
          <w:szCs w:val="20"/>
          <w:color w:val="auto"/>
        </w:rPr>
      </w:pPr>
    </w:p>
    <w:p>
      <w:pPr>
        <w:ind w:right="40" w:firstLine="648"/>
        <w:spacing w:after="0" w:line="226" w:lineRule="auto"/>
        <w:rPr>
          <w:sz w:val="20"/>
          <w:szCs w:val="20"/>
          <w:color w:val="auto"/>
        </w:rPr>
      </w:pPr>
      <w:r>
        <w:rPr>
          <w:rFonts w:ascii="Arial" w:cs="Arial" w:eastAsia="Arial" w:hAnsi="Arial"/>
          <w:sz w:val="21"/>
          <w:szCs w:val="21"/>
          <w:color w:val="auto"/>
        </w:rPr>
        <w:t>If an event of default (other than an event of default specified in clause (d) above) under the Indenture occurs and is continuing, then the Trustee may and, at the direction of the holders of at least 25% in aggregate principal amount of the Notes of all affected series and the debt securities of all other affected series outstanding under the Indenture (voting together as a single class), will by written notice, require the Issuer to repay immediately the entire principal amount of the outstanding debt securities of each affected series, together with all accrued and unpaid interest.</w:t>
      </w:r>
    </w:p>
    <w:p>
      <w:pPr>
        <w:spacing w:after="0" w:line="186"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If an event of default under the Indenture specified in clause (d) occurs and is continuing, then the entire principal amount of the outstanding Notes will automatically become due immediately and payable without any declaration or other act on the part of the Trustee or any holder.</w:t>
      </w:r>
    </w:p>
    <w:p>
      <w:pPr>
        <w:spacing w:after="0" w:line="186" w:lineRule="exact"/>
        <w:rPr>
          <w:sz w:val="20"/>
          <w:szCs w:val="20"/>
          <w:color w:val="auto"/>
        </w:rPr>
      </w:pPr>
    </w:p>
    <w:p>
      <w:pPr>
        <w:ind w:right="20" w:firstLine="648"/>
        <w:spacing w:after="0" w:line="247" w:lineRule="auto"/>
        <w:rPr>
          <w:sz w:val="20"/>
          <w:szCs w:val="20"/>
          <w:color w:val="auto"/>
        </w:rPr>
      </w:pPr>
      <w:r>
        <w:rPr>
          <w:rFonts w:ascii="Arial" w:cs="Arial" w:eastAsia="Arial" w:hAnsi="Arial"/>
          <w:sz w:val="19"/>
          <w:szCs w:val="19"/>
          <w:color w:val="auto"/>
        </w:rPr>
        <w:t>After a declaration of acceleration or any automatic acceleration under clause (d) described above, the holders of a majority in principal amount of the outstanding Notes of any series (each such series voting as a separate class) may rescind this accelerated payment requirement with respect to the Notes of such series if all existing events of default with respect to the Notes of such series, except for nonpayment of the principal and interest on the Notes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81" w:lineRule="exact"/>
        <w:rPr>
          <w:sz w:val="20"/>
          <w:szCs w:val="20"/>
          <w:color w:val="auto"/>
        </w:rPr>
      </w:pPr>
    </w:p>
    <w:p>
      <w:pPr>
        <w:ind w:firstLine="648"/>
        <w:spacing w:after="0" w:line="216" w:lineRule="auto"/>
        <w:rPr>
          <w:sz w:val="20"/>
          <w:szCs w:val="20"/>
          <w:color w:val="auto"/>
        </w:rPr>
      </w:pPr>
      <w:r>
        <w:rPr>
          <w:rFonts w:ascii="Arial" w:cs="Arial" w:eastAsia="Arial" w:hAnsi="Arial"/>
          <w:sz w:val="22"/>
          <w:szCs w:val="22"/>
          <w:color w:val="auto"/>
        </w:rPr>
        <w:t>The holders of a majority in principal amount of the Notes of all affected series and the debt securities of all other affected series outstanding under the Indenture (voting together as a single class) may, by written notice to the Issuer and the Trustee, also waive past defaults, except a default in paying principal or interest on any outstanding senior debt security of such series, or in respect of a covenant or a provision that cannot be modified or amended without the consent of all affected holders of the Notes of such series.</w:t>
      </w:r>
    </w:p>
    <w:p>
      <w:pPr>
        <w:sectPr>
          <w:pgSz w:w="11900" w:h="16838" w:orient="portrait"/>
          <w:cols w:equalWidth="0" w:num="1">
            <w:col w:w="11220"/>
          </w:cols>
          <w:pgMar w:left="320" w:top="1395" w:right="359" w:bottom="1440" w:gutter="0" w:footer="0" w:header="0"/>
        </w:sectPr>
      </w:pPr>
    </w:p>
    <w:bookmarkStart w:id="160" w:name="page161"/>
    <w:bookmarkEnd w:id="160"/>
    <w:p>
      <w:pPr>
        <w:ind w:firstLine="648"/>
        <w:spacing w:after="0" w:line="246" w:lineRule="auto"/>
        <w:rPr>
          <w:sz w:val="20"/>
          <w:szCs w:val="20"/>
          <w:color w:val="auto"/>
        </w:rPr>
      </w:pPr>
      <w:r>
        <w:rPr>
          <w:rFonts w:ascii="Arial" w:cs="Arial" w:eastAsia="Arial" w:hAnsi="Arial"/>
          <w:sz w:val="19"/>
          <w:szCs w:val="19"/>
          <w:color w:val="auto"/>
        </w:rPr>
        <w:t>The holders of at least 25% in aggregate principal amount of the Notes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Notes of all affected series and the debt securities of all other affected series then outstanding. These limitations do not apply, however, to a suit instituted by a holder of the Notes of any affected series for the enforcement of the payment of principal or interest on or after the due dates for such payment.</w:t>
      </w:r>
    </w:p>
    <w:p>
      <w:pPr>
        <w:spacing w:after="0" w:line="179"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During the existence of an event of default of which a responsible officer of the Trustee has actual knowledge or has received written notice from the Issuer or any holder of the Notes,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Notes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88" w:lineRule="exact"/>
        <w:rPr>
          <w:sz w:val="20"/>
          <w:szCs w:val="20"/>
          <w:color w:val="auto"/>
        </w:rPr>
      </w:pPr>
    </w:p>
    <w:p>
      <w:pPr>
        <w:ind w:right="40" w:firstLine="648"/>
        <w:spacing w:after="0" w:line="218" w:lineRule="auto"/>
        <w:rPr>
          <w:sz w:val="20"/>
          <w:szCs w:val="20"/>
          <w:color w:val="auto"/>
        </w:rPr>
      </w:pPr>
      <w:r>
        <w:rPr>
          <w:rFonts w:ascii="Arial" w:cs="Arial" w:eastAsia="Arial" w:hAnsi="Arial"/>
          <w:sz w:val="22"/>
          <w:szCs w:val="22"/>
          <w:color w:val="auto"/>
        </w:rPr>
        <w:t>The Trustee will, within 90 days after any default occurs with respect to the Notes of any series, give notice of the default to the holders of the Notes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88" w:lineRule="exact"/>
        <w:rPr>
          <w:sz w:val="20"/>
          <w:szCs w:val="20"/>
          <w:color w:val="auto"/>
        </w:rPr>
      </w:pPr>
    </w:p>
    <w:p>
      <w:pPr>
        <w:ind w:right="320" w:firstLine="648"/>
        <w:spacing w:after="0" w:line="232" w:lineRule="auto"/>
        <w:rPr>
          <w:sz w:val="20"/>
          <w:szCs w:val="20"/>
          <w:color w:val="auto"/>
        </w:rPr>
      </w:pPr>
      <w:r>
        <w:rPr>
          <w:rFonts w:ascii="Arial" w:cs="Arial" w:eastAsia="Arial" w:hAnsi="Arial"/>
          <w:sz w:val="22"/>
          <w:szCs w:val="22"/>
          <w:color w:val="auto"/>
        </w:rPr>
        <w:t>The Issuer is required to furnish to the Trustee an annual statement as to compliance with all conditions and covenants under the Indenture within 120 days of the end of each fiscal year.</w:t>
      </w:r>
    </w:p>
    <w:p>
      <w:pPr>
        <w:sectPr>
          <w:pgSz w:w="11900" w:h="16838" w:orient="portrait"/>
          <w:cols w:equalWidth="0" w:num="1">
            <w:col w:w="11200"/>
          </w:cols>
          <w:pgMar w:left="320" w:top="1401" w:right="37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AMENDMENT NO. 1 dated as of December 31, 2021 (this “</w:t>
      </w:r>
      <w:r>
        <w:rPr>
          <w:rFonts w:ascii="Arial" w:cs="Arial" w:eastAsia="Arial" w:hAnsi="Arial"/>
          <w:sz w:val="22"/>
          <w:szCs w:val="22"/>
          <w:u w:val="single" w:color="auto"/>
          <w:color w:val="auto"/>
        </w:rPr>
        <w:t>Amendment</w:t>
      </w:r>
      <w:r>
        <w:rPr>
          <w:rFonts w:ascii="Arial" w:cs="Arial" w:eastAsia="Arial" w:hAnsi="Arial"/>
          <w:sz w:val="22"/>
          <w:szCs w:val="22"/>
          <w:color w:val="auto"/>
        </w:rPr>
        <w:t>”) among Comcast Corporation, a Pennsylvania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JPMorgan Chase Bank, N.A. (“</w:t>
      </w:r>
      <w:r>
        <w:rPr>
          <w:rFonts w:ascii="Arial" w:cs="Arial" w:eastAsia="Arial" w:hAnsi="Arial"/>
          <w:sz w:val="22"/>
          <w:szCs w:val="22"/>
          <w:u w:val="single" w:color="auto"/>
          <w:color w:val="auto"/>
        </w:rPr>
        <w:t>JPMCB</w:t>
      </w:r>
      <w:r>
        <w:rPr>
          <w:rFonts w:ascii="Arial" w:cs="Arial" w:eastAsia="Arial" w:hAnsi="Arial"/>
          <w:sz w:val="22"/>
          <w:szCs w:val="22"/>
          <w:color w:val="auto"/>
        </w:rPr>
        <w:t>”),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Capitalized terms used but not defined herein shall have the meanings assigned to such terms in the Credit Agreement (as defined below).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18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the Company is party to that certain Credit Agreement dated as of March 30, 2021, by and among the Company, the lenders from time to time party thereto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JPMCB, as administrative agent for the Lenders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and as amended by this Amendment and as further amended, restated, modified or supplemented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certain loans, commitments and/or other extensions of credit (the “</w:t>
      </w:r>
      <w:r>
        <w:rPr>
          <w:rFonts w:ascii="Arial" w:cs="Arial" w:eastAsia="Arial" w:hAnsi="Arial"/>
          <w:sz w:val="22"/>
          <w:szCs w:val="22"/>
          <w:u w:val="single" w:color="auto"/>
          <w:color w:val="auto"/>
        </w:rPr>
        <w:t>Loans</w:t>
      </w:r>
      <w:r>
        <w:rPr>
          <w:rFonts w:ascii="Arial" w:cs="Arial" w:eastAsia="Arial" w:hAnsi="Arial"/>
          <w:sz w:val="22"/>
          <w:szCs w:val="22"/>
          <w:color w:val="auto"/>
        </w:rPr>
        <w:t>”) under the Existing Credit Agreement denominated in Sterling (the “</w:t>
      </w:r>
      <w:r>
        <w:rPr>
          <w:rFonts w:ascii="Arial" w:cs="Arial" w:eastAsia="Arial" w:hAnsi="Arial"/>
          <w:sz w:val="22"/>
          <w:szCs w:val="22"/>
          <w:u w:val="single" w:color="auto"/>
          <w:color w:val="auto"/>
        </w:rPr>
        <w:t>Affected Currency</w:t>
      </w:r>
      <w:r>
        <w:rPr>
          <w:rFonts w:ascii="Arial" w:cs="Arial" w:eastAsia="Arial" w:hAnsi="Arial"/>
          <w:sz w:val="22"/>
          <w:szCs w:val="22"/>
          <w:color w:val="auto"/>
        </w:rPr>
        <w:t>”) incur or are permitted to incur interest, fees or other amounts based on the London Interbank Offered Rate as administered by the ICE Benchmark Administration (“</w:t>
      </w:r>
      <w:r>
        <w:rPr>
          <w:rFonts w:ascii="Arial" w:cs="Arial" w:eastAsia="Arial" w:hAnsi="Arial"/>
          <w:sz w:val="22"/>
          <w:szCs w:val="22"/>
          <w:u w:val="single" w:color="auto"/>
          <w:color w:val="auto"/>
        </w:rPr>
        <w:t>LIBOR</w:t>
      </w:r>
      <w:r>
        <w:rPr>
          <w:rFonts w:ascii="Arial" w:cs="Arial" w:eastAsia="Arial" w:hAnsi="Arial"/>
          <w:sz w:val="22"/>
          <w:szCs w:val="22"/>
          <w:color w:val="auto"/>
        </w:rPr>
        <w:t>”) in accordance with the terms of the Existing Credit Agreement; and</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WHEREAS, the Administrative Agent, in consultation with the Company, has elected to enter into a Benchmark Replacement Conforming Changes amendment with respect to the Affected Currency and pursuant to Section 3.03(d) of the Existing Credit Agreement, the Administrative Agent and the Company have determined in accordance with the Existing Credit Agreement that LIBOR for the Affected Currency should be replaced with the applicable Benchmark Replacement for all purposes under the Credit Agreement and any Loan Document.</w:t>
      </w:r>
    </w:p>
    <w:p>
      <w:pPr>
        <w:spacing w:after="0" w:line="15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all of which is hereby acknowledged, the parties hereto hereby agree as follows:</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Amendments to the Existing Credit Agreement</w:t>
      </w:r>
      <w:r>
        <w:rPr>
          <w:rFonts w:ascii="Arial" w:cs="Arial" w:eastAsia="Arial" w:hAnsi="Arial"/>
          <w:sz w:val="22"/>
          <w:szCs w:val="22"/>
          <w:color w:val="auto"/>
        </w:rPr>
        <w:t xml:space="preserve">. Effective as of the Amendment No. 1 Effective Date (as defined below), the Existing Credit Agreement is hereby amended to delete the stricken text (indicated textually in the same manner as the following example: </w:t>
      </w:r>
      <w:r>
        <w:rPr>
          <w:rFonts w:ascii="Arial" w:cs="Arial" w:eastAsia="Arial" w:hAnsi="Arial"/>
          <w:sz w:val="22"/>
          <w:szCs w:val="22"/>
          <w:color w:val="FF0000"/>
          <w:strike w:val="1"/>
        </w:rPr>
        <w:t>stricken text</w:t>
      </w:r>
      <w:r>
        <w:rPr>
          <w:rFonts w:ascii="Arial" w:cs="Arial" w:eastAsia="Arial" w:hAnsi="Arial"/>
          <w:sz w:val="22"/>
          <w:szCs w:val="22"/>
          <w:color w:val="auto"/>
        </w:rPr>
        <w:t xml:space="preserve">) and to add the double-underlined text (indicated textually in the same manner as the following example: </w:t>
      </w:r>
      <w:r>
        <w:rPr>
          <w:rFonts w:ascii="Arial" w:cs="Arial" w:eastAsia="Arial" w:hAnsi="Arial"/>
          <w:sz w:val="22"/>
          <w:szCs w:val="22"/>
          <w:u w:val="single" w:color="auto"/>
          <w:color w:val="0309F3"/>
        </w:rPr>
        <w:t>double-underlined text</w:t>
      </w:r>
      <w:r>
        <w:rPr>
          <w:rFonts w:ascii="Arial" w:cs="Arial" w:eastAsia="Arial" w:hAnsi="Arial"/>
          <w:sz w:val="22"/>
          <w:szCs w:val="22"/>
          <w:color w:val="auto"/>
        </w:rPr>
        <w:t xml:space="preserve">) as set forth in the pages of the Existing Credit Agreement attached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Conditions Precedent to Effectiveness of the Amendment</w:t>
      </w:r>
      <w:r>
        <w:rPr>
          <w:rFonts w:ascii="Arial" w:cs="Arial" w:eastAsia="Arial" w:hAnsi="Arial"/>
          <w:sz w:val="21"/>
          <w:szCs w:val="21"/>
          <w:color w:val="auto"/>
        </w:rPr>
        <w:t>. This Amendment shall become effective as of the first date (the “</w:t>
      </w:r>
      <w:r>
        <w:rPr>
          <w:rFonts w:ascii="Arial" w:cs="Arial" w:eastAsia="Arial" w:hAnsi="Arial"/>
          <w:sz w:val="21"/>
          <w:szCs w:val="21"/>
          <w:u w:val="single" w:color="auto"/>
          <w:color w:val="auto"/>
        </w:rPr>
        <w:t>Amendment No. 1 Effective Date</w:t>
      </w:r>
      <w:r>
        <w:rPr>
          <w:rFonts w:ascii="Arial" w:cs="Arial" w:eastAsia="Arial" w:hAnsi="Arial"/>
          <w:sz w:val="21"/>
          <w:szCs w:val="21"/>
          <w:color w:val="auto"/>
        </w:rPr>
        <w:t>”) that the following conditions precedent are satisfied:</w:t>
      </w:r>
    </w:p>
    <w:p>
      <w:pPr>
        <w:spacing w:after="0" w:line="143" w:lineRule="exact"/>
        <w:rPr>
          <w:sz w:val="20"/>
          <w:szCs w:val="20"/>
          <w:color w:val="auto"/>
        </w:rPr>
      </w:pPr>
    </w:p>
    <w:p>
      <w:pPr>
        <w:ind w:left="1940" w:hanging="636"/>
        <w:spacing w:after="0"/>
        <w:tabs>
          <w:tab w:leader="none" w:pos="1940" w:val="left"/>
        </w:tabs>
        <w:numPr>
          <w:ilvl w:val="0"/>
          <w:numId w:val="122"/>
        </w:numPr>
        <w:rPr>
          <w:rFonts w:ascii="Arial" w:cs="Arial" w:eastAsia="Arial" w:hAnsi="Arial"/>
          <w:sz w:val="19"/>
          <w:szCs w:val="19"/>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This Amendment shall have been executed and delivered by the Company and the</w:t>
      </w:r>
    </w:p>
    <w:p>
      <w:pPr>
        <w:spacing w:after="0"/>
        <w:rPr>
          <w:rFonts w:ascii="Arial" w:cs="Arial" w:eastAsia="Arial" w:hAnsi="Arial"/>
          <w:sz w:val="19"/>
          <w:szCs w:val="19"/>
          <w:color w:val="auto"/>
        </w:rPr>
      </w:pPr>
      <w:r>
        <w:rPr>
          <w:rFonts w:ascii="Arial" w:cs="Arial" w:eastAsia="Arial" w:hAnsi="Arial"/>
          <w:sz w:val="22"/>
          <w:szCs w:val="22"/>
          <w:color w:val="auto"/>
        </w:rPr>
        <w:t>Administrative Agent.</w:t>
      </w:r>
    </w:p>
    <w:p>
      <w:pPr>
        <w:spacing w:after="0" w:line="161" w:lineRule="exact"/>
        <w:rPr>
          <w:rFonts w:ascii="Arial" w:cs="Arial" w:eastAsia="Arial" w:hAnsi="Arial"/>
          <w:sz w:val="19"/>
          <w:szCs w:val="19"/>
          <w:color w:val="auto"/>
        </w:rPr>
      </w:pPr>
    </w:p>
    <w:p>
      <w:pPr>
        <w:jc w:val="both"/>
        <w:ind w:firstLine="1304"/>
        <w:spacing w:after="0" w:line="226" w:lineRule="auto"/>
        <w:tabs>
          <w:tab w:leader="none" w:pos="1932" w:val="left"/>
        </w:tabs>
        <w:numPr>
          <w:ilvl w:val="0"/>
          <w:numId w:val="122"/>
        </w:numPr>
        <w:rPr>
          <w:rFonts w:ascii="Arial" w:cs="Arial" w:eastAsia="Arial" w:hAnsi="Arial"/>
          <w:sz w:val="19"/>
          <w:szCs w:val="19"/>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The Administrative Agent shall have received, to the extent invoiced two (2) Business Days prior to the Amendment No, 1 Effective Date, all other amounts due and payable pursuant to the Loan Documents on or prior to the Amendment No. 1 Effective Date, including reimbursement or payment of all reasonable and documented out-of-pocket expenses (including reasonable fees, charges and disbursements of Simpson Thacher &amp; Bartlett LLP) required to be reimbursed or paid by the Loan Parties hereunder or under any Loan Document.</w:t>
      </w:r>
    </w:p>
    <w:p>
      <w:pPr>
        <w:sectPr>
          <w:pgSz w:w="11900" w:h="16838" w:orient="portrait"/>
          <w:cols w:equalWidth="0" w:num="1">
            <w:col w:w="11240"/>
          </w:cols>
          <w:pgMar w:left="320" w:top="98" w:right="339" w:bottom="1440" w:gutter="0" w:footer="0" w:header="0"/>
        </w:sectPr>
      </w:pPr>
    </w:p>
    <w:bookmarkStart w:id="162" w:name="page163"/>
    <w:bookmarkEnd w:id="162"/>
    <w:p>
      <w:pPr>
        <w:jc w:val="both"/>
        <w:ind w:firstLine="648"/>
        <w:spacing w:after="0" w:line="216" w:lineRule="auto"/>
        <w:rPr>
          <w:sz w:val="20"/>
          <w:szCs w:val="20"/>
          <w:color w:val="auto"/>
        </w:rPr>
      </w:pPr>
      <w:r>
        <w:rPr>
          <w:rFonts w:ascii="Arial" w:cs="Arial" w:eastAsia="Arial" w:hAnsi="Arial"/>
          <w:sz w:val="22"/>
          <w:szCs w:val="22"/>
          <w:color w:val="auto"/>
        </w:rPr>
        <w:t>The Administrative Agent shall notify the Company and the Lenders of the Amendment No. 1 Effective Date upon the occurrence thereof, and such notice and the effectiveness of this Amendment and the Credit Agreement shall be conclusive and binding upon all of the Lenders and all of the other parties to the Loan Documents and each of their successors and assigns; provided that, failure to give any such notice shall not affect the effectiveness, validity or enforceability of this Amendment and the Credit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Reference to and Effect on the Existing Credit Agreement and the other Loan Documents</w:t>
      </w:r>
      <w:r>
        <w:rPr>
          <w:rFonts w:ascii="Arial" w:cs="Arial" w:eastAsia="Arial" w:hAnsi="Arial"/>
          <w:sz w:val="22"/>
          <w:szCs w:val="22"/>
          <w:color w:val="auto"/>
        </w:rPr>
        <w:t>.</w:t>
      </w:r>
    </w:p>
    <w:p>
      <w:pPr>
        <w:spacing w:after="0" w:line="179" w:lineRule="exact"/>
        <w:rPr>
          <w:sz w:val="20"/>
          <w:szCs w:val="20"/>
          <w:color w:val="auto"/>
        </w:rPr>
      </w:pPr>
    </w:p>
    <w:p>
      <w:pPr>
        <w:jc w:val="both"/>
        <w:ind w:firstLine="656"/>
        <w:spacing w:after="0" w:line="216" w:lineRule="auto"/>
        <w:tabs>
          <w:tab w:leader="none" w:pos="1286" w:val="left"/>
        </w:tabs>
        <w:numPr>
          <w:ilvl w:val="0"/>
          <w:numId w:val="123"/>
        </w:numPr>
        <w:rPr>
          <w:rFonts w:ascii="Arial" w:cs="Arial" w:eastAsia="Arial" w:hAnsi="Arial"/>
          <w:sz w:val="20"/>
          <w:szCs w:val="20"/>
          <w:color w:val="auto"/>
        </w:rPr>
      </w:pPr>
      <w:r>
        <w:rPr>
          <w:rFonts w:ascii="Arial" w:cs="Arial" w:eastAsia="Arial" w:hAnsi="Arial"/>
          <w:sz w:val="22"/>
          <w:szCs w:val="22"/>
          <w:color w:val="auto"/>
        </w:rPr>
        <w:t>On and after the Amendment No. 1 Effective Date, each reference in the Credit Agreement to “this Agreement,” “hereunder,” “hereof” or words of like import referring to the Existing Credit Agreement shall mean and be a reference to the Existing Credit Agreement, as amended by this Amendment. The Existing Credit Agreement and each of the other Loan Documents, as specifically amended by this Amendment, are and shall continue to be in full force and effect and are hereby in all respects ratified and confirmed.</w:t>
      </w:r>
    </w:p>
    <w:p>
      <w:pPr>
        <w:spacing w:after="0" w:line="157" w:lineRule="exact"/>
        <w:rPr>
          <w:rFonts w:ascii="Arial" w:cs="Arial" w:eastAsia="Arial" w:hAnsi="Arial"/>
          <w:sz w:val="20"/>
          <w:szCs w:val="20"/>
          <w:color w:val="auto"/>
        </w:rPr>
      </w:pPr>
    </w:p>
    <w:p>
      <w:pPr>
        <w:jc w:val="both"/>
        <w:ind w:firstLine="656"/>
        <w:spacing w:after="0" w:line="212" w:lineRule="auto"/>
        <w:tabs>
          <w:tab w:leader="none" w:pos="1284" w:val="left"/>
        </w:tabs>
        <w:numPr>
          <w:ilvl w:val="0"/>
          <w:numId w:val="123"/>
        </w:numPr>
        <w:rPr>
          <w:rFonts w:ascii="Arial" w:cs="Arial" w:eastAsia="Arial" w:hAnsi="Arial"/>
          <w:sz w:val="20"/>
          <w:szCs w:val="20"/>
          <w:color w:val="auto"/>
        </w:rPr>
      </w:pPr>
      <w:r>
        <w:rPr>
          <w:rFonts w:ascii="Arial" w:cs="Arial" w:eastAsia="Arial" w:hAnsi="Arial"/>
          <w:sz w:val="22"/>
          <w:szCs w:val="22"/>
          <w:color w:val="auto"/>
        </w:rPr>
        <w:t>Other than as specifically provided herein or in the Credit Agreement, this Amendment shall not operate as a waiver or amendment of any right, power or privilege of the Lenders under the Existing Credit Agreement or any other Loan Document or of any other term or condition of the Existing Credit Agreement or any other Loan Document nor shall the entering into of this Amendment preclude the Lenders from refusing to enter into any further waivers or amendments with respect to the Existing Credit Agreement. This Amendment shall not constitute a novation of the Existing Credit Agreement or any of the Loan Documents. This Amendment shall be a Loan Document for all purposes under the Credit Agreement and the other Loan Documents.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Acknowledgments</w:t>
      </w:r>
      <w:r>
        <w:rPr>
          <w:rFonts w:ascii="Arial" w:cs="Arial" w:eastAsia="Arial" w:hAnsi="Arial"/>
          <w:sz w:val="19"/>
          <w:szCs w:val="19"/>
          <w:color w:val="auto"/>
        </w:rPr>
        <w:t>. The Company hereby acknowledges that it has read this Amendment and consents to its terms, and further hereby affirms, confirms, represents, warrants and agrees that notwithstanding the effectiveness of this Amendment, the obligations of the Company under each of the Loan Documents shall not be impaired and each of the Loan Documents is, and shall continue to be, in full force and effect and is hereby confirmed and ratified in all respects.</w:t>
      </w:r>
    </w:p>
    <w:p>
      <w:pPr>
        <w:spacing w:after="0" w:line="14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Amendment may be executed in one or more counterparts (and by different parties hereto on different counterparts), each of which shall constitute an original, but all of which when taken together shall constitute a single contract. Delivery of an executed counterpart of a signature page of this Amendment by telecopy, emailed pdf. or electronic mail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63" w:name="page164"/>
    <w:bookmarkEnd w:id="163"/>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Electronic Signatures and Records Act, or any other similar state laws based on the Uniform Electronic Transactions Act.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Governing Law; Jurisdiction; Consent to Service of Process; Waiver of Jury Trial, Etc</w:t>
      </w:r>
      <w:r>
        <w:rPr>
          <w:rFonts w:ascii="Arial" w:cs="Arial" w:eastAsia="Arial" w:hAnsi="Arial"/>
          <w:sz w:val="22"/>
          <w:szCs w:val="22"/>
          <w:color w:val="auto"/>
        </w:rPr>
        <w:t>.</w:t>
      </w:r>
    </w:p>
    <w:p>
      <w:pPr>
        <w:spacing w:after="0" w:line="179" w:lineRule="exact"/>
        <w:rPr>
          <w:sz w:val="20"/>
          <w:szCs w:val="20"/>
          <w:color w:val="auto"/>
        </w:rPr>
      </w:pPr>
    </w:p>
    <w:p>
      <w:pPr>
        <w:jc w:val="both"/>
        <w:ind w:firstLine="1304"/>
        <w:spacing w:after="0" w:line="223" w:lineRule="auto"/>
        <w:tabs>
          <w:tab w:leader="none" w:pos="194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This Amendment shall be construed in accordance with and governed by the law of the State of New York, without regard to conflict of laws principles thereof to the extent such principles would cause the application of the law of another state; and</w:t>
      </w:r>
    </w:p>
    <w:p>
      <w:pPr>
        <w:spacing w:after="0" w:line="158" w:lineRule="exact"/>
        <w:rPr>
          <w:rFonts w:ascii="Arial" w:cs="Arial" w:eastAsia="Arial" w:hAnsi="Arial"/>
          <w:sz w:val="22"/>
          <w:szCs w:val="22"/>
          <w:color w:val="auto"/>
        </w:rPr>
      </w:pPr>
    </w:p>
    <w:p>
      <w:pPr>
        <w:ind w:right="20" w:firstLine="1304"/>
        <w:spacing w:after="0" w:line="232" w:lineRule="auto"/>
        <w:tabs>
          <w:tab w:leader="none" w:pos="193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jurisdiction and waiver of right to trial by jury provisions in Sections 10.22 and 10.23 of the Existing Credit Agreement are incorporated herein by reference mutatis mutandis</w:t>
      </w:r>
      <w:r>
        <w:rPr>
          <w:rFonts w:ascii="Arial" w:cs="Arial" w:eastAsia="Arial" w:hAnsi="Arial"/>
          <w:sz w:val="22"/>
          <w:szCs w:val="22"/>
          <w:b w:val="1"/>
          <w:bCs w:val="1"/>
          <w:color w:val="auto"/>
        </w:rPr>
        <w:t>.</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Amendment; Headings; Severability</w:t>
      </w:r>
      <w:r>
        <w:rPr>
          <w:rFonts w:ascii="Arial" w:cs="Arial" w:eastAsia="Arial" w:hAnsi="Arial"/>
          <w:sz w:val="19"/>
          <w:szCs w:val="19"/>
          <w:color w:val="auto"/>
        </w:rPr>
        <w:t>. This Amendment may not be amended nor may any provision hereof be waived except pursuant to a writing signed by the Company, the other Loan Parties and the Administrative Agent.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hereunder shall be given in accordance with the provisions of Section 10.02(a) of the Credit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64" w:name="page165"/>
    <w:bookmarkEnd w:id="164"/>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executed by their respective officers thereunto duly authorized, as of the date first above written.</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 a Pennsylvania corporation</w:t>
      </w:r>
    </w:p>
    <w:p>
      <w:pPr>
        <w:spacing w:after="0" w:line="200" w:lineRule="exact"/>
        <w:rPr>
          <w:sz w:val="20"/>
          <w:szCs w:val="20"/>
          <w:color w:val="auto"/>
        </w:rPr>
      </w:pPr>
    </w:p>
    <w:p>
      <w:pPr>
        <w:spacing w:after="0" w:line="30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0"/>
          <w:szCs w:val="20"/>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10160</wp:posOffset>
            </wp:positionV>
            <wp:extent cx="21602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7"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Elizabeth Wideman</w:t>
      </w:r>
    </w:p>
    <w:p>
      <w:pPr>
        <w:ind w:left="4380"/>
        <w:spacing w:after="0" w:line="227" w:lineRule="auto"/>
        <w:tabs>
          <w:tab w:leader="none" w:pos="4980" w:val="left"/>
        </w:tabs>
        <w:rPr>
          <w:sz w:val="20"/>
          <w:szCs w:val="20"/>
          <w:color w:val="auto"/>
        </w:rPr>
      </w:pPr>
      <w:r>
        <w:rPr>
          <w:rFonts w:ascii="Arial" w:cs="Arial" w:eastAsia="Arial" w:hAnsi="Arial"/>
          <w:sz w:val="20"/>
          <w:szCs w:val="20"/>
          <w:color w:val="auto"/>
        </w:rPr>
        <w:t>Title:</w:t>
        <w:tab/>
        <w:t>Senior Vice President, Senior</w:t>
      </w:r>
    </w:p>
    <w:p>
      <w:pPr>
        <w:ind w:left="5000"/>
        <w:spacing w:after="0" w:line="197" w:lineRule="auto"/>
        <w:rPr>
          <w:sz w:val="20"/>
          <w:szCs w:val="20"/>
          <w:color w:val="auto"/>
        </w:rPr>
      </w:pPr>
      <w:r>
        <w:rPr>
          <w:rFonts w:ascii="Arial" w:cs="Arial" w:eastAsia="Arial" w:hAnsi="Arial"/>
          <w:sz w:val="20"/>
          <w:szCs w:val="20"/>
          <w:color w:val="auto"/>
        </w:rPr>
        <w:t>Deputy General Counsel and</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[Signature Page to Amendment No. 1]</w:t>
      </w:r>
    </w:p>
    <w:p>
      <w:pPr>
        <w:sectPr>
          <w:pgSz w:w="11900" w:h="16838" w:orient="portrait"/>
          <w:cols w:equalWidth="0" w:num="1">
            <w:col w:w="10800"/>
          </w:cols>
          <w:pgMar w:left="320" w:top="1401" w:right="779" w:bottom="1440" w:gutter="0" w:footer="0" w:header="0"/>
        </w:sectPr>
      </w:pPr>
    </w:p>
    <w:bookmarkStart w:id="165" w:name="page166"/>
    <w:bookmarkEnd w:id="165"/>
    <w:p>
      <w:pPr>
        <w:ind w:left="2780"/>
        <w:spacing w:after="0"/>
        <w:rPr>
          <w:sz w:val="20"/>
          <w:szCs w:val="20"/>
          <w:color w:val="auto"/>
        </w:rPr>
      </w:pPr>
      <w:r>
        <w:rPr>
          <w:rFonts w:ascii="Arial" w:cs="Arial" w:eastAsia="Arial" w:hAnsi="Arial"/>
          <w:sz w:val="19"/>
          <w:szCs w:val="19"/>
          <w:color w:val="auto"/>
        </w:rPr>
        <w:t>JPMORGAN CHASE BANK, N.A., as Administrative Agent</w:t>
      </w:r>
    </w:p>
    <w:p>
      <w:pPr>
        <w:spacing w:after="0" w:line="200" w:lineRule="exact"/>
        <w:rPr>
          <w:sz w:val="20"/>
          <w:szCs w:val="20"/>
          <w:color w:val="auto"/>
        </w:rPr>
      </w:pPr>
    </w:p>
    <w:p>
      <w:pPr>
        <w:spacing w:after="0" w:line="31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2973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9">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3000"/>
        <w:spacing w:after="0" w:line="237" w:lineRule="auto"/>
        <w:tabs>
          <w:tab w:leader="none" w:pos="3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Ryan Zimmerman</w:t>
      </w:r>
    </w:p>
    <w:p>
      <w:pPr>
        <w:ind w:left="2980"/>
        <w:spacing w:after="0"/>
        <w:tabs>
          <w:tab w:leader="none" w:pos="3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w:t>
      </w:r>
    </w:p>
    <w:p>
      <w:pPr>
        <w:sectPr>
          <w:pgSz w:w="11900" w:h="16838" w:orient="portrait"/>
          <w:cols w:equalWidth="0" w:num="1">
            <w:col w:w="9019"/>
          </w:cols>
          <w:pgMar w:left="1440" w:top="1401"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9"/>
          <w:szCs w:val="19"/>
          <w:u w:val="single" w:color="auto"/>
          <w:color w:val="auto"/>
        </w:rPr>
        <w:t>Amended Credit Agreement</w:t>
      </w: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10120"/>
          </w:cols>
          <w:pgMar w:left="1440" w:top="98"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color w:val="FF0000"/>
          <w:strike w:val="1"/>
        </w:rPr>
        <w:t>Execution Version</w:t>
      </w:r>
      <w:r>
        <w:rPr>
          <w:rFonts w:ascii="Arial" w:cs="Arial" w:eastAsia="Arial" w:hAnsi="Arial"/>
          <w:sz w:val="20"/>
          <w:szCs w:val="20"/>
          <w:u w:val="single" w:color="auto"/>
          <w:color w:val="0000FF"/>
          <w:strike w:val="1"/>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0000FF"/>
        </w:rPr>
        <w:t>(as amended by Amendment No. 1, dated December 31, 2021)</w:t>
      </w:r>
    </w:p>
    <w:p>
      <w:pPr>
        <w:spacing w:after="0" w:line="17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among</w:t>
      </w:r>
    </w:p>
    <w:p>
      <w:pPr>
        <w:spacing w:after="0" w:line="17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COMCAST CORPORATION</w:t>
      </w:r>
    </w:p>
    <w:p>
      <w:pPr>
        <w:spacing w:after="0" w:line="17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The Financial Institutions Party Hereto</w:t>
      </w:r>
    </w:p>
    <w:p>
      <w:pPr>
        <w:spacing w:after="0" w:line="150"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JPMORGAN CHASE BANK, N.A.,</w:t>
      </w:r>
    </w:p>
    <w:p>
      <w:pPr>
        <w:ind w:left="4660"/>
        <w:spacing w:after="0"/>
        <w:rPr>
          <w:sz w:val="20"/>
          <w:szCs w:val="20"/>
          <w:color w:val="auto"/>
        </w:rPr>
      </w:pPr>
      <w:r>
        <w:rPr>
          <w:rFonts w:ascii="Arial" w:cs="Arial" w:eastAsia="Arial" w:hAnsi="Arial"/>
          <w:sz w:val="20"/>
          <w:szCs w:val="20"/>
          <w:color w:val="auto"/>
        </w:rPr>
        <w:t>as Administrative Agent</w:t>
      </w:r>
    </w:p>
    <w:p>
      <w:pPr>
        <w:spacing w:after="0" w:line="159"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CITIBANK, N.A.,</w:t>
      </w:r>
    </w:p>
    <w:p>
      <w:pPr>
        <w:spacing w:after="0" w:line="17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as Syndication Agent</w:t>
      </w:r>
    </w:p>
    <w:p>
      <w:pPr>
        <w:spacing w:after="0" w:line="175"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and</w:t>
      </w:r>
    </w:p>
    <w:p>
      <w:pPr>
        <w:spacing w:after="0" w:line="150"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BANK OF AMERICA, N.A.,</w:t>
      </w:r>
    </w:p>
    <w:p>
      <w:pPr>
        <w:jc w:val="center"/>
        <w:spacing w:after="0" w:line="197" w:lineRule="auto"/>
        <w:rPr>
          <w:sz w:val="20"/>
          <w:szCs w:val="20"/>
          <w:color w:val="auto"/>
        </w:rPr>
      </w:pPr>
      <w:r>
        <w:rPr>
          <w:rFonts w:ascii="Arial" w:cs="Arial" w:eastAsia="Arial" w:hAnsi="Arial"/>
          <w:sz w:val="20"/>
          <w:szCs w:val="20"/>
          <w:color w:val="auto"/>
        </w:rPr>
        <w:t>MIZUHO BANK, LTD.,</w:t>
      </w:r>
    </w:p>
    <w:p>
      <w:pPr>
        <w:jc w:val="center"/>
        <w:spacing w:after="0" w:line="197" w:lineRule="auto"/>
        <w:rPr>
          <w:sz w:val="20"/>
          <w:szCs w:val="20"/>
          <w:color w:val="auto"/>
        </w:rPr>
      </w:pPr>
      <w:r>
        <w:rPr>
          <w:rFonts w:ascii="Arial" w:cs="Arial" w:eastAsia="Arial" w:hAnsi="Arial"/>
          <w:sz w:val="20"/>
          <w:szCs w:val="20"/>
          <w:color w:val="auto"/>
        </w:rPr>
        <w:t>MORGAN STANLEY MUFG LOAN PARTNERS, LLC and</w:t>
      </w:r>
    </w:p>
    <w:p>
      <w:pPr>
        <w:jc w:val="center"/>
        <w:spacing w:after="0" w:line="197" w:lineRule="auto"/>
        <w:rPr>
          <w:sz w:val="20"/>
          <w:szCs w:val="20"/>
          <w:color w:val="auto"/>
        </w:rPr>
      </w:pPr>
      <w:r>
        <w:rPr>
          <w:rFonts w:ascii="Arial" w:cs="Arial" w:eastAsia="Arial" w:hAnsi="Arial"/>
          <w:sz w:val="20"/>
          <w:szCs w:val="20"/>
          <w:color w:val="auto"/>
        </w:rPr>
        <w:t>WELLS FARGO BANK, NATIONAL ASSOCIATION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March 30, 2021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w:t>
      </w:r>
    </w:p>
    <w:p>
      <w:pPr>
        <w:jc w:val="center"/>
        <w:spacing w:after="0" w:line="197" w:lineRule="auto"/>
        <w:rPr>
          <w:sz w:val="20"/>
          <w:szCs w:val="20"/>
          <w:color w:val="auto"/>
        </w:rPr>
      </w:pPr>
      <w:r>
        <w:rPr>
          <w:rFonts w:ascii="Arial" w:cs="Arial" w:eastAsia="Arial" w:hAnsi="Arial"/>
          <w:sz w:val="20"/>
          <w:szCs w:val="20"/>
          <w:color w:val="auto"/>
        </w:rPr>
        <w:t>CITIBANK, N.A.,</w:t>
      </w:r>
    </w:p>
    <w:p>
      <w:pPr>
        <w:jc w:val="center"/>
        <w:spacing w:after="0" w:line="197" w:lineRule="auto"/>
        <w:rPr>
          <w:sz w:val="20"/>
          <w:szCs w:val="20"/>
          <w:color w:val="auto"/>
        </w:rPr>
      </w:pPr>
      <w:r>
        <w:rPr>
          <w:rFonts w:ascii="Arial" w:cs="Arial" w:eastAsia="Arial" w:hAnsi="Arial"/>
          <w:sz w:val="20"/>
          <w:szCs w:val="20"/>
          <w:color w:val="auto"/>
        </w:rPr>
        <w:t>BOFA SECURITIES, INC.,</w:t>
      </w:r>
    </w:p>
    <w:p>
      <w:pPr>
        <w:jc w:val="center"/>
        <w:spacing w:after="0" w:line="197" w:lineRule="auto"/>
        <w:rPr>
          <w:sz w:val="20"/>
          <w:szCs w:val="20"/>
          <w:color w:val="auto"/>
        </w:rPr>
      </w:pPr>
      <w:r>
        <w:rPr>
          <w:rFonts w:ascii="Arial" w:cs="Arial" w:eastAsia="Arial" w:hAnsi="Arial"/>
          <w:sz w:val="20"/>
          <w:szCs w:val="20"/>
          <w:color w:val="auto"/>
        </w:rPr>
        <w:t>MORGAN STANLEY MUFG LOAN PARTNERS, LLC,</w:t>
      </w:r>
    </w:p>
    <w:p>
      <w:pPr>
        <w:jc w:val="center"/>
        <w:spacing w:after="0" w:line="197" w:lineRule="auto"/>
        <w:rPr>
          <w:sz w:val="20"/>
          <w:szCs w:val="20"/>
          <w:color w:val="auto"/>
        </w:rPr>
      </w:pPr>
      <w:r>
        <w:rPr>
          <w:rFonts w:ascii="Arial" w:cs="Arial" w:eastAsia="Arial" w:hAnsi="Arial"/>
          <w:sz w:val="20"/>
          <w:szCs w:val="20"/>
          <w:color w:val="auto"/>
        </w:rPr>
        <w:t>WELLS FARGO SECURITIES, LLC and</w:t>
      </w:r>
    </w:p>
    <w:p>
      <w:pPr>
        <w:jc w:val="center"/>
        <w:spacing w:after="0" w:line="198" w:lineRule="auto"/>
        <w:rPr>
          <w:sz w:val="20"/>
          <w:szCs w:val="20"/>
          <w:color w:val="auto"/>
        </w:rPr>
      </w:pPr>
      <w:r>
        <w:rPr>
          <w:rFonts w:ascii="Arial" w:cs="Arial" w:eastAsia="Arial" w:hAnsi="Arial"/>
          <w:sz w:val="20"/>
          <w:szCs w:val="20"/>
          <w:color w:val="auto"/>
        </w:rPr>
        <w:t>MIZUHO BANK, LTD.,</w:t>
      </w:r>
    </w:p>
    <w:p>
      <w:pPr>
        <w:jc w:val="center"/>
        <w:spacing w:after="0"/>
        <w:rPr>
          <w:sz w:val="20"/>
          <w:szCs w:val="20"/>
          <w:color w:val="auto"/>
        </w:rPr>
      </w:pPr>
      <w:r>
        <w:rPr>
          <w:rFonts w:ascii="Arial" w:cs="Arial" w:eastAsia="Arial" w:hAnsi="Arial"/>
          <w:sz w:val="20"/>
          <w:szCs w:val="20"/>
          <w:color w:val="auto"/>
        </w:rPr>
        <w:t>as Joint Lead Arrangers and Joint Bookrunners</w:t>
      </w:r>
    </w:p>
    <w:p>
      <w:pPr>
        <w:sectPr>
          <w:pgSz w:w="11900" w:h="16838" w:orient="portrait"/>
          <w:cols w:equalWidth="0" w:num="1">
            <w:col w:w="11240"/>
          </w:cols>
          <w:pgMar w:left="320" w:top="108"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10120" w:type="dxa"/>
            <w:vAlign w:val="bottom"/>
          </w:tcPr>
          <w:p>
            <w:pPr>
              <w:ind w:left="4000"/>
              <w:spacing w:after="0"/>
              <w:rPr>
                <w:sz w:val="20"/>
                <w:szCs w:val="20"/>
                <w:color w:val="auto"/>
              </w:rPr>
            </w:pPr>
            <w:r>
              <w:rPr>
                <w:rFonts w:ascii="Arial" w:cs="Arial" w:eastAsia="Arial" w:hAnsi="Arial"/>
                <w:sz w:val="20"/>
                <w:szCs w:val="20"/>
                <w:b w:val="1"/>
                <w:bCs w:val="1"/>
                <w:color w:val="auto"/>
              </w:rPr>
              <w:t>TABLE OF CONTENTS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405"/>
        </w:trPr>
        <w:tc>
          <w:tcPr>
            <w:tcW w:w="48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20"/>
                <w:szCs w:val="20"/>
                <w:b w:val="1"/>
                <w:bCs w:val="1"/>
                <w:color w:val="auto"/>
                <w:w w:val="79"/>
              </w:rPr>
              <w:t>Page</w:t>
            </w:r>
          </w:p>
        </w:tc>
      </w:tr>
      <w:tr>
        <w:trPr>
          <w:trHeight w:val="428"/>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 DEFINITIONS AND ACCOUNTING TERMS</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75"/>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1.01</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Defined Terms</w:t>
            </w:r>
          </w:p>
        </w:tc>
        <w:tc>
          <w:tcPr>
            <w:tcW w:w="1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75"/>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1.02</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Use of Certain Terms.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31</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1.03</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Accounting Terms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31</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1.04</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Rounding</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32</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1.05</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Exhibits and Schedules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32</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1.06</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References to Agreements and Laws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32</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1.07</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Pro Forma Calculations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32</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1.08</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Interest Rates; LIBOR Notification.</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33</w:t>
            </w:r>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SECTION 2 THE REVOLVING COMMITMENTS AND EXTENSIONS OF CREDIT</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34</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2.01</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Amount and Terms of Revolving Commitments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34</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2.02</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Procedure for Revolving Loan Borrowings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35</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2.03</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Letters of Credit</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35</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2.04</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Competitive Bid Procedure</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40</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2.05</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Reduction or Termination of Revolving Commitments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41</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2.06</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Prepayments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41</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2.07</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Documentation of Loans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42</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2.08</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Continuation and Conversion Option</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43</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2.09</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Interest</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43</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2.10</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Fees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44</w:t>
            </w:r>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2.11  Computation of Interest and Fees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44</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2.12</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Making Payments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44</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2.13</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Funding Sources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45</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2.14</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Defaulting Lenders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45</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2.15</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Currency Equivalents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47</w:t>
            </w:r>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SECTION 3 TAXES, YIELD PROTECTION AND ILLEGALITY</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47</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3.01</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Taxes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47</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3.02</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Illegality</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48</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3.03</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Alternate Rate of Interest</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49</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3.04</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Increased Cost and Reduced Return; Capital Adequacy</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52</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3.05</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Breakfunding Costs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53</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3.06</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Matters Applicable to all Requests for Compensation</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53</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3.07</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Survival</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54</w:t>
            </w:r>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SECTION 4 CONDITIONS PRECEDENT TO EXTENSIONS OF CREDIT</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54</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4.01</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Conditions Precedent to Effective Date</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54</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4.02</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Conditions to all Extensions of Credit</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55</w:t>
            </w:r>
          </w:p>
        </w:tc>
        <w:tc>
          <w:tcPr>
            <w:tcW w:w="360" w:type="dxa"/>
            <w:vAlign w:val="bottom"/>
          </w:tcPr>
          <w:p>
            <w:pPr>
              <w:spacing w:after="0"/>
              <w:rPr>
                <w:sz w:val="21"/>
                <w:szCs w:val="21"/>
                <w:color w:val="auto"/>
              </w:rPr>
            </w:pP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SECTION 5 REPRESENTATIONS AND WARRANTIES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56</w:t>
            </w:r>
          </w:p>
        </w:tc>
        <w:tc>
          <w:tcPr>
            <w:tcW w:w="36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5.01</w:t>
            </w:r>
          </w:p>
        </w:tc>
        <w:tc>
          <w:tcPr>
            <w:tcW w:w="10120" w:type="dxa"/>
            <w:vAlign w:val="bottom"/>
          </w:tcPr>
          <w:p>
            <w:pPr>
              <w:ind w:left="120"/>
              <w:spacing w:after="0" w:line="250" w:lineRule="exact"/>
              <w:rPr>
                <w:sz w:val="20"/>
                <w:szCs w:val="20"/>
                <w:color w:val="auto"/>
              </w:rPr>
            </w:pPr>
            <w:r>
              <w:rPr>
                <w:rFonts w:ascii="Arial" w:cs="Arial" w:eastAsia="Arial" w:hAnsi="Arial"/>
                <w:sz w:val="22"/>
                <w:szCs w:val="22"/>
                <w:color w:val="auto"/>
              </w:rPr>
              <w:t>Existence and Qualification; Power; Compliance with Laws</w:t>
            </w:r>
          </w:p>
        </w:tc>
        <w:tc>
          <w:tcPr>
            <w:tcW w:w="200" w:type="dxa"/>
            <w:vAlign w:val="bottom"/>
            <w:tcBorders>
              <w:bottom w:val="single" w:sz="8" w:color="auto"/>
            </w:tcBorders>
            <w:gridSpan w:val="2"/>
          </w:tcPr>
          <w:p>
            <w:pPr>
              <w:spacing w:after="0" w:line="250" w:lineRule="exact"/>
              <w:rPr>
                <w:sz w:val="20"/>
                <w:szCs w:val="20"/>
                <w:color w:val="auto"/>
              </w:rPr>
            </w:pPr>
            <w:r>
              <w:rPr>
                <w:rFonts w:ascii="Arial" w:cs="Arial" w:eastAsia="Arial" w:hAnsi="Arial"/>
                <w:sz w:val="22"/>
                <w:szCs w:val="22"/>
                <w:color w:val="auto"/>
                <w:w w:val="73"/>
              </w:rPr>
              <w:t>56</w:t>
            </w:r>
          </w:p>
        </w:tc>
        <w:tc>
          <w:tcPr>
            <w:tcW w:w="3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399" w:right="339" w:bottom="1440" w:gutter="0" w:footer="0" w:header="0"/>
        </w:sectPr>
      </w:pPr>
    </w:p>
    <w:bookmarkStart w:id="169" w:name="page170"/>
    <w:bookmarkEnd w:id="169"/>
    <w:p>
      <w:pPr>
        <w:ind w:left="360"/>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22"/>
                <w:szCs w:val="22"/>
                <w:color w:val="auto"/>
              </w:rPr>
              <w:t>5.02</w:t>
            </w:r>
          </w:p>
        </w:tc>
        <w:tc>
          <w:tcPr>
            <w:tcW w:w="10060" w:type="dxa"/>
            <w:vAlign w:val="bottom"/>
          </w:tcPr>
          <w:p>
            <w:pPr>
              <w:ind w:left="60"/>
              <w:spacing w:after="0"/>
              <w:rPr>
                <w:sz w:val="20"/>
                <w:szCs w:val="20"/>
                <w:color w:val="auto"/>
              </w:rPr>
            </w:pPr>
            <w:r>
              <w:rPr>
                <w:rFonts w:ascii="Arial" w:cs="Arial" w:eastAsia="Arial" w:hAnsi="Arial"/>
                <w:sz w:val="22"/>
                <w:szCs w:val="22"/>
                <w:color w:val="auto"/>
              </w:rPr>
              <w:t>Power; Authorization; Enforceable Obligations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3"/>
              </w:rPr>
              <w:t>56</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5.03</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No Legal Bar</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56</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5.04</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Financial Statements; No Material Adverse Effect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56</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5.05</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Litigation</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56</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5.06</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Use of Proceeds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56</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5.07</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Anti-Corruption Laws and Sanctions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56</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5.08</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ERISA.</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57</w:t>
            </w: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SECTION 6 AFFIRMATIVE COVENANTS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57</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6.01</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Financial Statements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57</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6.02</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Certificates, Notices and Other Information</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57</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6.03</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Payment of Taxes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58</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6.04</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Preservation of Existence</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58</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6.05</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Compliance With Laws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58</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6.06</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Inspection Rights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58</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6.07</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Keeping of Records and Books of Account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58</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6.08</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Designation of Unrestricted Subsidiaries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58</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6.09</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[Reserved]</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59</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6.10</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Guarantors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59</w:t>
            </w: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SECTION 7 NEGATIVE COVENANTS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59</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7.01</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Liens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59</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7.02</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Non-Guarantor Subsidiary Indebtedness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60</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7.03</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Fundamental Changes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60</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7.04</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Anti-Corruption Laws and Sanctions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61</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7.05</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Financial Covenant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61</w:t>
            </w: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SECTION 8 EVENTS OF DEFAULT AND REMEDIES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61</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8.01</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Events of Default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61</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8.02</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Remedies Upon Event of Default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62</w:t>
            </w: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SECTION 9 THE AGENTS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64</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9.01</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Appointment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64</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9.02</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Delegation of Duties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64</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9.03</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Exculpatory Provisions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64</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9.04</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Reliance by Administrative Agent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64</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9.05</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Notice of Default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65</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9.06</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Acknowledgements of Lenders and Issuing Lenders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65</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9.07</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Indemnification</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67</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9.08</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Agent in Its Individual Capacity</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67</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9.09</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Successor Administrative Agent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67</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9.10</w:t>
            </w:r>
          </w:p>
        </w:tc>
        <w:tc>
          <w:tcPr>
            <w:tcW w:w="10060" w:type="dxa"/>
            <w:vAlign w:val="bottom"/>
          </w:tcPr>
          <w:p>
            <w:pPr>
              <w:ind w:left="60"/>
              <w:spacing w:after="0" w:line="250" w:lineRule="exact"/>
              <w:rPr>
                <w:sz w:val="20"/>
                <w:szCs w:val="20"/>
                <w:color w:val="auto"/>
              </w:rPr>
            </w:pPr>
            <w:r>
              <w:rPr>
                <w:rFonts w:ascii="Arial" w:cs="Arial" w:eastAsia="Arial" w:hAnsi="Arial"/>
                <w:sz w:val="22"/>
                <w:szCs w:val="22"/>
                <w:color w:val="auto"/>
              </w:rPr>
              <w:t>Co-Documentation Agents and Syndication Agent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68</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rPr>
              <w:t>9.11</w:t>
            </w:r>
          </w:p>
        </w:tc>
        <w:tc>
          <w:tcPr>
            <w:tcW w:w="10060" w:type="dxa"/>
            <w:vAlign w:val="bottom"/>
          </w:tcPr>
          <w:p>
            <w:pPr>
              <w:ind w:left="40"/>
              <w:spacing w:after="0" w:line="250" w:lineRule="exact"/>
              <w:rPr>
                <w:sz w:val="20"/>
                <w:szCs w:val="20"/>
                <w:color w:val="auto"/>
              </w:rPr>
            </w:pPr>
            <w:r>
              <w:rPr>
                <w:rFonts w:ascii="Arial" w:cs="Arial" w:eastAsia="Arial" w:hAnsi="Arial"/>
                <w:sz w:val="22"/>
                <w:szCs w:val="22"/>
                <w:color w:val="auto"/>
              </w:rPr>
              <w:t>Certain ERISA Matters.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68</w:t>
            </w: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SECTION 10 MISCELLANEOUS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69</w:t>
            </w:r>
          </w:p>
        </w:tc>
      </w:tr>
      <w:tr>
        <w:trPr>
          <w:trHeight w:val="250"/>
        </w:trPr>
        <w:tc>
          <w:tcPr>
            <w:tcW w:w="540" w:type="dxa"/>
            <w:vAlign w:val="bottom"/>
          </w:tcPr>
          <w:p>
            <w:pPr>
              <w:spacing w:after="0" w:line="250" w:lineRule="exact"/>
              <w:rPr>
                <w:sz w:val="20"/>
                <w:szCs w:val="20"/>
                <w:color w:val="auto"/>
              </w:rPr>
            </w:pPr>
            <w:r>
              <w:rPr>
                <w:rFonts w:ascii="Arial" w:cs="Arial" w:eastAsia="Arial" w:hAnsi="Arial"/>
                <w:sz w:val="22"/>
                <w:szCs w:val="22"/>
                <w:color w:val="auto"/>
                <w:w w:val="94"/>
              </w:rPr>
              <w:t>10.01</w:t>
            </w:r>
          </w:p>
        </w:tc>
        <w:tc>
          <w:tcPr>
            <w:tcW w:w="10060" w:type="dxa"/>
            <w:vAlign w:val="bottom"/>
          </w:tcPr>
          <w:p>
            <w:pPr>
              <w:ind w:left="160"/>
              <w:spacing w:after="0" w:line="250" w:lineRule="exact"/>
              <w:rPr>
                <w:sz w:val="20"/>
                <w:szCs w:val="20"/>
                <w:color w:val="auto"/>
              </w:rPr>
            </w:pPr>
            <w:r>
              <w:rPr>
                <w:rFonts w:ascii="Arial" w:cs="Arial" w:eastAsia="Arial" w:hAnsi="Arial"/>
                <w:sz w:val="22"/>
                <w:szCs w:val="22"/>
                <w:color w:val="auto"/>
              </w:rPr>
              <w:t>Amendments; Consents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800"/>
          </w:cols>
          <w:pgMar w:left="400" w:top="118" w:right="699" w:bottom="1440" w:gutter="0" w:footer="0" w:header="0"/>
        </w:sectPr>
      </w:pPr>
    </w:p>
    <w:bookmarkStart w:id="170" w:name="page171"/>
    <w:bookmarkEnd w:id="170"/>
    <w:p>
      <w:pPr>
        <w:ind w:left="360"/>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0"/>
                <w:szCs w:val="20"/>
                <w:color w:val="auto"/>
              </w:rPr>
            </w:pPr>
            <w:r>
              <w:rPr>
                <w:rFonts w:ascii="Arial" w:cs="Arial" w:eastAsia="Arial" w:hAnsi="Arial"/>
                <w:sz w:val="22"/>
                <w:szCs w:val="22"/>
                <w:color w:val="auto"/>
              </w:rPr>
              <w:t>10.02</w:t>
            </w:r>
          </w:p>
        </w:tc>
        <w:tc>
          <w:tcPr>
            <w:tcW w:w="10000" w:type="dxa"/>
            <w:vAlign w:val="bottom"/>
          </w:tcPr>
          <w:p>
            <w:pPr>
              <w:ind w:left="100"/>
              <w:spacing w:after="0"/>
              <w:rPr>
                <w:sz w:val="20"/>
                <w:szCs w:val="20"/>
                <w:color w:val="auto"/>
              </w:rPr>
            </w:pPr>
            <w:r>
              <w:rPr>
                <w:rFonts w:ascii="Arial" w:cs="Arial" w:eastAsia="Arial" w:hAnsi="Arial"/>
                <w:sz w:val="22"/>
                <w:szCs w:val="22"/>
                <w:color w:val="auto"/>
              </w:rPr>
              <w:t>Requisite Notice; Electronic Communications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3"/>
              </w:rPr>
              <w:t>70</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10.03</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Attorney Costs and Expenses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72</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10.04</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Binding Effect; Assignment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72</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10.05</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Set-off</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74</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10.06</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Sharing of Payments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74</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10.07</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No Waiver; Cumulative Remedies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75</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10.08</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Usury</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75</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10.09</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Counterparts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75</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10.10</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Integration</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76</w:t>
            </w:r>
          </w:p>
        </w:tc>
      </w:tr>
      <w:tr>
        <w:trPr>
          <w:trHeight w:val="250"/>
        </w:trPr>
        <w:tc>
          <w:tcPr>
            <w:tcW w:w="10600" w:type="dxa"/>
            <w:vAlign w:val="bottom"/>
            <w:gridSpan w:val="2"/>
          </w:tcPr>
          <w:p>
            <w:pPr>
              <w:spacing w:after="0" w:line="250" w:lineRule="exact"/>
              <w:rPr>
                <w:sz w:val="20"/>
                <w:szCs w:val="20"/>
                <w:color w:val="auto"/>
              </w:rPr>
            </w:pPr>
            <w:r>
              <w:rPr>
                <w:rFonts w:ascii="Arial" w:cs="Arial" w:eastAsia="Arial" w:hAnsi="Arial"/>
                <w:sz w:val="22"/>
                <w:szCs w:val="22"/>
                <w:color w:val="auto"/>
              </w:rPr>
              <w:t>10.11  Nature of Lenders’ Obligations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76</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10.12</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Survival of Representations and Warranties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76</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10.13</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Indemnity by Borrower</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76</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10.14</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Nonliability of Lenders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77</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10.15</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No Third Parties Benefitted</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77</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10.16</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Severability</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78</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10.17</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Confidentiality</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78</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10.18</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Headings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78</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10.19</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Time of the Essence</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78</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10.20</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Status of Lenders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79</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10.21</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Removal and Replacement of Lenders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80</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10.22</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Governing Law; Submission to Jurisdiction; Waivers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80</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10.23</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Waiver of Right to Trial by Jury</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81</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10.24</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USA PATRIOT Act</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81</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10.25</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Judgment Currency</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81</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10.26</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Acknowledgement and Consent to Bail-In of Affected Financial Institutions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82</w:t>
            </w:r>
          </w:p>
        </w:tc>
      </w:tr>
      <w:tr>
        <w:trPr>
          <w:trHeight w:val="250"/>
        </w:trPr>
        <w:tc>
          <w:tcPr>
            <w:tcW w:w="600" w:type="dxa"/>
            <w:vAlign w:val="bottom"/>
          </w:tcPr>
          <w:p>
            <w:pPr>
              <w:spacing w:after="0" w:line="250" w:lineRule="exact"/>
              <w:rPr>
                <w:sz w:val="20"/>
                <w:szCs w:val="20"/>
                <w:color w:val="auto"/>
              </w:rPr>
            </w:pPr>
            <w:r>
              <w:rPr>
                <w:rFonts w:ascii="Arial" w:cs="Arial" w:eastAsia="Arial" w:hAnsi="Arial"/>
                <w:sz w:val="22"/>
                <w:szCs w:val="22"/>
                <w:color w:val="auto"/>
              </w:rPr>
              <w:t>10.27</w:t>
            </w:r>
          </w:p>
        </w:tc>
        <w:tc>
          <w:tcPr>
            <w:tcW w:w="10000" w:type="dxa"/>
            <w:vAlign w:val="bottom"/>
          </w:tcPr>
          <w:p>
            <w:pPr>
              <w:ind w:left="100"/>
              <w:spacing w:after="0" w:line="250" w:lineRule="exact"/>
              <w:rPr>
                <w:sz w:val="20"/>
                <w:szCs w:val="20"/>
                <w:color w:val="auto"/>
              </w:rPr>
            </w:pPr>
            <w:r>
              <w:rPr>
                <w:rFonts w:ascii="Arial" w:cs="Arial" w:eastAsia="Arial" w:hAnsi="Arial"/>
                <w:sz w:val="22"/>
                <w:szCs w:val="22"/>
                <w:color w:val="auto"/>
              </w:rPr>
              <w:t>Acknowledgement Regarding Any Supported QFCs</w:t>
            </w:r>
          </w:p>
        </w:tc>
        <w:tc>
          <w:tcPr>
            <w:tcW w:w="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73"/>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800"/>
          </w:cols>
          <w:pgMar w:left="400" w:top="118" w:right="69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color w:val="auto"/>
        </w:rPr>
        <w:t>EXHIBITS</w:t>
      </w:r>
    </w:p>
    <w:p>
      <w:pPr>
        <w:spacing w:after="0" w:line="15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Form of Guarantee Agreement</w:t>
      </w:r>
    </w:p>
    <w:p>
      <w:pPr>
        <w:ind w:right="6599" w:firstLine="8"/>
        <w:spacing w:after="0" w:line="207" w:lineRule="auto"/>
        <w:tabs>
          <w:tab w:leader="none" w:pos="33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Form of Request for Extension of Credit C Form of Compliance Certificate</w:t>
      </w:r>
    </w:p>
    <w:p>
      <w:pPr>
        <w:spacing w:after="0" w:line="1" w:lineRule="exact"/>
        <w:rPr>
          <w:rFonts w:ascii="Arial" w:cs="Arial" w:eastAsia="Arial" w:hAnsi="Arial"/>
          <w:sz w:val="19"/>
          <w:szCs w:val="19"/>
          <w:color w:val="auto"/>
        </w:rPr>
      </w:pPr>
    </w:p>
    <w:p>
      <w:pPr>
        <w:ind w:right="6819"/>
        <w:spacing w:after="0" w:line="207" w:lineRule="auto"/>
        <w:rPr>
          <w:rFonts w:ascii="Arial" w:cs="Arial" w:eastAsia="Arial" w:hAnsi="Arial"/>
          <w:sz w:val="19"/>
          <w:szCs w:val="19"/>
          <w:color w:val="auto"/>
        </w:rPr>
      </w:pPr>
      <w:r>
        <w:rPr>
          <w:rFonts w:ascii="Arial" w:cs="Arial" w:eastAsia="Arial" w:hAnsi="Arial"/>
          <w:sz w:val="19"/>
          <w:szCs w:val="19"/>
          <w:color w:val="auto"/>
        </w:rPr>
        <w:t>D Form of Assignment and Assumption E-1 Form of New Lender Supplement</w:t>
      </w:r>
    </w:p>
    <w:p>
      <w:pPr>
        <w:spacing w:after="0" w:line="1" w:lineRule="exact"/>
        <w:rPr>
          <w:rFonts w:ascii="Arial" w:cs="Arial" w:eastAsia="Arial" w:hAnsi="Arial"/>
          <w:sz w:val="19"/>
          <w:szCs w:val="19"/>
          <w:color w:val="auto"/>
        </w:rPr>
      </w:pPr>
    </w:p>
    <w:p>
      <w:pPr>
        <w:ind w:right="4759"/>
        <w:spacing w:after="0" w:line="220" w:lineRule="auto"/>
        <w:rPr>
          <w:rFonts w:ascii="Arial" w:cs="Arial" w:eastAsia="Arial" w:hAnsi="Arial"/>
          <w:sz w:val="19"/>
          <w:szCs w:val="19"/>
          <w:color w:val="auto"/>
        </w:rPr>
      </w:pPr>
      <w:r>
        <w:rPr>
          <w:rFonts w:ascii="Arial" w:cs="Arial" w:eastAsia="Arial" w:hAnsi="Arial"/>
          <w:sz w:val="20"/>
          <w:szCs w:val="20"/>
          <w:color w:val="auto"/>
        </w:rPr>
        <w:t>E-2 Form of Increased Revolving Commitment Activation Notice F Form of U.S. Tax Compliance Certificate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SCHEDULES</w:t>
      </w:r>
    </w:p>
    <w:p>
      <w:pPr>
        <w:spacing w:after="0" w:line="150"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color w:val="auto"/>
        </w:rPr>
        <w:t>Revolving Commitments</w:t>
      </w:r>
    </w:p>
    <w:p>
      <w:pPr>
        <w:spacing w:after="0" w:line="219" w:lineRule="auto"/>
        <w:tabs>
          <w:tab w:leader="none" w:pos="54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color w:val="auto"/>
        </w:rPr>
        <w:t>Letter of Credit Commitments; Issuers of Existing Letters of Credit</w:t>
      </w:r>
    </w:p>
    <w:p>
      <w:pPr>
        <w:spacing w:after="0"/>
        <w:tabs>
          <w:tab w:leader="none" w:pos="54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6"/>
          <w:szCs w:val="16"/>
          <w:color w:val="auto"/>
        </w:rPr>
        <w:t>Unrestricted Subsidiaries</w:t>
      </w:r>
    </w:p>
    <w:p>
      <w:pPr>
        <w:spacing w:after="0"/>
        <w:tabs>
          <w:tab w:leader="none" w:pos="62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6"/>
          <w:szCs w:val="16"/>
          <w:color w:val="auto"/>
        </w:rPr>
        <w:t>Addresses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139"/>
          </w:cols>
          <w:pgMar w:left="320" w:top="1405"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18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This CREDIT AGREEMENT is entered into as of March 30, 2021, by and among COMCAST CORPORATION, a Pennsylvania corporation (“Borrower”), each lender from time to time party hereto (collectively, “Lenders” and individually, a “Lender”) and JPMORGAN CHASE BANK, N.A., as Administrative Agent.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WHEREAS, Borrower has requested that the Lenders, the Issuing Lenders and Administrative Agent provide the Revolving Facility (as defined below), and the Lenders, the Issuing Lenders and Administrative Agent are willing to do so on the terms and conditions set forth herein; and</w:t>
      </w:r>
    </w:p>
    <w:p>
      <w:pPr>
        <w:spacing w:after="0" w:line="156"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NOW, THEREFORE, in consideration of the above premises, the parties hereto hereby agree as follows:</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1</w:t>
      </w:r>
    </w:p>
    <w:p>
      <w:pPr>
        <w:spacing w:after="0" w:line="123"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DEFINITIONS AND ACCOUNTING TERMS</w:t>
      </w:r>
    </w:p>
    <w:p>
      <w:pPr>
        <w:ind w:left="1300"/>
        <w:spacing w:after="0"/>
        <w:tabs>
          <w:tab w:leader="none" w:pos="19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159"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55"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18"/>
          <w:szCs w:val="18"/>
          <w:color w:val="auto"/>
        </w:rPr>
        <w:t xml:space="preserve">“Acquisition Debt” means any Indebtedness of Borrower or any of its Restricted Subsidiaries (or an Unrestricted Subsidiary, so long as, in the good faith determination of Borrower, such Unrestricted Subsidiary is expected to become a Restricted Subsidiary in connection with the consummation of the applicable Material Acquisition) that has been issued for the purpose of financing, in whole or in part, any acquisition that is a Material Acquisition in accordance with clause (ii) of the definition thereof and any related transactions or series of related transactions in respect of any acquisition that is a Material Acquisition in accordance with clause (ii) of the definition thereof (including for the purpose of refinancing or replacing all or a portion of any pre-existing Indebtedness of the Person(s) or assets to be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release of the proceeds thereof to Borrower and its Restricted Subsidiaries (or an Unrestricted Subsidiary, so long as, in the good faith determination of Borrower, such Unrestricted Subsidiary is expected to become a Restricted Subsidiary in connection with the consummation of such Material Acquisition) is contingent upon the consummation of such Material Acquisition and, pending such release, such proceeds are held in escrow (and, if the definitive agreement (or, in the case of a tender offer or similar transaction, the definitive offer document) for such Material Acquisition is terminated prior to the consummation thereof or if such Material Acquisition is otherwise not consummated by the date specified in the definitive documentation relating to such Indebtedness, such proceeds shall be promptly applied to satisfy and discharge all obligations of Borrower and its Restricted Subsidiaries (or an Unrestricted Subsidiary, so long as, in the good faith determination of Borrower, such Unrestricted Subsidiary is expected to become a Restricted Subsidiary in connection with the consummation of such Material Acquisition) in respect of such Indebtedness) or (b) such Indebtedness contains a “special mandatory redemption” provision (or other similar provision) or otherwise permits such Indebtedness to be redeemed or prepaid if such Material Acquisition is not consummated by the date specified in the definitive documentation relating to such Indebtedness (and if the definitive agreement (or, in the case of a tender offer or similar transaction, the definitive offer document) for such Material Acquisition is terminated in accordance with its terms prior to the consummation of such Material Acquisition or such Material Acquisition is otherwise not consummated by the date specified in the definitive documentation relating to such Indebtedness, such Indebtedness is so redeemed or prepaid within 90 days of such termination or such specified date, as the case may be).</w:t>
      </w:r>
    </w:p>
    <w:p>
      <w:pPr>
        <w:spacing w:after="0" w:line="164"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u w:val="single" w:color="auto"/>
          <w:color w:val="0000FF"/>
        </w:rPr>
        <w:t xml:space="preserve">“Adjusted Daily Simple SONIA Rate” means, with respect to any Floating Rate Borrowing denominated in Sterling, an interest rate per annum equal to (a) Daily Simple SONIA, </w:t>
      </w:r>
      <w:r>
        <w:rPr>
          <w:rFonts w:ascii="Arial" w:cs="Arial" w:eastAsia="Arial" w:hAnsi="Arial"/>
          <w:sz w:val="20"/>
          <w:szCs w:val="20"/>
          <w:i w:val="1"/>
          <w:iCs w:val="1"/>
          <w:u w:val="single" w:color="auto"/>
          <w:color w:val="0000FF"/>
        </w:rPr>
        <w:t>plus</w:t>
      </w:r>
      <w:r>
        <w:rPr>
          <w:rFonts w:ascii="Arial" w:cs="Arial" w:eastAsia="Arial" w:hAnsi="Arial"/>
          <w:sz w:val="20"/>
          <w:szCs w:val="20"/>
          <w:u w:val="single" w:color="auto"/>
          <w:color w:val="0000FF"/>
        </w:rPr>
        <w:t xml:space="preserv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99" w:right="339" w:bottom="1440" w:gutter="0" w:footer="0" w:header="0"/>
        </w:sectPr>
      </w:pPr>
    </w:p>
    <w:bookmarkStart w:id="173" w:name="page174"/>
    <w:bookmarkEnd w:id="173"/>
    <w:p>
      <w:pPr>
        <w:jc w:val="both"/>
        <w:spacing w:after="0" w:line="229" w:lineRule="auto"/>
        <w:rPr>
          <w:sz w:val="20"/>
          <w:szCs w:val="20"/>
          <w:color w:val="auto"/>
        </w:rPr>
      </w:pPr>
      <w:r>
        <w:rPr>
          <w:rFonts w:ascii="Arial" w:cs="Arial" w:eastAsia="Arial" w:hAnsi="Arial"/>
          <w:sz w:val="20"/>
          <w:szCs w:val="20"/>
          <w:u w:val="single" w:color="auto"/>
          <w:color w:val="0000FF"/>
        </w:rPr>
        <w:t xml:space="preserve">0.0326%; </w:t>
      </w:r>
      <w:r>
        <w:rPr>
          <w:rFonts w:ascii="Arial" w:cs="Arial" w:eastAsia="Arial" w:hAnsi="Arial"/>
          <w:sz w:val="20"/>
          <w:szCs w:val="20"/>
          <w:i w:val="1"/>
          <w:iCs w:val="1"/>
          <w:u w:val="single" w:color="auto"/>
          <w:color w:val="0000FF"/>
        </w:rPr>
        <w:t>provided that</w:t>
      </w:r>
      <w:r>
        <w:rPr>
          <w:rFonts w:ascii="Arial" w:cs="Arial" w:eastAsia="Arial" w:hAnsi="Arial"/>
          <w:sz w:val="20"/>
          <w:szCs w:val="20"/>
          <w:u w:val="single" w:color="auto"/>
          <w:color w:val="0000FF"/>
        </w:rPr>
        <w:t xml:space="preserve"> if the Adjusted Daily Simple SONIA Rate as so determined would be less than zero, such rate shall be deemed to be equal to zero for the purposes of this Agreement.</w:t>
      </w:r>
    </w:p>
    <w:p>
      <w:pPr>
        <w:spacing w:after="0" w:line="15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“Adjusted EURIBOR Rate” means, with respect to any Floating Rate Borrowing denominated in Euros for any Interest Period, an interest rate per annum equal to (a) the EURIBOR Rate for such Interest Period multiplied by (b) the Statutory Reserve Rate.</w:t>
      </w:r>
    </w:p>
    <w:p>
      <w:pPr>
        <w:spacing w:after="0" w:line="130"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 xml:space="preserve">“Adjusted LIBO Rate” means, with respect to any Floating Rate Borrowing denominated in Dollars </w:t>
      </w:r>
      <w:r>
        <w:rPr>
          <w:rFonts w:ascii="Arial" w:cs="Arial" w:eastAsia="Arial" w:hAnsi="Arial"/>
          <w:sz w:val="20"/>
          <w:szCs w:val="20"/>
          <w:color w:val="FF0000"/>
          <w:strike w:val="1"/>
        </w:rPr>
        <w:t>or Sterling</w:t>
      </w:r>
      <w:r>
        <w:rPr>
          <w:rFonts w:ascii="Arial" w:cs="Arial" w:eastAsia="Arial" w:hAnsi="Arial"/>
          <w:sz w:val="20"/>
          <w:szCs w:val="20"/>
          <w:color w:val="auto"/>
        </w:rPr>
        <w:t xml:space="preserve"> for any Interest Period, an interest rate per annum (rounded upwards, if necessary, to the next 1/16 of 1%) equal to (a) the LIBO Rate for such Interest Period multiplied by (b) the Statutory Reserve Rate.</w:t>
      </w:r>
    </w:p>
    <w:p>
      <w:pPr>
        <w:spacing w:after="0" w:line="156" w:lineRule="exact"/>
        <w:rPr>
          <w:sz w:val="20"/>
          <w:szCs w:val="20"/>
          <w:color w:val="auto"/>
        </w:rPr>
      </w:pPr>
    </w:p>
    <w:p>
      <w:pPr>
        <w:jc w:val="both"/>
        <w:ind w:right="20" w:firstLine="1296"/>
        <w:spacing w:after="0" w:line="242" w:lineRule="auto"/>
        <w:rPr>
          <w:sz w:val="20"/>
          <w:szCs w:val="20"/>
          <w:color w:val="auto"/>
        </w:rPr>
      </w:pPr>
      <w:r>
        <w:rPr>
          <w:rFonts w:ascii="Arial" w:cs="Arial" w:eastAsia="Arial" w:hAnsi="Arial"/>
          <w:sz w:val="19"/>
          <w:szCs w:val="19"/>
          <w:color w:val="auto"/>
        </w:rPr>
        <w:t>“Adjusted TIBOR Rate” means, with respect to any Floating Rate Borrowing denominated in Yen for any Interest Period, an interest rate per annum equal to (a) the TIBOR Rate for such Interest Period multiplied by (b) the Statutory Reserve Rate.</w:t>
      </w:r>
    </w:p>
    <w:p>
      <w:pPr>
        <w:spacing w:after="0" w:line="153"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 xml:space="preserve">“Administrative Agent” means JPMorgan Chase Bank, N.A., in its capacity as administrative agent under any of the Loan Documents, or any successor administrative agent permitted under the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Borrowings, Continuations or Conversions denominated in Canadian Dollars, Euros, Sterling or Yen, Administrative Agent shall be J.P. Morgan Europe Limited.</w:t>
      </w:r>
    </w:p>
    <w:p>
      <w:pPr>
        <w:spacing w:after="0" w:line="156"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“Administrative Agent’s Office” means Administrative Agent’s address and, as appropriate, account as Administrative Agent has designated by written notice to Borrower and Lenders.</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5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“Affected Financial Institution” means (a) any EEA Financial Institution or (b) any UK Financial Institution.</w:t>
      </w:r>
    </w:p>
    <w:p>
      <w:pPr>
        <w:spacing w:after="0" w:line="17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“Affiliate” means, as to any Person, any other Person that, directly or indirectly, is in Control of, is Controlled by, or is under direct or indirect common Control with, such Person.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“Agents” means the collective reference to Administrative Agent, Syndication Agent and Co-Documentation Agents.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“Agent Parties” has the meaning set forth in Section 10.02(e)(ii).</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“Aggregate Exposure Percentage” means, with respect to any Lender at any time, the ratio (expressed as a percentage) of such Lender’s Aggregate Exposure at such time to the Aggregate Exposure of all Lenders at such time.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“Agreed Currencies” means Dollars and each Alternative Currency.</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“Agreement” means this Credit Agreement, as amended, restated, extended, supplemented or otherwise modified in writing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5" w:right="339" w:bottom="1440" w:gutter="0" w:footer="0" w:header="0"/>
        </w:sectPr>
      </w:pPr>
    </w:p>
    <w:bookmarkStart w:id="174" w:name="page175"/>
    <w:bookmarkEnd w:id="174"/>
    <w:p>
      <w:pPr>
        <w:ind w:left="1300"/>
        <w:spacing w:after="0"/>
        <w:rPr>
          <w:sz w:val="20"/>
          <w:szCs w:val="20"/>
          <w:color w:val="auto"/>
        </w:rPr>
      </w:pPr>
      <w:r>
        <w:rPr>
          <w:rFonts w:ascii="Arial" w:cs="Arial" w:eastAsia="Arial" w:hAnsi="Arial"/>
          <w:sz w:val="20"/>
          <w:szCs w:val="20"/>
          <w:color w:val="auto"/>
        </w:rPr>
        <w:t>“Agreement Currency” has the meaning set forth in Section 10.25(b).</w:t>
      </w:r>
    </w:p>
    <w:p>
      <w:pPr>
        <w:spacing w:after="0" w:line="17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“Alternative Currency” means (x) with respect to any Letter of Credit, (a) Euros, (b) Yen, (c) Sterling, (d) Canadian Dollars and (e) any currency other than Dollars, Euros, Yen, Sterling, or Canadian Dollars in which an Issuing Lender is willing to issue a Letter of Credit and (y) with respect to any Loan, (a) Euros, (b) Yen, (c) Sterling, (d) Canadian Dollars and (e) any currency other than Dollars, Euros, Yen, Sterling, or Canadian Dollars in which each Lender has agreed to make Loans.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“Ancillary Documents” has the meaning set forth in Section 10.09(b).</w:t>
      </w:r>
    </w:p>
    <w:p>
      <w:pPr>
        <w:spacing w:after="0" w:line="17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“Annualized EBITDA” means, at any date of determination, EBITDA for the two (2) fiscal quarter periods then most recently ended times two (2).</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“Anti-Corruption Laws” means all laws, rules, and regulations of any jurisdiction applicable to Borrower or any of its Subsidiaries from time to time concerning or relating to bribery or corruption.</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“Applicable Amount” means the rate per annum, in basis points, set forth under the relevant column heading below based upon the applicable Debt Ratings: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240" w:type="dxa"/>
            <w:vAlign w:val="bottom"/>
            <w:vMerge w:val="restart"/>
          </w:tcPr>
          <w:p>
            <w:pPr>
              <w:spacing w:after="0"/>
              <w:rPr>
                <w:sz w:val="20"/>
                <w:szCs w:val="20"/>
                <w:color w:val="auto"/>
              </w:rPr>
            </w:pPr>
            <w:r>
              <w:rPr>
                <w:rFonts w:ascii="Arial" w:cs="Arial" w:eastAsia="Arial" w:hAnsi="Arial"/>
                <w:sz w:val="20"/>
                <w:szCs w:val="20"/>
                <w:b w:val="1"/>
                <w:bCs w:val="1"/>
                <w:color w:val="auto"/>
                <w:w w:val="97"/>
              </w:rPr>
              <w:t>Pricing Level</w:t>
            </w:r>
          </w:p>
        </w:tc>
        <w:tc>
          <w:tcPr>
            <w:tcW w:w="2460" w:type="dxa"/>
            <w:vAlign w:val="bottom"/>
          </w:tcPr>
          <w:p>
            <w:pPr>
              <w:ind w:left="120"/>
              <w:spacing w:after="0"/>
              <w:rPr>
                <w:sz w:val="20"/>
                <w:szCs w:val="20"/>
                <w:color w:val="auto"/>
              </w:rPr>
            </w:pPr>
            <w:r>
              <w:rPr>
                <w:rFonts w:ascii="Arial" w:cs="Arial" w:eastAsia="Arial" w:hAnsi="Arial"/>
                <w:sz w:val="20"/>
                <w:szCs w:val="20"/>
                <w:b w:val="1"/>
                <w:bCs w:val="1"/>
                <w:color w:val="auto"/>
              </w:rPr>
              <w:t>Debt Ratings</w:t>
            </w:r>
          </w:p>
        </w:tc>
        <w:tc>
          <w:tcPr>
            <w:tcW w:w="3160" w:type="dxa"/>
            <w:vAlign w:val="bottom"/>
          </w:tcPr>
          <w:p>
            <w:pPr>
              <w:ind w:left="1160"/>
              <w:spacing w:after="0"/>
              <w:rPr>
                <w:sz w:val="20"/>
                <w:szCs w:val="20"/>
                <w:color w:val="auto"/>
              </w:rPr>
            </w:pPr>
            <w:r>
              <w:rPr>
                <w:rFonts w:ascii="Arial" w:cs="Arial" w:eastAsia="Arial" w:hAnsi="Arial"/>
                <w:sz w:val="20"/>
                <w:szCs w:val="20"/>
                <w:b w:val="1"/>
                <w:bCs w:val="1"/>
                <w:color w:val="auto"/>
              </w:rPr>
              <w:t>Commitment</w:t>
            </w:r>
          </w:p>
        </w:tc>
        <w:tc>
          <w:tcPr>
            <w:tcW w:w="1980" w:type="dxa"/>
            <w:vAlign w:val="bottom"/>
            <w:vMerge w:val="restart"/>
          </w:tcPr>
          <w:p>
            <w:pPr>
              <w:ind w:left="900"/>
              <w:spacing w:after="0"/>
              <w:rPr>
                <w:sz w:val="20"/>
                <w:szCs w:val="20"/>
                <w:color w:val="auto"/>
              </w:rPr>
            </w:pPr>
            <w:r>
              <w:rPr>
                <w:rFonts w:ascii="Arial" w:cs="Arial" w:eastAsia="Arial" w:hAnsi="Arial"/>
                <w:sz w:val="20"/>
                <w:szCs w:val="20"/>
                <w:b w:val="1"/>
                <w:bCs w:val="1"/>
                <w:color w:val="auto"/>
              </w:rPr>
              <w:t>Base Rate</w:t>
            </w:r>
          </w:p>
        </w:tc>
        <w:tc>
          <w:tcPr>
            <w:tcW w:w="2160" w:type="dxa"/>
            <w:vAlign w:val="bottom"/>
          </w:tcPr>
          <w:p>
            <w:pPr>
              <w:ind w:left="260"/>
              <w:spacing w:after="0"/>
              <w:rPr>
                <w:sz w:val="20"/>
                <w:szCs w:val="20"/>
                <w:color w:val="auto"/>
              </w:rPr>
            </w:pPr>
            <w:r>
              <w:rPr>
                <w:rFonts w:ascii="Arial" w:cs="Arial" w:eastAsia="Arial" w:hAnsi="Arial"/>
                <w:sz w:val="20"/>
                <w:szCs w:val="20"/>
                <w:b w:val="1"/>
                <w:bCs w:val="1"/>
                <w:color w:val="auto"/>
                <w:w w:val="89"/>
              </w:rPr>
              <w:t>Floating Rate / Letters</w:t>
            </w:r>
          </w:p>
        </w:tc>
        <w:tc>
          <w:tcPr>
            <w:tcW w:w="0" w:type="dxa"/>
            <w:vAlign w:val="bottom"/>
          </w:tcPr>
          <w:p>
            <w:pPr>
              <w:spacing w:after="0"/>
              <w:rPr>
                <w:sz w:val="1"/>
                <w:szCs w:val="1"/>
                <w:color w:val="auto"/>
              </w:rPr>
            </w:pPr>
          </w:p>
        </w:tc>
      </w:tr>
      <w:tr>
        <w:trPr>
          <w:trHeight w:val="256"/>
        </w:trPr>
        <w:tc>
          <w:tcPr>
            <w:tcW w:w="1240" w:type="dxa"/>
            <w:vAlign w:val="bottom"/>
            <w:vMerge w:val="continue"/>
          </w:tcPr>
          <w:p>
            <w:pPr>
              <w:spacing w:after="0"/>
              <w:rPr>
                <w:sz w:val="22"/>
                <w:szCs w:val="22"/>
                <w:color w:val="auto"/>
              </w:rPr>
            </w:pPr>
          </w:p>
        </w:tc>
        <w:tc>
          <w:tcPr>
            <w:tcW w:w="2460" w:type="dxa"/>
            <w:vAlign w:val="bottom"/>
          </w:tcPr>
          <w:p>
            <w:pPr>
              <w:ind w:left="120"/>
              <w:spacing w:after="0"/>
              <w:rPr>
                <w:sz w:val="20"/>
                <w:szCs w:val="20"/>
                <w:color w:val="auto"/>
              </w:rPr>
            </w:pPr>
            <w:r>
              <w:rPr>
                <w:rFonts w:ascii="Arial" w:cs="Arial" w:eastAsia="Arial" w:hAnsi="Arial"/>
                <w:sz w:val="20"/>
                <w:szCs w:val="20"/>
                <w:b w:val="1"/>
                <w:bCs w:val="1"/>
                <w:color w:val="auto"/>
              </w:rPr>
              <w:t>S&amp;P/Moody’s</w:t>
            </w:r>
          </w:p>
        </w:tc>
        <w:tc>
          <w:tcPr>
            <w:tcW w:w="3160" w:type="dxa"/>
            <w:vAlign w:val="bottom"/>
          </w:tcPr>
          <w:p>
            <w:pPr>
              <w:ind w:left="1160"/>
              <w:spacing w:after="0"/>
              <w:rPr>
                <w:sz w:val="20"/>
                <w:szCs w:val="20"/>
                <w:color w:val="auto"/>
              </w:rPr>
            </w:pPr>
            <w:r>
              <w:rPr>
                <w:rFonts w:ascii="Arial" w:cs="Arial" w:eastAsia="Arial" w:hAnsi="Arial"/>
                <w:sz w:val="20"/>
                <w:szCs w:val="20"/>
                <w:b w:val="1"/>
                <w:bCs w:val="1"/>
                <w:color w:val="auto"/>
              </w:rPr>
              <w:t>Fee</w:t>
            </w:r>
          </w:p>
        </w:tc>
        <w:tc>
          <w:tcPr>
            <w:tcW w:w="1980" w:type="dxa"/>
            <w:vAlign w:val="bottom"/>
            <w:vMerge w:val="continue"/>
          </w:tcPr>
          <w:p>
            <w:pPr>
              <w:spacing w:after="0"/>
              <w:rPr>
                <w:sz w:val="22"/>
                <w:szCs w:val="22"/>
                <w:color w:val="auto"/>
              </w:rPr>
            </w:pPr>
          </w:p>
        </w:tc>
        <w:tc>
          <w:tcPr>
            <w:tcW w:w="2160" w:type="dxa"/>
            <w:vAlign w:val="bottom"/>
          </w:tcPr>
          <w:p>
            <w:pPr>
              <w:ind w:left="260"/>
              <w:spacing w:after="0"/>
              <w:rPr>
                <w:sz w:val="20"/>
                <w:szCs w:val="20"/>
                <w:color w:val="auto"/>
              </w:rPr>
            </w:pPr>
            <w:r>
              <w:rPr>
                <w:rFonts w:ascii="Arial" w:cs="Arial" w:eastAsia="Arial" w:hAnsi="Arial"/>
                <w:sz w:val="20"/>
                <w:szCs w:val="20"/>
                <w:b w:val="1"/>
                <w:bCs w:val="1"/>
                <w:color w:val="auto"/>
              </w:rPr>
              <w:t>of Credit</w:t>
            </w:r>
          </w:p>
        </w:tc>
        <w:tc>
          <w:tcPr>
            <w:tcW w:w="0" w:type="dxa"/>
            <w:vAlign w:val="bottom"/>
          </w:tcPr>
          <w:p>
            <w:pPr>
              <w:spacing w:after="0"/>
              <w:rPr>
                <w:sz w:val="1"/>
                <w:szCs w:val="1"/>
                <w:color w:val="auto"/>
              </w:rPr>
            </w:pPr>
          </w:p>
        </w:tc>
      </w:tr>
      <w:tr>
        <w:trPr>
          <w:trHeight w:val="442"/>
        </w:trPr>
        <w:tc>
          <w:tcPr>
            <w:tcW w:w="1240" w:type="dxa"/>
            <w:vAlign w:val="bottom"/>
          </w:tcPr>
          <w:p>
            <w:pPr>
              <w:spacing w:after="0"/>
              <w:rPr>
                <w:sz w:val="20"/>
                <w:szCs w:val="20"/>
                <w:color w:val="auto"/>
              </w:rPr>
            </w:pPr>
            <w:r>
              <w:rPr>
                <w:rFonts w:ascii="Arial" w:cs="Arial" w:eastAsia="Arial" w:hAnsi="Arial"/>
                <w:sz w:val="20"/>
                <w:szCs w:val="20"/>
                <w:color w:val="auto"/>
              </w:rPr>
              <w:t>1</w:t>
            </w:r>
          </w:p>
        </w:tc>
        <w:tc>
          <w:tcPr>
            <w:tcW w:w="2460" w:type="dxa"/>
            <w:vAlign w:val="bottom"/>
          </w:tcPr>
          <w:p>
            <w:pPr>
              <w:ind w:left="120"/>
              <w:spacing w:after="0"/>
              <w:rPr>
                <w:sz w:val="20"/>
                <w:szCs w:val="20"/>
                <w:color w:val="auto"/>
              </w:rPr>
            </w:pPr>
            <w:r>
              <w:rPr>
                <w:rFonts w:ascii="Arial" w:cs="Arial" w:eastAsia="Arial" w:hAnsi="Arial"/>
                <w:sz w:val="20"/>
                <w:szCs w:val="20"/>
                <w:color w:val="auto"/>
              </w:rPr>
              <w:t>≥A+/A1</w:t>
            </w:r>
          </w:p>
        </w:tc>
        <w:tc>
          <w:tcPr>
            <w:tcW w:w="3160" w:type="dxa"/>
            <w:vAlign w:val="bottom"/>
          </w:tcPr>
          <w:p>
            <w:pPr>
              <w:ind w:left="1160"/>
              <w:spacing w:after="0"/>
              <w:rPr>
                <w:sz w:val="20"/>
                <w:szCs w:val="20"/>
                <w:color w:val="auto"/>
              </w:rPr>
            </w:pPr>
            <w:r>
              <w:rPr>
                <w:rFonts w:ascii="Arial" w:cs="Arial" w:eastAsia="Arial" w:hAnsi="Arial"/>
                <w:sz w:val="20"/>
                <w:szCs w:val="20"/>
                <w:color w:val="auto"/>
              </w:rPr>
              <w:t>5.0</w:t>
            </w:r>
          </w:p>
        </w:tc>
        <w:tc>
          <w:tcPr>
            <w:tcW w:w="1980" w:type="dxa"/>
            <w:vAlign w:val="bottom"/>
          </w:tcPr>
          <w:p>
            <w:pPr>
              <w:ind w:left="900"/>
              <w:spacing w:after="0"/>
              <w:rPr>
                <w:sz w:val="20"/>
                <w:szCs w:val="20"/>
                <w:color w:val="auto"/>
              </w:rPr>
            </w:pPr>
            <w:r>
              <w:rPr>
                <w:rFonts w:ascii="Arial" w:cs="Arial" w:eastAsia="Arial" w:hAnsi="Arial"/>
                <w:sz w:val="20"/>
                <w:szCs w:val="20"/>
                <w:color w:val="auto"/>
              </w:rPr>
              <w:t>0.0</w:t>
            </w:r>
          </w:p>
        </w:tc>
        <w:tc>
          <w:tcPr>
            <w:tcW w:w="2160" w:type="dxa"/>
            <w:vAlign w:val="bottom"/>
          </w:tcPr>
          <w:p>
            <w:pPr>
              <w:ind w:left="260"/>
              <w:spacing w:after="0"/>
              <w:rPr>
                <w:sz w:val="20"/>
                <w:szCs w:val="20"/>
                <w:color w:val="auto"/>
              </w:rPr>
            </w:pPr>
            <w:r>
              <w:rPr>
                <w:rFonts w:ascii="Arial" w:cs="Arial" w:eastAsia="Arial" w:hAnsi="Arial"/>
                <w:sz w:val="20"/>
                <w:szCs w:val="20"/>
                <w:color w:val="auto"/>
              </w:rPr>
              <w:t>62.5</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0"/>
                <w:szCs w:val="20"/>
                <w:color w:val="auto"/>
              </w:rPr>
              <w:t>2</w:t>
            </w:r>
          </w:p>
        </w:tc>
        <w:tc>
          <w:tcPr>
            <w:tcW w:w="2460" w:type="dxa"/>
            <w:vAlign w:val="bottom"/>
          </w:tcPr>
          <w:p>
            <w:pPr>
              <w:ind w:left="120"/>
              <w:spacing w:after="0"/>
              <w:rPr>
                <w:sz w:val="20"/>
                <w:szCs w:val="20"/>
                <w:color w:val="auto"/>
              </w:rPr>
            </w:pPr>
            <w:r>
              <w:rPr>
                <w:rFonts w:ascii="Arial" w:cs="Arial" w:eastAsia="Arial" w:hAnsi="Arial"/>
                <w:sz w:val="20"/>
                <w:szCs w:val="20"/>
                <w:color w:val="auto"/>
              </w:rPr>
              <w:t>A/A2</w:t>
            </w:r>
          </w:p>
        </w:tc>
        <w:tc>
          <w:tcPr>
            <w:tcW w:w="3160" w:type="dxa"/>
            <w:vAlign w:val="bottom"/>
          </w:tcPr>
          <w:p>
            <w:pPr>
              <w:ind w:left="1160"/>
              <w:spacing w:after="0"/>
              <w:rPr>
                <w:sz w:val="20"/>
                <w:szCs w:val="20"/>
                <w:color w:val="auto"/>
              </w:rPr>
            </w:pPr>
            <w:r>
              <w:rPr>
                <w:rFonts w:ascii="Arial" w:cs="Arial" w:eastAsia="Arial" w:hAnsi="Arial"/>
                <w:sz w:val="20"/>
                <w:szCs w:val="20"/>
                <w:color w:val="auto"/>
              </w:rPr>
              <w:t>7.0</w:t>
            </w:r>
          </w:p>
        </w:tc>
        <w:tc>
          <w:tcPr>
            <w:tcW w:w="1980" w:type="dxa"/>
            <w:vAlign w:val="bottom"/>
          </w:tcPr>
          <w:p>
            <w:pPr>
              <w:ind w:left="900"/>
              <w:spacing w:after="0"/>
              <w:rPr>
                <w:sz w:val="20"/>
                <w:szCs w:val="20"/>
                <w:color w:val="auto"/>
              </w:rPr>
            </w:pPr>
            <w:r>
              <w:rPr>
                <w:rFonts w:ascii="Arial" w:cs="Arial" w:eastAsia="Arial" w:hAnsi="Arial"/>
                <w:sz w:val="20"/>
                <w:szCs w:val="20"/>
                <w:color w:val="auto"/>
              </w:rPr>
              <w:t>0.0</w:t>
            </w:r>
          </w:p>
        </w:tc>
        <w:tc>
          <w:tcPr>
            <w:tcW w:w="2160" w:type="dxa"/>
            <w:vAlign w:val="bottom"/>
          </w:tcPr>
          <w:p>
            <w:pPr>
              <w:ind w:left="260"/>
              <w:spacing w:after="0"/>
              <w:rPr>
                <w:sz w:val="20"/>
                <w:szCs w:val="20"/>
                <w:color w:val="auto"/>
              </w:rPr>
            </w:pPr>
            <w:r>
              <w:rPr>
                <w:rFonts w:ascii="Arial" w:cs="Arial" w:eastAsia="Arial" w:hAnsi="Arial"/>
                <w:sz w:val="20"/>
                <w:szCs w:val="20"/>
                <w:color w:val="auto"/>
              </w:rPr>
              <w:t>75.0</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0"/>
                <w:szCs w:val="20"/>
                <w:color w:val="auto"/>
              </w:rPr>
              <w:t>3</w:t>
            </w:r>
          </w:p>
        </w:tc>
        <w:tc>
          <w:tcPr>
            <w:tcW w:w="2460" w:type="dxa"/>
            <w:vAlign w:val="bottom"/>
          </w:tcPr>
          <w:p>
            <w:pPr>
              <w:ind w:left="120"/>
              <w:spacing w:after="0"/>
              <w:rPr>
                <w:sz w:val="20"/>
                <w:szCs w:val="20"/>
                <w:color w:val="auto"/>
              </w:rPr>
            </w:pPr>
            <w:r>
              <w:rPr>
                <w:rFonts w:ascii="Arial" w:cs="Arial" w:eastAsia="Arial" w:hAnsi="Arial"/>
                <w:sz w:val="20"/>
                <w:szCs w:val="20"/>
                <w:color w:val="auto"/>
              </w:rPr>
              <w:t>A-/A3</w:t>
            </w:r>
          </w:p>
        </w:tc>
        <w:tc>
          <w:tcPr>
            <w:tcW w:w="3160" w:type="dxa"/>
            <w:vAlign w:val="bottom"/>
          </w:tcPr>
          <w:p>
            <w:pPr>
              <w:ind w:left="1160"/>
              <w:spacing w:after="0"/>
              <w:rPr>
                <w:sz w:val="20"/>
                <w:szCs w:val="20"/>
                <w:color w:val="auto"/>
              </w:rPr>
            </w:pPr>
            <w:r>
              <w:rPr>
                <w:rFonts w:ascii="Arial" w:cs="Arial" w:eastAsia="Arial" w:hAnsi="Arial"/>
                <w:sz w:val="20"/>
                <w:szCs w:val="20"/>
                <w:color w:val="auto"/>
              </w:rPr>
              <w:t>8.0</w:t>
            </w:r>
          </w:p>
        </w:tc>
        <w:tc>
          <w:tcPr>
            <w:tcW w:w="1980" w:type="dxa"/>
            <w:vAlign w:val="bottom"/>
          </w:tcPr>
          <w:p>
            <w:pPr>
              <w:ind w:left="900"/>
              <w:spacing w:after="0"/>
              <w:rPr>
                <w:sz w:val="20"/>
                <w:szCs w:val="20"/>
                <w:color w:val="auto"/>
              </w:rPr>
            </w:pPr>
            <w:r>
              <w:rPr>
                <w:rFonts w:ascii="Arial" w:cs="Arial" w:eastAsia="Arial" w:hAnsi="Arial"/>
                <w:sz w:val="20"/>
                <w:szCs w:val="20"/>
                <w:color w:val="auto"/>
              </w:rPr>
              <w:t>0.0</w:t>
            </w:r>
          </w:p>
        </w:tc>
        <w:tc>
          <w:tcPr>
            <w:tcW w:w="2160" w:type="dxa"/>
            <w:vAlign w:val="bottom"/>
          </w:tcPr>
          <w:p>
            <w:pPr>
              <w:ind w:left="260"/>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0"/>
                <w:szCs w:val="20"/>
                <w:color w:val="auto"/>
              </w:rPr>
              <w:t>4</w:t>
            </w:r>
          </w:p>
        </w:tc>
        <w:tc>
          <w:tcPr>
            <w:tcW w:w="2460" w:type="dxa"/>
            <w:vAlign w:val="bottom"/>
          </w:tcPr>
          <w:p>
            <w:pPr>
              <w:ind w:left="120"/>
              <w:spacing w:after="0"/>
              <w:rPr>
                <w:sz w:val="20"/>
                <w:szCs w:val="20"/>
                <w:color w:val="auto"/>
              </w:rPr>
            </w:pPr>
            <w:r>
              <w:rPr>
                <w:rFonts w:ascii="Arial" w:cs="Arial" w:eastAsia="Arial" w:hAnsi="Arial"/>
                <w:sz w:val="20"/>
                <w:szCs w:val="20"/>
                <w:color w:val="auto"/>
              </w:rPr>
              <w:t>BBB+/Baa1</w:t>
            </w:r>
          </w:p>
        </w:tc>
        <w:tc>
          <w:tcPr>
            <w:tcW w:w="3160" w:type="dxa"/>
            <w:vAlign w:val="bottom"/>
          </w:tcPr>
          <w:p>
            <w:pPr>
              <w:ind w:left="1160"/>
              <w:spacing w:after="0"/>
              <w:rPr>
                <w:sz w:val="20"/>
                <w:szCs w:val="20"/>
                <w:color w:val="auto"/>
              </w:rPr>
            </w:pPr>
            <w:r>
              <w:rPr>
                <w:rFonts w:ascii="Arial" w:cs="Arial" w:eastAsia="Arial" w:hAnsi="Arial"/>
                <w:sz w:val="20"/>
                <w:szCs w:val="20"/>
                <w:color w:val="auto"/>
              </w:rPr>
              <w:t>10.0</w:t>
            </w:r>
          </w:p>
        </w:tc>
        <w:tc>
          <w:tcPr>
            <w:tcW w:w="1980" w:type="dxa"/>
            <w:vAlign w:val="bottom"/>
          </w:tcPr>
          <w:p>
            <w:pPr>
              <w:ind w:left="900"/>
              <w:spacing w:after="0"/>
              <w:rPr>
                <w:sz w:val="20"/>
                <w:szCs w:val="20"/>
                <w:color w:val="auto"/>
              </w:rPr>
            </w:pPr>
            <w:r>
              <w:rPr>
                <w:rFonts w:ascii="Arial" w:cs="Arial" w:eastAsia="Arial" w:hAnsi="Arial"/>
                <w:sz w:val="20"/>
                <w:szCs w:val="20"/>
                <w:color w:val="auto"/>
              </w:rPr>
              <w:t>12.5</w:t>
            </w:r>
          </w:p>
        </w:tc>
        <w:tc>
          <w:tcPr>
            <w:tcW w:w="2160" w:type="dxa"/>
            <w:vAlign w:val="bottom"/>
          </w:tcPr>
          <w:p>
            <w:pPr>
              <w:ind w:left="260"/>
              <w:spacing w:after="0"/>
              <w:rPr>
                <w:sz w:val="20"/>
                <w:szCs w:val="20"/>
                <w:color w:val="auto"/>
              </w:rPr>
            </w:pPr>
            <w:r>
              <w:rPr>
                <w:rFonts w:ascii="Arial" w:cs="Arial" w:eastAsia="Arial" w:hAnsi="Arial"/>
                <w:sz w:val="20"/>
                <w:szCs w:val="20"/>
                <w:color w:val="auto"/>
              </w:rPr>
              <w:t>112.5</w:t>
            </w: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20"/>
                <w:szCs w:val="20"/>
                <w:color w:val="auto"/>
              </w:rPr>
              <w:t>5</w:t>
            </w:r>
          </w:p>
        </w:tc>
        <w:tc>
          <w:tcPr>
            <w:tcW w:w="2460" w:type="dxa"/>
            <w:vAlign w:val="bottom"/>
          </w:tcPr>
          <w:p>
            <w:pPr>
              <w:ind w:left="120"/>
              <w:spacing w:after="0"/>
              <w:rPr>
                <w:sz w:val="20"/>
                <w:szCs w:val="20"/>
                <w:color w:val="auto"/>
              </w:rPr>
            </w:pPr>
            <w:r>
              <w:rPr>
                <w:rFonts w:ascii="Arial" w:cs="Arial" w:eastAsia="Arial" w:hAnsi="Arial"/>
                <w:sz w:val="20"/>
                <w:szCs w:val="20"/>
                <w:color w:val="auto"/>
              </w:rPr>
              <w:t>≤BBB/Baa2</w:t>
            </w:r>
          </w:p>
        </w:tc>
        <w:tc>
          <w:tcPr>
            <w:tcW w:w="3160" w:type="dxa"/>
            <w:vAlign w:val="bottom"/>
          </w:tcPr>
          <w:p>
            <w:pPr>
              <w:ind w:left="1160"/>
              <w:spacing w:after="0"/>
              <w:rPr>
                <w:sz w:val="20"/>
                <w:szCs w:val="20"/>
                <w:color w:val="auto"/>
              </w:rPr>
            </w:pPr>
            <w:r>
              <w:rPr>
                <w:rFonts w:ascii="Arial" w:cs="Arial" w:eastAsia="Arial" w:hAnsi="Arial"/>
                <w:sz w:val="20"/>
                <w:szCs w:val="20"/>
                <w:color w:val="auto"/>
              </w:rPr>
              <w:t>12.5</w:t>
            </w:r>
          </w:p>
        </w:tc>
        <w:tc>
          <w:tcPr>
            <w:tcW w:w="1980" w:type="dxa"/>
            <w:vAlign w:val="bottom"/>
          </w:tcPr>
          <w:p>
            <w:pPr>
              <w:ind w:left="900"/>
              <w:spacing w:after="0"/>
              <w:rPr>
                <w:sz w:val="20"/>
                <w:szCs w:val="20"/>
                <w:color w:val="auto"/>
              </w:rPr>
            </w:pPr>
            <w:r>
              <w:rPr>
                <w:rFonts w:ascii="Arial" w:cs="Arial" w:eastAsia="Arial" w:hAnsi="Arial"/>
                <w:sz w:val="20"/>
                <w:szCs w:val="20"/>
                <w:color w:val="auto"/>
              </w:rPr>
              <w:t>25.0</w:t>
            </w:r>
          </w:p>
        </w:tc>
        <w:tc>
          <w:tcPr>
            <w:tcW w:w="2160" w:type="dxa"/>
            <w:vAlign w:val="bottom"/>
          </w:tcPr>
          <w:p>
            <w:pPr>
              <w:ind w:left="260"/>
              <w:spacing w:after="0"/>
              <w:rPr>
                <w:sz w:val="20"/>
                <w:szCs w:val="20"/>
                <w:color w:val="auto"/>
              </w:rPr>
            </w:pPr>
            <w:r>
              <w:rPr>
                <w:rFonts w:ascii="Arial" w:cs="Arial" w:eastAsia="Arial" w:hAnsi="Arial"/>
                <w:sz w:val="20"/>
                <w:szCs w:val="20"/>
                <w:color w:val="auto"/>
              </w:rPr>
              <w:t>125.0</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19"/>
          <w:szCs w:val="19"/>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(the “Subject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determining the Applicable Amount, if a Debt Rating is issued by 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The Debt Ratings shall be determined from the most recent public announcement of any Debt Ratings or changes thereto.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 If and for so long as either S&amp;P or Moody’s (but not both) has ceased to rate the Subject Debt, then (x) if such rating agency has ceased to issue debt ratings generally, or if Borrower has used commercially reasonable efforts to maintain ratings from both S&amp;P and Moody’s, the Debt Rating shall be deemed to be the Remaining Debt Rating and (y) otherwise, 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60"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“Applicable Payment Date” means, (a) as to any Floating Rate Loan (</w:t>
      </w:r>
      <w:r>
        <w:rPr>
          <w:rFonts w:ascii="Arial" w:cs="Arial" w:eastAsia="Arial" w:hAnsi="Arial"/>
          <w:sz w:val="20"/>
          <w:szCs w:val="20"/>
          <w:u w:val="single" w:color="auto"/>
          <w:color w:val="0000FF"/>
        </w:rPr>
        <w:t>other than a Floating SONIA Rate Loan)</w:t>
      </w:r>
      <w:r>
        <w:rPr>
          <w:rFonts w:ascii="Arial" w:cs="Arial" w:eastAsia="Arial" w:hAnsi="Arial"/>
          <w:sz w:val="20"/>
          <w:szCs w:val="20"/>
          <w:color w:val="auto"/>
        </w:rPr>
        <w:t>, the last day of the relevant Interest Period, any date that such Loan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-147320</wp:posOffset>
            </wp:positionV>
            <wp:extent cx="730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0">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5" w:right="339" w:bottom="1440" w:gutter="0" w:footer="0" w:header="0"/>
        </w:sectPr>
      </w:pPr>
    </w:p>
    <w:bookmarkStart w:id="175" w:name="page176"/>
    <w:bookmarkEnd w:id="175"/>
    <w:p>
      <w:pPr>
        <w:jc w:val="both"/>
        <w:spacing w:after="0" w:line="213" w:lineRule="auto"/>
        <w:rPr>
          <w:sz w:val="20"/>
          <w:szCs w:val="20"/>
          <w:color w:val="auto"/>
        </w:rPr>
      </w:pPr>
      <w:r>
        <w:rPr>
          <w:rFonts w:ascii="Arial" w:cs="Arial" w:eastAsia="Arial" w:hAnsi="Arial"/>
          <w:sz w:val="19"/>
          <w:szCs w:val="19"/>
          <w:color w:val="auto"/>
        </w:rPr>
        <w:t xml:space="preserve">prepaid or Converted in whole or in part and the maturity date of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any Interest Period for a Floating Rate Loan exceeds three months, interest shall also be paid on the Business Day which falls every three months after the beginning of such Interest Period; (b) </w:t>
      </w:r>
      <w:r>
        <w:rPr>
          <w:rFonts w:ascii="Arial" w:cs="Arial" w:eastAsia="Arial" w:hAnsi="Arial"/>
          <w:sz w:val="19"/>
          <w:szCs w:val="19"/>
          <w:u w:val="single" w:color="auto"/>
          <w:color w:val="0000FF"/>
        </w:rPr>
        <w:t>as to any Floating SONIA Rate Loan, (i) each date that is on the numerically corresponding day in each calendar month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that is three months after the borrowing of such Loan (or, if there is no such numerically corresponding day in such month, then the last day of such month), (ii) any date that such Loan is prepaid or Converted in whole or in part and (iii) the maturity date of such Loan; (c)</w:t>
      </w:r>
      <w:r>
        <w:rPr>
          <w:rFonts w:ascii="Arial" w:cs="Arial" w:eastAsia="Arial" w:hAnsi="Arial"/>
          <w:sz w:val="19"/>
          <w:szCs w:val="19"/>
          <w:color w:val="0000FF"/>
        </w:rPr>
        <w:t xml:space="preserve"> </w:t>
      </w:r>
      <w:r>
        <w:rPr>
          <w:rFonts w:ascii="Arial" w:cs="Arial" w:eastAsia="Arial" w:hAnsi="Arial"/>
          <w:sz w:val="19"/>
          <w:szCs w:val="19"/>
          <w:color w:val="000000"/>
        </w:rPr>
        <w:t>with</w:t>
      </w:r>
      <w:r>
        <w:rPr>
          <w:rFonts w:ascii="Arial" w:cs="Arial" w:eastAsia="Arial" w:hAnsi="Arial"/>
          <w:sz w:val="19"/>
          <w:szCs w:val="19"/>
          <w:color w:val="0000FF"/>
        </w:rPr>
        <w:t xml:space="preserve"> </w:t>
      </w:r>
      <w:r>
        <w:rPr>
          <w:rFonts w:ascii="Arial" w:cs="Arial" w:eastAsia="Arial" w:hAnsi="Arial"/>
          <w:sz w:val="19"/>
          <w:szCs w:val="19"/>
          <w:color w:val="000000"/>
        </w:rPr>
        <w:t>respect to any Fixed Rate Loan, the last day of the Interest Period applicable to the Borrowing of which such Loan is a part and, in the case of a Fixed Rate Loan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Applicable Payment Dates with respect to such Borrowing; and (</w:t>
      </w:r>
      <w:r>
        <w:rPr>
          <w:rFonts w:ascii="Arial" w:cs="Arial" w:eastAsia="Arial" w:hAnsi="Arial"/>
          <w:sz w:val="19"/>
          <w:szCs w:val="19"/>
          <w:color w:val="FF0000"/>
          <w:strike w:val="1"/>
        </w:rPr>
        <w:t>c</w:t>
      </w:r>
      <w:r>
        <w:rPr>
          <w:rFonts w:ascii="Arial" w:cs="Arial" w:eastAsia="Arial" w:hAnsi="Arial"/>
          <w:sz w:val="19"/>
          <w:szCs w:val="19"/>
          <w:u w:val="single" w:color="auto"/>
          <w:color w:val="0000FF"/>
        </w:rPr>
        <w:t>d</w:t>
      </w:r>
      <w:r>
        <w:rPr>
          <w:rFonts w:ascii="Arial" w:cs="Arial" w:eastAsia="Arial" w:hAnsi="Arial"/>
          <w:sz w:val="19"/>
          <w:szCs w:val="19"/>
          <w:color w:val="000000"/>
        </w:rPr>
        <w:t>) as to any other Obligations, the last Business Day of each calendar quarter and the maturity date of such Obligation, except as otherwise provided herein.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“Applicable Time” means New York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“Asset Monetization Transactions” has the meaning set forth in the definition of Consolidated Total Indebtedness.</w:t>
      </w:r>
    </w:p>
    <w:p>
      <w:pPr>
        <w:spacing w:after="0" w:line="18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“Assignment and Assumption” means an Assignment and Assumption substantially in the form of Exhibit D or, to the extent applicable, an agreement (in form and substance reasonably acceptable to the Borrower) incorporating an Assignment and Assumption by reference pursuant to a Platform as to which Administrative Agent and the parties to the Assignment and Assumption are participants.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“Attorney Costs” means the reasonable and documented fees and disbursements of a law firm or other external counsel.</w:t>
      </w:r>
    </w:p>
    <w:p>
      <w:pPr>
        <w:spacing w:after="0" w:line="198"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18"/>
          <w:szCs w:val="18"/>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5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3.03.</w:t>
      </w:r>
    </w:p>
    <w:p>
      <w:pPr>
        <w:spacing w:after="0" w:line="15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“Bail-In Action”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5" w:right="339" w:bottom="1440" w:gutter="0" w:footer="0" w:header="0"/>
        </w:sectPr>
      </w:pPr>
    </w:p>
    <w:bookmarkStart w:id="176" w:name="page177"/>
    <w:bookmarkEnd w:id="176"/>
    <w:p>
      <w:pPr>
        <w:jc w:val="both"/>
        <w:spacing w:after="0" w:line="229" w:lineRule="auto"/>
        <w:rPr>
          <w:sz w:val="20"/>
          <w:szCs w:val="20"/>
          <w:color w:val="auto"/>
        </w:rPr>
      </w:pPr>
      <w:r>
        <w:rPr>
          <w:rFonts w:ascii="Arial" w:cs="Arial" w:eastAsia="Arial" w:hAnsi="Arial"/>
          <w:sz w:val="20"/>
          <w:szCs w:val="20"/>
          <w:color w:val="auto"/>
        </w:rPr>
        <w:t>banks, investment firms or other financial institutions or their affiliates (other than through liquidation, administration or other insolvency proceedings).</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18"/>
          <w:szCs w:val="18"/>
          <w:color w:val="auto"/>
        </w:rPr>
        <w:t xml:space="preserve">“Base Rate” means, for any day, a rate per annum equal to the greatest of (a) the Prime Rate in effect on such day, (b) the NYFRB Rate in effect on such day plus ½ of 1% and (c) the Adjusted LIBO Rate for a one month Interest Period on such day (or if such day is not a Business Day, the immediately preceding Business Day) plus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 of this definition, the Adjusted LIBO Rate for any day shall be based on the Screen Rate (or if the Screen Rate is not available for such one month Interest Period, the LIBO Interpolated Rate) at approximately 11:00 a.m. London time on such day. Any change in the Base Rate due to a change in the Prime Rate, the NYFRB Rate or the Adjusted LIBO Rate shall be effective from and including the effective date of such change in the Prime Rate, the NYFRB Rate or the Adjusted LIBO Rate, respectively. If the Base Rate is being used as an alternate rate of interest pursuant to Section 3.03 (for the avoidance of doubt, only until the Benchmark Replacement has been determined pursuant to Section 3.03(b)), then the Base Rate shall be the greater of clauses (a) and (b) above and shall be determined without reference to clause (c) above.</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“Base Rate Loan”, when used in reference to any Loan or Borrowing, refers to whether such Loan, or the Loans comprising such Borrowing, bear interest based upon the Base Rate.</w:t>
      </w:r>
    </w:p>
    <w:p>
      <w:pPr>
        <w:spacing w:after="0" w:line="15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“Benchmark” means, initially, the Relevant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Benchmark Transition Event, a Term SOFR Transition Event, a Term ESTR Transition Event, a Term TONA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clause (b) or clause (c) of Section 3.03.</w:t>
      </w:r>
    </w:p>
    <w:p>
      <w:pPr>
        <w:spacing w:after="0" w:line="15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 xml:space="preserve">“Benchmark Replacement” means, for any Available Tenor, the first alternative set forth in the order below that can be determined by the Administrative Agent for the applicable Benchmark Replacement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Loan denominated in an Other Agreed Currency, “Benchmark Replacement” shall mean the alternative set forth in (3) below:</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in the case of any Loan denominated in Dollars, the sum of: (a) Term SOFR and (b) the related Benchmark Replacement</w:t>
      </w:r>
    </w:p>
    <w:p>
      <w:pPr>
        <w:spacing w:after="0"/>
        <w:rPr>
          <w:sz w:val="20"/>
          <w:szCs w:val="20"/>
          <w:color w:val="auto"/>
        </w:rPr>
      </w:pPr>
      <w:r>
        <w:rPr>
          <w:rFonts w:ascii="Arial" w:cs="Arial" w:eastAsia="Arial" w:hAnsi="Arial"/>
          <w:sz w:val="20"/>
          <w:szCs w:val="20"/>
          <w:color w:val="auto"/>
        </w:rPr>
        <w:t>Adjustment,</w:t>
      </w:r>
    </w:p>
    <w:p>
      <w:pPr>
        <w:spacing w:after="0" w:line="159" w:lineRule="exact"/>
        <w:rPr>
          <w:sz w:val="20"/>
          <w:szCs w:val="20"/>
          <w:color w:val="auto"/>
        </w:rPr>
      </w:pPr>
    </w:p>
    <w:p>
      <w:pPr>
        <w:ind w:firstLine="1304"/>
        <w:spacing w:after="0" w:line="229" w:lineRule="auto"/>
        <w:tabs>
          <w:tab w:leader="none" w:pos="1623" w:val="left"/>
        </w:tabs>
        <w:numPr>
          <w:ilvl w:val="0"/>
          <w:numId w:val="126"/>
        </w:numPr>
        <w:rPr>
          <w:rFonts w:ascii="Arial" w:cs="Arial" w:eastAsia="Arial" w:hAnsi="Arial"/>
          <w:sz w:val="20"/>
          <w:szCs w:val="20"/>
          <w:color w:val="auto"/>
        </w:rPr>
      </w:pPr>
      <w:r>
        <w:rPr>
          <w:rFonts w:ascii="Arial" w:cs="Arial" w:eastAsia="Arial" w:hAnsi="Arial"/>
          <w:sz w:val="20"/>
          <w:szCs w:val="20"/>
          <w:color w:val="FF0000"/>
          <w:strike w:val="1"/>
        </w:rPr>
        <w:t>in the case of any Loan denominated in Sterling, the sum of (a) Daily Simple SONIA and (b) the related Benchmark Replacement Adjustment,</w:t>
      </w:r>
      <w:r>
        <w:rPr>
          <w:rFonts w:ascii="Arial" w:cs="Arial" w:eastAsia="Arial" w:hAnsi="Arial"/>
          <w:sz w:val="20"/>
          <w:szCs w:val="20"/>
          <w:u w:val="single" w:color="auto"/>
          <w:color w:val="0000FF"/>
          <w:strike w:val="1"/>
        </w:rPr>
        <w:t>[reserved],</w:t>
      </w:r>
    </w:p>
    <w:p>
      <w:pPr>
        <w:spacing w:after="0" w:line="153" w:lineRule="exact"/>
        <w:rPr>
          <w:rFonts w:ascii="Arial" w:cs="Arial" w:eastAsia="Arial" w:hAnsi="Arial"/>
          <w:sz w:val="20"/>
          <w:szCs w:val="20"/>
          <w:color w:val="auto"/>
        </w:rPr>
      </w:pPr>
    </w:p>
    <w:p>
      <w:pPr>
        <w:ind w:left="1620" w:hanging="316"/>
        <w:spacing w:after="0"/>
        <w:tabs>
          <w:tab w:leader="none" w:pos="16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any Loan denominated in Euros, the sum of (a) Term ESTR and (b) the related Benchmark Replacement</w:t>
      </w:r>
    </w:p>
    <w:p>
      <w:pPr>
        <w:spacing w:after="0"/>
        <w:rPr>
          <w:rFonts w:ascii="Arial" w:cs="Arial" w:eastAsia="Arial" w:hAnsi="Arial"/>
          <w:sz w:val="18"/>
          <w:szCs w:val="18"/>
          <w:color w:val="auto"/>
        </w:rPr>
      </w:pPr>
      <w:r>
        <w:rPr>
          <w:rFonts w:ascii="Arial" w:cs="Arial" w:eastAsia="Arial" w:hAnsi="Arial"/>
          <w:sz w:val="20"/>
          <w:szCs w:val="20"/>
          <w:color w:val="auto"/>
        </w:rPr>
        <w:t>Adjustment, and</w:t>
      </w:r>
    </w:p>
    <w:p>
      <w:pPr>
        <w:spacing w:after="0" w:line="157" w:lineRule="exact"/>
        <w:rPr>
          <w:rFonts w:ascii="Arial" w:cs="Arial" w:eastAsia="Arial" w:hAnsi="Arial"/>
          <w:sz w:val="18"/>
          <w:szCs w:val="18"/>
          <w:color w:val="auto"/>
        </w:rPr>
      </w:pPr>
    </w:p>
    <w:p>
      <w:pPr>
        <w:ind w:left="1640" w:hanging="336"/>
        <w:spacing w:after="0"/>
        <w:tabs>
          <w:tab w:leader="none" w:pos="1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any Loan denominated in Yen, the sum of (a) Term TONA and (b) the related Benchmark Replacement</w:t>
      </w:r>
    </w:p>
    <w:p>
      <w:pPr>
        <w:spacing w:after="0"/>
        <w:rPr>
          <w:rFonts w:ascii="Arial" w:cs="Arial" w:eastAsia="Arial" w:hAnsi="Arial"/>
          <w:sz w:val="18"/>
          <w:szCs w:val="18"/>
          <w:color w:val="auto"/>
        </w:rPr>
      </w:pPr>
      <w:r>
        <w:rPr>
          <w:rFonts w:ascii="Arial" w:cs="Arial" w:eastAsia="Arial" w:hAnsi="Arial"/>
          <w:sz w:val="20"/>
          <w:szCs w:val="20"/>
          <w:color w:val="auto"/>
        </w:rPr>
        <w:t>Adjustment;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(2)</w:t>
      </w:r>
    </w:p>
    <w:p>
      <w:pPr>
        <w:spacing w:after="0" w:line="175" w:lineRule="exact"/>
        <w:rPr>
          <w:sz w:val="20"/>
          <w:szCs w:val="20"/>
          <w:color w:val="auto"/>
        </w:rPr>
      </w:pPr>
    </w:p>
    <w:p>
      <w:pPr>
        <w:ind w:firstLine="1304"/>
        <w:spacing w:after="0" w:line="229" w:lineRule="auto"/>
        <w:tabs>
          <w:tab w:leader="none" w:pos="164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in the case of any Loan denominated in Dollars, the sum of: (a) Daily Simple SOFR and (b) the related Benchmark Replacement Adjustment,</w:t>
      </w:r>
    </w:p>
    <w:p>
      <w:pPr>
        <w:spacing w:after="0" w:line="155" w:lineRule="exact"/>
        <w:rPr>
          <w:rFonts w:ascii="Arial" w:cs="Arial" w:eastAsia="Arial" w:hAnsi="Arial"/>
          <w:sz w:val="20"/>
          <w:szCs w:val="20"/>
          <w:color w:val="auto"/>
        </w:rPr>
      </w:pPr>
    </w:p>
    <w:p>
      <w:pPr>
        <w:ind w:left="1620" w:hanging="316"/>
        <w:spacing w:after="0"/>
        <w:tabs>
          <w:tab w:leader="none" w:pos="16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firstLine="1304"/>
        <w:spacing w:after="0" w:line="229" w:lineRule="auto"/>
        <w:tabs>
          <w:tab w:leader="none" w:pos="164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in the case of any Loan denominated in Euros, the sum of (a) Daily Simple ESTR and (b) the related Benchmark Replacement Adjustment, and</w:t>
      </w:r>
    </w:p>
    <w:p>
      <w:pPr>
        <w:spacing w:after="0" w:line="155" w:lineRule="exact"/>
        <w:rPr>
          <w:rFonts w:ascii="Arial" w:cs="Arial" w:eastAsia="Arial" w:hAnsi="Arial"/>
          <w:sz w:val="20"/>
          <w:szCs w:val="20"/>
          <w:color w:val="auto"/>
        </w:rPr>
      </w:pPr>
    </w:p>
    <w:p>
      <w:pPr>
        <w:ind w:firstLine="1304"/>
        <w:spacing w:after="0" w:line="229" w:lineRule="auto"/>
        <w:tabs>
          <w:tab w:leader="none" w:pos="165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in the case of any Loan denominated in Yen, the sum of (a) Daily Simple TONA and (b) the related Benchmark Replacement Adjustment;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5" w:right="339" w:bottom="1440" w:gutter="0" w:footer="0" w:header="0"/>
        </w:sectPr>
      </w:pPr>
    </w:p>
    <w:bookmarkStart w:id="177" w:name="page178"/>
    <w:bookmarkEnd w:id="177"/>
    <w:p>
      <w:pPr>
        <w:jc w:val="both"/>
        <w:ind w:firstLine="1304"/>
        <w:spacing w:after="0" w:line="207" w:lineRule="auto"/>
        <w:tabs>
          <w:tab w:leader="none" w:pos="1585"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60"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the case of clause (1)(A), (1)(C) or (1)(D),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(x) with respect to a Loan denominated in Dollars,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(1)(A) of this definition (subject to the preceding proviso), (y) with respect to a Loan denominated in Euros, notwithstanding anything to the contrary in this Agreement or in any other Loan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(1)(C) of this definition (subject to the preceding proviso) and (z) with respect to a Loan denominated in Yen, notwithstanding anything to the contrary in this Agreement or in any other Loan Document, upon the occurrence of a Term TONA Transition Event, and the delivery of a Term TONA Notice, on the applicable Benchmark Replacement Date the “Benchmark Replacement” shall revert to and shall be deemed to be the sum of (a) Term TONA and (b) the related Benchmark Replacement Adjustment, as set forth in clause (1)(D) of this definition (subject to the preceding proviso).</w:t>
      </w:r>
    </w:p>
    <w:p>
      <w:pPr>
        <w:spacing w:after="0" w:line="157" w:lineRule="exact"/>
        <w:rPr>
          <w:sz w:val="20"/>
          <w:szCs w:val="20"/>
          <w:color w:val="auto"/>
        </w:rPr>
      </w:pPr>
    </w:p>
    <w:p>
      <w:pPr>
        <w:jc w:val="both"/>
        <w:ind w:right="20" w:firstLine="1296"/>
        <w:spacing w:after="0" w:line="242" w:lineRule="auto"/>
        <w:rPr>
          <w:sz w:val="20"/>
          <w:szCs w:val="20"/>
          <w:color w:val="auto"/>
        </w:rPr>
      </w:pPr>
      <w:r>
        <w:rPr>
          <w:rFonts w:ascii="Arial" w:cs="Arial" w:eastAsia="Arial" w:hAnsi="Arial"/>
          <w:sz w:val="19"/>
          <w:szCs w:val="19"/>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53"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“Benchmark Replacement Adjustment” means, with respect to any replacement of the then-current Benchmark with an Unadjusted Benchmark Replacement for any applicable Interest Period and Available Tenor for any setting of such Unadjusted Benchmark Replacement:</w:t>
      </w:r>
    </w:p>
    <w:p>
      <w:pPr>
        <w:spacing w:after="0" w:line="156" w:lineRule="exact"/>
        <w:rPr>
          <w:sz w:val="20"/>
          <w:szCs w:val="20"/>
          <w:color w:val="auto"/>
        </w:rPr>
      </w:pPr>
    </w:p>
    <w:p>
      <w:pPr>
        <w:ind w:firstLine="1304"/>
        <w:spacing w:after="0" w:line="229" w:lineRule="auto"/>
        <w:tabs>
          <w:tab w:leader="none" w:pos="1596" w:val="left"/>
        </w:tabs>
        <w:numPr>
          <w:ilvl w:val="0"/>
          <w:numId w:val="129"/>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Administrative Agent:</w:t>
      </w:r>
    </w:p>
    <w:p>
      <w:pPr>
        <w:spacing w:after="0" w:line="155" w:lineRule="exact"/>
        <w:rPr>
          <w:sz w:val="20"/>
          <w:szCs w:val="20"/>
          <w:color w:val="auto"/>
        </w:rPr>
      </w:pPr>
    </w:p>
    <w:p>
      <w:pPr>
        <w:jc w:val="both"/>
        <w:ind w:firstLine="1304"/>
        <w:spacing w:after="0" w:line="213" w:lineRule="auto"/>
        <w:tabs>
          <w:tab w:leader="none" w:pos="1588"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and</w:t>
      </w:r>
    </w:p>
    <w:p>
      <w:pPr>
        <w:spacing w:after="0" w:line="155" w:lineRule="exact"/>
        <w:rPr>
          <w:rFonts w:ascii="Arial" w:cs="Arial" w:eastAsia="Arial" w:hAnsi="Arial"/>
          <w:sz w:val="20"/>
          <w:szCs w:val="20"/>
          <w:color w:val="auto"/>
        </w:rPr>
      </w:pPr>
    </w:p>
    <w:p>
      <w:pPr>
        <w:jc w:val="both"/>
        <w:ind w:firstLine="1304"/>
        <w:spacing w:after="0" w:line="244" w:lineRule="auto"/>
        <w:tabs>
          <w:tab w:leader="none" w:pos="159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52" w:lineRule="exact"/>
        <w:rPr>
          <w:sz w:val="20"/>
          <w:szCs w:val="20"/>
          <w:color w:val="auto"/>
        </w:rPr>
      </w:pPr>
    </w:p>
    <w:p>
      <w:pPr>
        <w:jc w:val="both"/>
        <w:ind w:firstLine="1304"/>
        <w:spacing w:after="0" w:line="206" w:lineRule="auto"/>
        <w:tabs>
          <w:tab w:leader="none" w:pos="162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5" w:right="339" w:bottom="1440" w:gutter="0" w:footer="0" w:header="0"/>
        </w:sectPr>
      </w:pPr>
    </w:p>
    <w:bookmarkStart w:id="178" w:name="page179"/>
    <w:bookmarkEnd w:id="178"/>
    <w:p>
      <w:pPr>
        <w:jc w:val="both"/>
        <w:spacing w:after="0" w:line="229" w:lineRule="auto"/>
        <w:rPr>
          <w:sz w:val="20"/>
          <w:szCs w:val="20"/>
          <w:color w:val="auto"/>
        </w:rPr>
      </w:pPr>
      <w:r>
        <w:rPr>
          <w:rFonts w:ascii="Arial" w:cs="Arial" w:eastAsia="Arial" w:hAnsi="Arial"/>
          <w:sz w:val="20"/>
          <w:szCs w:val="20"/>
          <w:color w:val="auto"/>
        </w:rPr>
        <w:t>determining such spread adjustment, for the replacement of such Benchmark with the applicable Unadjusted Benchmark Replacement for syndicated credit facilities denominated in the applicable Agreed Currency at such time;</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(x) in the case of clause (1) above, such adjustment is displayed on a screen or other information service that publishes such Benchmark Replacement Adjustment from time to time as selected by the Administrative Agent in its reasonable discretion and (y) each Benchmark Replacement Adjustment shall be determined by the Administrative Agent in consultation with the Borrower.</w:t>
      </w:r>
    </w:p>
    <w:p>
      <w:pPr>
        <w:spacing w:after="0" w:line="15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“Benchmark Replacement Conforming Changes” means, with respect to any Benchmark Replacement, any technical, administrative or operational changes (including changes to the definition of “</w:t>
      </w:r>
      <w:r>
        <w:rPr>
          <w:rFonts w:ascii="Arial" w:cs="Arial" w:eastAsia="Arial" w:hAnsi="Arial"/>
          <w:sz w:val="18"/>
          <w:szCs w:val="18"/>
          <w:color w:val="FF0000"/>
          <w:strike w:val="1"/>
        </w:rPr>
        <w:t>Alternate</w:t>
      </w:r>
      <w:r>
        <w:rPr>
          <w:rFonts w:ascii="Arial" w:cs="Arial" w:eastAsia="Arial" w:hAnsi="Arial"/>
          <w:sz w:val="18"/>
          <w:szCs w:val="18"/>
          <w:color w:val="auto"/>
        </w:rPr>
        <w:t xml:space="preserv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consultation with the Borrower) in connection with the administration of this Agreement and the other Loan Documents, so long as consistent with the treatment of similar syndicated credit facilities denominated in the applicable Agreed Currency at such time for investment-grade companies similar to the Borrower in respect of which the Administrative Agent acts as administrative agent).</w:t>
      </w:r>
    </w:p>
    <w:p>
      <w:pPr>
        <w:spacing w:after="0" w:line="15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“Benchmark Replacement Date” means, with respect to any Benchmark, the earliest to occur of the following events with respect to such then-current Benchmark:</w:t>
      </w:r>
    </w:p>
    <w:p>
      <w:pPr>
        <w:spacing w:after="0" w:line="155" w:lineRule="exact"/>
        <w:rPr>
          <w:sz w:val="20"/>
          <w:szCs w:val="20"/>
          <w:color w:val="auto"/>
        </w:rPr>
      </w:pPr>
    </w:p>
    <w:p>
      <w:pPr>
        <w:jc w:val="both"/>
        <w:ind w:firstLine="1304"/>
        <w:spacing w:after="0" w:line="213" w:lineRule="auto"/>
        <w:tabs>
          <w:tab w:leader="none" w:pos="158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55" w:lineRule="exact"/>
        <w:rPr>
          <w:rFonts w:ascii="Arial" w:cs="Arial" w:eastAsia="Arial" w:hAnsi="Arial"/>
          <w:sz w:val="20"/>
          <w:szCs w:val="20"/>
          <w:color w:val="auto"/>
        </w:rPr>
      </w:pPr>
    </w:p>
    <w:p>
      <w:pPr>
        <w:ind w:firstLine="1304"/>
        <w:spacing w:after="0" w:line="229" w:lineRule="auto"/>
        <w:tabs>
          <w:tab w:leader="none" w:pos="157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6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in the case of a Term SOFR Transition Event, a Term ESTR Transition Event or a Term TONA Transition Event, as applicable, the date that is thirty (30) days after the date a Term SOFR Notice, a Term ESTR Notice or a Term TONA Notice, as applicable, is provided to the Lenders and the Borrower pursuant to Section 3.03(c); or</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5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5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6"/>
          <w:szCs w:val="16"/>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w:t>
      </w:r>
    </w:p>
    <w:p>
      <w:pPr>
        <w:spacing w:after="0" w:line="1" w:lineRule="exact"/>
        <w:rPr>
          <w:sz w:val="20"/>
          <w:szCs w:val="20"/>
          <w:color w:val="auto"/>
        </w:rPr>
      </w:pPr>
    </w:p>
    <w:p>
      <w:pPr>
        <w:ind w:right="20" w:firstLine="8"/>
        <w:spacing w:after="0" w:line="220" w:lineRule="auto"/>
        <w:tabs>
          <w:tab w:leader="none" w:pos="28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or (2) with respect to any Benchmark only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5" w:right="339" w:bottom="1440" w:gutter="0" w:footer="0" w:header="0"/>
        </w:sectPr>
      </w:pPr>
    </w:p>
    <w:bookmarkStart w:id="179" w:name="page180"/>
    <w:bookmarkEnd w:id="179"/>
    <w:p>
      <w:pPr>
        <w:ind w:firstLine="1296"/>
        <w:spacing w:after="0" w:line="229" w:lineRule="auto"/>
        <w:rPr>
          <w:sz w:val="20"/>
          <w:szCs w:val="20"/>
          <w:color w:val="auto"/>
        </w:rPr>
      </w:pPr>
      <w:r>
        <w:rPr>
          <w:rFonts w:ascii="Arial" w:cs="Arial" w:eastAsia="Arial" w:hAnsi="Arial"/>
          <w:sz w:val="20"/>
          <w:szCs w:val="20"/>
          <w:color w:val="auto"/>
        </w:rPr>
        <w:t>“Benchmark Transition Event” means, with respect to any Benchmark, the occurrence of one or more of the following events with respect to such then-current Benchmark:</w:t>
      </w:r>
    </w:p>
    <w:p>
      <w:pPr>
        <w:spacing w:after="0" w:line="155" w:lineRule="exact"/>
        <w:rPr>
          <w:sz w:val="20"/>
          <w:szCs w:val="20"/>
          <w:color w:val="auto"/>
        </w:rPr>
      </w:pPr>
    </w:p>
    <w:p>
      <w:pPr>
        <w:jc w:val="both"/>
        <w:ind w:firstLine="1304"/>
        <w:spacing w:after="0" w:line="236" w:lineRule="auto"/>
        <w:tabs>
          <w:tab w:leader="none" w:pos="157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 that</w:t>
      </w:r>
      <w:r>
        <w:rPr>
          <w:rFonts w:ascii="Arial" w:cs="Arial" w:eastAsia="Arial" w:hAnsi="Arial"/>
          <w:sz w:val="18"/>
          <w:szCs w:val="18"/>
          <w:color w:val="auto"/>
        </w:rPr>
        <w:t>, at the time of such statement or publication, there is no successor administrator that will continue to provide any Available Tenor of such Benchmark (or such component thereof);</w:t>
      </w:r>
    </w:p>
    <w:p>
      <w:pPr>
        <w:spacing w:after="0" w:line="157" w:lineRule="exact"/>
        <w:rPr>
          <w:rFonts w:ascii="Arial" w:cs="Arial" w:eastAsia="Arial" w:hAnsi="Arial"/>
          <w:sz w:val="18"/>
          <w:szCs w:val="18"/>
          <w:color w:val="auto"/>
        </w:rPr>
      </w:pPr>
    </w:p>
    <w:p>
      <w:pPr>
        <w:jc w:val="both"/>
        <w:ind w:firstLine="1304"/>
        <w:spacing w:after="0" w:line="216" w:lineRule="auto"/>
        <w:tabs>
          <w:tab w:leader="none" w:pos="157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 that</w:t>
      </w:r>
      <w:r>
        <w:rPr>
          <w:rFonts w:ascii="Arial" w:cs="Arial" w:eastAsia="Arial" w:hAnsi="Arial"/>
          <w:sz w:val="19"/>
          <w:szCs w:val="19"/>
          <w:color w:val="auto"/>
        </w:rPr>
        <w:t>, at the time of such statement or publication, there is no successor administrator that will continue to provide any Available Tenor of such Benchmark (or such component thereof); or</w:t>
      </w:r>
    </w:p>
    <w:p>
      <w:pPr>
        <w:spacing w:after="0" w:line="154" w:lineRule="exact"/>
        <w:rPr>
          <w:rFonts w:ascii="Arial" w:cs="Arial" w:eastAsia="Arial" w:hAnsi="Arial"/>
          <w:sz w:val="19"/>
          <w:szCs w:val="19"/>
          <w:color w:val="auto"/>
        </w:rPr>
      </w:pPr>
    </w:p>
    <w:p>
      <w:pPr>
        <w:jc w:val="both"/>
        <w:ind w:firstLine="1304"/>
        <w:spacing w:after="0" w:line="218" w:lineRule="auto"/>
        <w:tabs>
          <w:tab w:leader="none" w:pos="157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only if a public statement or publication of information set forth above has occurred with respect to each then-current Available Tenor of such Benchmark (or the published component used in the calculation thereof).</w:t>
      </w:r>
    </w:p>
    <w:p>
      <w:pPr>
        <w:spacing w:after="0" w:line="156"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3.03 and (y) ending at the time that a Benchmark Replacement has replaced such then-current Benchmark for all purposes hereunder and under any Loan Document in accordance with Section 3.03.</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“Benefit Plan”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56"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“BHC Act Affiliate” of a party means an “affiliate’ (as such term is defined under, and interpreted in accordance with, 12 U.S.C. 1841(k)) of such party.</w:t>
      </w:r>
    </w:p>
    <w:p>
      <w:pPr>
        <w:spacing w:after="0" w:line="15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9"/>
          <w:szCs w:val="19"/>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“Borrower” (a) initially has the meaning set forth in the introductory paragraph hereto and (b) following the consummation of a transaction that results in a Successor Entity, shall mean such Successor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5" w:right="339" w:bottom="1440" w:gutter="0" w:footer="0" w:header="0"/>
        </w:sectPr>
      </w:pPr>
    </w:p>
    <w:bookmarkStart w:id="180" w:name="page181"/>
    <w:bookmarkEnd w:id="180"/>
    <w:p>
      <w:pPr>
        <w:ind w:left="1300"/>
        <w:spacing w:after="0"/>
        <w:rPr>
          <w:sz w:val="20"/>
          <w:szCs w:val="20"/>
          <w:color w:val="auto"/>
        </w:rPr>
      </w:pPr>
      <w:r>
        <w:rPr>
          <w:rFonts w:ascii="Arial" w:cs="Arial" w:eastAsia="Arial" w:hAnsi="Arial"/>
          <w:sz w:val="20"/>
          <w:szCs w:val="20"/>
          <w:color w:val="auto"/>
        </w:rPr>
        <w:t>“Borrowing” and “Borrow” each mean a borrowing of Loans hereunder.</w:t>
      </w:r>
    </w:p>
    <w:p>
      <w:pPr>
        <w:spacing w:after="0" w:line="17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19"/>
          <w:szCs w:val="19"/>
          <w:color w:val="auto"/>
        </w:rPr>
        <w:t xml:space="preserve">“Business Day” means any day other than a Saturday, Sunday or other day on which commercial banks in New York, New York are authorized or required by law to close, and, if the applicable Business Day relates to a Floating Rate Loan, any such day on which dealings are carried out in the applicable offshore Dollar market;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“Business Day”, when used in connection with (i) any Floating Rate Loan (or Base Rate Loan the rate of which is based on the Adjusted LIBO Rate), shall also exclude any day on which banks are not open for dealings in Dollar, Euro or Sterling deposits in the London interbank market, (ii) any Loan denominated in Euros shall also exclude any day on which commercial banks in London are authorized or required by law to remain closed, (iii) any Loan denominated in Sterling shall also exclude any day on which commercial banks in London are authorized or required by law to remain closed, (iv) any Loan denominated in Yen shall also exclude any day on which commercial banks in Tokyo, Japan are authorized or required by law to remain closed and (v) any Loan denominated in Canadian Dollars shall also exclude any day on which commercial banks in Toronto, Canada are authorized or required by law to remain closed.</w:t>
      </w:r>
    </w:p>
    <w:p>
      <w:pPr>
        <w:spacing w:after="0" w:line="158"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“Canadian Dollar” and “C$” means lawful money of Canada.</w:t>
      </w:r>
    </w:p>
    <w:p>
      <w:pPr>
        <w:spacing w:after="0" w:line="17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19"/>
          <w:szCs w:val="19"/>
          <w:color w:val="auto"/>
        </w:rPr>
        <w:t xml:space="preserve">“Canadian Prime Rate”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the above rates shall be less than zero, such rate shall be deemed to be zero for purposes of this Agreement. Any change in the Canadian Prime Rate due to a change in the PRIMCAN Index or the CDOR shall be effective from and including the effective date of such change in the PRIMCAN Index or CDOR, respectively.</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“CBR Loan” shall mean a Loan that bears interest at a rate determined by reference to the Central Bank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“CBR Spread” shall mean the Applicable Amount applicable to such Loan that is replaced by a CBR Loan.</w:t>
      </w:r>
    </w:p>
    <w:p>
      <w:pPr>
        <w:spacing w:after="0" w:line="175"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18"/>
          <w:szCs w:val="18"/>
          <w:color w:val="auto"/>
        </w:rPr>
        <w:t>“CDOR Screen Rate” means, with respect to any Floating Rate Borrowing denominated in Canadian Dollars for any Interest Period,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rounded to the nearest 1/100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1% (with .005% being rounded up), as of 10:15 a.m. Toronto local time on the first day of such Interest Period and, if such day is not a business day, then on the immediately preceding business day (as adjusted by Administrative Agent after 10:15 a.m. Toronto local time to reflect any error in the posted rate of interest or in the posted average annual rate of interest). If the CDOR Screen Rate shall be less than zero, the CDOR Screen Rate shall be deemed to be zero for purposes of this Agreement.</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u w:val="single" w:color="auto"/>
          <w:color w:val="0000FF"/>
        </w:rPr>
        <w:t>“Central Bank Rate” shall mean, for any Loan denominated in Sterling, (i) the Bank of England’s (or any successor thereto’s) “Bank Rate” as published by the Bank of England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5" w:right="339" w:bottom="1440" w:gutter="0" w:footer="0" w:header="0"/>
        </w:sectPr>
      </w:pPr>
    </w:p>
    <w:bookmarkStart w:id="181" w:name="page182"/>
    <w:bookmarkEnd w:id="181"/>
    <w:p>
      <w:pPr>
        <w:jc w:val="both"/>
        <w:spacing w:after="0" w:line="229" w:lineRule="auto"/>
        <w:rPr>
          <w:sz w:val="20"/>
          <w:szCs w:val="20"/>
          <w:color w:val="auto"/>
        </w:rPr>
      </w:pPr>
      <w:r>
        <w:rPr>
          <w:rFonts w:ascii="Arial" w:cs="Arial" w:eastAsia="Arial" w:hAnsi="Arial"/>
          <w:sz w:val="20"/>
          <w:szCs w:val="20"/>
          <w:u w:val="single" w:color="auto"/>
          <w:color w:val="0000FF"/>
        </w:rPr>
        <w:t>successor thereto) from time to time, plus (ii) the applicable Central Bank Rate Adjustment; provided that, if the Central Bank Rate shall be less than zero, such rate shall be deemed to be zero for the purposes of this Agreement.</w:t>
      </w:r>
    </w:p>
    <w:p>
      <w:pPr>
        <w:spacing w:after="0" w:line="155"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u w:val="single" w:color="auto"/>
          <w:color w:val="0000FF"/>
        </w:rPr>
        <w:t>“Central Bank Rate Adjustment” shall mean, for any day, for any Loan denominated in, Sterling, a rate equal to the difference (which may be a positive or negative value or zero) of (i) the average of Daily Simple SONIA for the five most recent SONIA Business Days preceding such day for which SONIA was available (excluding, from such averaging, the highest and the lowest such Daily Simple SONIA applicable during such period of five SONIA Business Days) minus (ii) the Central Bank Rate in respect of Sterling in effect on the last SONIA Business Day in such period. For purposes of this definition, the term Central Bank Rate shall be determined disregarding the proviso in the definition of such term.</w:t>
      </w:r>
    </w:p>
    <w:p>
      <w:pPr>
        <w:spacing w:after="0" w:line="160"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8"/>
          <w:szCs w:val="18"/>
          <w:color w:val="auto"/>
        </w:rPr>
        <w:t>“Change of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50% of the aggregate ordinary voting power represented by the issued and outstanding Equity Interests of Borrower; or (b) the occupation of a majority of the seats (other than vacant seats) on the board of directors of Borrower by Persons who were not directors of Borrower on the date of this Agreement or nominated or appointed or approved by the board of directors of Borrower (or by the Nominating Committee of such board).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“Code” means the Internal Revenue Code of 1986, as amended from time to time.</w:t>
      </w:r>
    </w:p>
    <w:p>
      <w:pPr>
        <w:spacing w:after="0" w:line="175"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18"/>
          <w:szCs w:val="18"/>
          <w:color w:val="auto"/>
        </w:rPr>
        <w:t>“Co-Documentation Agents” means, collectively, Bank of America, N.A., Mizuho Bank, Ltd., Morgan Stanley MUFG Loan Partners, LLC (acting through Morgan Stanley Senior Funding, Inc. and MUFG Bank Ltd.) and Wells Fargo Bank, National Association.</w:t>
      </w:r>
    </w:p>
    <w:p>
      <w:pPr>
        <w:spacing w:after="0" w:line="130"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“Communications” means, collectively, any notice, demand, communication, information, document or other material provided by or on behalf of any Loan Party pursuant to any Loan Document or the transactions contemplated therein which is distributed by Administrative Agent, any Lender or any Issuing Lender by means of electronic communications pursuant to Section 10.02(e), including through an Electronic System.</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“Competitive Bid” means an offer by a Lender to make a Competitive Loan in accordance with Section 2.04.</w:t>
      </w:r>
    </w:p>
    <w:p>
      <w:pPr>
        <w:spacing w:after="0" w:line="17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“Competitive Bid Rate” means, with respect to any Competitive Bid, the Margin or the Fixed Rate, as applicable, offered by the Lender making such Competitive Bid.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“Competitive Bid Request” means a request by Borrower for Competitive Bids in accordance with Section 2.04.</w:t>
      </w:r>
    </w:p>
    <w:p>
      <w:pPr>
        <w:spacing w:after="0" w:line="175" w:lineRule="exact"/>
        <w:rPr>
          <w:sz w:val="20"/>
          <w:szCs w:val="20"/>
          <w:color w:val="auto"/>
        </w:rPr>
      </w:pPr>
    </w:p>
    <w:p>
      <w:pPr>
        <w:ind w:right="320" w:firstLine="1296"/>
        <w:spacing w:after="0" w:line="229" w:lineRule="auto"/>
        <w:rPr>
          <w:sz w:val="20"/>
          <w:szCs w:val="20"/>
          <w:color w:val="auto"/>
        </w:rPr>
      </w:pPr>
      <w:r>
        <w:rPr>
          <w:rFonts w:ascii="Arial" w:cs="Arial" w:eastAsia="Arial" w:hAnsi="Arial"/>
          <w:sz w:val="20"/>
          <w:szCs w:val="20"/>
          <w:color w:val="auto"/>
        </w:rPr>
        <w:t>“Competitive Borrowing” means a Competitive Loan or group of Competitive Loans of the same Type made on the same date and as to which a single Interest Period is in effect.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“Competitive Loan” means a Loan made pursuant to Section 2.04.</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“Compliance Certificate” means a certificate substantially in the form of Exhibit C, properly completed and signed by a Responsible Officer of Borrower.</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“Consolidated Net Worth” means, as of any date of determination, the stockholders’ equity or members’ capital of the Borrower and its consolidated Subsidiaries, as reflected on the most recent consolidated balance sheet of the Borrower and its consolidated Subsidiaries and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5" w:right="339" w:bottom="1440" w:gutter="0" w:footer="0" w:header="0"/>
        </w:sectPr>
      </w:pPr>
    </w:p>
    <w:bookmarkStart w:id="182" w:name="page183"/>
    <w:bookmarkEnd w:id="182"/>
    <w:p>
      <w:pPr>
        <w:jc w:val="both"/>
        <w:ind w:firstLine="1296"/>
        <w:spacing w:after="0" w:line="207" w:lineRule="auto"/>
        <w:rPr>
          <w:sz w:val="20"/>
          <w:szCs w:val="20"/>
          <w:color w:val="auto"/>
        </w:rPr>
      </w:pPr>
      <w:r>
        <w:rPr>
          <w:rFonts w:ascii="Arial" w:cs="Arial" w:eastAsia="Arial" w:hAnsi="Arial"/>
          <w:sz w:val="20"/>
          <w:szCs w:val="20"/>
          <w:color w:val="auto"/>
        </w:rPr>
        <w:t>“Consolidated Total Indebtedness” means, as of any date of determination, the total Indebtedness for borrowed money of Borrower and its Restricted Subsidiaries and Guaranty Obligations of Borrower and its Restricted Subsidiaries in respect of Indebtedness for borrowed money, determined on a consolidated basis in accordance with GAAP, but excluding, to the extent constituting Indebtedness for borrowed money or Guaranty Obligations in respect of Indebtedness for borrowed money, Indebtedness of Borrower and its Restricted Subsidiaries arising from any asset monetization transactions which are recourse only to the assets so monetized (collectively, “Asset Monetization Transactions”).</w:t>
      </w:r>
    </w:p>
    <w:p>
      <w:pPr>
        <w:spacing w:after="0" w:line="160"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“Continuation” and “Continue” mean, with respect to any Floating Rate Loan </w:t>
      </w:r>
      <w:r>
        <w:rPr>
          <w:rFonts w:ascii="Arial" w:cs="Arial" w:eastAsia="Arial" w:hAnsi="Arial"/>
          <w:sz w:val="19"/>
          <w:szCs w:val="19"/>
          <w:u w:val="single" w:color="auto"/>
          <w:color w:val="0000FF"/>
        </w:rPr>
        <w:t>(other than a Floating SONIA Rate Loan)</w:t>
      </w:r>
      <w:r>
        <w:rPr>
          <w:rFonts w:ascii="Arial" w:cs="Arial" w:eastAsia="Arial" w:hAnsi="Arial"/>
          <w:sz w:val="19"/>
          <w:szCs w:val="19"/>
          <w:color w:val="auto"/>
        </w:rPr>
        <w:t>, the continuation of such Floating Rate Loan as a Floating Rate Loan on the last day of the Interest Period for such Loan.</w:t>
      </w:r>
    </w:p>
    <w:p>
      <w:pPr>
        <w:spacing w:after="0" w:line="15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“Conversion” and “Convert” mean, with respect to any Loan, the conversion of such Loan from or into another Type of</w:t>
      </w:r>
    </w:p>
    <w:p>
      <w:pPr>
        <w:spacing w:after="0"/>
        <w:rPr>
          <w:sz w:val="20"/>
          <w:szCs w:val="20"/>
          <w:color w:val="auto"/>
        </w:rPr>
      </w:pPr>
      <w:r>
        <w:rPr>
          <w:rFonts w:ascii="Arial" w:cs="Arial" w:eastAsia="Arial" w:hAnsi="Arial"/>
          <w:sz w:val="20"/>
          <w:szCs w:val="20"/>
          <w:color w:val="auto"/>
        </w:rPr>
        <w:t>Loan.</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“Covered Entity” means any of the following:</w:t>
      </w:r>
    </w:p>
    <w:p>
      <w:pPr>
        <w:spacing w:after="0" w:line="175" w:lineRule="exact"/>
        <w:rPr>
          <w:sz w:val="20"/>
          <w:szCs w:val="20"/>
          <w:color w:val="auto"/>
        </w:rPr>
      </w:pPr>
    </w:p>
    <w:p>
      <w:pPr>
        <w:ind w:left="1940" w:hanging="636"/>
        <w:spacing w:after="0"/>
        <w:tabs>
          <w:tab w:leader="none" w:pos="194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75" w:lineRule="exact"/>
        <w:rPr>
          <w:rFonts w:ascii="Arial" w:cs="Arial" w:eastAsia="Arial" w:hAnsi="Arial"/>
          <w:sz w:val="20"/>
          <w:szCs w:val="20"/>
          <w:color w:val="auto"/>
        </w:rPr>
      </w:pPr>
    </w:p>
    <w:p>
      <w:pPr>
        <w:ind w:left="1960" w:hanging="656"/>
        <w:spacing w:after="0"/>
        <w:tabs>
          <w:tab w:leader="none" w:pos="196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75" w:lineRule="exact"/>
        <w:rPr>
          <w:rFonts w:ascii="Arial" w:cs="Arial" w:eastAsia="Arial" w:hAnsi="Arial"/>
          <w:sz w:val="20"/>
          <w:szCs w:val="20"/>
          <w:color w:val="auto"/>
        </w:rPr>
      </w:pPr>
    </w:p>
    <w:p>
      <w:pPr>
        <w:ind w:left="1300" w:right="1400" w:firstLine="4"/>
        <w:spacing w:after="0" w:line="422" w:lineRule="auto"/>
        <w:tabs>
          <w:tab w:leader="none" w:pos="1948"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 “Covered Party” has the meaning set forth in Section 10.27.</w:t>
      </w:r>
    </w:p>
    <w:p>
      <w:pPr>
        <w:spacing w:after="0" w:line="1"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“Daily Simple ESTR” means, for any day, ESTR, with the conventions for this rate (which will include a lookback) being established by the Administrative Agent in accordance with the conventions for this rate selected or recommended by the Relevant Governmental Body for determining “Daily Simple ESTR” for business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Administrative Agent decides that any such convention is not administratively feasible for the Administrative Agent, then the Administrative Agent may establish another convention in its reasonable discretion with the consent of the Borrower.</w:t>
      </w:r>
    </w:p>
    <w:p>
      <w:pPr>
        <w:spacing w:after="0" w:line="15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Administrative Agent decides that any such convention is not administratively feasible for the Administrative Agent, then the Administrative Agent may establish another convention in its reasonable discretion with the consent of the Borrower.</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“Daily Simple SONIA” means, for any day</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 “</w:t>
      </w:r>
      <w:r>
        <w:rPr>
          <w:rFonts w:ascii="Arial" w:cs="Arial" w:eastAsia="Arial" w:hAnsi="Arial"/>
          <w:sz w:val="20"/>
          <w:szCs w:val="20"/>
          <w:color w:val="auto"/>
        </w:rPr>
        <w:t>SONIA</w:t>
      </w:r>
      <w:r>
        <w:rPr>
          <w:rFonts w:ascii="Arial" w:cs="Arial" w:eastAsia="Arial" w:hAnsi="Arial"/>
          <w:sz w:val="20"/>
          <w:szCs w:val="20"/>
          <w:color w:val="FF0000"/>
          <w:strike w:val="1"/>
        </w:rPr>
        <w:t>, with the conventions for this rate (which will include a lookback)</w:t>
      </w:r>
      <w:r>
        <w:rPr>
          <w:rFonts w:ascii="Arial" w:cs="Arial" w:eastAsia="Arial" w:hAnsi="Arial"/>
          <w:sz w:val="20"/>
          <w:szCs w:val="20"/>
          <w:color w:val="auto"/>
        </w:rPr>
        <w:t xml:space="preserve"> </w:t>
      </w:r>
      <w:r>
        <w:rPr>
          <w:rFonts w:ascii="Arial" w:cs="Arial" w:eastAsia="Arial" w:hAnsi="Arial"/>
          <w:sz w:val="20"/>
          <w:szCs w:val="20"/>
          <w:color w:val="FF0000"/>
          <w:strike w:val="1"/>
        </w:rPr>
        <w:t>being established by the Administrative Agent in accordance with the conventions for this rate selected or recommended by the Relevant Governmental Body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5" w:right="339" w:bottom="1440" w:gutter="0" w:footer="0" w:header="0"/>
        </w:sectPr>
      </w:pPr>
    </w:p>
    <w:bookmarkStart w:id="183" w:name="page184"/>
    <w:bookmarkEnd w:id="183"/>
    <w:p>
      <w:pPr>
        <w:jc w:val="both"/>
        <w:spacing w:after="0" w:line="221" w:lineRule="auto"/>
        <w:rPr>
          <w:sz w:val="20"/>
          <w:szCs w:val="20"/>
          <w:color w:val="auto"/>
        </w:rPr>
      </w:pPr>
      <w:r>
        <w:rPr>
          <w:rFonts w:ascii="Arial" w:cs="Arial" w:eastAsia="Arial" w:hAnsi="Arial"/>
          <w:sz w:val="19"/>
          <w:szCs w:val="19"/>
          <w:color w:val="FF0000"/>
          <w:strike w:val="1"/>
        </w:rPr>
        <w:t xml:space="preserve">determining “Daily Simple SONIA” for business loans;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the Administrative Agent decides that any such convention is not administratively feasible for the Administrative Agent, then the Administrative Agent may establish another convention in its reasonable discretion with the consent of the Borrower. </w:t>
      </w:r>
      <w:r>
        <w:rPr>
          <w:rFonts w:ascii="Arial" w:cs="Arial" w:eastAsia="Arial" w:hAnsi="Arial"/>
          <w:sz w:val="19"/>
          <w:szCs w:val="19"/>
          <w:u w:val="single" w:color="auto"/>
          <w:color w:val="0000FF"/>
          <w:strike w:val="1"/>
        </w:rPr>
        <w:t>Interest Day”), an interest rate per annum equal to the SONIA Rate for the day that is five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Business Days prior to (a) if such SONIA Interest Day is a Business Day, such SONIA Interest Day or (b) if such SONIA Interest Day is not a Business Day, the Business Day immediately preceding such SONIA Interest Day.</w:t>
      </w:r>
    </w:p>
    <w:p>
      <w:pPr>
        <w:spacing w:after="0" w:line="15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“Daily Simple TONA” means, for any day, TONA, with the conventions for this rate (which will include a lookback) being established by the Administrative Agent in accordance with the conventions for this rate selected or recommended by the Relevant Governmental Body for determining “Daily Simple TONA” for business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Administrative Agent decides that any such convention is not administratively feasible for the Administrative Agent, then the Administrative Agent may establish another convention in its reasonable discretion with the consent of the Borrower.</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“Debt Rating” has the meaning set forth in the definition of Applicable Amount.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“Declining Lender” has the meaning set forth in Section 2.01(e).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198" w:lineRule="exact"/>
        <w:rPr>
          <w:sz w:val="20"/>
          <w:szCs w:val="20"/>
          <w:color w:val="auto"/>
        </w:rPr>
      </w:pPr>
    </w:p>
    <w:p>
      <w:pPr>
        <w:jc w:val="both"/>
        <w:ind w:right="20" w:firstLine="1296"/>
        <w:spacing w:after="0" w:line="218" w:lineRule="auto"/>
        <w:rPr>
          <w:sz w:val="20"/>
          <w:szCs w:val="20"/>
          <w:color w:val="auto"/>
        </w:rPr>
      </w:pPr>
      <w:r>
        <w:rPr>
          <w:rFonts w:ascii="Arial" w:cs="Arial" w:eastAsia="Arial" w:hAnsi="Arial"/>
          <w:sz w:val="20"/>
          <w:szCs w:val="20"/>
          <w:color w:val="auto"/>
        </w:rPr>
        <w:t>“Default Rate” means an interest rate equal to (i) in the case of overdue principal of any Loan, 2% per annum plus the rate otherwise applicable to such Loan as provided in Section 2.09(a) or (ii) in the case of any other overdue amount, 2% per annum plus the rate applicable to Base Rate Loans, in each case to the fullest extent permitted by applicable Laws.</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“Default Right” has the meaning assigned to that term in, and shall be interpreted in accordance with, 12 C.F.R. §§ 252.81, 47.2 or 382.1, as applicable.</w:t>
      </w:r>
    </w:p>
    <w:p>
      <w:pPr>
        <w:spacing w:after="0" w:line="15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8"/>
          <w:szCs w:val="18"/>
          <w:color w:val="auto"/>
        </w:rPr>
        <w:t xml:space="preserve">“Defaulting Lender” means any Lender that has (a) failed to fund its portion of any Borrowing, or any portion of its participation in any Letter of Credit, within three Business Days of the date on which it shall have been required to fund the same (or, in the case of any Borrowing on the Effective Date, on the Effective Date), (b) notified Borrower, Administrative Agent, any Issuing Lender or any other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and participations in then outstanding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Lender shall cease to be a Defaulting Lender under this clause (c) upon receipt of such confirmation by Administrative Agent, (d) otherwise failed to pay over to Administrative Agent or any other Lender any other amount required to be paid by it hereunder within three Business Days of the date when due, unless the subject of a good faith dispute, (e) (i) been (or has a parent company, including any intermediate parent company, that has been) adjudicated as, or determined by any Governmental Authority having regulatory authority over such Person or its assets to be, insolvent or (ii)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Bail-in Action or a bankruptcy or insolvency proceeding, or has had a receiver,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5" w:right="339" w:bottom="1440" w:gutter="0" w:footer="0" w:header="0"/>
        </w:sectPr>
      </w:pPr>
    </w:p>
    <w:bookmarkStart w:id="184" w:name="page185"/>
    <w:bookmarkEnd w:id="184"/>
    <w:p>
      <w:pPr>
        <w:jc w:val="both"/>
        <w:spacing w:after="0" w:line="216" w:lineRule="auto"/>
        <w:rPr>
          <w:sz w:val="20"/>
          <w:szCs w:val="20"/>
          <w:color w:val="auto"/>
        </w:rPr>
      </w:pPr>
      <w:r>
        <w:rPr>
          <w:rFonts w:ascii="Arial" w:cs="Arial" w:eastAsia="Arial" w:hAnsi="Arial"/>
          <w:sz w:val="19"/>
          <w:szCs w:val="19"/>
          <w:color w:val="auto"/>
        </w:rPr>
        <w:t>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Bail-in Action or bankruptcy proceeding or appointment, unless in the case of any Lender referred to in this clause (e) Borrower, Administrative Agent and each Issuing Lender shall be satisfied that such Lender intends, and has all approvals required to enable it, to continue to perform its obligations as a Lender hereunder or (f) 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155" w:lineRule="exact"/>
        <w:rPr>
          <w:sz w:val="20"/>
          <w:szCs w:val="20"/>
          <w:color w:val="auto"/>
        </w:rPr>
      </w:pPr>
    </w:p>
    <w:p>
      <w:pPr>
        <w:jc w:val="both"/>
        <w:ind w:right="360" w:firstLine="1296"/>
        <w:spacing w:after="0" w:line="244"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“Dollar” and “$” means lawful money of the United States of America.</w:t>
      </w:r>
    </w:p>
    <w:p>
      <w:pPr>
        <w:spacing w:after="0" w:line="175"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“Dollar Amount” means, at any time, for any amount, (i) if denominated in Dollars, the amount thereof and (ii) if denominated in an Alternative Currency, the amount thereof converted to Dollars in accordance with Section 2.15.</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“Early Opt-in Election” means, with respect to any Agreed Currency, the occurrence of:</w:t>
      </w:r>
    </w:p>
    <w:p>
      <w:pPr>
        <w:spacing w:after="0" w:line="175" w:lineRule="exact"/>
        <w:rPr>
          <w:sz w:val="20"/>
          <w:szCs w:val="20"/>
          <w:color w:val="auto"/>
        </w:rPr>
      </w:pPr>
    </w:p>
    <w:p>
      <w:pPr>
        <w:jc w:val="both"/>
        <w:ind w:firstLine="1304"/>
        <w:spacing w:after="0" w:line="210" w:lineRule="auto"/>
        <w:tabs>
          <w:tab w:leader="none" w:pos="183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 notification by the Administrative Agent to (or the request by the Borrower to the Administrative Agent to notify) each of the other parties hereto that at least five currently outstanding syndicated credit facilities for investment grade companies denominated in the applicable Agreed Currency at such time contain (as a result of amendment or as originally executed) a new benchmark interest rate to replace the Relevant Rate (and such syndicated credit facilities for investment grade companies are identified in such notice and are publicly available for review), and</w:t>
      </w:r>
    </w:p>
    <w:p>
      <w:pPr>
        <w:spacing w:after="0" w:line="154" w:lineRule="exact"/>
        <w:rPr>
          <w:rFonts w:ascii="Arial" w:cs="Arial" w:eastAsia="Arial" w:hAnsi="Arial"/>
          <w:sz w:val="20"/>
          <w:szCs w:val="20"/>
          <w:color w:val="auto"/>
        </w:rPr>
      </w:pPr>
    </w:p>
    <w:p>
      <w:pPr>
        <w:jc w:val="both"/>
        <w:ind w:firstLine="1304"/>
        <w:spacing w:after="0" w:line="218" w:lineRule="auto"/>
        <w:tabs>
          <w:tab w:leader="none" w:pos="188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the Borrower to declare that an Early Opt-in Election for such Agreed Currency has occurred and the provision, as applicable, by the Administrative Agent of written notice of such election to the Borrower and the Lenders.</w:t>
      </w:r>
    </w:p>
    <w:p>
      <w:pPr>
        <w:spacing w:after="0" w:line="156"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8"/>
          <w:szCs w:val="18"/>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 (b) 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w:t>
      </w:r>
    </w:p>
    <w:p>
      <w:pPr>
        <w:spacing w:after="0" w:line="15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5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“EEA Member Country”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5" w:right="339" w:bottom="1440" w:gutter="0" w:footer="0" w:header="0"/>
        </w:sectPr>
      </w:pPr>
    </w:p>
    <w:bookmarkStart w:id="185" w:name="page186"/>
    <w:bookmarkEnd w:id="185"/>
    <w:p>
      <w:pPr>
        <w:jc w:val="both"/>
        <w:ind w:firstLine="1296"/>
        <w:spacing w:after="0" w:line="269"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“Effective Date” means the date upon which all the conditions precedent in Section 4.01 have been satisfied or waived, which date is March 30, 2021.</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“Electronic Signature”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jc w:val="both"/>
        <w:ind w:firstLine="1296"/>
        <w:spacing w:after="0" w:line="201" w:lineRule="auto"/>
        <w:rPr>
          <w:sz w:val="20"/>
          <w:szCs w:val="20"/>
          <w:color w:val="auto"/>
        </w:rPr>
      </w:pPr>
      <w:r>
        <w:rPr>
          <w:rFonts w:ascii="Arial" w:cs="Arial" w:eastAsia="Arial" w:hAnsi="Arial"/>
          <w:sz w:val="20"/>
          <w:szCs w:val="20"/>
          <w:color w:val="auto"/>
        </w:rPr>
        <w:t>“Electronic System” means any electronic system, including e-mail, e-fax, Intralinks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ClearPar®, Debt Domain, Syndtrak and any other Internet or extranet-based site, whether such electronic system is owned, operated or hosted by Administrative Agent or any other Person, providing for access to data protected by passcodes or other security system.</w:t>
      </w:r>
    </w:p>
    <w:p>
      <w:pPr>
        <w:spacing w:after="0" w:line="157"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8"/>
          <w:szCs w:val="18"/>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or</w:t>
      </w:r>
    </w:p>
    <w:p>
      <w:pPr>
        <w:spacing w:after="0" w:line="3" w:lineRule="exact"/>
        <w:rPr>
          <w:sz w:val="20"/>
          <w:szCs w:val="20"/>
          <w:color w:val="auto"/>
        </w:rPr>
      </w:pPr>
    </w:p>
    <w:p>
      <w:pPr>
        <w:ind w:firstLine="8"/>
        <w:spacing w:after="0" w:line="220" w:lineRule="auto"/>
        <w:tabs>
          <w:tab w:leader="none" w:pos="409"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any other Person approved by Administrative Agent and Borrower; provided, however, that no Defaulting Lender shall qualify as an Eligible Assignee.</w:t>
      </w:r>
    </w:p>
    <w:p>
      <w:pPr>
        <w:spacing w:after="0" w:line="156" w:lineRule="exact"/>
        <w:rPr>
          <w:sz w:val="20"/>
          <w:szCs w:val="20"/>
          <w:color w:val="auto"/>
        </w:rPr>
      </w:pPr>
    </w:p>
    <w:p>
      <w:pPr>
        <w:ind w:right="240" w:firstLine="1296"/>
        <w:spacing w:after="0" w:line="218" w:lineRule="auto"/>
        <w:rPr>
          <w:sz w:val="20"/>
          <w:szCs w:val="20"/>
          <w:color w:val="auto"/>
        </w:rPr>
      </w:pPr>
      <w:r>
        <w:rPr>
          <w:rFonts w:ascii="Arial" w:cs="Arial" w:eastAsia="Arial" w:hAnsi="Arial"/>
          <w:sz w:val="20"/>
          <w:szCs w:val="20"/>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56" w:lineRule="exact"/>
        <w:rPr>
          <w:sz w:val="20"/>
          <w:szCs w:val="20"/>
          <w:color w:val="auto"/>
        </w:rPr>
      </w:pPr>
    </w:p>
    <w:p>
      <w:pPr>
        <w:ind w:right="480" w:firstLine="1296"/>
        <w:spacing w:after="0" w:line="229" w:lineRule="auto"/>
        <w:rPr>
          <w:sz w:val="20"/>
          <w:szCs w:val="20"/>
          <w:color w:val="auto"/>
        </w:rPr>
      </w:pPr>
      <w:r>
        <w:rPr>
          <w:rFonts w:ascii="Arial" w:cs="Arial" w:eastAsia="Arial" w:hAnsi="Arial"/>
          <w:sz w:val="20"/>
          <w:szCs w:val="20"/>
          <w:color w:val="auto"/>
        </w:rPr>
        <w:t>“ERISA” means the Employee Retirement Income Security Act of 1974 and any regulations issued pursuant thereto, as amended from time to time.</w:t>
      </w:r>
    </w:p>
    <w:p>
      <w:pPr>
        <w:spacing w:after="0" w:line="155" w:lineRule="exact"/>
        <w:rPr>
          <w:sz w:val="20"/>
          <w:szCs w:val="20"/>
          <w:color w:val="auto"/>
        </w:rPr>
      </w:pPr>
    </w:p>
    <w:p>
      <w:pPr>
        <w:ind w:right="80" w:firstLine="1296"/>
        <w:spacing w:after="0" w:line="218" w:lineRule="auto"/>
        <w:rPr>
          <w:sz w:val="20"/>
          <w:szCs w:val="20"/>
          <w:color w:val="auto"/>
        </w:rPr>
      </w:pPr>
      <w:r>
        <w:rPr>
          <w:rFonts w:ascii="Arial" w:cs="Arial" w:eastAsia="Arial" w:hAnsi="Arial"/>
          <w:sz w:val="20"/>
          <w:szCs w:val="20"/>
          <w:color w:val="auto"/>
        </w:rPr>
        <w:t>“ERISA Affiliate” means any person that for purposes of Title IV of ERISA or Section 412 of the Code would be deemed at any relevant time to be a “single employer” with Borrower under Section 414(b), (c), (m) or (o) of the Code or Section 4001(a)(14) of ERISA.</w:t>
      </w:r>
    </w:p>
    <w:p>
      <w:pPr>
        <w:spacing w:after="0" w:line="156"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19"/>
          <w:szCs w:val="19"/>
          <w:color w:val="auto"/>
        </w:rPr>
        <w:t>“ERISA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occurrence of any event or condition which could reasonably be expected to constitute grounds under ERISA for the termination of, or the appointment of a trustee to administer, any Plan or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Borrower or any ERISA Affiliate of any notice, or the receipt by any Multiemployer Plan from Borrower or any ERISA Affiliate of any notice, concerning the imposition of withdrawal liability or a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5" w:right="339" w:bottom="1440" w:gutter="0" w:footer="0" w:header="0"/>
        </w:sectPr>
      </w:pPr>
    </w:p>
    <w:bookmarkStart w:id="186" w:name="page187"/>
    <w:bookmarkEnd w:id="186"/>
    <w:p>
      <w:pPr>
        <w:jc w:val="both"/>
        <w:spacing w:after="0" w:line="269" w:lineRule="auto"/>
        <w:rPr>
          <w:sz w:val="20"/>
          <w:szCs w:val="20"/>
          <w:color w:val="auto"/>
        </w:rPr>
      </w:pPr>
      <w:r>
        <w:rPr>
          <w:rFonts w:ascii="Arial" w:cs="Arial" w:eastAsia="Arial" w:hAnsi="Arial"/>
          <w:sz w:val="18"/>
          <w:szCs w:val="18"/>
          <w:color w:val="auto"/>
        </w:rPr>
        <w:t>that a Multiemployer Plan is, or is expected to be, insolvent (within the meaning of Title IV of ERISA), in “endangered” or “critical” status (within the meaning of Section 432 of the Code or Section 305 of ERISA), or terminated (within the meaning of Section 4041A of ERISA).</w:t>
      </w:r>
    </w:p>
    <w:p>
      <w:pPr>
        <w:spacing w:after="0" w:line="130"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“ESTR” means, with respect to any Business Day, a rate per annum equal to the Euro Short Term Rate for such Business Day published by the ESTR Administrator on the ESTR Administrator’s Website.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“ESTR Administrator” means the European Central Bank (or any successor administrator of the Euro Short Term Rate).</w:t>
      </w:r>
    </w:p>
    <w:p>
      <w:pPr>
        <w:spacing w:after="0" w:line="198" w:lineRule="exact"/>
        <w:rPr>
          <w:sz w:val="20"/>
          <w:szCs w:val="20"/>
          <w:color w:val="auto"/>
        </w:rPr>
      </w:pPr>
    </w:p>
    <w:p>
      <w:pPr>
        <w:jc w:val="both"/>
        <w:ind w:right="20" w:firstLine="1296"/>
        <w:spacing w:after="0" w:line="242" w:lineRule="auto"/>
        <w:rPr>
          <w:sz w:val="20"/>
          <w:szCs w:val="20"/>
          <w:color w:val="auto"/>
        </w:rPr>
      </w:pPr>
      <w:r>
        <w:rPr>
          <w:rFonts w:ascii="Arial" w:cs="Arial" w:eastAsia="Arial" w:hAnsi="Arial"/>
          <w:sz w:val="19"/>
          <w:szCs w:val="19"/>
          <w:color w:val="auto"/>
        </w:rPr>
        <w:t>“ESTR Administrator’s Website” means the European Central Bank’s website, currently at http://www.ecb.europa.eu, or any successor source for the Euro Short Term Rate identified as such by the ESTR Administrator from time to time.</w:t>
      </w:r>
    </w:p>
    <w:p>
      <w:pPr>
        <w:spacing w:after="0" w:line="153" w:lineRule="exact"/>
        <w:rPr>
          <w:sz w:val="20"/>
          <w:szCs w:val="20"/>
          <w:color w:val="auto"/>
        </w:rPr>
      </w:pPr>
    </w:p>
    <w:p>
      <w:pPr>
        <w:ind w:right="280" w:firstLine="1296"/>
        <w:spacing w:after="0" w:line="229" w:lineRule="auto"/>
        <w:rPr>
          <w:sz w:val="20"/>
          <w:szCs w:val="20"/>
          <w:color w:val="auto"/>
        </w:rPr>
      </w:pPr>
      <w:r>
        <w:rPr>
          <w:rFonts w:ascii="Arial" w:cs="Arial" w:eastAsia="Arial" w:hAnsi="Arial"/>
          <w:sz w:val="20"/>
          <w:szCs w:val="20"/>
          <w:color w:val="auto"/>
        </w:rPr>
        <w:t>“EU Bail-In Legislation Schedule” means the EU Bail-In Legislation Schedule published by the Loan Market Association (or any successor Person), as in effect from time to time.</w:t>
      </w:r>
    </w:p>
    <w:p>
      <w:pPr>
        <w:spacing w:after="0" w:line="155" w:lineRule="exact"/>
        <w:rPr>
          <w:sz w:val="20"/>
          <w:szCs w:val="20"/>
          <w:color w:val="auto"/>
        </w:rPr>
      </w:pPr>
    </w:p>
    <w:p>
      <w:pPr>
        <w:jc w:val="both"/>
        <w:ind w:firstLine="1296"/>
        <w:spacing w:after="0" w:line="205" w:lineRule="auto"/>
        <w:rPr>
          <w:sz w:val="20"/>
          <w:szCs w:val="20"/>
          <w:color w:val="auto"/>
        </w:rPr>
      </w:pPr>
      <w:r>
        <w:rPr>
          <w:rFonts w:ascii="Arial" w:cs="Arial" w:eastAsia="Arial" w:hAnsi="Arial"/>
          <w:sz w:val="20"/>
          <w:szCs w:val="20"/>
          <w:color w:val="auto"/>
        </w:rPr>
        <w:t xml:space="preserve">“EURIBOR Interpolated Rate” means, at any time, with respect to any Floating Rate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EURIBOR Interpolated Rate shall be less than zero, such rate shall be deemed to be zero for the purposes of this Agreement.</w:t>
      </w:r>
    </w:p>
    <w:p>
      <w:pPr>
        <w:spacing w:after="0" w:line="15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 xml:space="preserve">“EURIBOR Rate” means, with respect to any Floating Rate Borrowing denominated in Euros and for any Interest Period, the EURIBOR Screen Rate at approximately 11:00 a.m., Brussels time, two TARGET Days prior to the commencement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EURIBOR Screen Rate shall not be available at such time for such Interest Period (an “Impacted EURIBOR Rate Interest Period”) with respect to Euros then the EURIBOR Rate shall be the EURIBOR Interpolated Rate.</w:t>
      </w:r>
    </w:p>
    <w:p>
      <w:pPr>
        <w:spacing w:after="0" w:line="156" w:lineRule="exact"/>
        <w:rPr>
          <w:sz w:val="20"/>
          <w:szCs w:val="20"/>
          <w:color w:val="auto"/>
        </w:rPr>
      </w:pPr>
    </w:p>
    <w:p>
      <w:pPr>
        <w:jc w:val="both"/>
        <w:ind w:firstLine="1296"/>
        <w:spacing w:after="0" w:line="205" w:lineRule="auto"/>
        <w:rPr>
          <w:sz w:val="20"/>
          <w:szCs w:val="20"/>
          <w:color w:val="auto"/>
        </w:rPr>
      </w:pPr>
      <w:r>
        <w:rPr>
          <w:rFonts w:ascii="Arial" w:cs="Arial" w:eastAsia="Arial" w:hAnsi="Arial"/>
          <w:sz w:val="20"/>
          <w:szCs w:val="20"/>
          <w:color w:val="auto"/>
        </w:rPr>
        <w:t>“EURIBOR Screen Rate”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zero, the EURIBOR Screen Rate shall be deemed to be zero for purposes of this Agreement.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“Euro” and “€” means lawful money of the European Union.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“Event of Default” means any of the events specified in Section 8.</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6"/>
          <w:szCs w:val="16"/>
          <w:color w:val="auto"/>
        </w:rPr>
        <w:t>“Exchange Rate” means on any day with respect to any currency other than Dollars, the rate at which such currency may be exchanged into Dollars, as set forth at approximately 11:00 a.m. (London time) on such day on the Reuters World Currency Page for such currency; in the event that such rate does not appear on any Reuters World Currency Page, the Exchange Rate shall be determined by reference to such other publicly available service for displaying exchange rates as may be agreed upon by Administrative Agent and Borrower, or, in the absence of such agreement, such Exchange Rate shall instead be the arithmetic average of the spot rates of exchange of Administrative Agent in the market where its foreign currency exchange operations in respect of such currency are then being conducted,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5" w:right="339" w:bottom="1440" w:gutter="0" w:footer="0" w:header="0"/>
        </w:sectPr>
      </w:pPr>
    </w:p>
    <w:bookmarkStart w:id="187" w:name="page188"/>
    <w:bookmarkEnd w:id="187"/>
    <w:p>
      <w:pPr>
        <w:jc w:val="both"/>
        <w:spacing w:after="0" w:line="244" w:lineRule="auto"/>
        <w:rPr>
          <w:sz w:val="20"/>
          <w:szCs w:val="20"/>
          <w:color w:val="auto"/>
        </w:rPr>
      </w:pPr>
      <w:r>
        <w:rPr>
          <w:rFonts w:ascii="Arial" w:cs="Arial" w:eastAsia="Arial" w:hAnsi="Arial"/>
          <w:sz w:val="18"/>
          <w:szCs w:val="18"/>
          <w:color w:val="auto"/>
        </w:rPr>
        <w:t xml:space="preserve">or about 10:00 a.m. (New York City time) on such date for the purchase of Dollars for delivery two (2) Business Days later;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at any time of any such determination, for any reason, no such spot rate is being quoted, Administrative Agent may use any reasonable method it deems appropriate to determine such rate, and such determination shall be conclusive absent manifest error.</w:t>
      </w:r>
    </w:p>
    <w:p>
      <w:pPr>
        <w:spacing w:after="0" w:line="152" w:lineRule="exact"/>
        <w:rPr>
          <w:sz w:val="20"/>
          <w:szCs w:val="20"/>
          <w:color w:val="auto"/>
        </w:rPr>
      </w:pPr>
    </w:p>
    <w:p>
      <w:pPr>
        <w:jc w:val="both"/>
        <w:ind w:right="20" w:firstLine="1296"/>
        <w:spacing w:after="0" w:line="242" w:lineRule="auto"/>
        <w:rPr>
          <w:sz w:val="20"/>
          <w:szCs w:val="20"/>
          <w:color w:val="auto"/>
        </w:rPr>
      </w:pPr>
      <w:r>
        <w:rPr>
          <w:rFonts w:ascii="Arial" w:cs="Arial" w:eastAsia="Arial" w:hAnsi="Arial"/>
          <w:sz w:val="19"/>
          <w:szCs w:val="19"/>
          <w:color w:val="auto"/>
        </w:rPr>
        <w:t>“Existing Comcast Credit Agreement” means the Credit Agreement, dated as of May 26, 2016, among Comcast Corporation, the lenders and issuing lenders parties thereto, JPMorgan Chase Bank, N.A., as administrative agent, as amended.</w:t>
      </w:r>
    </w:p>
    <w:p>
      <w:pPr>
        <w:spacing w:after="0" w:line="153"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“Existing Credit Agreements” means, collectively, (i) the Existing Comcast Credit Agreement and (ii) the Credit Agreement, dated as of May 26, 2016, among NBCUniversal Enterprise, Inc., the lenders party thereto and JPMorgan Chase Bank, N.A., as administrative agent, as amended.</w:t>
      </w:r>
    </w:p>
    <w:p>
      <w:pPr>
        <w:spacing w:after="0" w:line="15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“Existing Letters of Credit” means the letters of credit that have been issued prior to the Effective Date pursuant to the Existing Comcast Credit Agreement or that certain continuing agreement for standby letters of credit dated as of December 2, 2011 between Borrower and JPMorgan Chase Bank, N.A. (as amended by that certain amendment to letter of credit agreement dated as of March 14, 2013 between Borrower and JPMorgan Chase Bank, N.A.) and that are outstanding on the Effective Date.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“Extended Revolving Termination Date” has the meaning set forth in Section 2.01(e).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“Extending Lender” has the meaning set forth in Section 2.01(e).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“Extension Effectiveness Date” has the meaning set forth in Section 2.01(e).</w:t>
      </w:r>
    </w:p>
    <w:p>
      <w:pPr>
        <w:spacing w:after="0" w:line="17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52"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law, regulation, rule, promulgation, or official agreement implementing an official intergovernmental agreement with respect to such Sections.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“FCA” </w:t>
      </w:r>
      <w:r>
        <w:rPr>
          <w:rFonts w:ascii="Arial" w:cs="Arial" w:eastAsia="Arial" w:hAnsi="Arial"/>
          <w:sz w:val="19"/>
          <w:szCs w:val="19"/>
          <w:color w:val="auto"/>
        </w:rPr>
        <w:t>has the meaning set forth in Section 1.08.</w:t>
      </w:r>
    </w:p>
    <w:p>
      <w:pPr>
        <w:spacing w:after="0" w:line="184"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“Federal Funds Rate”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If the Federal Funds Rate shall be less than zero, such rate shall be deemed to be zero for purposes of this Agreement.</w:t>
      </w:r>
    </w:p>
    <w:p>
      <w:pPr>
        <w:spacing w:after="0" w:line="156" w:lineRule="exact"/>
        <w:rPr>
          <w:sz w:val="20"/>
          <w:szCs w:val="20"/>
          <w:color w:val="auto"/>
        </w:rPr>
      </w:pPr>
    </w:p>
    <w:p>
      <w:pPr>
        <w:jc w:val="both"/>
        <w:ind w:right="20" w:firstLine="1296"/>
        <w:spacing w:after="0" w:line="242" w:lineRule="auto"/>
        <w:rPr>
          <w:sz w:val="20"/>
          <w:szCs w:val="20"/>
          <w:color w:val="auto"/>
        </w:rPr>
      </w:pPr>
      <w:r>
        <w:rPr>
          <w:rFonts w:ascii="Arial" w:cs="Arial" w:eastAsia="Arial" w:hAnsi="Arial"/>
          <w:sz w:val="19"/>
          <w:szCs w:val="19"/>
          <w:color w:val="auto"/>
        </w:rPr>
        <w:t>“Fixed Rate” means, with respect to any Competitive Loan (other than a Competitive Loan that is a Floating Rate Loan), the fixed rate of interest per annum specified by the Lender making such Competitive Loan in its related Competitive Bid.</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“Fixed Rate Loan” means a Competitive Loan bearing interest at a Fixed Rate.</w:t>
      </w:r>
    </w:p>
    <w:p>
      <w:pPr>
        <w:spacing w:after="0" w:line="17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“Floating Rate”, when used in reference to any Loan or Borrowing, refers to whether such Loan, or the Loans comprising such Borrowing, are bearing interest at a rate determined by reference to the Adjusted LIBO Rate, the </w:t>
      </w:r>
      <w:r>
        <w:rPr>
          <w:rFonts w:ascii="Arial" w:cs="Arial" w:eastAsia="Arial" w:hAnsi="Arial"/>
          <w:sz w:val="18"/>
          <w:szCs w:val="18"/>
          <w:u w:val="single" w:color="auto"/>
          <w:color w:val="0000FF"/>
        </w:rPr>
        <w:t>Floating SONIA Rate, the</w:t>
      </w:r>
      <w:r>
        <w:rPr>
          <w:rFonts w:ascii="Arial" w:cs="Arial" w:eastAsia="Arial" w:hAnsi="Arial"/>
          <w:sz w:val="18"/>
          <w:szCs w:val="18"/>
          <w:color w:val="auto"/>
        </w:rPr>
        <w:t xml:space="preserve"> Adjusted EURIBOR Rate, the Adjusted TIBOR Rate or the CDOR Screen Rate (or, in the case of a Competitive Loan, the LIBO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5" w:right="339" w:bottom="1440" w:gutter="0" w:footer="0" w:header="0"/>
        </w:sectPr>
      </w:pPr>
    </w:p>
    <w:bookmarkStart w:id="188" w:name="page189"/>
    <w:bookmarkEnd w:id="188"/>
    <w:p>
      <w:pPr>
        <w:jc w:val="both"/>
        <w:ind w:firstLine="1296"/>
        <w:spacing w:after="0" w:line="242" w:lineRule="auto"/>
        <w:rPr>
          <w:sz w:val="20"/>
          <w:szCs w:val="20"/>
          <w:color w:val="auto"/>
        </w:rPr>
      </w:pPr>
      <w:r>
        <w:rPr>
          <w:rFonts w:ascii="Arial" w:cs="Arial" w:eastAsia="Arial" w:hAnsi="Arial"/>
          <w:sz w:val="19"/>
          <w:szCs w:val="19"/>
          <w:u w:val="single" w:color="auto"/>
          <w:color w:val="0000FF"/>
        </w:rPr>
        <w:t>“Floating SONIA Rate”, when used in reference to any Loan or Borrowing, refers to whether such Loan, or the Loans comprising such Borrowing, are bearing interest at a rate determined by reference to the Adjusted Daily Simple SONIA Rate.</w:t>
      </w:r>
    </w:p>
    <w:p>
      <w:pPr>
        <w:spacing w:after="0" w:line="153"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 xml:space="preserve">“Floor” means the benchmark rate floor, if any, provided in this Agreement initially (as of the execution of this Agreement, the modification, amendment or renewal of this Agreement or otherwise) with respect to </w:t>
      </w:r>
      <w:r>
        <w:rPr>
          <w:rFonts w:ascii="Arial" w:cs="Arial" w:eastAsia="Arial" w:hAnsi="Arial"/>
          <w:sz w:val="20"/>
          <w:szCs w:val="20"/>
          <w:u w:val="single" w:color="auto"/>
          <w:color w:val="0000FF"/>
        </w:rPr>
        <w:t>the</w:t>
      </w:r>
      <w:r>
        <w:rPr>
          <w:rFonts w:ascii="Arial" w:cs="Arial" w:eastAsia="Arial" w:hAnsi="Arial"/>
          <w:sz w:val="20"/>
          <w:szCs w:val="20"/>
          <w:color w:val="auto"/>
        </w:rPr>
        <w:t xml:space="preserve"> LIBO Rate, </w:t>
      </w:r>
      <w:r>
        <w:rPr>
          <w:rFonts w:ascii="Arial" w:cs="Arial" w:eastAsia="Arial" w:hAnsi="Arial"/>
          <w:sz w:val="20"/>
          <w:szCs w:val="20"/>
          <w:u w:val="single" w:color="auto"/>
          <w:color w:val="0000FF"/>
        </w:rPr>
        <w:t>the SONIA Rate, the</w:t>
      </w:r>
      <w:r>
        <w:rPr>
          <w:rFonts w:ascii="Arial" w:cs="Arial" w:eastAsia="Arial" w:hAnsi="Arial"/>
          <w:sz w:val="20"/>
          <w:szCs w:val="20"/>
          <w:color w:val="auto"/>
        </w:rPr>
        <w:t xml:space="preserve"> EURIBOR Rate, </w:t>
      </w:r>
      <w:r>
        <w:rPr>
          <w:rFonts w:ascii="Arial" w:cs="Arial" w:eastAsia="Arial" w:hAnsi="Arial"/>
          <w:sz w:val="20"/>
          <w:szCs w:val="20"/>
          <w:u w:val="single" w:color="auto"/>
          <w:color w:val="0000FF"/>
        </w:rPr>
        <w:t>the</w:t>
      </w:r>
      <w:r>
        <w:rPr>
          <w:rFonts w:ascii="Arial" w:cs="Arial" w:eastAsia="Arial" w:hAnsi="Arial"/>
          <w:sz w:val="20"/>
          <w:szCs w:val="20"/>
          <w:color w:val="auto"/>
        </w:rPr>
        <w:t xml:space="preserve"> TIBOR Rate or </w:t>
      </w:r>
      <w:r>
        <w:rPr>
          <w:rFonts w:ascii="Arial" w:cs="Arial" w:eastAsia="Arial" w:hAnsi="Arial"/>
          <w:sz w:val="20"/>
          <w:szCs w:val="20"/>
          <w:u w:val="single" w:color="auto"/>
          <w:color w:val="0000FF"/>
        </w:rPr>
        <w:t>the</w:t>
      </w:r>
      <w:r>
        <w:rPr>
          <w:rFonts w:ascii="Arial" w:cs="Arial" w:eastAsia="Arial" w:hAnsi="Arial"/>
          <w:sz w:val="20"/>
          <w:szCs w:val="20"/>
          <w:color w:val="auto"/>
        </w:rPr>
        <w:t xml:space="preserve"> CDOR Screen Rate, as applicable.</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“GAAP” means generally accepted accounting principles applied on a consistent basis (but subject to changes approved by Borrower’s independent certified public accountants).</w:t>
      </w:r>
    </w:p>
    <w:p>
      <w:pPr>
        <w:spacing w:after="0" w:line="15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5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“Guarantee Agreement” means the Guarantee Agreement to be executed and delivered by each Guarantor, substantially in the form of Exhibit A.</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“Guarantors” means Comcast Cable Communications, LLC, NBCUniversal Media, LLC and each Restricted Subsidiary that becomes a party to the Guarantee Agreement pursuant to Section 6.10 (in each case to the extent not released as contemplated by this Agreement).</w:t>
      </w:r>
    </w:p>
    <w:p>
      <w:pPr>
        <w:spacing w:after="0" w:line="156"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18"/>
          <w:szCs w:val="18"/>
          <w:color w:val="auto"/>
        </w:rPr>
        <w:t xml:space="preserve">“Guaranty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55" w:lineRule="exact"/>
        <w:rPr>
          <w:sz w:val="20"/>
          <w:szCs w:val="20"/>
          <w:color w:val="auto"/>
        </w:rPr>
      </w:pPr>
    </w:p>
    <w:p>
      <w:pPr>
        <w:ind w:left="1300" w:right="300"/>
        <w:spacing w:after="0" w:line="469" w:lineRule="auto"/>
        <w:rPr>
          <w:sz w:val="20"/>
          <w:szCs w:val="20"/>
          <w:color w:val="auto"/>
        </w:rPr>
      </w:pPr>
      <w:r>
        <w:rPr>
          <w:rFonts w:ascii="Arial" w:cs="Arial" w:eastAsia="Arial" w:hAnsi="Arial"/>
          <w:sz w:val="18"/>
          <w:szCs w:val="18"/>
          <w:color w:val="auto"/>
        </w:rPr>
        <w:t>“Impacted EURIBOR Rate Interest Period” has the meaning assigned to such term in the definition of “EURIBOR Rate.” “Impacted LIBO Rate Interest Period” has the meaning assigned to such term in the definition of “LIBO Rate.” “Impacted TIBOR Rate Interest Period” has the meaning assigned to such term in the definition of “TIBOR Rate.” “Increased Revolving Commitment Activation Notice” means a notice substantially in the form of Exhibit E-2.</w:t>
      </w:r>
    </w:p>
    <w:p>
      <w:pPr>
        <w:spacing w:after="0" w:line="2" w:lineRule="exact"/>
        <w:rPr>
          <w:sz w:val="20"/>
          <w:szCs w:val="20"/>
          <w:color w:val="auto"/>
        </w:rPr>
      </w:pPr>
    </w:p>
    <w:p>
      <w:pPr>
        <w:ind w:right="280" w:firstLine="1296"/>
        <w:spacing w:after="0" w:line="229" w:lineRule="auto"/>
        <w:rPr>
          <w:sz w:val="20"/>
          <w:szCs w:val="20"/>
          <w:color w:val="auto"/>
        </w:rPr>
      </w:pPr>
      <w:r>
        <w:rPr>
          <w:rFonts w:ascii="Arial" w:cs="Arial" w:eastAsia="Arial" w:hAnsi="Arial"/>
          <w:sz w:val="20"/>
          <w:szCs w:val="20"/>
          <w:color w:val="auto"/>
        </w:rPr>
        <w:t>“Increased Revolving Commitment Closing Date” means any Business Day designated as such in an Increased Revolving Commitment Activation Notice.</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5" w:right="339" w:bottom="1440" w:gutter="0" w:footer="0" w:header="0"/>
        </w:sectPr>
      </w:pPr>
    </w:p>
    <w:bookmarkStart w:id="189" w:name="page190"/>
    <w:bookmarkEnd w:id="189"/>
    <w:p>
      <w:pPr>
        <w:jc w:val="both"/>
        <w:spacing w:after="0" w:line="213" w:lineRule="auto"/>
        <w:rPr>
          <w:sz w:val="20"/>
          <w:szCs w:val="20"/>
          <w:color w:val="auto"/>
        </w:rPr>
      </w:pPr>
      <w:r>
        <w:rPr>
          <w:rFonts w:ascii="Arial" w:cs="Arial" w:eastAsia="Arial" w:hAnsi="Arial"/>
          <w:sz w:val="19"/>
          <w:szCs w:val="19"/>
          <w:color w:val="auto"/>
        </w:rPr>
        <w:t xml:space="preserve">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Indebtedness shall not include (i) trade accounts payable arising in the ordinary course of business and (ii) deferred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amount of any Indebtedness described in clause (e) above shall be the lesser of the amount of the Indebtedness or the fair market value of the property securing such Indebtedness.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“Indemnified Liabilities” has the meaning set forth in Section 10.13.</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“Indemnitees” has the meaning set forth in Section 10.13.</w:t>
      </w:r>
    </w:p>
    <w:p>
      <w:pPr>
        <w:spacing w:after="0" w:line="175"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18"/>
          <w:szCs w:val="18"/>
          <w:color w:val="auto"/>
        </w:rPr>
        <w:t>“Interest Expense” means, with respect to any Person or any income generating assets, for any period, an amount equal to, without duplication, (a) 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and (d) minus the amortization of any discount or plus the amortization of any premium (determined as the difference between the present value and the face amount of the subject Indebtedness) recorded during such period.</w:t>
      </w:r>
    </w:p>
    <w:p>
      <w:pPr>
        <w:spacing w:after="0" w:line="155"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8"/>
          <w:szCs w:val="18"/>
          <w:color w:val="auto"/>
        </w:rPr>
        <w:t xml:space="preserve">“Interest Period” means (a) for each Floating Rate Loan </w:t>
      </w:r>
      <w:r>
        <w:rPr>
          <w:rFonts w:ascii="Arial" w:cs="Arial" w:eastAsia="Arial" w:hAnsi="Arial"/>
          <w:sz w:val="18"/>
          <w:szCs w:val="18"/>
          <w:u w:val="single" w:color="auto"/>
          <w:color w:val="0000FF"/>
        </w:rPr>
        <w:t>(other than a Floating SONIA Rate Loan)</w:t>
      </w:r>
      <w:r>
        <w:rPr>
          <w:rFonts w:ascii="Arial" w:cs="Arial" w:eastAsia="Arial" w:hAnsi="Arial"/>
          <w:sz w:val="18"/>
          <w:szCs w:val="18"/>
          <w:color w:val="auto"/>
        </w:rPr>
        <w:t xml:space="preserve">, (i) initially, the period commencing on the date such Floating Rate Loan is disbursed or Continued as, or Converted into, such Floating Rate Loan and (ii) thereafter, the period commencing on the last day of the preceding Interest Period, and ending, in each case, on the earlier of (A) the scheduled maturity date of such Loan, or (B) one, three, six, or, if agreed to by each Lender, 12 months or periods less than one month, thereafter and (b) with respect to any Borrowing of Fixed Rate Loans, the period (which shall not be less than seven days or more than 360 days) commencing on the date of such Borrowing and ending on the date specified in the applicable Competitive Bid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8" w:lineRule="exact"/>
        <w:rPr>
          <w:sz w:val="20"/>
          <w:szCs w:val="20"/>
          <w:color w:val="auto"/>
        </w:rPr>
      </w:pPr>
    </w:p>
    <w:p>
      <w:pPr>
        <w:jc w:val="both"/>
        <w:ind w:left="660" w:firstLine="644"/>
        <w:spacing w:after="0" w:line="216" w:lineRule="auto"/>
        <w:tabs>
          <w:tab w:leader="none" w:pos="1944" w:val="left"/>
        </w:tabs>
        <w:numPr>
          <w:ilvl w:val="0"/>
          <w:numId w:val="138"/>
        </w:numPr>
        <w:rPr>
          <w:rFonts w:ascii="Arial" w:cs="Arial" w:eastAsia="Arial" w:hAnsi="Arial"/>
          <w:sz w:val="22"/>
          <w:szCs w:val="22"/>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68" w:lineRule="exact"/>
        <w:rPr>
          <w:rFonts w:ascii="Arial" w:cs="Arial" w:eastAsia="Arial" w:hAnsi="Arial"/>
          <w:sz w:val="22"/>
          <w:szCs w:val="22"/>
          <w:color w:val="auto"/>
        </w:rPr>
      </w:pPr>
    </w:p>
    <w:p>
      <w:pPr>
        <w:jc w:val="both"/>
        <w:ind w:left="660" w:firstLine="644"/>
        <w:spacing w:after="0" w:line="216" w:lineRule="auto"/>
        <w:tabs>
          <w:tab w:leader="none" w:pos="1950" w:val="left"/>
        </w:tabs>
        <w:numPr>
          <w:ilvl w:val="0"/>
          <w:numId w:val="138"/>
        </w:numPr>
        <w:rPr>
          <w:rFonts w:ascii="Arial" w:cs="Arial" w:eastAsia="Arial" w:hAnsi="Arial"/>
          <w:sz w:val="22"/>
          <w:szCs w:val="22"/>
          <w:color w:val="auto"/>
        </w:rPr>
      </w:pPr>
      <w:r>
        <w:rPr>
          <w:rFonts w:ascii="Arial" w:cs="Arial" w:eastAsia="Arial" w:hAnsi="Arial"/>
          <w:sz w:val="20"/>
          <w:szCs w:val="20"/>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8" w:lineRule="exact"/>
        <w:rPr>
          <w:rFonts w:ascii="Arial" w:cs="Arial" w:eastAsia="Arial" w:hAnsi="Arial"/>
          <w:sz w:val="22"/>
          <w:szCs w:val="22"/>
          <w:color w:val="auto"/>
        </w:rPr>
      </w:pPr>
    </w:p>
    <w:p>
      <w:pPr>
        <w:ind w:left="660" w:right="260" w:firstLine="644"/>
        <w:spacing w:after="0" w:line="225" w:lineRule="auto"/>
        <w:tabs>
          <w:tab w:leader="none" w:pos="1956" w:val="left"/>
        </w:tabs>
        <w:numPr>
          <w:ilvl w:val="0"/>
          <w:numId w:val="138"/>
        </w:numPr>
        <w:rPr>
          <w:rFonts w:ascii="Arial" w:cs="Arial" w:eastAsia="Arial" w:hAnsi="Arial"/>
          <w:sz w:val="22"/>
          <w:szCs w:val="22"/>
          <w:color w:val="auto"/>
        </w:rPr>
      </w:pPr>
      <w:r>
        <w:rPr>
          <w:rFonts w:ascii="Arial" w:cs="Arial" w:eastAsia="Arial" w:hAnsi="Arial"/>
          <w:sz w:val="20"/>
          <w:szCs w:val="20"/>
          <w:color w:val="auto"/>
        </w:rPr>
        <w:t xml:space="preserve">unless Administrative Agent otherwise consents, there may not be more than ten (10) Interest Periods for Floating Rate Loans </w:t>
      </w:r>
      <w:r>
        <w:rPr>
          <w:rFonts w:ascii="Arial" w:cs="Arial" w:eastAsia="Arial" w:hAnsi="Arial"/>
          <w:sz w:val="20"/>
          <w:szCs w:val="20"/>
          <w:u w:val="single" w:color="auto"/>
          <w:color w:val="0000FF"/>
        </w:rPr>
        <w:t>(other than Floating SONIA Rate Loans)</w:t>
      </w:r>
      <w:r>
        <w:rPr>
          <w:rFonts w:ascii="Arial" w:cs="Arial" w:eastAsia="Arial" w:hAnsi="Arial"/>
          <w:sz w:val="20"/>
          <w:szCs w:val="20"/>
          <w:color w:val="auto"/>
        </w:rPr>
        <w:t xml:space="preserve"> in effect at any time.</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“Interpolated Rate” means, at any time, for any Interest Period,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(rounded to the same number of decimal places as the Screen Rate) determined by the Administrative Agent (which determination shall be conclusive and binding absent manifest error) to be equal to the rate that results from interpolating on a linear basis between: (a) the Screen Rate for the longest period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5" w:right="339" w:bottom="1440" w:gutter="0" w:footer="0" w:header="0"/>
        </w:sectPr>
      </w:pPr>
    </w:p>
    <w:bookmarkStart w:id="190" w:name="page191"/>
    <w:bookmarkEnd w:id="190"/>
    <w:p>
      <w:pPr>
        <w:jc w:val="both"/>
        <w:spacing w:after="0" w:line="218" w:lineRule="auto"/>
        <w:rPr>
          <w:sz w:val="20"/>
          <w:szCs w:val="20"/>
          <w:color w:val="auto"/>
        </w:rPr>
      </w:pPr>
      <w:r>
        <w:rPr>
          <w:rFonts w:ascii="Arial" w:cs="Arial" w:eastAsia="Arial" w:hAnsi="Arial"/>
          <w:sz w:val="20"/>
          <w:szCs w:val="20"/>
          <w:color w:val="auto"/>
        </w:rPr>
        <w:t>which the Screen Rate is available for the applicable currency) that is shorter than the Impacted Interest Period; and (b) the Screen Rate for the shortest period (for which that Screen Rate is available for the applicable currency) that exceeds the Impacted Interest Period, in each case, at such time.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“IRS” means the United States Internal Revenue Service.</w:t>
      </w:r>
    </w:p>
    <w:p>
      <w:pPr>
        <w:spacing w:after="0" w:line="17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5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“Issuing Lender” means each Lender with a Letter of Credit Commitment and, only as to the Existing Letters of Credit, each financial institution listed as an issuer of an Existing Letter of Credit on Schedule 2.03 in its capacity as an issuer of such Letters of Credit hereunder, and any other Lender that may agree with Borrower to issue Letters of Credit hereunder, or any successor issuing lender hereunder. Any Lender that becomes an Issuing Lender after the Effective Date agrees to give Administrative Agent prompt notice thereof.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“JPMorgan Chase” means JPMorgan Chase Bank, N.A.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“Judgment Currency” has the meaning set forth in Section 10.25(b).</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56"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“Lender” means each lender from time to time party hereto and, as the context requires, each Issuing Lender, each New Lender and each New Extending Lender, and, subject to the terms and conditions of this Agreement, their respective successors and assigns (but not any purchaser of a participation hereunder unless otherwise a party to this Agreement).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“Lender Party” means any Agent, any Issuing Lender or any Lender.</w:t>
      </w:r>
    </w:p>
    <w:p>
      <w:pPr>
        <w:spacing w:after="0" w:line="17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“Letter of Credit” means any letter of credit issued or deemed to be issued hereunder, including the Existing Letters of</w:t>
      </w:r>
    </w:p>
    <w:p>
      <w:pPr>
        <w:spacing w:after="0"/>
        <w:rPr>
          <w:sz w:val="20"/>
          <w:szCs w:val="20"/>
          <w:color w:val="auto"/>
        </w:rPr>
      </w:pPr>
      <w:r>
        <w:rPr>
          <w:rFonts w:ascii="Arial" w:cs="Arial" w:eastAsia="Arial" w:hAnsi="Arial"/>
          <w:sz w:val="20"/>
          <w:szCs w:val="20"/>
          <w:color w:val="auto"/>
        </w:rPr>
        <w:t>Credit.</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“Letter of Credit Action” means the issuance, supplement, amendment, renewal, extension, modification or other action relating to a Letter of Credit hereunder.</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“Letter of Credit Application” means an application for a Letter of Credit Action from time to time in use by an Issuing</w:t>
      </w:r>
    </w:p>
    <w:p>
      <w:pPr>
        <w:spacing w:after="0"/>
        <w:rPr>
          <w:sz w:val="20"/>
          <w:szCs w:val="20"/>
          <w:color w:val="auto"/>
        </w:rPr>
      </w:pPr>
      <w:r>
        <w:rPr>
          <w:rFonts w:ascii="Arial" w:cs="Arial" w:eastAsia="Arial" w:hAnsi="Arial"/>
          <w:sz w:val="20"/>
          <w:szCs w:val="20"/>
          <w:color w:val="auto"/>
        </w:rPr>
        <w:t>Lender.</w:t>
      </w:r>
    </w:p>
    <w:p>
      <w:pPr>
        <w:spacing w:after="0" w:line="159"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“Letter of Credit Cash Collateral Account” means a blocked deposit account at JPMorgan Chase in which Borrower hereby grants a security interest to Administrative Agent, for the benefit of the Lenders and the Issuing Lenders (in each case with respect to each such Person’s interest in the applicable Letter of Credit), as security for Letter of Credit Usage and with respect to which Borrower agrees to execute and deliver from time to time such documentation as Administrative Agent may reasonably request to further assure and confirm such security interest.</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“Letter of Credit Commitment” means, for each Issuing Lender, the amount set forth under the heading “Letter of Credit Commitment” opposite such Lender’s name on Schedule 2.03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5" w:right="339" w:bottom="1440" w:gutter="0" w:footer="0" w:header="0"/>
        </w:sectPr>
      </w:pPr>
    </w:p>
    <w:bookmarkStart w:id="191" w:name="page192"/>
    <w:bookmarkEnd w:id="191"/>
    <w:p>
      <w:pPr>
        <w:jc w:val="both"/>
        <w:spacing w:after="0" w:line="229" w:lineRule="auto"/>
        <w:rPr>
          <w:sz w:val="20"/>
          <w:szCs w:val="20"/>
          <w:color w:val="auto"/>
        </w:rPr>
      </w:pPr>
      <w:r>
        <w:rPr>
          <w:rFonts w:ascii="Arial" w:cs="Arial" w:eastAsia="Arial" w:hAnsi="Arial"/>
          <w:sz w:val="20"/>
          <w:szCs w:val="20"/>
          <w:color w:val="auto"/>
        </w:rPr>
        <w:t>Schedule may be modified from time to time, and as such amount may be reduced or adjusted from time to time in accordance with the terms of this Agreement.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“Letter of Credit Expiration Date” means the date that is five Business Days prior to the Revolving Termination Date.</w:t>
      </w:r>
    </w:p>
    <w:p>
      <w:pPr>
        <w:spacing w:after="0" w:line="187"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“Letter of Credit Sublimit” means, at any date of determination, an amount equal to the lesser of (a) the combined Revolving Commitments minus the aggregate amount of all outstanding Loans and (b) $1,000,000,000, as such amount may be reduced from time to time in accordance with the terms of this Agreement.</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“Letter of Credit Usage” means, as of any date of determination, the aggregate undrawn face or available Dollar Amount of outstanding Letters of Credit plus the aggregate Dollar Amount of all drawings under the Letters of Credit not reimbursed by Borrower or converted into Revolving Loans.</w:t>
      </w:r>
    </w:p>
    <w:p>
      <w:pPr>
        <w:spacing w:after="0" w:line="156"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8"/>
          <w:szCs w:val="18"/>
          <w:color w:val="auto"/>
        </w:rPr>
        <w:t xml:space="preserve">“Leverage Ratio” means, at any date of determination, the ratio of (a) Consolidated Total Indebtedness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up to $1,000,000,000 of unrestricted cash and cash equivalents on the balance sheet of Borrower and its Restricted Subsidiaries on or as of such date to (b) Annualized EBITDA of Borrower and its Restricted Subsidiaries, 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after (x) with respect to any acquisition that is a Material Acquisition in accordance with clause (ii) of the definition thereof to which the United Kingdom City Code on Takeovers and Mergers (or any comparable laws, rules or regulations in any other jurisdiction) applies, the date on which a “Rule 2.7 announcement” of a firm intention to make an offer in respect of a target of such Material Acquisition (or the equivalent notice under such comparable laws, rules or regulations in such other jurisdiction) is issued or (y) in connection with any acquisition that is a Material Acquisition in accordance with clause (ii) of the definition thereof, the date a definitive agreement for such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to the extent the proceeds of such Acquisition Debt are held in escrow or held on the balance sheet of the Borrower or any of its Restricted Subsidiaries (or an Unrestricted Subsidiary, so long as, in the good faith determination of Borrower, such Unrestricted Subsidiary is expected to become a Restricted Subsidiary in connection with the consummation of such Material Acquisition) shall be excluded from the determination of the Leverage Ratio.</w:t>
      </w:r>
    </w:p>
    <w:p>
      <w:pPr>
        <w:spacing w:after="0" w:line="166" w:lineRule="exact"/>
        <w:rPr>
          <w:sz w:val="20"/>
          <w:szCs w:val="20"/>
          <w:color w:val="auto"/>
        </w:rPr>
      </w:pPr>
    </w:p>
    <w:p>
      <w:pPr>
        <w:jc w:val="both"/>
        <w:ind w:firstLine="1296"/>
        <w:spacing w:after="0" w:line="205" w:lineRule="auto"/>
        <w:rPr>
          <w:sz w:val="20"/>
          <w:szCs w:val="20"/>
          <w:color w:val="auto"/>
        </w:rPr>
      </w:pPr>
      <w:r>
        <w:rPr>
          <w:rFonts w:ascii="Arial" w:cs="Arial" w:eastAsia="Arial" w:hAnsi="Arial"/>
          <w:sz w:val="20"/>
          <w:szCs w:val="20"/>
          <w:color w:val="auto"/>
        </w:rPr>
        <w:t xml:space="preserve">“LIBO Interpolated Rate” means, at any time, with respect to any Floating Rate Borrowing denominated in Dollars </w:t>
      </w:r>
      <w:r>
        <w:rPr>
          <w:rFonts w:ascii="Arial" w:cs="Arial" w:eastAsia="Arial" w:hAnsi="Arial"/>
          <w:sz w:val="20"/>
          <w:szCs w:val="20"/>
          <w:color w:val="FF0000"/>
          <w:strike w:val="1"/>
        </w:rPr>
        <w:t>or</w:t>
      </w:r>
      <w:r>
        <w:rPr>
          <w:rFonts w:ascii="Arial" w:cs="Arial" w:eastAsia="Arial" w:hAnsi="Arial"/>
          <w:sz w:val="20"/>
          <w:szCs w:val="20"/>
          <w:color w:val="auto"/>
        </w:rPr>
        <w:t xml:space="preserve"> </w:t>
      </w:r>
      <w:r>
        <w:rPr>
          <w:rFonts w:ascii="Arial" w:cs="Arial" w:eastAsia="Arial" w:hAnsi="Arial"/>
          <w:sz w:val="20"/>
          <w:szCs w:val="20"/>
          <w:color w:val="FF0000"/>
          <w:strike w:val="1"/>
        </w:rPr>
        <w:t>Sterling</w:t>
      </w:r>
      <w:r>
        <w:rPr>
          <w:rFonts w:ascii="Arial" w:cs="Arial" w:eastAsia="Arial" w:hAnsi="Arial"/>
          <w:sz w:val="20"/>
          <w:szCs w:val="20"/>
          <w:color w:val="FF0000"/>
        </w:rPr>
        <w:t xml:space="preserve"> </w:t>
      </w:r>
      <w:r>
        <w:rPr>
          <w:rFonts w:ascii="Arial" w:cs="Arial" w:eastAsia="Arial" w:hAnsi="Arial"/>
          <w:sz w:val="20"/>
          <w:szCs w:val="20"/>
          <w:color w:val="000000"/>
        </w:rPr>
        <w:t>and for any Interest Period, the rate per annum (rounded to the same number of decimal places as the LIBO Screen Rate) determined</w:t>
      </w:r>
      <w:r>
        <w:rPr>
          <w:rFonts w:ascii="Arial" w:cs="Arial" w:eastAsia="Arial" w:hAnsi="Arial"/>
          <w:sz w:val="20"/>
          <w:szCs w:val="20"/>
          <w:color w:val="FF0000"/>
        </w:rPr>
        <w:t xml:space="preserve"> </w:t>
      </w:r>
      <w:r>
        <w:rPr>
          <w:rFonts w:ascii="Arial" w:cs="Arial" w:eastAsia="Arial" w:hAnsi="Arial"/>
          <w:sz w:val="20"/>
          <w:szCs w:val="20"/>
          <w:color w:val="000000"/>
        </w:rPr>
        <w:t xml:space="preserve">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Agreed Currency) that is shorter than the Impacted LIBO Rate Interest Period; and (b) the LIBO Screen Rate for the shortest period (for which the LIBO Screen Rate is available for the applicable Agreed Currency) that exceeds the Impacted LIBO Rate Interest Period, in each case, at such time;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if any LIBO Interpolated Rate shall be less than zero, such rate shall be deemed to be zero for the purposes of this Agreement.</w:t>
      </w:r>
    </w:p>
    <w:p>
      <w:pPr>
        <w:spacing w:after="0" w:line="15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 xml:space="preserve">“LIBO Rate” means, with respect to any Floating Rate Borrowing denominated in Dollars </w:t>
      </w:r>
      <w:r>
        <w:rPr>
          <w:rFonts w:ascii="Arial" w:cs="Arial" w:eastAsia="Arial" w:hAnsi="Arial"/>
          <w:sz w:val="19"/>
          <w:szCs w:val="19"/>
          <w:color w:val="FF0000"/>
          <w:strike w:val="1"/>
        </w:rPr>
        <w:t>or Sterling</w:t>
      </w:r>
      <w:r>
        <w:rPr>
          <w:rFonts w:ascii="Arial" w:cs="Arial" w:eastAsia="Arial" w:hAnsi="Arial"/>
          <w:sz w:val="19"/>
          <w:szCs w:val="19"/>
          <w:color w:val="auto"/>
        </w:rPr>
        <w:t xml:space="preserve"> and for any Interest Period, the LIBO Screen Rate at approximately 11:00 a.m., London time, two Business Days prior to the commencement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shall not be available at such time for such Interest Period (an “Impacted LIBO Rate Interest Period”) with respect to such Agreed Currency then the LIBO Rate shall be the LIBO Interpolated Rate.</w:t>
      </w:r>
    </w:p>
    <w:p>
      <w:pPr>
        <w:spacing w:after="0" w:line="15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“LIBO Screen Rate” means, for any day and time, with respect to any Floating Rate Borrowing denominated in Dollars </w:t>
      </w:r>
      <w:r>
        <w:rPr>
          <w:rFonts w:ascii="Arial" w:cs="Arial" w:eastAsia="Arial" w:hAnsi="Arial"/>
          <w:sz w:val="18"/>
          <w:szCs w:val="18"/>
          <w:color w:val="FF0000"/>
          <w:strike w:val="1"/>
        </w:rPr>
        <w:t>or</w:t>
      </w:r>
      <w:r>
        <w:rPr>
          <w:rFonts w:ascii="Arial" w:cs="Arial" w:eastAsia="Arial" w:hAnsi="Arial"/>
          <w:sz w:val="18"/>
          <w:szCs w:val="18"/>
          <w:color w:val="auto"/>
        </w:rPr>
        <w:t xml:space="preserve"> </w:t>
      </w:r>
      <w:r>
        <w:rPr>
          <w:rFonts w:ascii="Arial" w:cs="Arial" w:eastAsia="Arial" w:hAnsi="Arial"/>
          <w:sz w:val="18"/>
          <w:szCs w:val="18"/>
          <w:color w:val="FF0000"/>
          <w:strike w:val="1"/>
        </w:rPr>
        <w:t>Sterling</w:t>
      </w:r>
      <w:r>
        <w:rPr>
          <w:rFonts w:ascii="Arial" w:cs="Arial" w:eastAsia="Arial" w:hAnsi="Arial"/>
          <w:sz w:val="18"/>
          <w:szCs w:val="18"/>
          <w:color w:val="FF0000"/>
        </w:rPr>
        <w:t xml:space="preserve"> </w:t>
      </w:r>
      <w:r>
        <w:rPr>
          <w:rFonts w:ascii="Arial" w:cs="Arial" w:eastAsia="Arial" w:hAnsi="Arial"/>
          <w:sz w:val="18"/>
          <w:szCs w:val="18"/>
          <w:color w:val="000000"/>
        </w:rPr>
        <w:t>and for any Interest Period, the London interbank offered rate as administered by ICE Benchmark Administration (or any other</w:t>
      </w:r>
      <w:r>
        <w:rPr>
          <w:rFonts w:ascii="Arial" w:cs="Arial" w:eastAsia="Arial" w:hAnsi="Arial"/>
          <w:sz w:val="18"/>
          <w:szCs w:val="18"/>
          <w:color w:val="FF0000"/>
        </w:rPr>
        <w:t xml:space="preserve"> </w:t>
      </w:r>
      <w:r>
        <w:rPr>
          <w:rFonts w:ascii="Arial" w:cs="Arial" w:eastAsia="Arial" w:hAnsi="Arial"/>
          <w:sz w:val="18"/>
          <w:szCs w:val="18"/>
          <w:color w:val="000000"/>
        </w:rPr>
        <w:t>Person that takes over the administration of such rate) for such Agreed Currency for a period equal in length to such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5" w:right="339" w:bottom="1440" w:gutter="0" w:footer="0" w:header="0"/>
        </w:sectPr>
      </w:pPr>
    </w:p>
    <w:bookmarkStart w:id="192" w:name="page193"/>
    <w:bookmarkEnd w:id="192"/>
    <w:p>
      <w:pPr>
        <w:jc w:val="both"/>
        <w:spacing w:after="0" w:line="210" w:lineRule="auto"/>
        <w:rPr>
          <w:sz w:val="20"/>
          <w:szCs w:val="20"/>
          <w:color w:val="auto"/>
        </w:rPr>
      </w:pPr>
      <w:r>
        <w:rPr>
          <w:rFonts w:ascii="Arial" w:cs="Arial" w:eastAsia="Arial" w:hAnsi="Arial"/>
          <w:sz w:val="20"/>
          <w:szCs w:val="20"/>
          <w:color w:val="auto"/>
        </w:rPr>
        <w:t xml:space="preserve">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if the LIBO Screen Rate as so determined would be less than zero, such rate shall be deemed to be zero for the purposes of this Agreement.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“LIBOR” has the meaning set forth in Section 1.08.</w:t>
      </w:r>
    </w:p>
    <w:p>
      <w:pPr>
        <w:spacing w:after="0" w:line="17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Liens shall not include ordinary and customary contractual set off rights.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“Loan” means any advance made by any Lender to Borrower as provided in Section 2 (collectively, the “Loans”).</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“Loan Parties” means Borrower and each of its Subsidiaries that is a party to a Loan Document.</w:t>
      </w:r>
    </w:p>
    <w:p>
      <w:pPr>
        <w:spacing w:after="0" w:line="175" w:lineRule="exact"/>
        <w:rPr>
          <w:sz w:val="20"/>
          <w:szCs w:val="20"/>
          <w:color w:val="auto"/>
        </w:rPr>
      </w:pPr>
    </w:p>
    <w:p>
      <w:pPr>
        <w:ind w:right="240" w:firstLine="1296"/>
        <w:spacing w:after="0" w:line="230" w:lineRule="auto"/>
        <w:rPr>
          <w:sz w:val="20"/>
          <w:szCs w:val="20"/>
          <w:color w:val="auto"/>
        </w:rPr>
      </w:pPr>
      <w:r>
        <w:rPr>
          <w:rFonts w:ascii="Arial" w:cs="Arial" w:eastAsia="Arial" w:hAnsi="Arial"/>
          <w:sz w:val="19"/>
          <w:szCs w:val="19"/>
          <w:color w:val="auto"/>
        </w:rPr>
        <w:t xml:space="preserve">“Margin” means, with respect to any Competitive Loan bearing interest at a rate based on the Floating Rate </w:t>
      </w:r>
      <w:r>
        <w:rPr>
          <w:rFonts w:ascii="Arial" w:cs="Arial" w:eastAsia="Arial" w:hAnsi="Arial"/>
          <w:sz w:val="19"/>
          <w:szCs w:val="19"/>
          <w:u w:val="single" w:color="auto"/>
          <w:color w:val="0000FF"/>
        </w:rPr>
        <w:t>(other than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Floating SONIA Rate)</w:t>
      </w:r>
      <w:r>
        <w:rPr>
          <w:rFonts w:ascii="Arial" w:cs="Arial" w:eastAsia="Arial" w:hAnsi="Arial"/>
          <w:sz w:val="19"/>
          <w:szCs w:val="19"/>
          <w:color w:val="000000"/>
        </w:rPr>
        <w:t>, the marginal rate of interest, if any, to be added to or subtracted from the Floating Rate to determine the rate of</w:t>
      </w:r>
      <w:r>
        <w:rPr>
          <w:rFonts w:ascii="Arial" w:cs="Arial" w:eastAsia="Arial" w:hAnsi="Arial"/>
          <w:sz w:val="19"/>
          <w:szCs w:val="19"/>
          <w:color w:val="0000FF"/>
        </w:rPr>
        <w:t xml:space="preserve"> </w:t>
      </w:r>
      <w:r>
        <w:rPr>
          <w:rFonts w:ascii="Arial" w:cs="Arial" w:eastAsia="Arial" w:hAnsi="Arial"/>
          <w:sz w:val="19"/>
          <w:szCs w:val="19"/>
          <w:color w:val="000000"/>
        </w:rPr>
        <w:t>interest applicable to such Loan, as specified by the Lender making such Loan in its related Competitive Bid.</w:t>
      </w:r>
    </w:p>
    <w:p>
      <w:pPr>
        <w:spacing w:after="0" w:line="155"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 Document or (b) has had or would reasonably be expected to have a material adverse effect on the ability of Borrower and Guarantors, taken as a whole, to perform their payment obligations under any Loan Document.</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“Material Debt” means Indebtedness for borrowed money incurred or issued by Borrower in an aggregate principal amount equal to or greater than $500,000,000.</w:t>
      </w:r>
    </w:p>
    <w:p>
      <w:pPr>
        <w:spacing w:after="0" w:line="155"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05" w:right="339"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color w:val="auto"/>
        </w:rPr>
        <w:t>Subsidiary (other than from Borrower or any Restricted Subsidiary) in connection with the Subject Disposition.</w:t>
      </w:r>
    </w:p>
    <w:p>
      <w:pPr>
        <w:spacing w:after="0" w:line="175" w:lineRule="exact"/>
        <w:rPr>
          <w:sz w:val="20"/>
          <w:szCs w:val="20"/>
          <w:color w:val="auto"/>
        </w:rPr>
      </w:pPr>
    </w:p>
    <w:p>
      <w:pPr>
        <w:ind w:right="100" w:firstLine="1296"/>
        <w:spacing w:after="0" w:line="229" w:lineRule="auto"/>
        <w:rPr>
          <w:sz w:val="20"/>
          <w:szCs w:val="20"/>
          <w:color w:val="auto"/>
        </w:rPr>
      </w:pPr>
      <w:r>
        <w:rPr>
          <w:rFonts w:ascii="Arial" w:cs="Arial" w:eastAsia="Arial" w:hAnsi="Arial"/>
          <w:sz w:val="20"/>
          <w:szCs w:val="20"/>
          <w:color w:val="auto"/>
        </w:rPr>
        <w:t>“Minimum Amount” means, with respect to each of the following actions, the minimum amount and any multiples in excess thereof set forth opposite such action:</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Type of Action</w:t>
            </w:r>
          </w:p>
        </w:tc>
        <w:tc>
          <w:tcPr>
            <w:tcW w:w="37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Minimum Amount</w:t>
            </w:r>
          </w:p>
        </w:tc>
        <w:tc>
          <w:tcPr>
            <w:tcW w:w="37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Multiples in excess thereof</w:t>
            </w:r>
          </w:p>
        </w:tc>
      </w:tr>
      <w:tr>
        <w:trPr>
          <w:trHeight w:val="196"/>
        </w:trPr>
        <w:tc>
          <w:tcPr>
            <w:tcW w:w="372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r>
      <w:tr>
        <w:trPr>
          <w:trHeight w:val="183"/>
        </w:trPr>
        <w:tc>
          <w:tcPr>
            <w:tcW w:w="37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w w:val="94"/>
              </w:rPr>
              <w:t>Borrowing or prepayment of, or Conversion</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$10,000,000</w:t>
            </w:r>
          </w:p>
        </w:tc>
        <w:tc>
          <w:tcPr>
            <w:tcW w:w="37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7"/>
              </w:rPr>
              <w:t>$1,000,000</w:t>
            </w:r>
          </w:p>
        </w:tc>
      </w:tr>
      <w:tr>
        <w:trPr>
          <w:trHeight w:val="243"/>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into, Base Rate Loans</w:t>
            </w:r>
          </w:p>
        </w:tc>
        <w:tc>
          <w:tcPr>
            <w:tcW w:w="37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183"/>
        </w:trPr>
        <w:tc>
          <w:tcPr>
            <w:tcW w:w="37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w w:val="95"/>
              </w:rPr>
              <w:t>Borrowing, prepayment or Continuation of,</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$10,000,000</w:t>
            </w:r>
          </w:p>
        </w:tc>
        <w:tc>
          <w:tcPr>
            <w:tcW w:w="37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7"/>
              </w:rPr>
              <w:t>$1,000,000</w:t>
            </w:r>
          </w:p>
        </w:tc>
      </w:tr>
      <w:tr>
        <w:trPr>
          <w:trHeight w:val="189"/>
        </w:trPr>
        <w:tc>
          <w:tcPr>
            <w:tcW w:w="372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0"/>
                <w:szCs w:val="20"/>
                <w:color w:val="auto"/>
              </w:rPr>
              <w:t>or Conversion into, Floating Rate Loans</w:t>
            </w: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8"/>
              </w:rPr>
              <w:t>and, in the case of Loans denominated in a</w:t>
            </w:r>
          </w:p>
        </w:tc>
        <w:tc>
          <w:tcPr>
            <w:tcW w:w="3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8"/>
              </w:rPr>
              <w:t>and, in the case of Loans denominated in a</w:t>
            </w: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9"/>
              </w:rPr>
              <w:t>currency other than Dollars, as applicable:</w:t>
            </w:r>
          </w:p>
        </w:tc>
        <w:tc>
          <w:tcPr>
            <w:tcW w:w="3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9"/>
              </w:rPr>
              <w:t>currency other than Dollars, as applicable:</w:t>
            </w: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9"/>
              </w:rPr>
              <w:t>C$10,000,000</w:t>
            </w:r>
          </w:p>
        </w:tc>
        <w:tc>
          <w:tcPr>
            <w:tcW w:w="3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9"/>
              </w:rPr>
              <w:t>C$1,000,000</w:t>
            </w: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9"/>
              </w:rPr>
              <w:t>€10,000,000</w:t>
            </w:r>
          </w:p>
        </w:tc>
        <w:tc>
          <w:tcPr>
            <w:tcW w:w="3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7"/>
              </w:rPr>
              <w:t>€1,000,000</w:t>
            </w: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9"/>
              </w:rPr>
              <w:t>£10,000,000</w:t>
            </w:r>
          </w:p>
        </w:tc>
        <w:tc>
          <w:tcPr>
            <w:tcW w:w="37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7"/>
              </w:rPr>
              <w:t>£1,000,000</w:t>
            </w:r>
          </w:p>
        </w:tc>
      </w:tr>
      <w:tr>
        <w:trPr>
          <w:trHeight w:val="243"/>
        </w:trPr>
        <w:tc>
          <w:tcPr>
            <w:tcW w:w="3720" w:type="dxa"/>
            <w:vAlign w:val="bottom"/>
            <w:tcBorders>
              <w:left w:val="single" w:sz="8" w:color="auto"/>
              <w:bottom w:val="single" w:sz="8" w:color="auto"/>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¥1,000,000,000</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¥100,000,000</w:t>
            </w:r>
          </w:p>
        </w:tc>
      </w:tr>
      <w:tr>
        <w:trPr>
          <w:trHeight w:val="236"/>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Borrowing of Competitive Loans</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$10,000,000</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$1,000,000</w:t>
            </w:r>
          </w:p>
        </w:tc>
      </w:tr>
      <w:tr>
        <w:trPr>
          <w:trHeight w:val="237"/>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Letter of Credit Action</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$5,000</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None</w:t>
            </w:r>
          </w:p>
        </w:tc>
      </w:tr>
      <w:tr>
        <w:trPr>
          <w:trHeight w:val="237"/>
        </w:trPr>
        <w:tc>
          <w:tcPr>
            <w:tcW w:w="37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Reduction in Revolving Commitments</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$25,000,000</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$5,000,000</w:t>
            </w:r>
          </w:p>
        </w:tc>
      </w:tr>
      <w:tr>
        <w:trPr>
          <w:trHeight w:val="183"/>
        </w:trPr>
        <w:tc>
          <w:tcPr>
            <w:tcW w:w="37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Assignments</w:t>
            </w:r>
          </w:p>
        </w:tc>
        <w:tc>
          <w:tcPr>
            <w:tcW w:w="37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7"/>
              </w:rPr>
              <w:t>$5,000,000</w:t>
            </w:r>
          </w:p>
        </w:tc>
        <w:tc>
          <w:tcPr>
            <w:tcW w:w="37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None</w:t>
            </w: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8"/>
              </w:rPr>
              <w:t>and, in the case of Loans denominated in a</w:t>
            </w:r>
          </w:p>
        </w:tc>
        <w:tc>
          <w:tcPr>
            <w:tcW w:w="3760" w:type="dxa"/>
            <w:vAlign w:val="bottom"/>
            <w:tcBorders>
              <w:right w:val="single" w:sz="8" w:color="auto"/>
            </w:tcBorders>
          </w:tcPr>
          <w:p>
            <w:pPr>
              <w:spacing w:after="0"/>
              <w:rPr>
                <w:sz w:val="16"/>
                <w:szCs w:val="16"/>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9"/>
              </w:rPr>
              <w:t>currency other than Dollars, as applicable:</w:t>
            </w:r>
          </w:p>
        </w:tc>
        <w:tc>
          <w:tcPr>
            <w:tcW w:w="3760" w:type="dxa"/>
            <w:vAlign w:val="bottom"/>
            <w:tcBorders>
              <w:right w:val="single" w:sz="8" w:color="auto"/>
            </w:tcBorders>
          </w:tcPr>
          <w:p>
            <w:pPr>
              <w:spacing w:after="0"/>
              <w:rPr>
                <w:sz w:val="16"/>
                <w:szCs w:val="16"/>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9"/>
              </w:rPr>
              <w:t>C$5,000,000</w:t>
            </w:r>
          </w:p>
        </w:tc>
        <w:tc>
          <w:tcPr>
            <w:tcW w:w="3760" w:type="dxa"/>
            <w:vAlign w:val="bottom"/>
            <w:tcBorders>
              <w:right w:val="single" w:sz="8" w:color="auto"/>
            </w:tcBorders>
          </w:tcPr>
          <w:p>
            <w:pPr>
              <w:spacing w:after="0"/>
              <w:rPr>
                <w:sz w:val="16"/>
                <w:szCs w:val="16"/>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7"/>
              </w:rPr>
              <w:t>€5,000,000</w:t>
            </w:r>
          </w:p>
        </w:tc>
        <w:tc>
          <w:tcPr>
            <w:tcW w:w="3760" w:type="dxa"/>
            <w:vAlign w:val="bottom"/>
            <w:tcBorders>
              <w:right w:val="single" w:sz="8" w:color="auto"/>
            </w:tcBorders>
          </w:tcPr>
          <w:p>
            <w:pPr>
              <w:spacing w:after="0"/>
              <w:rPr>
                <w:sz w:val="16"/>
                <w:szCs w:val="16"/>
                <w:color w:val="auto"/>
              </w:rPr>
            </w:pPr>
          </w:p>
        </w:tc>
      </w:tr>
      <w:tr>
        <w:trPr>
          <w:trHeight w:val="189"/>
        </w:trPr>
        <w:tc>
          <w:tcPr>
            <w:tcW w:w="3720" w:type="dxa"/>
            <w:vAlign w:val="bottom"/>
            <w:tcBorders>
              <w:left w:val="single" w:sz="8" w:color="auto"/>
              <w:right w:val="single" w:sz="8" w:color="auto"/>
            </w:tcBorders>
          </w:tcPr>
          <w:p>
            <w:pPr>
              <w:spacing w:after="0"/>
              <w:rPr>
                <w:sz w:val="16"/>
                <w:szCs w:val="16"/>
                <w:color w:val="auto"/>
              </w:rPr>
            </w:pPr>
          </w:p>
        </w:tc>
        <w:tc>
          <w:tcPr>
            <w:tcW w:w="37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87"/>
              </w:rPr>
              <w:t>£5,000,000</w:t>
            </w:r>
          </w:p>
        </w:tc>
        <w:tc>
          <w:tcPr>
            <w:tcW w:w="3760" w:type="dxa"/>
            <w:vAlign w:val="bottom"/>
            <w:tcBorders>
              <w:right w:val="single" w:sz="8" w:color="auto"/>
            </w:tcBorders>
          </w:tcPr>
          <w:p>
            <w:pPr>
              <w:spacing w:after="0"/>
              <w:rPr>
                <w:sz w:val="16"/>
                <w:szCs w:val="16"/>
                <w:color w:val="auto"/>
              </w:rPr>
            </w:pPr>
          </w:p>
        </w:tc>
      </w:tr>
      <w:tr>
        <w:trPr>
          <w:trHeight w:val="243"/>
        </w:trPr>
        <w:tc>
          <w:tcPr>
            <w:tcW w:w="3720" w:type="dxa"/>
            <w:vAlign w:val="bottom"/>
            <w:tcBorders>
              <w:left w:val="single" w:sz="8" w:color="auto"/>
              <w:bottom w:val="single" w:sz="8" w:color="auto"/>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¥500,000,000</w:t>
            </w: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307" w:lineRule="exact"/>
        <w:rPr>
          <w:sz w:val="20"/>
          <w:szCs w:val="20"/>
          <w:color w:val="auto"/>
        </w:rPr>
      </w:pPr>
    </w:p>
    <w:p>
      <w:pPr>
        <w:ind w:right="240" w:firstLine="1296"/>
        <w:spacing w:after="0" w:line="218" w:lineRule="auto"/>
        <w:rPr>
          <w:sz w:val="20"/>
          <w:szCs w:val="20"/>
          <w:color w:val="auto"/>
        </w:rPr>
      </w:pPr>
      <w:r>
        <w:rPr>
          <w:rFonts w:ascii="Arial" w:cs="Arial" w:eastAsia="Arial" w:hAnsi="Arial"/>
          <w:sz w:val="20"/>
          <w:szCs w:val="20"/>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“Multiemployer Plan” means any employee benefit plan of the type described in Section 4001(a)(3) of ERISA.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“New Extending Lender” has the meaning set forth in Section 2.01(e).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“New Lender” has the meaning set forth in Section 2.01(c).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“New Lender Supplement” has the meaning set forth in Section 2.01(c).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“Non-Excluded Taxes” has the meaning set forth in Section 3.01(a).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“Notes” means the collective reference to any promissory note evidencing Loans.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“Notice Date” has the meaning set forth in Section 2.01(e).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“NYFRB” means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60"/>
          </w:cols>
          <w:pgMar w:left="320" w:top="1405" w:right="319" w:bottom="1440" w:gutter="0" w:footer="0" w:header="0"/>
        </w:sectPr>
      </w:pPr>
    </w:p>
    <w:bookmarkStart w:id="194" w:name="page195"/>
    <w:bookmarkEnd w:id="194"/>
    <w:p>
      <w:pPr>
        <w:ind w:left="1300"/>
        <w:spacing w:after="0"/>
        <w:rPr>
          <w:sz w:val="20"/>
          <w:szCs w:val="20"/>
          <w:color w:val="auto"/>
        </w:rPr>
      </w:pPr>
      <w:r>
        <w:rPr>
          <w:rFonts w:ascii="Arial" w:cs="Arial" w:eastAsia="Arial" w:hAnsi="Arial"/>
          <w:sz w:val="20"/>
          <w:szCs w:val="20"/>
          <w:color w:val="auto"/>
        </w:rPr>
        <w:t>“NYFRB’s Website” means the website of the NYFRB at http://www.newyorkfed.org, or any successor source.</w:t>
      </w:r>
    </w:p>
    <w:p>
      <w:pPr>
        <w:spacing w:after="0" w:line="17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“NYFRB Rate” means, for any day, the greater of (a) the Federal Funds Rate in effect on such day and (b) the Overnight Bank Funding Rate in effect on such day (or for any day that is not a Business Day, for the immediately preceding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“Obligations” means all advances to, and debts, liabilities, and payment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“Other Agreed Currency” means (i) Canadian Dollars and (ii) any currency other than Dollars, Euros, Yen, Sterling, or Canadian Dollars in which each Lender has agreed to make Loans.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“Other Taxes” has the meaning set forth in Section 3.01(b).</w:t>
      </w:r>
    </w:p>
    <w:p>
      <w:pPr>
        <w:spacing w:after="0" w:line="17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“Overnight Bank Funding Rate” means, for any day, the rate comprised of both overnight federal funds and overnight Adjusted LIBO Rate borrowings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“Payment” has the meaning assigned to it in Section 9.06(c).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“Payment Notice” has the meaning assigned to it in Section 9.06(c).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“Participant Register” has the meaning set forth in Section 10.04(d).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“PBGC” means the Pension Benefit Guaranty Corporation or any successor thereto established under ERISA.</w:t>
      </w:r>
    </w:p>
    <w:p>
      <w:pPr>
        <w:spacing w:after="0" w:line="175" w:lineRule="exact"/>
        <w:rPr>
          <w:sz w:val="20"/>
          <w:szCs w:val="20"/>
          <w:color w:val="auto"/>
        </w:rPr>
      </w:pPr>
    </w:p>
    <w:p>
      <w:pPr>
        <w:ind w:right="80" w:firstLine="1296"/>
        <w:spacing w:after="0" w:line="242" w:lineRule="auto"/>
        <w:rPr>
          <w:sz w:val="20"/>
          <w:szCs w:val="20"/>
          <w:color w:val="auto"/>
        </w:rPr>
      </w:pPr>
      <w:r>
        <w:rPr>
          <w:rFonts w:ascii="Arial" w:cs="Arial" w:eastAsia="Arial" w:hAnsi="Arial"/>
          <w:sz w:val="19"/>
          <w:szCs w:val="19"/>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“Plan Asset Regulations”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w:t>
      </w:r>
    </w:p>
    <w:p>
      <w:pPr>
        <w:spacing w:after="0"/>
        <w:rPr>
          <w:sz w:val="20"/>
          <w:szCs w:val="20"/>
          <w:color w:val="auto"/>
        </w:rPr>
      </w:pPr>
      <w:r>
        <w:rPr>
          <w:rFonts w:ascii="Arial" w:cs="Arial" w:eastAsia="Arial" w:hAnsi="Arial"/>
          <w:sz w:val="20"/>
          <w:szCs w:val="20"/>
          <w:color w:val="auto"/>
        </w:rPr>
        <w:t>time to time.</w:t>
      </w:r>
    </w:p>
    <w:p>
      <w:pPr>
        <w:spacing w:after="0" w:line="159" w:lineRule="exact"/>
        <w:rPr>
          <w:sz w:val="20"/>
          <w:szCs w:val="20"/>
          <w:color w:val="auto"/>
        </w:rPr>
      </w:pPr>
    </w:p>
    <w:p>
      <w:pPr>
        <w:ind w:right="300" w:firstLine="1296"/>
        <w:spacing w:after="0" w:line="224" w:lineRule="auto"/>
        <w:rPr>
          <w:sz w:val="20"/>
          <w:szCs w:val="20"/>
          <w:color w:val="auto"/>
        </w:rPr>
      </w:pPr>
      <w:r>
        <w:rPr>
          <w:rFonts w:ascii="Arial" w:cs="Arial" w:eastAsia="Arial" w:hAnsi="Arial"/>
          <w:sz w:val="19"/>
          <w:szCs w:val="19"/>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5" w:right="339" w:bottom="1440" w:gutter="0" w:footer="0" w:header="0"/>
        </w:sectPr>
      </w:pPr>
    </w:p>
    <w:bookmarkStart w:id="195" w:name="page196"/>
    <w:bookmarkEnd w:id="195"/>
    <w:p>
      <w:pPr>
        <w:ind w:left="1300"/>
        <w:spacing w:after="0"/>
        <w:rPr>
          <w:sz w:val="20"/>
          <w:szCs w:val="20"/>
          <w:color w:val="auto"/>
        </w:rPr>
      </w:pPr>
      <w:r>
        <w:rPr>
          <w:rFonts w:ascii="Arial" w:cs="Arial" w:eastAsia="Arial" w:hAnsi="Arial"/>
          <w:sz w:val="20"/>
          <w:szCs w:val="20"/>
          <w:color w:val="auto"/>
        </w:rPr>
        <w:t>“Platform” means Debt Domain, Intralinks, Syndtrak or a substantially similar electronic transmission system.</w:t>
      </w:r>
    </w:p>
    <w:p>
      <w:pPr>
        <w:spacing w:after="0" w:line="175"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60"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“PTE” means a prohibited transaction class exemption issued by the U.S. Department of Labor, as any such exemption may be amended from time to time.</w:t>
      </w:r>
    </w:p>
    <w:p>
      <w:pPr>
        <w:spacing w:after="0" w:line="15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“QFC” has the meaning assigned to the term “qualified financial contract” in, and shall be interpreted in accordance with, 12 U.S.C. 5390(c)(8)(D).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“QFC Credit Support” has the meaning set forth in Section 10.27.</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“Reference Time” with respect to any setting of the then-current Benchmark means (1) if such Benchmark is LIBO Rate,</w:t>
      </w:r>
    </w:p>
    <w:p>
      <w:pPr>
        <w:spacing w:after="0" w:line="219" w:lineRule="auto"/>
        <w:rPr>
          <w:sz w:val="20"/>
          <w:szCs w:val="20"/>
          <w:color w:val="auto"/>
        </w:rPr>
      </w:pPr>
      <w:r>
        <w:rPr>
          <w:rFonts w:ascii="Arial" w:cs="Arial" w:eastAsia="Arial" w:hAnsi="Arial"/>
          <w:sz w:val="18"/>
          <w:szCs w:val="18"/>
          <w:color w:val="auto"/>
        </w:rPr>
        <w:t xml:space="preserve">11:00 a.m. (London time) on the day that is two London banking days preceding the date of such setting, (2) if such Benchmark is </w:t>
      </w:r>
      <w:r>
        <w:rPr>
          <w:rFonts w:ascii="Arial" w:cs="Arial" w:eastAsia="Arial" w:hAnsi="Arial"/>
          <w:sz w:val="18"/>
          <w:szCs w:val="18"/>
          <w:u w:val="single" w:color="auto"/>
          <w:color w:val="0000FF"/>
        </w:rPr>
        <w:t>SONIA</w:t>
      </w:r>
    </w:p>
    <w:p>
      <w:pPr>
        <w:spacing w:after="0" w:line="219" w:lineRule="auto"/>
        <w:rPr>
          <w:sz w:val="20"/>
          <w:szCs w:val="20"/>
          <w:color w:val="auto"/>
        </w:rPr>
      </w:pPr>
      <w:r>
        <w:rPr>
          <w:rFonts w:ascii="Arial" w:cs="Arial" w:eastAsia="Arial" w:hAnsi="Arial"/>
          <w:sz w:val="18"/>
          <w:szCs w:val="18"/>
          <w:u w:val="single" w:color="auto"/>
          <w:color w:val="0000FF"/>
        </w:rPr>
        <w:t>Rate, 11:00 a.m. (London time) on the day that is four London banking days preceding the date of such setting, (3) if such Benchmark is</w:t>
      </w:r>
    </w:p>
    <w:p>
      <w:pPr>
        <w:spacing w:after="0" w:line="219" w:lineRule="auto"/>
        <w:rPr>
          <w:sz w:val="20"/>
          <w:szCs w:val="20"/>
          <w:color w:val="auto"/>
        </w:rPr>
      </w:pPr>
      <w:r>
        <w:rPr>
          <w:rFonts w:ascii="Arial" w:cs="Arial" w:eastAsia="Arial" w:hAnsi="Arial"/>
          <w:sz w:val="18"/>
          <w:szCs w:val="18"/>
          <w:color w:val="auto"/>
        </w:rPr>
        <w:t>EURIBOR Rate, 11:00 a.m. Brussels time two TARGET Days preceding the date of such setting, (</w:t>
      </w:r>
      <w:r>
        <w:rPr>
          <w:rFonts w:ascii="Arial" w:cs="Arial" w:eastAsia="Arial" w:hAnsi="Arial"/>
          <w:sz w:val="18"/>
          <w:szCs w:val="18"/>
          <w:color w:val="FF0000"/>
          <w:strike w:val="1"/>
        </w:rPr>
        <w:t>3</w:t>
      </w:r>
      <w:r>
        <w:rPr>
          <w:rFonts w:ascii="Arial" w:cs="Arial" w:eastAsia="Arial" w:hAnsi="Arial"/>
          <w:sz w:val="18"/>
          <w:szCs w:val="18"/>
          <w:u w:val="single" w:color="auto"/>
          <w:color w:val="0000FF"/>
        </w:rPr>
        <w:t>4</w:t>
      </w:r>
      <w:r>
        <w:rPr>
          <w:rFonts w:ascii="Arial" w:cs="Arial" w:eastAsia="Arial" w:hAnsi="Arial"/>
          <w:sz w:val="18"/>
          <w:szCs w:val="18"/>
          <w:color w:val="auto"/>
        </w:rPr>
        <w:t>) if such Benchmark is TIBOR Rate,</w:t>
      </w:r>
    </w:p>
    <w:p>
      <w:pPr>
        <w:spacing w:after="0" w:line="219" w:lineRule="auto"/>
        <w:rPr>
          <w:sz w:val="20"/>
          <w:szCs w:val="20"/>
          <w:color w:val="auto"/>
        </w:rPr>
      </w:pPr>
      <w:r>
        <w:rPr>
          <w:rFonts w:ascii="Arial" w:cs="Arial" w:eastAsia="Arial" w:hAnsi="Arial"/>
          <w:sz w:val="18"/>
          <w:szCs w:val="18"/>
          <w:color w:val="auto"/>
        </w:rPr>
        <w:t>11:00 a.m. Japan time two Business Days preceding the date of such setting, and (</w:t>
      </w:r>
      <w:r>
        <w:rPr>
          <w:rFonts w:ascii="Arial" w:cs="Arial" w:eastAsia="Arial" w:hAnsi="Arial"/>
          <w:sz w:val="18"/>
          <w:szCs w:val="18"/>
          <w:color w:val="FF0000"/>
          <w:strike w:val="1"/>
        </w:rPr>
        <w:t>4</w:t>
      </w:r>
      <w:r>
        <w:rPr>
          <w:rFonts w:ascii="Arial" w:cs="Arial" w:eastAsia="Arial" w:hAnsi="Arial"/>
          <w:sz w:val="18"/>
          <w:szCs w:val="18"/>
          <w:u w:val="single" w:color="auto"/>
          <w:color w:val="0000FF"/>
        </w:rPr>
        <w:t>5</w:t>
      </w:r>
      <w:r>
        <w:rPr>
          <w:rFonts w:ascii="Arial" w:cs="Arial" w:eastAsia="Arial" w:hAnsi="Arial"/>
          <w:sz w:val="18"/>
          <w:szCs w:val="18"/>
          <w:color w:val="auto"/>
        </w:rPr>
        <w:t xml:space="preserve">) if such Benchmark is none of the LIBO </w:t>
      </w:r>
      <w:r>
        <w:rPr>
          <w:rFonts w:ascii="Arial" w:cs="Arial" w:eastAsia="Arial" w:hAnsi="Arial"/>
          <w:sz w:val="18"/>
          <w:szCs w:val="18"/>
          <w:u w:val="single" w:color="auto"/>
          <w:color w:val="0000FF"/>
        </w:rPr>
        <w:t>Rate, SONIA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Rate, the EURIBOR Rate or the TIBOR Rate, the time determined by the Administrative Agent in its reasonable discretion.</w:t>
      </w:r>
    </w:p>
    <w:p>
      <w:pPr>
        <w:spacing w:after="0" w:line="159" w:lineRule="exact"/>
        <w:rPr>
          <w:sz w:val="20"/>
          <w:szCs w:val="20"/>
          <w:color w:val="auto"/>
        </w:rPr>
      </w:pPr>
    </w:p>
    <w:p>
      <w:pPr>
        <w:ind w:right="220" w:firstLine="1296"/>
        <w:spacing w:after="0" w:line="229" w:lineRule="auto"/>
        <w:rPr>
          <w:sz w:val="20"/>
          <w:szCs w:val="20"/>
          <w:color w:val="auto"/>
        </w:rPr>
      </w:pPr>
      <w:r>
        <w:rPr>
          <w:rFonts w:ascii="Arial" w:cs="Arial" w:eastAsia="Arial" w:hAnsi="Arial"/>
          <w:sz w:val="20"/>
          <w:szCs w:val="20"/>
          <w:color w:val="auto"/>
        </w:rPr>
        <w:t>“Reference Statements” means the audited consolidated financial statements of Borrower and its Subsidiaries for the fiscal year ended December 31, 2020 (filed on Form 10-K on February 4, 2021).</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“Refund Repayment Requirement” has the meaning set forth in Section 3.01(e).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“Register” has the meaning set forth in Section 2.07(b).</w:t>
      </w:r>
    </w:p>
    <w:p>
      <w:pPr>
        <w:spacing w:after="0" w:line="175"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16"/>
          <w:szCs w:val="16"/>
          <w:color w:val="auto"/>
        </w:rPr>
        <w:t>“Relevant Governmental Body”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w:t>
      </w:r>
    </w:p>
    <w:p>
      <w:pPr>
        <w:spacing w:after="0" w:line="2" w:lineRule="exact"/>
        <w:rPr>
          <w:sz w:val="20"/>
          <w:szCs w:val="20"/>
          <w:color w:val="auto"/>
        </w:rPr>
      </w:pPr>
    </w:p>
    <w:p>
      <w:pPr>
        <w:jc w:val="both"/>
        <w:ind w:firstLine="8"/>
        <w:spacing w:after="0" w:line="247" w:lineRule="auto"/>
        <w:tabs>
          <w:tab w:leader="none" w:pos="37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Yen, the Bank of Japan, or a committee officially endorsed or convened by the Bank of Japan or, in each case, any successor thereto, and (v)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w:t>
      </w:r>
    </w:p>
    <w:p>
      <w:pPr>
        <w:spacing w:after="0" w:line="18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(4) the Financial Stability Board or any part thereof.</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“Relevant Rate” means (i) with respect to any Floating Rate Borrowing denominated in Dollars </w:t>
      </w:r>
      <w:r>
        <w:rPr>
          <w:rFonts w:ascii="Arial" w:cs="Arial" w:eastAsia="Arial" w:hAnsi="Arial"/>
          <w:sz w:val="18"/>
          <w:szCs w:val="18"/>
          <w:color w:val="FF0000"/>
          <w:strike w:val="1"/>
        </w:rPr>
        <w:t>or Sterling</w:t>
      </w:r>
      <w:r>
        <w:rPr>
          <w:rFonts w:ascii="Arial" w:cs="Arial" w:eastAsia="Arial" w:hAnsi="Arial"/>
          <w:sz w:val="18"/>
          <w:szCs w:val="18"/>
          <w:color w:val="auto"/>
        </w:rPr>
        <w:t>, the LIBO Rate,</w:t>
      </w:r>
    </w:p>
    <w:p>
      <w:pPr>
        <w:ind w:firstLine="8"/>
        <w:spacing w:after="0" w:line="220" w:lineRule="auto"/>
        <w:tabs>
          <w:tab w:leader="none" w:pos="294"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with respect to any Floating Rate Borrowing denominated in </w:t>
      </w:r>
      <w:r>
        <w:rPr>
          <w:rFonts w:ascii="Arial" w:cs="Arial" w:eastAsia="Arial" w:hAnsi="Arial"/>
          <w:sz w:val="20"/>
          <w:szCs w:val="20"/>
          <w:color w:val="FF0000"/>
          <w:strike w:val="1"/>
        </w:rPr>
        <w:t>Euros</w:t>
      </w:r>
      <w:r>
        <w:rPr>
          <w:rFonts w:ascii="Arial" w:cs="Arial" w:eastAsia="Arial" w:hAnsi="Arial"/>
          <w:sz w:val="20"/>
          <w:szCs w:val="20"/>
          <w:u w:val="single" w:color="auto"/>
          <w:color w:val="0000FF"/>
        </w:rPr>
        <w:t>Sterling</w:t>
      </w:r>
      <w:r>
        <w:rPr>
          <w:rFonts w:ascii="Arial" w:cs="Arial" w:eastAsia="Arial" w:hAnsi="Arial"/>
          <w:sz w:val="20"/>
          <w:szCs w:val="20"/>
          <w:color w:val="auto"/>
        </w:rPr>
        <w:t xml:space="preserve">, the </w:t>
      </w:r>
      <w:r>
        <w:rPr>
          <w:rFonts w:ascii="Arial" w:cs="Arial" w:eastAsia="Arial" w:hAnsi="Arial"/>
          <w:sz w:val="20"/>
          <w:szCs w:val="20"/>
          <w:color w:val="FF0000"/>
          <w:strike w:val="1"/>
        </w:rPr>
        <w:t>EURIBOR</w:t>
      </w:r>
      <w:r>
        <w:rPr>
          <w:rFonts w:ascii="Arial" w:cs="Arial" w:eastAsia="Arial" w:hAnsi="Arial"/>
          <w:sz w:val="20"/>
          <w:szCs w:val="20"/>
          <w:u w:val="single" w:color="auto"/>
          <w:color w:val="0000FF"/>
        </w:rPr>
        <w:t>SONIA</w:t>
      </w:r>
      <w:r>
        <w:rPr>
          <w:rFonts w:ascii="Arial" w:cs="Arial" w:eastAsia="Arial" w:hAnsi="Arial"/>
          <w:sz w:val="20"/>
          <w:szCs w:val="20"/>
          <w:color w:val="auto"/>
        </w:rPr>
        <w:t xml:space="preserve"> Rate, (iii) with respect to any </w:t>
      </w:r>
      <w:r>
        <w:rPr>
          <w:rFonts w:ascii="Arial" w:cs="Arial" w:eastAsia="Arial" w:hAnsi="Arial"/>
          <w:sz w:val="20"/>
          <w:szCs w:val="20"/>
          <w:u w:val="single" w:color="auto"/>
          <w:color w:val="0000FF"/>
        </w:rPr>
        <w:t>Floating</w:t>
      </w:r>
      <w:r>
        <w:rPr>
          <w:rFonts w:ascii="Arial" w:cs="Arial" w:eastAsia="Arial" w:hAnsi="Arial"/>
          <w:sz w:val="20"/>
          <w:szCs w:val="20"/>
          <w:color w:val="auto"/>
        </w:rPr>
        <w:t xml:space="preserve"> </w:t>
      </w:r>
      <w:r>
        <w:rPr>
          <w:rFonts w:ascii="Arial" w:cs="Arial" w:eastAsia="Arial" w:hAnsi="Arial"/>
          <w:sz w:val="20"/>
          <w:szCs w:val="20"/>
          <w:u w:val="single" w:color="auto"/>
          <w:color w:val="0000FF"/>
        </w:rPr>
        <w:t>Rate Borrowing 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5" w:right="339" w:bottom="1440" w:gutter="0" w:footer="0" w:header="0"/>
        </w:sectPr>
      </w:pPr>
    </w:p>
    <w:bookmarkStart w:id="196" w:name="page197"/>
    <w:bookmarkEnd w:id="196"/>
    <w:p>
      <w:pPr>
        <w:jc w:val="both"/>
        <w:ind w:right="20"/>
        <w:spacing w:after="0" w:line="229" w:lineRule="auto"/>
        <w:rPr>
          <w:sz w:val="20"/>
          <w:szCs w:val="20"/>
          <w:color w:val="auto"/>
        </w:rPr>
      </w:pPr>
      <w:r>
        <w:rPr>
          <w:rFonts w:ascii="Arial" w:cs="Arial" w:eastAsia="Arial" w:hAnsi="Arial"/>
          <w:sz w:val="20"/>
          <w:szCs w:val="20"/>
          <w:u w:val="single" w:color="auto"/>
          <w:color w:val="0000FF"/>
        </w:rPr>
        <w:t>in Euros, the EURIBOR Rate, (iv) with respect to any</w:t>
      </w:r>
      <w:r>
        <w:rPr>
          <w:rFonts w:ascii="Arial" w:cs="Arial" w:eastAsia="Arial" w:hAnsi="Arial"/>
          <w:sz w:val="20"/>
          <w:szCs w:val="20"/>
          <w:color w:val="0000FF"/>
        </w:rPr>
        <w:t xml:space="preserve"> </w:t>
      </w:r>
      <w:r>
        <w:rPr>
          <w:rFonts w:ascii="Arial" w:cs="Arial" w:eastAsia="Arial" w:hAnsi="Arial"/>
          <w:sz w:val="20"/>
          <w:szCs w:val="20"/>
          <w:color w:val="000000"/>
        </w:rPr>
        <w:t>Floating Rate Borrowing denominated in Yen, the TIBOR Rate, as applicable or (</w:t>
      </w:r>
      <w:r>
        <w:rPr>
          <w:rFonts w:ascii="Arial" w:cs="Arial" w:eastAsia="Arial" w:hAnsi="Arial"/>
          <w:sz w:val="20"/>
          <w:szCs w:val="20"/>
          <w:color w:val="FF0000"/>
          <w:strike w:val="1"/>
        </w:rPr>
        <w:t>iv</w:t>
      </w:r>
      <w:r>
        <w:rPr>
          <w:rFonts w:ascii="Arial" w:cs="Arial" w:eastAsia="Arial" w:hAnsi="Arial"/>
          <w:sz w:val="20"/>
          <w:szCs w:val="20"/>
          <w:u w:val="single" w:color="auto"/>
          <w:color w:val="0000FF"/>
        </w:rPr>
        <w:t>v</w:t>
      </w:r>
      <w:r>
        <w:rPr>
          <w:rFonts w:ascii="Arial" w:cs="Arial" w:eastAsia="Arial" w:hAnsi="Arial"/>
          <w:sz w:val="20"/>
          <w:szCs w:val="20"/>
          <w:color w:val="000000"/>
        </w:rPr>
        <w:t>)</w:t>
      </w:r>
      <w:r>
        <w:rPr>
          <w:rFonts w:ascii="Arial" w:cs="Arial" w:eastAsia="Arial" w:hAnsi="Arial"/>
          <w:sz w:val="20"/>
          <w:szCs w:val="20"/>
          <w:color w:val="0000FF"/>
        </w:rPr>
        <w:t xml:space="preserve"> </w:t>
      </w:r>
      <w:r>
        <w:rPr>
          <w:rFonts w:ascii="Arial" w:cs="Arial" w:eastAsia="Arial" w:hAnsi="Arial"/>
          <w:sz w:val="20"/>
          <w:szCs w:val="20"/>
          <w:color w:val="000000"/>
        </w:rPr>
        <w:t>with respect to any Borrowing denominated in Canadian Dollars, the CDOR Screen Rate, as applicable.</w:t>
      </w:r>
    </w:p>
    <w:p>
      <w:pPr>
        <w:spacing w:after="0" w:line="155" w:lineRule="exact"/>
        <w:rPr>
          <w:sz w:val="20"/>
          <w:szCs w:val="20"/>
          <w:color w:val="auto"/>
        </w:rPr>
      </w:pPr>
    </w:p>
    <w:p>
      <w:pPr>
        <w:jc w:val="both"/>
        <w:ind w:right="20" w:firstLine="1296"/>
        <w:spacing w:after="0" w:line="213" w:lineRule="auto"/>
        <w:rPr>
          <w:sz w:val="20"/>
          <w:szCs w:val="20"/>
          <w:color w:val="auto"/>
        </w:rPr>
      </w:pPr>
      <w:r>
        <w:rPr>
          <w:rFonts w:ascii="Arial" w:cs="Arial" w:eastAsia="Arial" w:hAnsi="Arial"/>
          <w:sz w:val="20"/>
          <w:szCs w:val="20"/>
          <w:color w:val="auto"/>
        </w:rPr>
        <w:t xml:space="preserve">“Relevant Screen Rate” means (i) with respect to any Floating Rate Borrowing denominated in Dollars </w:t>
      </w:r>
      <w:r>
        <w:rPr>
          <w:rFonts w:ascii="Arial" w:cs="Arial" w:eastAsia="Arial" w:hAnsi="Arial"/>
          <w:sz w:val="20"/>
          <w:szCs w:val="20"/>
          <w:color w:val="FF0000"/>
        </w:rPr>
        <w:t>or Sterling</w:t>
      </w:r>
      <w:r>
        <w:rPr>
          <w:rFonts w:ascii="Arial" w:cs="Arial" w:eastAsia="Arial" w:hAnsi="Arial"/>
          <w:sz w:val="20"/>
          <w:szCs w:val="20"/>
          <w:color w:val="auto"/>
        </w:rPr>
        <w:t>, the LIBO Screen Rate, (ii) with respect to any Floating Rate Borrowing denominated in Euros, the EURIBOR Screen Rate, (iii) with respect to any Floating Rate Borrowing denominated in Yen, the TIBOR Screen Rate, as applicable or (iv) with respect to any Borrowing denominated in Canadian Dollars, CDOR Screen Rate,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-429895</wp:posOffset>
            </wp:positionV>
            <wp:extent cx="5651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1">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136" w:lineRule="exact"/>
        <w:rPr>
          <w:sz w:val="20"/>
          <w:szCs w:val="20"/>
          <w:color w:val="auto"/>
        </w:rPr>
      </w:pPr>
    </w:p>
    <w:p>
      <w:pPr>
        <w:jc w:val="both"/>
        <w:ind w:right="20" w:firstLine="1296"/>
        <w:spacing w:after="0" w:line="210" w:lineRule="auto"/>
        <w:rPr>
          <w:sz w:val="20"/>
          <w:szCs w:val="20"/>
          <w:color w:val="auto"/>
        </w:rPr>
      </w:pPr>
      <w:r>
        <w:rPr>
          <w:rFonts w:ascii="Arial" w:cs="Arial" w:eastAsia="Arial" w:hAnsi="Arial"/>
          <w:sz w:val="20"/>
          <w:szCs w:val="20"/>
          <w:color w:val="auto"/>
        </w:rPr>
        <w:t>“Request for Extension of Credit” means, unless otherwise specified herein, (a) with respect to a Borrowing, Conversion or Continuation of Loans (other than Competitive Loans), a written request substantially in the form of Exhibit B, (b) with respect to a Letter of Credit Action, a Letter of Credit Application, duly completed and signed by a Responsible Officer of Borrower and delivered by Requisite Notice and (c) with respect to a Borrowing of Competitive Loans, a Competitive Bid Request, duly completed and signed by a Responsible Officer of Borrower and delivered by Requisite Notice.</w:t>
      </w:r>
    </w:p>
    <w:p>
      <w:pPr>
        <w:spacing w:after="0" w:line="155" w:lineRule="exact"/>
        <w:rPr>
          <w:sz w:val="20"/>
          <w:szCs w:val="20"/>
          <w:color w:val="auto"/>
        </w:rPr>
      </w:pPr>
    </w:p>
    <w:p>
      <w:pPr>
        <w:jc w:val="both"/>
        <w:ind w:right="20" w:firstLine="1296"/>
        <w:spacing w:after="0" w:line="221" w:lineRule="auto"/>
        <w:rPr>
          <w:sz w:val="20"/>
          <w:szCs w:val="20"/>
          <w:color w:val="auto"/>
        </w:rPr>
      </w:pPr>
      <w:r>
        <w:rPr>
          <w:rFonts w:ascii="Arial" w:cs="Arial" w:eastAsia="Arial" w:hAnsi="Arial"/>
          <w:sz w:val="19"/>
          <w:szCs w:val="19"/>
          <w:color w:val="auto"/>
        </w:rPr>
        <w:t>“Required Lenders” means, as of any date of determination, Lenders (excluding any Lender that is a Defaulting Lender, until all matters that caused such Lender to be a Defaulting Lender have been remedied) holding more than 50% of: (a) the combined Revolving Commitments (excluding the Revolving Commitment of any Lender that is a Defaulting Lender, until all matters that caused such Lender to be a Defaulting Lender have been remedied) then in effect and (b) if the Revolving Commitments have then been terminated and there are Outstanding Revolving Obligations, the Outstanding Revolving Obligations.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“Requisite Notice” means a notice delivered in accordance with Section 10.02.</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w:t>
      </w:r>
    </w:p>
    <w:p>
      <w:pPr>
        <w:spacing w:after="0"/>
        <w:rPr>
          <w:sz w:val="20"/>
          <w:szCs w:val="20"/>
          <w:color w:val="auto"/>
        </w:rPr>
      </w:pPr>
      <w:r>
        <w:rPr>
          <w:rFonts w:ascii="Arial" w:cs="Arial" w:eastAsia="Arial" w:hAnsi="Arial"/>
          <w:sz w:val="20"/>
          <w:szCs w:val="20"/>
          <w:color w:val="auto"/>
        </w:rPr>
        <w:t>action:</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Type of Action</w:t>
            </w:r>
          </w:p>
        </w:tc>
        <w:tc>
          <w:tcPr>
            <w:tcW w:w="37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Applicable Time</w:t>
            </w:r>
          </w:p>
        </w:tc>
        <w:tc>
          <w:tcPr>
            <w:tcW w:w="3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Date of Action</w:t>
            </w: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w w:val="96"/>
              </w:rPr>
              <w:t>Delivery of Request for Extension of Credit</w:t>
            </w:r>
          </w:p>
        </w:tc>
        <w:tc>
          <w:tcPr>
            <w:tcW w:w="3780" w:type="dxa"/>
            <w:vAlign w:val="bottom"/>
            <w:tcBorders>
              <w:right w:val="single" w:sz="8" w:color="auto"/>
            </w:tcBorders>
          </w:tcPr>
          <w:p>
            <w:pPr>
              <w:spacing w:after="0"/>
              <w:rPr>
                <w:sz w:val="15"/>
                <w:szCs w:val="15"/>
                <w:color w:val="auto"/>
              </w:rPr>
            </w:pPr>
          </w:p>
        </w:tc>
        <w:tc>
          <w:tcPr>
            <w:tcW w:w="3720" w:type="dxa"/>
            <w:vAlign w:val="bottom"/>
            <w:tcBorders>
              <w:right w:val="single" w:sz="8" w:color="auto"/>
            </w:tcBorders>
          </w:tcPr>
          <w:p>
            <w:pPr>
              <w:spacing w:after="0"/>
              <w:rPr>
                <w:sz w:val="15"/>
                <w:szCs w:val="15"/>
                <w:color w:val="auto"/>
              </w:rPr>
            </w:pPr>
          </w:p>
        </w:tc>
      </w:tr>
      <w:tr>
        <w:trPr>
          <w:trHeight w:val="189"/>
        </w:trPr>
        <w:tc>
          <w:tcPr>
            <w:tcW w:w="376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0"/>
                <w:szCs w:val="20"/>
                <w:color w:val="auto"/>
              </w:rPr>
              <w:t>for, or notice for, or determination of any</w:t>
            </w:r>
          </w:p>
        </w:tc>
        <w:tc>
          <w:tcPr>
            <w:tcW w:w="378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Screen Rate related to:</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Borrowing or prepayment of Base Rate</w:t>
            </w:r>
          </w:p>
        </w:tc>
        <w:tc>
          <w:tcPr>
            <w:tcW w:w="3780" w:type="dxa"/>
            <w:vAlign w:val="bottom"/>
            <w:tcBorders>
              <w:right w:val="single" w:sz="8" w:color="auto"/>
            </w:tcBorders>
          </w:tcPr>
          <w:p>
            <w:pPr>
              <w:ind w:left="1460"/>
              <w:spacing w:after="0" w:line="183" w:lineRule="exact"/>
              <w:rPr>
                <w:sz w:val="20"/>
                <w:szCs w:val="20"/>
                <w:color w:val="auto"/>
              </w:rPr>
            </w:pPr>
            <w:r>
              <w:rPr>
                <w:rFonts w:ascii="Arial" w:cs="Arial" w:eastAsia="Arial" w:hAnsi="Arial"/>
                <w:sz w:val="20"/>
                <w:szCs w:val="20"/>
                <w:color w:val="auto"/>
              </w:rPr>
              <w:t>11:00 a.m.</w:t>
            </w:r>
          </w:p>
        </w:tc>
        <w:tc>
          <w:tcPr>
            <w:tcW w:w="372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Same Business Day as such Loans</w:t>
            </w: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Loans</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Borrowing or prepayment</w:t>
            </w:r>
          </w:p>
        </w:tc>
      </w:tr>
      <w:tr>
        <w:trPr>
          <w:trHeight w:val="237"/>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Conversion into Base Rate Loans</w:t>
            </w:r>
          </w:p>
        </w:tc>
        <w:tc>
          <w:tcPr>
            <w:tcW w:w="378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20"/>
                <w:szCs w:val="20"/>
                <w:color w:val="auto"/>
              </w:rPr>
              <w:t>11:00 a.m.</w:t>
            </w:r>
          </w:p>
        </w:tc>
        <w:tc>
          <w:tcPr>
            <w:tcW w:w="3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Same Business Day as such Conversion</w:t>
            </w: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w w:val="96"/>
              </w:rPr>
              <w:t>Borrowing, prepayment or Continuation of,</w:t>
            </w:r>
          </w:p>
        </w:tc>
        <w:tc>
          <w:tcPr>
            <w:tcW w:w="3780" w:type="dxa"/>
            <w:vAlign w:val="bottom"/>
            <w:tcBorders>
              <w:right w:val="single" w:sz="8" w:color="auto"/>
            </w:tcBorders>
          </w:tcPr>
          <w:p>
            <w:pPr>
              <w:ind w:left="1460"/>
              <w:spacing w:after="0" w:line="183" w:lineRule="exact"/>
              <w:rPr>
                <w:sz w:val="20"/>
                <w:szCs w:val="20"/>
                <w:color w:val="auto"/>
              </w:rPr>
            </w:pPr>
            <w:r>
              <w:rPr>
                <w:rFonts w:ascii="Arial" w:cs="Arial" w:eastAsia="Arial" w:hAnsi="Arial"/>
                <w:sz w:val="20"/>
                <w:szCs w:val="20"/>
                <w:color w:val="auto"/>
              </w:rPr>
              <w:t>10:00 a.m.</w:t>
            </w:r>
          </w:p>
        </w:tc>
        <w:tc>
          <w:tcPr>
            <w:tcW w:w="372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20"/>
                <w:szCs w:val="20"/>
                <w:color w:val="auto"/>
                <w:w w:val="94"/>
              </w:rPr>
              <w:t>3 Business Days prior to such prepayment,</w:t>
            </w:r>
          </w:p>
        </w:tc>
      </w:tr>
      <w:tr>
        <w:trPr>
          <w:trHeight w:val="189"/>
        </w:trPr>
        <w:tc>
          <w:tcPr>
            <w:tcW w:w="376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0"/>
                <w:szCs w:val="20"/>
                <w:color w:val="auto"/>
              </w:rPr>
              <w:t>or Conversion into, Floating Rate Loans</w:t>
            </w:r>
          </w:p>
        </w:tc>
        <w:tc>
          <w:tcPr>
            <w:tcW w:w="378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0"/>
                <w:szCs w:val="20"/>
                <w:color w:val="auto"/>
              </w:rPr>
              <w:t>Borrowing, Continuation or Conversion</w:t>
            </w:r>
          </w:p>
        </w:tc>
      </w:tr>
      <w:tr>
        <w:trPr>
          <w:trHeight w:val="189"/>
        </w:trPr>
        <w:tc>
          <w:tcPr>
            <w:tcW w:w="376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0"/>
                <w:szCs w:val="20"/>
                <w:color w:val="auto"/>
                <w:w w:val="91"/>
              </w:rPr>
              <w:t>(other than Competitive Loans) denominated</w:t>
            </w:r>
          </w:p>
        </w:tc>
        <w:tc>
          <w:tcPr>
            <w:tcW w:w="378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 Canadian Dollars, and CDOR</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w w:val="96"/>
              </w:rPr>
              <w:t>Borrowing, prepayment or Continuation of,</w:t>
            </w:r>
          </w:p>
        </w:tc>
        <w:tc>
          <w:tcPr>
            <w:tcW w:w="3780" w:type="dxa"/>
            <w:vAlign w:val="bottom"/>
            <w:tcBorders>
              <w:right w:val="single" w:sz="8" w:color="auto"/>
            </w:tcBorders>
          </w:tcPr>
          <w:p>
            <w:pPr>
              <w:ind w:left="1460"/>
              <w:spacing w:after="0" w:line="183" w:lineRule="exact"/>
              <w:rPr>
                <w:sz w:val="20"/>
                <w:szCs w:val="20"/>
                <w:color w:val="auto"/>
              </w:rPr>
            </w:pPr>
            <w:r>
              <w:rPr>
                <w:rFonts w:ascii="Arial" w:cs="Arial" w:eastAsia="Arial" w:hAnsi="Arial"/>
                <w:sz w:val="20"/>
                <w:szCs w:val="20"/>
                <w:color w:val="auto"/>
              </w:rPr>
              <w:t>11:00 a.m.</w:t>
            </w:r>
          </w:p>
        </w:tc>
        <w:tc>
          <w:tcPr>
            <w:tcW w:w="372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20"/>
                <w:szCs w:val="20"/>
                <w:color w:val="auto"/>
                <w:w w:val="94"/>
              </w:rPr>
              <w:t>3 Business Days prior to such prepayment,</w:t>
            </w:r>
          </w:p>
        </w:tc>
      </w:tr>
      <w:tr>
        <w:trPr>
          <w:trHeight w:val="189"/>
        </w:trPr>
        <w:tc>
          <w:tcPr>
            <w:tcW w:w="376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0"/>
                <w:szCs w:val="20"/>
                <w:color w:val="auto"/>
              </w:rPr>
              <w:t>or Conversion into, Floating Rate Loans</w:t>
            </w:r>
          </w:p>
        </w:tc>
        <w:tc>
          <w:tcPr>
            <w:tcW w:w="378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0"/>
                <w:szCs w:val="20"/>
                <w:color w:val="auto"/>
              </w:rPr>
              <w:t>Borrowing, Continuation or Conversion</w:t>
            </w:r>
          </w:p>
        </w:tc>
      </w:tr>
      <w:tr>
        <w:trPr>
          <w:trHeight w:val="189"/>
        </w:trPr>
        <w:tc>
          <w:tcPr>
            <w:tcW w:w="376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0"/>
                <w:szCs w:val="20"/>
                <w:color w:val="auto"/>
                <w:w w:val="91"/>
              </w:rPr>
              <w:t>(other than Competitive Loans) denominated</w:t>
            </w:r>
          </w:p>
        </w:tc>
        <w:tc>
          <w:tcPr>
            <w:tcW w:w="378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 Dollars</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r>
        <w:trPr>
          <w:trHeight w:val="183"/>
        </w:trPr>
        <w:tc>
          <w:tcPr>
            <w:tcW w:w="376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w w:val="96"/>
              </w:rPr>
              <w:t>Borrowing, prepayment or Continuation of,</w:t>
            </w:r>
          </w:p>
        </w:tc>
        <w:tc>
          <w:tcPr>
            <w:tcW w:w="3780" w:type="dxa"/>
            <w:vAlign w:val="bottom"/>
            <w:tcBorders>
              <w:right w:val="single" w:sz="8" w:color="auto"/>
            </w:tcBorders>
          </w:tcPr>
          <w:p>
            <w:pPr>
              <w:ind w:left="1460"/>
              <w:spacing w:after="0" w:line="183" w:lineRule="exact"/>
              <w:rPr>
                <w:sz w:val="20"/>
                <w:szCs w:val="20"/>
                <w:color w:val="auto"/>
              </w:rPr>
            </w:pPr>
            <w:r>
              <w:rPr>
                <w:rFonts w:ascii="Arial" w:cs="Arial" w:eastAsia="Arial" w:hAnsi="Arial"/>
                <w:sz w:val="20"/>
                <w:szCs w:val="20"/>
                <w:color w:val="auto"/>
              </w:rPr>
              <w:t>10:00 a.m.</w:t>
            </w:r>
          </w:p>
        </w:tc>
        <w:tc>
          <w:tcPr>
            <w:tcW w:w="372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20"/>
                <w:szCs w:val="20"/>
                <w:color w:val="auto"/>
                <w:w w:val="94"/>
              </w:rPr>
              <w:t>3 Business Days prior to such prepayment,</w:t>
            </w:r>
          </w:p>
        </w:tc>
      </w:tr>
      <w:tr>
        <w:trPr>
          <w:trHeight w:val="189"/>
        </w:trPr>
        <w:tc>
          <w:tcPr>
            <w:tcW w:w="376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0"/>
                <w:szCs w:val="20"/>
                <w:color w:val="auto"/>
              </w:rPr>
              <w:t>or Conversion into, Floating Rate Loans</w:t>
            </w:r>
          </w:p>
        </w:tc>
        <w:tc>
          <w:tcPr>
            <w:tcW w:w="378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20"/>
                <w:szCs w:val="20"/>
                <w:color w:val="auto"/>
              </w:rPr>
              <w:t>Borrowing, Continuation or Conversion</w:t>
            </w:r>
          </w:p>
        </w:tc>
      </w:tr>
      <w:tr>
        <w:trPr>
          <w:trHeight w:val="189"/>
        </w:trPr>
        <w:tc>
          <w:tcPr>
            <w:tcW w:w="3760" w:type="dxa"/>
            <w:vAlign w:val="bottom"/>
            <w:tcBorders>
              <w:left w:val="single" w:sz="8" w:color="auto"/>
              <w:right w:val="single" w:sz="8" w:color="auto"/>
            </w:tcBorders>
          </w:tcPr>
          <w:p>
            <w:pPr>
              <w:ind w:left="80"/>
              <w:spacing w:after="0" w:line="189" w:lineRule="exact"/>
              <w:rPr>
                <w:sz w:val="20"/>
                <w:szCs w:val="20"/>
                <w:color w:val="auto"/>
              </w:rPr>
            </w:pPr>
            <w:r>
              <w:rPr>
                <w:rFonts w:ascii="Arial" w:cs="Arial" w:eastAsia="Arial" w:hAnsi="Arial"/>
                <w:sz w:val="20"/>
                <w:szCs w:val="20"/>
                <w:color w:val="auto"/>
                <w:w w:val="91"/>
              </w:rPr>
              <w:t>(other than Competitive Loans) denominated</w:t>
            </w:r>
          </w:p>
        </w:tc>
        <w:tc>
          <w:tcPr>
            <w:tcW w:w="378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r>
      <w:tr>
        <w:trPr>
          <w:trHeight w:val="24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 Euros, and EURIBOR</w:t>
            </w:r>
          </w:p>
        </w:tc>
        <w:tc>
          <w:tcPr>
            <w:tcW w:w="378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60"/>
          </w:cols>
          <w:pgMar w:left="320" w:top="1405" w:right="319" w:bottom="1440" w:gutter="0" w:footer="0" w:header="0"/>
        </w:sectPr>
      </w:pPr>
    </w:p>
    <w:bookmarkStart w:id="197" w:name="page198"/>
    <w:bookmarkEnd w:id="19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980" w:type="dxa"/>
            <w:vAlign w:val="bottom"/>
            <w:tcBorders>
              <w:top w:val="single" w:sz="8" w:color="auto"/>
              <w:left w:val="single" w:sz="8" w:color="auto"/>
            </w:tcBorders>
          </w:tcPr>
          <w:p>
            <w:pPr>
              <w:ind w:left="80"/>
              <w:spacing w:after="0" w:line="203" w:lineRule="exact"/>
              <w:rPr>
                <w:sz w:val="20"/>
                <w:szCs w:val="20"/>
                <w:color w:val="auto"/>
              </w:rPr>
            </w:pPr>
            <w:r>
              <w:rPr>
                <w:rFonts w:ascii="Arial" w:cs="Arial" w:eastAsia="Arial" w:hAnsi="Arial"/>
                <w:sz w:val="20"/>
                <w:szCs w:val="20"/>
                <w:color w:val="auto"/>
                <w:w w:val="90"/>
              </w:rPr>
              <w:t>Borrowing, prepayment</w:t>
            </w:r>
          </w:p>
        </w:tc>
        <w:tc>
          <w:tcPr>
            <w:tcW w:w="1240" w:type="dxa"/>
            <w:vAlign w:val="bottom"/>
            <w:tcBorders>
              <w:top w:val="single" w:sz="8" w:color="auto"/>
            </w:tcBorders>
          </w:tcPr>
          <w:p>
            <w:pPr>
              <w:ind w:left="40"/>
              <w:spacing w:after="0" w:line="203" w:lineRule="exact"/>
              <w:rPr>
                <w:sz w:val="20"/>
                <w:szCs w:val="20"/>
                <w:color w:val="auto"/>
              </w:rPr>
            </w:pPr>
            <w:r>
              <w:rPr>
                <w:rFonts w:ascii="Arial" w:cs="Arial" w:eastAsia="Arial" w:hAnsi="Arial"/>
                <w:sz w:val="20"/>
                <w:szCs w:val="20"/>
                <w:color w:val="FF0000"/>
              </w:rPr>
              <w:t>o</w:t>
            </w:r>
            <w:r>
              <w:rPr>
                <w:rFonts w:ascii="Arial" w:cs="Arial" w:eastAsia="Arial" w:hAnsi="Arial"/>
                <w:sz w:val="17"/>
                <w:szCs w:val="17"/>
                <w:color w:val="FF0000"/>
              </w:rPr>
              <w:t>r Continuation</w:t>
            </w:r>
          </w:p>
        </w:tc>
        <w:tc>
          <w:tcPr>
            <w:tcW w:w="540" w:type="dxa"/>
            <w:vAlign w:val="bottom"/>
            <w:tcBorders>
              <w:top w:val="single" w:sz="8" w:color="auto"/>
              <w:right w:val="single" w:sz="8" w:color="auto"/>
            </w:tcBorders>
          </w:tcPr>
          <w:p>
            <w:pPr>
              <w:spacing w:after="0" w:line="203" w:lineRule="exact"/>
              <w:rPr>
                <w:sz w:val="20"/>
                <w:szCs w:val="20"/>
                <w:color w:val="auto"/>
              </w:rPr>
            </w:pPr>
            <w:r>
              <w:rPr>
                <w:rFonts w:ascii="Arial" w:cs="Arial" w:eastAsia="Arial" w:hAnsi="Arial"/>
                <w:sz w:val="20"/>
                <w:szCs w:val="20"/>
                <w:color w:val="auto"/>
              </w:rPr>
              <w:t>of, or</w:t>
            </w: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20"/>
                <w:szCs w:val="20"/>
                <w:color w:val="FF0000"/>
                <w:strike w:val="1"/>
              </w:rPr>
              <w:t>1</w:t>
            </w:r>
            <w:r>
              <w:rPr>
                <w:rFonts w:ascii="Arial" w:cs="Arial" w:eastAsia="Arial" w:hAnsi="Arial"/>
                <w:sz w:val="17"/>
                <w:szCs w:val="17"/>
                <w:color w:val="FF0000"/>
                <w:strike w:val="1"/>
              </w:rPr>
              <w:t>0:00</w:t>
            </w:r>
          </w:p>
        </w:tc>
        <w:tc>
          <w:tcPr>
            <w:tcW w:w="2020" w:type="dxa"/>
            <w:vAlign w:val="bottom"/>
            <w:tcBorders>
              <w:top w:val="single" w:sz="8" w:color="auto"/>
              <w:right w:val="single" w:sz="8" w:color="auto"/>
            </w:tcBorders>
            <w:gridSpan w:val="2"/>
          </w:tcPr>
          <w:p>
            <w:pPr>
              <w:spacing w:after="0" w:line="203" w:lineRule="exact"/>
              <w:rPr>
                <w:sz w:val="20"/>
                <w:szCs w:val="20"/>
                <w:color w:val="auto"/>
              </w:rPr>
            </w:pPr>
            <w:r>
              <w:rPr>
                <w:rFonts w:ascii="Arial" w:cs="Arial" w:eastAsia="Arial" w:hAnsi="Arial"/>
                <w:sz w:val="20"/>
                <w:szCs w:val="20"/>
                <w:color w:val="0000FF"/>
              </w:rPr>
              <w:t xml:space="preserve">11:00 </w:t>
            </w:r>
            <w:r>
              <w:rPr>
                <w:rFonts w:ascii="Arial" w:cs="Arial" w:eastAsia="Arial" w:hAnsi="Arial"/>
                <w:sz w:val="20"/>
                <w:szCs w:val="20"/>
                <w:color w:val="000000"/>
              </w:rPr>
              <w:t>a.m.</w:t>
            </w:r>
          </w:p>
        </w:tc>
        <w:tc>
          <w:tcPr>
            <w:tcW w:w="160" w:type="dxa"/>
            <w:vAlign w:val="bottom"/>
            <w:tcBorders>
              <w:top w:val="single" w:sz="8" w:color="auto"/>
            </w:tcBorders>
          </w:tcPr>
          <w:p>
            <w:pPr>
              <w:ind w:left="60"/>
              <w:spacing w:after="0" w:line="203" w:lineRule="exact"/>
              <w:rPr>
                <w:sz w:val="20"/>
                <w:szCs w:val="20"/>
                <w:color w:val="auto"/>
              </w:rPr>
            </w:pPr>
            <w:r>
              <w:rPr>
                <w:rFonts w:ascii="Arial" w:cs="Arial" w:eastAsia="Arial" w:hAnsi="Arial"/>
                <w:sz w:val="20"/>
                <w:szCs w:val="20"/>
                <w:color w:val="FF0000"/>
                <w:strike w:val="1"/>
                <w:w w:val="71"/>
              </w:rPr>
              <w:t>3</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20"/>
                <w:szCs w:val="20"/>
                <w:color w:val="0000FF"/>
                <w:strike w:val="1"/>
                <w:w w:val="71"/>
              </w:rPr>
              <w:t>5</w:t>
            </w:r>
          </w:p>
        </w:tc>
        <w:tc>
          <w:tcPr>
            <w:tcW w:w="3460" w:type="dxa"/>
            <w:vAlign w:val="bottom"/>
            <w:tcBorders>
              <w:top w:val="single" w:sz="8" w:color="auto"/>
              <w:right w:val="single" w:sz="8" w:color="auto"/>
            </w:tcBorders>
            <w:gridSpan w:val="3"/>
          </w:tcPr>
          <w:p>
            <w:pPr>
              <w:ind w:left="40"/>
              <w:spacing w:after="0" w:line="203" w:lineRule="exact"/>
              <w:rPr>
                <w:sz w:val="20"/>
                <w:szCs w:val="20"/>
                <w:color w:val="auto"/>
              </w:rPr>
            </w:pPr>
            <w:r>
              <w:rPr>
                <w:rFonts w:ascii="Arial" w:cs="Arial" w:eastAsia="Arial" w:hAnsi="Arial"/>
                <w:sz w:val="20"/>
                <w:szCs w:val="20"/>
                <w:color w:val="auto"/>
                <w:strike w:val="1"/>
                <w:w w:val="92"/>
              </w:rPr>
              <w:t>Business Days prior to such prepayment,</w:t>
            </w:r>
          </w:p>
        </w:tc>
      </w:tr>
      <w:tr>
        <w:trPr>
          <w:trHeight w:val="162"/>
        </w:trPr>
        <w:tc>
          <w:tcPr>
            <w:tcW w:w="3760" w:type="dxa"/>
            <w:vAlign w:val="bottom"/>
            <w:tcBorders>
              <w:left w:val="single" w:sz="8" w:color="auto"/>
              <w:right w:val="single" w:sz="8" w:color="auto"/>
            </w:tcBorders>
            <w:gridSpan w:val="3"/>
          </w:tcPr>
          <w:p>
            <w:pPr>
              <w:ind w:left="80"/>
              <w:spacing w:after="0" w:line="162" w:lineRule="exact"/>
              <w:rPr>
                <w:sz w:val="20"/>
                <w:szCs w:val="20"/>
                <w:color w:val="auto"/>
              </w:rPr>
            </w:pPr>
            <w:r>
              <w:rPr>
                <w:rFonts w:ascii="Arial" w:cs="Arial" w:eastAsia="Arial" w:hAnsi="Arial"/>
                <w:sz w:val="18"/>
                <w:szCs w:val="18"/>
                <w:color w:val="auto"/>
              </w:rPr>
              <w:t>Conversion into, Floating Rate Loans (other</w:t>
            </w:r>
          </w:p>
        </w:tc>
        <w:tc>
          <w:tcPr>
            <w:tcW w:w="1760" w:type="dxa"/>
            <w:vAlign w:val="bottom"/>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60" w:type="dxa"/>
            <w:vAlign w:val="bottom"/>
          </w:tcPr>
          <w:p>
            <w:pPr>
              <w:spacing w:after="0" w:line="162" w:lineRule="exact"/>
              <w:rPr>
                <w:sz w:val="20"/>
                <w:szCs w:val="20"/>
                <w:color w:val="auto"/>
              </w:rPr>
            </w:pPr>
            <w:r>
              <w:rPr>
                <w:rFonts w:ascii="Arial" w:cs="Arial" w:eastAsia="Arial" w:hAnsi="Arial"/>
                <w:sz w:val="18"/>
                <w:szCs w:val="18"/>
                <w:color w:val="auto"/>
                <w:strike w:val="1"/>
                <w:w w:val="78"/>
              </w:rPr>
              <w:t>Borrowing</w:t>
            </w:r>
          </w:p>
        </w:tc>
        <w:tc>
          <w:tcPr>
            <w:tcW w:w="1020" w:type="dxa"/>
            <w:vAlign w:val="bottom"/>
          </w:tcPr>
          <w:p>
            <w:pPr>
              <w:spacing w:after="0" w:line="162" w:lineRule="exact"/>
              <w:rPr>
                <w:sz w:val="20"/>
                <w:szCs w:val="20"/>
                <w:color w:val="auto"/>
              </w:rPr>
            </w:pPr>
            <w:r>
              <w:rPr>
                <w:rFonts w:ascii="Arial" w:cs="Arial" w:eastAsia="Arial" w:hAnsi="Arial"/>
                <w:sz w:val="18"/>
                <w:szCs w:val="18"/>
                <w:color w:val="FF0000"/>
                <w:strike w:val="1"/>
              </w:rPr>
              <w:t xml:space="preserve">, </w:t>
            </w:r>
            <w:r>
              <w:rPr>
                <w:rFonts w:ascii="Arial" w:cs="Arial" w:eastAsia="Arial" w:hAnsi="Arial"/>
                <w:sz w:val="15"/>
                <w:szCs w:val="15"/>
                <w:color w:val="FF0000"/>
                <w:strike w:val="1"/>
              </w:rPr>
              <w:t>Continuation</w:t>
            </w:r>
          </w:p>
        </w:tc>
        <w:tc>
          <w:tcPr>
            <w:tcW w:w="17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or Conversion</w:t>
            </w:r>
          </w:p>
        </w:tc>
      </w:tr>
      <w:tr>
        <w:trPr>
          <w:trHeight w:val="189"/>
        </w:trPr>
        <w:tc>
          <w:tcPr>
            <w:tcW w:w="3760" w:type="dxa"/>
            <w:vAlign w:val="bottom"/>
            <w:tcBorders>
              <w:left w:val="single" w:sz="8" w:color="auto"/>
              <w:right w:val="single" w:sz="8" w:color="auto"/>
            </w:tcBorders>
            <w:gridSpan w:val="3"/>
          </w:tcPr>
          <w:p>
            <w:pPr>
              <w:ind w:left="80"/>
              <w:spacing w:after="0" w:line="189" w:lineRule="exact"/>
              <w:rPr>
                <w:sz w:val="20"/>
                <w:szCs w:val="20"/>
                <w:color w:val="auto"/>
              </w:rPr>
            </w:pPr>
            <w:r>
              <w:rPr>
                <w:rFonts w:ascii="Arial" w:cs="Arial" w:eastAsia="Arial" w:hAnsi="Arial"/>
                <w:sz w:val="20"/>
                <w:szCs w:val="20"/>
                <w:color w:val="auto"/>
              </w:rPr>
              <w:t>than Competitive Loans) denominated in</w:t>
            </w: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43"/>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Sterling</w:t>
            </w:r>
          </w:p>
        </w:tc>
        <w:tc>
          <w:tcPr>
            <w:tcW w:w="1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r>
      <w:tr>
        <w:trPr>
          <w:trHeight w:val="183"/>
        </w:trPr>
        <w:tc>
          <w:tcPr>
            <w:tcW w:w="3760" w:type="dxa"/>
            <w:vAlign w:val="bottom"/>
            <w:tcBorders>
              <w:left w:val="single" w:sz="8" w:color="auto"/>
              <w:right w:val="single" w:sz="8" w:color="auto"/>
            </w:tcBorders>
            <w:gridSpan w:val="3"/>
          </w:tcPr>
          <w:p>
            <w:pPr>
              <w:ind w:left="80"/>
              <w:spacing w:after="0" w:line="183" w:lineRule="exact"/>
              <w:rPr>
                <w:sz w:val="20"/>
                <w:szCs w:val="20"/>
                <w:color w:val="auto"/>
              </w:rPr>
            </w:pPr>
            <w:r>
              <w:rPr>
                <w:rFonts w:ascii="Arial" w:cs="Arial" w:eastAsia="Arial" w:hAnsi="Arial"/>
                <w:sz w:val="20"/>
                <w:szCs w:val="20"/>
                <w:color w:val="auto"/>
                <w:w w:val="96"/>
              </w:rPr>
              <w:t>Borrowing, prepayment or Continuation of,</w:t>
            </w:r>
          </w:p>
        </w:tc>
        <w:tc>
          <w:tcPr>
            <w:tcW w:w="3780" w:type="dxa"/>
            <w:vAlign w:val="bottom"/>
            <w:tcBorders>
              <w:right w:val="single" w:sz="8" w:color="auto"/>
            </w:tcBorders>
            <w:gridSpan w:val="3"/>
          </w:tcPr>
          <w:p>
            <w:pPr>
              <w:jc w:val="center"/>
              <w:ind w:right="20"/>
              <w:spacing w:after="0" w:line="183" w:lineRule="exact"/>
              <w:rPr>
                <w:sz w:val="20"/>
                <w:szCs w:val="20"/>
                <w:color w:val="auto"/>
              </w:rPr>
            </w:pPr>
            <w:r>
              <w:rPr>
                <w:rFonts w:ascii="Arial" w:cs="Arial" w:eastAsia="Arial" w:hAnsi="Arial"/>
                <w:sz w:val="20"/>
                <w:szCs w:val="20"/>
                <w:color w:val="auto"/>
                <w:w w:val="88"/>
              </w:rPr>
              <w:t>10:00 a.m.</w:t>
            </w:r>
          </w:p>
        </w:tc>
        <w:tc>
          <w:tcPr>
            <w:tcW w:w="3720" w:type="dxa"/>
            <w:vAlign w:val="bottom"/>
            <w:tcBorders>
              <w:right w:val="single" w:sz="8" w:color="auto"/>
            </w:tcBorders>
            <w:gridSpan w:val="5"/>
          </w:tcPr>
          <w:p>
            <w:pPr>
              <w:ind w:left="60"/>
              <w:spacing w:after="0" w:line="183" w:lineRule="exact"/>
              <w:rPr>
                <w:sz w:val="20"/>
                <w:szCs w:val="20"/>
                <w:color w:val="auto"/>
              </w:rPr>
            </w:pPr>
            <w:r>
              <w:rPr>
                <w:rFonts w:ascii="Arial" w:cs="Arial" w:eastAsia="Arial" w:hAnsi="Arial"/>
                <w:sz w:val="20"/>
                <w:szCs w:val="20"/>
                <w:color w:val="auto"/>
                <w:w w:val="94"/>
              </w:rPr>
              <w:t>4 Business Days prior to such prepayment,</w:t>
            </w:r>
          </w:p>
        </w:tc>
      </w:tr>
      <w:tr>
        <w:trPr>
          <w:trHeight w:val="189"/>
        </w:trPr>
        <w:tc>
          <w:tcPr>
            <w:tcW w:w="3760" w:type="dxa"/>
            <w:vAlign w:val="bottom"/>
            <w:tcBorders>
              <w:left w:val="single" w:sz="8" w:color="auto"/>
              <w:right w:val="single" w:sz="8" w:color="auto"/>
            </w:tcBorders>
            <w:gridSpan w:val="3"/>
          </w:tcPr>
          <w:p>
            <w:pPr>
              <w:ind w:left="80"/>
              <w:spacing w:after="0" w:line="189" w:lineRule="exact"/>
              <w:rPr>
                <w:sz w:val="20"/>
                <w:szCs w:val="20"/>
                <w:color w:val="auto"/>
              </w:rPr>
            </w:pPr>
            <w:r>
              <w:rPr>
                <w:rFonts w:ascii="Arial" w:cs="Arial" w:eastAsia="Arial" w:hAnsi="Arial"/>
                <w:sz w:val="20"/>
                <w:szCs w:val="20"/>
                <w:color w:val="auto"/>
              </w:rPr>
              <w:t>or Conversion into, Floating Rate Loans</w:t>
            </w: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gridSpan w:val="5"/>
          </w:tcPr>
          <w:p>
            <w:pPr>
              <w:ind w:left="60"/>
              <w:spacing w:after="0" w:line="189" w:lineRule="exact"/>
              <w:rPr>
                <w:sz w:val="20"/>
                <w:szCs w:val="20"/>
                <w:color w:val="auto"/>
              </w:rPr>
            </w:pPr>
            <w:r>
              <w:rPr>
                <w:rFonts w:ascii="Arial" w:cs="Arial" w:eastAsia="Arial" w:hAnsi="Arial"/>
                <w:sz w:val="20"/>
                <w:szCs w:val="20"/>
                <w:color w:val="auto"/>
              </w:rPr>
              <w:t>Borrowing, Continuation or Conversion</w:t>
            </w:r>
          </w:p>
        </w:tc>
      </w:tr>
      <w:tr>
        <w:trPr>
          <w:trHeight w:val="189"/>
        </w:trPr>
        <w:tc>
          <w:tcPr>
            <w:tcW w:w="3760" w:type="dxa"/>
            <w:vAlign w:val="bottom"/>
            <w:tcBorders>
              <w:left w:val="single" w:sz="8" w:color="auto"/>
              <w:right w:val="single" w:sz="8" w:color="auto"/>
            </w:tcBorders>
            <w:gridSpan w:val="3"/>
          </w:tcPr>
          <w:p>
            <w:pPr>
              <w:ind w:left="80"/>
              <w:spacing w:after="0" w:line="189" w:lineRule="exact"/>
              <w:rPr>
                <w:sz w:val="20"/>
                <w:szCs w:val="20"/>
                <w:color w:val="auto"/>
              </w:rPr>
            </w:pPr>
            <w:r>
              <w:rPr>
                <w:rFonts w:ascii="Arial" w:cs="Arial" w:eastAsia="Arial" w:hAnsi="Arial"/>
                <w:sz w:val="20"/>
                <w:szCs w:val="20"/>
                <w:color w:val="auto"/>
                <w:w w:val="91"/>
              </w:rPr>
              <w:t>(other than Competitive Loans) denominated</w:t>
            </w: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43"/>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in Yen</w:t>
            </w:r>
          </w:p>
        </w:tc>
        <w:tc>
          <w:tcPr>
            <w:tcW w:w="1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r>
      <w:tr>
        <w:trPr>
          <w:trHeight w:val="183"/>
        </w:trPr>
        <w:tc>
          <w:tcPr>
            <w:tcW w:w="3760" w:type="dxa"/>
            <w:vAlign w:val="bottom"/>
            <w:tcBorders>
              <w:left w:val="single" w:sz="8" w:color="auto"/>
              <w:right w:val="single" w:sz="8" w:color="auto"/>
            </w:tcBorders>
            <w:gridSpan w:val="3"/>
          </w:tcPr>
          <w:p>
            <w:pPr>
              <w:ind w:left="80"/>
              <w:spacing w:after="0" w:line="183" w:lineRule="exact"/>
              <w:rPr>
                <w:sz w:val="20"/>
                <w:szCs w:val="20"/>
                <w:color w:val="auto"/>
              </w:rPr>
            </w:pPr>
            <w:r>
              <w:rPr>
                <w:rFonts w:ascii="Arial" w:cs="Arial" w:eastAsia="Arial" w:hAnsi="Arial"/>
                <w:sz w:val="20"/>
                <w:szCs w:val="20"/>
                <w:color w:val="auto"/>
              </w:rPr>
              <w:t>Letter of Credit Action</w:t>
            </w:r>
          </w:p>
        </w:tc>
        <w:tc>
          <w:tcPr>
            <w:tcW w:w="3780" w:type="dxa"/>
            <w:vAlign w:val="bottom"/>
            <w:tcBorders>
              <w:right w:val="single" w:sz="8" w:color="auto"/>
            </w:tcBorders>
            <w:gridSpan w:val="3"/>
          </w:tcPr>
          <w:p>
            <w:pPr>
              <w:jc w:val="center"/>
              <w:ind w:right="20"/>
              <w:spacing w:after="0" w:line="183" w:lineRule="exact"/>
              <w:rPr>
                <w:sz w:val="20"/>
                <w:szCs w:val="20"/>
                <w:color w:val="auto"/>
              </w:rPr>
            </w:pPr>
            <w:r>
              <w:rPr>
                <w:rFonts w:ascii="Arial" w:cs="Arial" w:eastAsia="Arial" w:hAnsi="Arial"/>
                <w:sz w:val="20"/>
                <w:szCs w:val="20"/>
                <w:color w:val="auto"/>
                <w:w w:val="88"/>
              </w:rPr>
              <w:t>11:00 a.m.</w:t>
            </w:r>
          </w:p>
        </w:tc>
        <w:tc>
          <w:tcPr>
            <w:tcW w:w="3720" w:type="dxa"/>
            <w:vAlign w:val="bottom"/>
            <w:tcBorders>
              <w:right w:val="single" w:sz="8" w:color="auto"/>
            </w:tcBorders>
            <w:gridSpan w:val="5"/>
          </w:tcPr>
          <w:p>
            <w:pPr>
              <w:ind w:left="60"/>
              <w:spacing w:after="0" w:line="183" w:lineRule="exact"/>
              <w:rPr>
                <w:sz w:val="20"/>
                <w:szCs w:val="20"/>
                <w:color w:val="auto"/>
              </w:rPr>
            </w:pPr>
            <w:r>
              <w:rPr>
                <w:rFonts w:ascii="Arial" w:cs="Arial" w:eastAsia="Arial" w:hAnsi="Arial"/>
                <w:sz w:val="20"/>
                <w:szCs w:val="20"/>
                <w:color w:val="auto"/>
                <w:w w:val="90"/>
              </w:rPr>
              <w:t>2 Business Days prior to such action (or such</w:t>
            </w:r>
          </w:p>
        </w:tc>
      </w:tr>
      <w:tr>
        <w:trPr>
          <w:trHeight w:val="189"/>
        </w:trPr>
        <w:tc>
          <w:tcPr>
            <w:tcW w:w="1980" w:type="dxa"/>
            <w:vAlign w:val="bottom"/>
            <w:tcBorders>
              <w:lef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3720" w:type="dxa"/>
            <w:vAlign w:val="bottom"/>
            <w:tcBorders>
              <w:right w:val="single" w:sz="8" w:color="auto"/>
            </w:tcBorders>
            <w:gridSpan w:val="5"/>
          </w:tcPr>
          <w:p>
            <w:pPr>
              <w:ind w:left="60"/>
              <w:spacing w:after="0" w:line="189" w:lineRule="exact"/>
              <w:rPr>
                <w:sz w:val="20"/>
                <w:szCs w:val="20"/>
                <w:color w:val="auto"/>
              </w:rPr>
            </w:pPr>
            <w:r>
              <w:rPr>
                <w:rFonts w:ascii="Arial" w:cs="Arial" w:eastAsia="Arial" w:hAnsi="Arial"/>
                <w:sz w:val="20"/>
                <w:szCs w:val="20"/>
                <w:color w:val="auto"/>
                <w:w w:val="99"/>
              </w:rPr>
              <w:t>lesser time as is acceptable to an Issuing</w:t>
            </w:r>
          </w:p>
        </w:tc>
      </w:tr>
      <w:tr>
        <w:trPr>
          <w:trHeight w:val="243"/>
        </w:trPr>
        <w:tc>
          <w:tcPr>
            <w:tcW w:w="1980" w:type="dxa"/>
            <w:vAlign w:val="bottom"/>
            <w:tcBorders>
              <w:left w:val="single" w:sz="8" w:color="auto"/>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0"/>
                <w:szCs w:val="20"/>
                <w:color w:val="auto"/>
              </w:rPr>
              <w:t>Lender)</w:t>
            </w:r>
          </w:p>
        </w:tc>
      </w:tr>
      <w:tr>
        <w:trPr>
          <w:trHeight w:val="183"/>
        </w:trPr>
        <w:tc>
          <w:tcPr>
            <w:tcW w:w="3760" w:type="dxa"/>
            <w:vAlign w:val="bottom"/>
            <w:tcBorders>
              <w:left w:val="single" w:sz="8" w:color="auto"/>
              <w:right w:val="single" w:sz="8" w:color="auto"/>
            </w:tcBorders>
            <w:gridSpan w:val="3"/>
          </w:tcPr>
          <w:p>
            <w:pPr>
              <w:ind w:left="80"/>
              <w:spacing w:after="0" w:line="183" w:lineRule="exact"/>
              <w:rPr>
                <w:sz w:val="20"/>
                <w:szCs w:val="20"/>
                <w:color w:val="auto"/>
              </w:rPr>
            </w:pPr>
            <w:r>
              <w:rPr>
                <w:rFonts w:ascii="Arial" w:cs="Arial" w:eastAsia="Arial" w:hAnsi="Arial"/>
                <w:sz w:val="20"/>
                <w:szCs w:val="20"/>
                <w:color w:val="auto"/>
              </w:rPr>
              <w:t>Voluntary reduction in or termination of</w:t>
            </w:r>
          </w:p>
        </w:tc>
        <w:tc>
          <w:tcPr>
            <w:tcW w:w="3780" w:type="dxa"/>
            <w:vAlign w:val="bottom"/>
            <w:tcBorders>
              <w:right w:val="single" w:sz="8" w:color="auto"/>
            </w:tcBorders>
            <w:gridSpan w:val="3"/>
          </w:tcPr>
          <w:p>
            <w:pPr>
              <w:jc w:val="center"/>
              <w:ind w:right="20"/>
              <w:spacing w:after="0" w:line="183" w:lineRule="exact"/>
              <w:rPr>
                <w:sz w:val="20"/>
                <w:szCs w:val="20"/>
                <w:color w:val="auto"/>
              </w:rPr>
            </w:pPr>
            <w:r>
              <w:rPr>
                <w:rFonts w:ascii="Arial" w:cs="Arial" w:eastAsia="Arial" w:hAnsi="Arial"/>
                <w:sz w:val="20"/>
                <w:szCs w:val="20"/>
                <w:color w:val="auto"/>
                <w:w w:val="88"/>
              </w:rPr>
              <w:t>11:00 a.m.</w:t>
            </w:r>
          </w:p>
        </w:tc>
        <w:tc>
          <w:tcPr>
            <w:tcW w:w="3720" w:type="dxa"/>
            <w:vAlign w:val="bottom"/>
            <w:tcBorders>
              <w:right w:val="single" w:sz="8" w:color="auto"/>
            </w:tcBorders>
            <w:gridSpan w:val="5"/>
          </w:tcPr>
          <w:p>
            <w:pPr>
              <w:ind w:left="60"/>
              <w:spacing w:after="0" w:line="183" w:lineRule="exact"/>
              <w:rPr>
                <w:sz w:val="20"/>
                <w:szCs w:val="20"/>
                <w:color w:val="auto"/>
              </w:rPr>
            </w:pPr>
            <w:r>
              <w:rPr>
                <w:rFonts w:ascii="Arial" w:cs="Arial" w:eastAsia="Arial" w:hAnsi="Arial"/>
                <w:sz w:val="20"/>
                <w:szCs w:val="20"/>
                <w:color w:val="auto"/>
                <w:w w:val="96"/>
              </w:rPr>
              <w:t>3 Business Days prior to such reduction or</w:t>
            </w:r>
          </w:p>
        </w:tc>
      </w:tr>
      <w:tr>
        <w:trPr>
          <w:trHeight w:val="243"/>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Revolving Commitments</w:t>
            </w:r>
          </w:p>
        </w:tc>
        <w:tc>
          <w:tcPr>
            <w:tcW w:w="1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0"/>
                <w:szCs w:val="20"/>
                <w:color w:val="auto"/>
              </w:rPr>
              <w:t>termination</w:t>
            </w:r>
          </w:p>
        </w:tc>
      </w:tr>
      <w:tr>
        <w:trPr>
          <w:trHeight w:val="183"/>
        </w:trPr>
        <w:tc>
          <w:tcPr>
            <w:tcW w:w="3760" w:type="dxa"/>
            <w:vAlign w:val="bottom"/>
            <w:tcBorders>
              <w:left w:val="single" w:sz="8" w:color="auto"/>
              <w:right w:val="single" w:sz="8" w:color="auto"/>
            </w:tcBorders>
            <w:gridSpan w:val="3"/>
          </w:tcPr>
          <w:p>
            <w:pPr>
              <w:ind w:left="80"/>
              <w:spacing w:after="0" w:line="183" w:lineRule="exact"/>
              <w:rPr>
                <w:sz w:val="20"/>
                <w:szCs w:val="20"/>
                <w:color w:val="auto"/>
              </w:rPr>
            </w:pPr>
            <w:r>
              <w:rPr>
                <w:rFonts w:ascii="Arial" w:cs="Arial" w:eastAsia="Arial" w:hAnsi="Arial"/>
                <w:sz w:val="20"/>
                <w:szCs w:val="20"/>
                <w:color w:val="auto"/>
              </w:rPr>
              <w:t>Payments by Lenders or Borrower to</w:t>
            </w:r>
          </w:p>
        </w:tc>
        <w:tc>
          <w:tcPr>
            <w:tcW w:w="3780" w:type="dxa"/>
            <w:vAlign w:val="bottom"/>
            <w:tcBorders>
              <w:right w:val="single" w:sz="8" w:color="auto"/>
            </w:tcBorders>
            <w:gridSpan w:val="3"/>
          </w:tcPr>
          <w:p>
            <w:pPr>
              <w:jc w:val="center"/>
              <w:ind w:right="20"/>
              <w:spacing w:after="0" w:line="183" w:lineRule="exact"/>
              <w:rPr>
                <w:sz w:val="20"/>
                <w:szCs w:val="20"/>
                <w:color w:val="auto"/>
              </w:rPr>
            </w:pPr>
            <w:r>
              <w:rPr>
                <w:rFonts w:ascii="Arial" w:cs="Arial" w:eastAsia="Arial" w:hAnsi="Arial"/>
                <w:sz w:val="20"/>
                <w:szCs w:val="20"/>
                <w:color w:val="auto"/>
                <w:w w:val="91"/>
              </w:rPr>
              <w:t>1:00 p.m.</w:t>
            </w:r>
          </w:p>
        </w:tc>
        <w:tc>
          <w:tcPr>
            <w:tcW w:w="3720" w:type="dxa"/>
            <w:vAlign w:val="bottom"/>
            <w:tcBorders>
              <w:right w:val="single" w:sz="8" w:color="auto"/>
            </w:tcBorders>
            <w:gridSpan w:val="5"/>
          </w:tcPr>
          <w:p>
            <w:pPr>
              <w:ind w:left="60"/>
              <w:spacing w:after="0" w:line="183" w:lineRule="exact"/>
              <w:rPr>
                <w:sz w:val="20"/>
                <w:szCs w:val="20"/>
                <w:color w:val="auto"/>
              </w:rPr>
            </w:pPr>
            <w:r>
              <w:rPr>
                <w:rFonts w:ascii="Arial" w:cs="Arial" w:eastAsia="Arial" w:hAnsi="Arial"/>
                <w:sz w:val="20"/>
                <w:szCs w:val="20"/>
                <w:color w:val="auto"/>
              </w:rPr>
              <w:t>On the date payment is due</w:t>
            </w:r>
          </w:p>
        </w:tc>
      </w:tr>
      <w:tr>
        <w:trPr>
          <w:trHeight w:val="189"/>
        </w:trPr>
        <w:tc>
          <w:tcPr>
            <w:tcW w:w="3760" w:type="dxa"/>
            <w:vAlign w:val="bottom"/>
            <w:tcBorders>
              <w:left w:val="single" w:sz="8" w:color="auto"/>
              <w:right w:val="single" w:sz="8" w:color="auto"/>
            </w:tcBorders>
            <w:gridSpan w:val="3"/>
          </w:tcPr>
          <w:p>
            <w:pPr>
              <w:ind w:left="80"/>
              <w:spacing w:after="0" w:line="189" w:lineRule="exact"/>
              <w:rPr>
                <w:sz w:val="20"/>
                <w:szCs w:val="20"/>
                <w:color w:val="auto"/>
              </w:rPr>
            </w:pPr>
            <w:r>
              <w:rPr>
                <w:rFonts w:ascii="Arial" w:cs="Arial" w:eastAsia="Arial" w:hAnsi="Arial"/>
                <w:sz w:val="20"/>
                <w:szCs w:val="20"/>
                <w:color w:val="auto"/>
                <w:w w:val="95"/>
              </w:rPr>
              <w:t>Administrative Agent (other than Payments</w:t>
            </w: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189"/>
        </w:trPr>
        <w:tc>
          <w:tcPr>
            <w:tcW w:w="3760" w:type="dxa"/>
            <w:vAlign w:val="bottom"/>
            <w:tcBorders>
              <w:left w:val="single" w:sz="8" w:color="auto"/>
              <w:right w:val="single" w:sz="8" w:color="auto"/>
            </w:tcBorders>
            <w:gridSpan w:val="3"/>
          </w:tcPr>
          <w:p>
            <w:pPr>
              <w:ind w:left="80"/>
              <w:spacing w:after="0" w:line="189" w:lineRule="exact"/>
              <w:rPr>
                <w:sz w:val="20"/>
                <w:szCs w:val="20"/>
                <w:color w:val="auto"/>
              </w:rPr>
            </w:pPr>
            <w:r>
              <w:rPr>
                <w:rFonts w:ascii="Arial" w:cs="Arial" w:eastAsia="Arial" w:hAnsi="Arial"/>
                <w:sz w:val="20"/>
                <w:szCs w:val="20"/>
                <w:color w:val="auto"/>
                <w:w w:val="94"/>
              </w:rPr>
              <w:t>by Lenders to Administrative Agent of Base</w:t>
            </w: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43"/>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Rate Loans)</w:t>
            </w:r>
          </w:p>
        </w:tc>
        <w:tc>
          <w:tcPr>
            <w:tcW w:w="1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r>
      <w:tr>
        <w:trPr>
          <w:trHeight w:val="195"/>
        </w:trPr>
        <w:tc>
          <w:tcPr>
            <w:tcW w:w="3760" w:type="dxa"/>
            <w:vAlign w:val="bottom"/>
            <w:tcBorders>
              <w:left w:val="single" w:sz="8" w:color="auto"/>
              <w:right w:val="single" w:sz="8" w:color="auto"/>
            </w:tcBorders>
            <w:gridSpan w:val="3"/>
          </w:tcPr>
          <w:p>
            <w:pPr>
              <w:ind w:left="80"/>
              <w:spacing w:after="0" w:line="195" w:lineRule="exact"/>
              <w:rPr>
                <w:sz w:val="20"/>
                <w:szCs w:val="20"/>
                <w:color w:val="auto"/>
              </w:rPr>
            </w:pPr>
            <w:r>
              <w:rPr>
                <w:rFonts w:ascii="Arial" w:cs="Arial" w:eastAsia="Arial" w:hAnsi="Arial"/>
                <w:sz w:val="20"/>
                <w:szCs w:val="20"/>
                <w:color w:val="auto"/>
              </w:rPr>
              <w:t>Payments by Lenders to Administrative</w:t>
            </w:r>
          </w:p>
        </w:tc>
        <w:tc>
          <w:tcPr>
            <w:tcW w:w="3780" w:type="dxa"/>
            <w:vAlign w:val="bottom"/>
            <w:tcBorders>
              <w:right w:val="single" w:sz="8" w:color="auto"/>
            </w:tcBorders>
            <w:gridSpan w:val="3"/>
          </w:tcPr>
          <w:p>
            <w:pPr>
              <w:jc w:val="center"/>
              <w:ind w:right="40"/>
              <w:spacing w:after="0" w:line="195" w:lineRule="exact"/>
              <w:rPr>
                <w:sz w:val="20"/>
                <w:szCs w:val="20"/>
                <w:color w:val="auto"/>
              </w:rPr>
            </w:pPr>
            <w:r>
              <w:rPr>
                <w:rFonts w:ascii="Arial" w:cs="Arial" w:eastAsia="Arial" w:hAnsi="Arial"/>
                <w:sz w:val="22"/>
                <w:szCs w:val="22"/>
                <w:color w:val="auto"/>
                <w:w w:val="89"/>
              </w:rPr>
              <w:t>2.00 p.m.</w:t>
            </w:r>
          </w:p>
        </w:tc>
        <w:tc>
          <w:tcPr>
            <w:tcW w:w="3720" w:type="dxa"/>
            <w:vAlign w:val="bottom"/>
            <w:tcBorders>
              <w:right w:val="single" w:sz="8" w:color="auto"/>
            </w:tcBorders>
            <w:gridSpan w:val="5"/>
          </w:tcPr>
          <w:p>
            <w:pPr>
              <w:ind w:left="60"/>
              <w:spacing w:after="0" w:line="195" w:lineRule="exact"/>
              <w:rPr>
                <w:sz w:val="20"/>
                <w:szCs w:val="20"/>
                <w:color w:val="auto"/>
              </w:rPr>
            </w:pPr>
            <w:r>
              <w:rPr>
                <w:rFonts w:ascii="Arial" w:cs="Arial" w:eastAsia="Arial" w:hAnsi="Arial"/>
                <w:sz w:val="20"/>
                <w:szCs w:val="20"/>
                <w:color w:val="auto"/>
              </w:rPr>
              <w:t>On the date payment is due</w:t>
            </w:r>
          </w:p>
        </w:tc>
      </w:tr>
      <w:tr>
        <w:trPr>
          <w:trHeight w:val="230"/>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Agent of Base Rate Loans</w:t>
            </w:r>
          </w:p>
        </w:tc>
        <w:tc>
          <w:tcPr>
            <w:tcW w:w="1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37"/>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Borrowing of Fixed Rate Loans</w:t>
            </w:r>
          </w:p>
        </w:tc>
        <w:tc>
          <w:tcPr>
            <w:tcW w:w="37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8"/>
              </w:rPr>
              <w:t>11:00 a.m.</w:t>
            </w:r>
          </w:p>
        </w:tc>
        <w:tc>
          <w:tcPr>
            <w:tcW w:w="37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20"/>
                <w:szCs w:val="20"/>
                <w:color w:val="auto"/>
              </w:rPr>
              <w:t>1 Business Days prior to such Borrowing</w:t>
            </w:r>
          </w:p>
        </w:tc>
      </w:tr>
      <w:tr>
        <w:trPr>
          <w:trHeight w:val="183"/>
        </w:trPr>
        <w:tc>
          <w:tcPr>
            <w:tcW w:w="3760" w:type="dxa"/>
            <w:vAlign w:val="bottom"/>
            <w:tcBorders>
              <w:left w:val="single" w:sz="8" w:color="auto"/>
              <w:right w:val="single" w:sz="8" w:color="auto"/>
            </w:tcBorders>
            <w:gridSpan w:val="3"/>
          </w:tcPr>
          <w:p>
            <w:pPr>
              <w:ind w:left="80"/>
              <w:spacing w:after="0" w:line="183" w:lineRule="exact"/>
              <w:rPr>
                <w:sz w:val="20"/>
                <w:szCs w:val="20"/>
                <w:color w:val="auto"/>
              </w:rPr>
            </w:pPr>
            <w:r>
              <w:rPr>
                <w:rFonts w:ascii="Arial" w:cs="Arial" w:eastAsia="Arial" w:hAnsi="Arial"/>
                <w:sz w:val="20"/>
                <w:szCs w:val="20"/>
                <w:color w:val="auto"/>
              </w:rPr>
              <w:t>Borrowing of Competitive Loans that are</w:t>
            </w:r>
          </w:p>
        </w:tc>
        <w:tc>
          <w:tcPr>
            <w:tcW w:w="3780" w:type="dxa"/>
            <w:vAlign w:val="bottom"/>
            <w:tcBorders>
              <w:right w:val="single" w:sz="8" w:color="auto"/>
            </w:tcBorders>
            <w:gridSpan w:val="3"/>
          </w:tcPr>
          <w:p>
            <w:pPr>
              <w:jc w:val="center"/>
              <w:ind w:right="20"/>
              <w:spacing w:after="0" w:line="183" w:lineRule="exact"/>
              <w:rPr>
                <w:sz w:val="20"/>
                <w:szCs w:val="20"/>
                <w:color w:val="auto"/>
              </w:rPr>
            </w:pPr>
            <w:r>
              <w:rPr>
                <w:rFonts w:ascii="Arial" w:cs="Arial" w:eastAsia="Arial" w:hAnsi="Arial"/>
                <w:sz w:val="20"/>
                <w:szCs w:val="20"/>
                <w:color w:val="auto"/>
                <w:w w:val="88"/>
              </w:rPr>
              <w:t>11:00 a.m.</w:t>
            </w:r>
          </w:p>
        </w:tc>
        <w:tc>
          <w:tcPr>
            <w:tcW w:w="3720" w:type="dxa"/>
            <w:vAlign w:val="bottom"/>
            <w:tcBorders>
              <w:right w:val="single" w:sz="8" w:color="auto"/>
            </w:tcBorders>
            <w:gridSpan w:val="5"/>
          </w:tcPr>
          <w:p>
            <w:pPr>
              <w:ind w:left="60"/>
              <w:spacing w:after="0" w:line="183" w:lineRule="exact"/>
              <w:rPr>
                <w:sz w:val="20"/>
                <w:szCs w:val="20"/>
                <w:color w:val="auto"/>
              </w:rPr>
            </w:pPr>
            <w:r>
              <w:rPr>
                <w:rFonts w:ascii="Arial" w:cs="Arial" w:eastAsia="Arial" w:hAnsi="Arial"/>
                <w:sz w:val="20"/>
                <w:szCs w:val="20"/>
                <w:color w:val="auto"/>
              </w:rPr>
              <w:t>4 Business Days prior to such Borrowing</w:t>
            </w:r>
          </w:p>
        </w:tc>
      </w:tr>
      <w:tr>
        <w:trPr>
          <w:trHeight w:val="243"/>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color w:val="auto"/>
              </w:rPr>
              <w:t>Floating Rate Loans</w:t>
            </w:r>
          </w:p>
        </w:tc>
        <w:tc>
          <w:tcPr>
            <w:tcW w:w="1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-2896870</wp:posOffset>
            </wp:positionV>
            <wp:extent cx="7861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2">
                      <a:extLst>
                        <a:ext uri="{28A0092B-C50C-407E-A947-70E740481C1C}"/>
                      </a:extLst>
                    </a:blip>
                    <a:srcRect/>
                    <a:stretch>
                      <a:fillRect/>
                    </a:stretch>
                  </pic:blipFill>
                  <pic:spPr bwMode="auto">
                    <a:xfrm>
                      <a:off x="0" y="0"/>
                      <a:ext cx="786130"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-2776855</wp:posOffset>
            </wp:positionV>
            <wp:extent cx="7467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3">
                      <a:extLst>
                        <a:ext uri="{28A0092B-C50C-407E-A947-70E740481C1C}"/>
                      </a:extLst>
                    </a:blip>
                    <a:srcRect/>
                    <a:stretch>
                      <a:fillRect/>
                    </a:stretch>
                  </pic:blipFill>
                  <pic:spPr bwMode="auto">
                    <a:xfrm>
                      <a:off x="0" y="0"/>
                      <a:ext cx="746760" cy="8255"/>
                    </a:xfrm>
                    <a:prstGeom prst="rect">
                      <a:avLst/>
                    </a:prstGeom>
                    <a:noFill/>
                  </pic:spPr>
                </pic:pic>
              </a:graphicData>
            </a:graphic>
          </wp:anchor>
        </w:drawing>
      </w:r>
    </w:p>
    <w:p>
      <w:pPr>
        <w:spacing w:after="0" w:line="287" w:lineRule="exact"/>
        <w:rPr>
          <w:sz w:val="20"/>
          <w:szCs w:val="20"/>
          <w:color w:val="auto"/>
        </w:rPr>
      </w:pPr>
    </w:p>
    <w:p>
      <w:pPr>
        <w:ind w:right="840" w:firstLine="1296"/>
        <w:spacing w:after="0" w:line="229" w:lineRule="auto"/>
        <w:rPr>
          <w:sz w:val="20"/>
          <w:szCs w:val="20"/>
          <w:color w:val="auto"/>
        </w:rPr>
      </w:pPr>
      <w:r>
        <w:rPr>
          <w:rFonts w:ascii="Arial" w:cs="Arial" w:eastAsia="Arial" w:hAnsi="Arial"/>
          <w:sz w:val="20"/>
          <w:szCs w:val="20"/>
          <w:color w:val="auto"/>
        </w:rPr>
        <w:t>“Resolution Authority” means an EEA Resolution Authority or, with respect to any UK Financial Institution, a UK Resolution Authority</w:t>
      </w:r>
    </w:p>
    <w:p>
      <w:pPr>
        <w:spacing w:after="0" w:line="155" w:lineRule="exact"/>
        <w:rPr>
          <w:sz w:val="20"/>
          <w:szCs w:val="20"/>
          <w:color w:val="auto"/>
        </w:rPr>
      </w:pPr>
    </w:p>
    <w:p>
      <w:pPr>
        <w:ind w:right="20" w:firstLine="1296"/>
        <w:spacing w:after="0" w:line="224" w:lineRule="auto"/>
        <w:rPr>
          <w:sz w:val="20"/>
          <w:szCs w:val="20"/>
          <w:color w:val="auto"/>
        </w:rPr>
      </w:pPr>
      <w:r>
        <w:rPr>
          <w:rFonts w:ascii="Arial" w:cs="Arial" w:eastAsia="Arial" w:hAnsi="Arial"/>
          <w:sz w:val="19"/>
          <w:szCs w:val="19"/>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“Restricted Group” means, collectively, Borrower and the Restricted Subsidiaries.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“Restricted Subsidiary” means each Subsidiary of Borrower that is not an Unrestricted Subsidiary.</w:t>
      </w:r>
    </w:p>
    <w:p>
      <w:pPr>
        <w:spacing w:after="0" w:line="175" w:lineRule="exact"/>
        <w:rPr>
          <w:sz w:val="20"/>
          <w:szCs w:val="20"/>
          <w:color w:val="auto"/>
        </w:rPr>
      </w:pPr>
    </w:p>
    <w:p>
      <w:pPr>
        <w:jc w:val="both"/>
        <w:ind w:right="20" w:firstLine="1296"/>
        <w:spacing w:after="0" w:line="210" w:lineRule="auto"/>
        <w:rPr>
          <w:sz w:val="20"/>
          <w:szCs w:val="20"/>
          <w:color w:val="auto"/>
        </w:rPr>
      </w:pPr>
      <w:r>
        <w:rPr>
          <w:rFonts w:ascii="Arial" w:cs="Arial" w:eastAsia="Arial" w:hAnsi="Arial"/>
          <w:sz w:val="20"/>
          <w:szCs w:val="20"/>
          <w:color w:val="auto"/>
        </w:rPr>
        <w:t>“Revolving Commitment” means, for each Lender, the amount set forth under the heading “Revolving Commitment” opposite such Lender’s name on Schedule 2.01 or in the Assignment and Assumption or New Lender Supplement pursuant to which such Lender became a party to this Agreement, as such amount may be reduced or adjusted from time to time in accordance with the terms of this Agreement (collectively, the “combined Revolving Commitments”). As of the Effective Date, the amount of the Revolving Commitments of all Lenders is $11,000,000,000.</w:t>
      </w:r>
    </w:p>
    <w:p>
      <w:pPr>
        <w:spacing w:after="0" w:line="155" w:lineRule="exact"/>
        <w:rPr>
          <w:sz w:val="20"/>
          <w:szCs w:val="20"/>
          <w:color w:val="auto"/>
        </w:rPr>
      </w:pPr>
    </w:p>
    <w:p>
      <w:pPr>
        <w:jc w:val="both"/>
        <w:ind w:right="20" w:firstLine="1296"/>
        <w:spacing w:after="0" w:line="242" w:lineRule="auto"/>
        <w:rPr>
          <w:sz w:val="20"/>
          <w:szCs w:val="20"/>
          <w:color w:val="auto"/>
        </w:rPr>
      </w:pPr>
      <w:r>
        <w:rPr>
          <w:rFonts w:ascii="Arial" w:cs="Arial" w:eastAsia="Arial" w:hAnsi="Arial"/>
          <w:sz w:val="19"/>
          <w:szCs w:val="19"/>
          <w:color w:val="auto"/>
        </w:rPr>
        <w:t>“Revolving Commitment Period” means the period from and including the Effective Date to the Revolving Termination Date, the Extended Revolving Termination Date or the Second Extended Revolving Termination Date,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60"/>
          </w:cols>
          <w:pgMar w:left="320" w:top="1440" w:right="319" w:bottom="1440" w:gutter="0" w:footer="0" w:header="0"/>
        </w:sectPr>
      </w:pPr>
    </w:p>
    <w:bookmarkStart w:id="198" w:name="page199"/>
    <w:bookmarkEnd w:id="198"/>
    <w:p>
      <w:pPr>
        <w:ind w:left="1300"/>
        <w:spacing w:after="0"/>
        <w:rPr>
          <w:sz w:val="20"/>
          <w:szCs w:val="20"/>
          <w:color w:val="auto"/>
        </w:rPr>
      </w:pPr>
      <w:r>
        <w:rPr>
          <w:rFonts w:ascii="Arial" w:cs="Arial" w:eastAsia="Arial" w:hAnsi="Arial"/>
          <w:sz w:val="20"/>
          <w:szCs w:val="20"/>
          <w:color w:val="auto"/>
        </w:rPr>
        <w:t>“Revolving Facility” means the Revolving Commitments and the Extensions of Credit made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“Revolving Loans” has the meaning set forth in Section 2.01.</w:t>
      </w:r>
    </w:p>
    <w:p>
      <w:pPr>
        <w:spacing w:after="0" w:line="17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15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 xml:space="preserve">“Revolving Termination Date” means (a) the fifth anniversary of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Revolving Commitments, if any, that are extended pursuant to Section 2.01(e), the Revolving Termination Date shall mean the Extended Revolving Termination Date or the Second Extended Revolving Termination Date, as applicable, or (b) such earlier date upon which the combined Revolving Commitments may be terminated in accordance with the terms of this Agreement.</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56"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“Sanctions” means all economic or financial sanctions or trade embargoes imposed, administered or enforced from time to time by (a) the U.S. government, including those administered by the Office of Foreign Assets Control of the U.S. Department of the Treasury (“OFAC”) or the U.S. Department of State or (b) the United Nations Security Council, the European Union or Her Majesty’s Treasury of the United Kingdom.</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“Sanctioned Country” means, at any time, a country, region or territory which is itself the subject or target of any Sanctions (at the time of this Agreement, Crimea, Cuba, Iran, North Korea and Syria).</w:t>
      </w:r>
    </w:p>
    <w:p>
      <w:pPr>
        <w:spacing w:after="0" w:line="15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9"/>
          <w:szCs w:val="19"/>
          <w:color w:val="auto"/>
        </w:rPr>
        <w:t>“Sanctioned Person” means, at any time, (a) any Person listed in any Sanctions-related list of designated Persons maintained by the Office of Foreign Assets Control of the U.S. Department of the Treasury, the U.S. Department of State, or by the United Nations Security Council, the European Union, or Her Majesty’s Treasury of the United Kingdom (b) any Person located, organized or resident in a Sanctioned Country (except any U.S. Person with a location in a Sanctioned Country pursuant to an OFAC license) or (c) any Person owned fifty percent or more or Controlled by any Person or Persons described in clause (a) or (b).</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“Second Extended Revolving Termination Date” has the meaning set forth in Section 2.01(e).</w:t>
      </w:r>
    </w:p>
    <w:p>
      <w:pPr>
        <w:spacing w:after="0" w:line="17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9"/>
          <w:szCs w:val="19"/>
          <w:color w:val="auto"/>
        </w:rPr>
        <w:t>“Significant Subsidiary” means (i) for so long as each shall remain a Guarantor hereunder, Comcast Cable Communications, LLC and NBCUniversal Media, LLC and (ii) any other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“Sky” means Sky Ltd, incorporated in England and Wales with registered number 02247735.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05" w:right="339" w:bottom="1440" w:gutter="0" w:footer="0" w:header="0"/>
        </w:sectPr>
      </w:pPr>
    </w:p>
    <w:bookmarkStart w:id="199" w:name="page200"/>
    <w:bookmarkEnd w:id="199"/>
    <w:p>
      <w:pPr>
        <w:ind w:left="1300"/>
        <w:spacing w:after="0"/>
        <w:rPr>
          <w:sz w:val="20"/>
          <w:szCs w:val="20"/>
          <w:color w:val="auto"/>
        </w:rPr>
      </w:pPr>
      <w:r>
        <w:rPr>
          <w:rFonts w:ascii="Arial" w:cs="Arial" w:eastAsia="Arial" w:hAnsi="Arial"/>
          <w:sz w:val="19"/>
          <w:szCs w:val="19"/>
          <w:color w:val="auto"/>
        </w:rPr>
        <w:t>“Sky Acquisition” means the acquisition by Borrower or one of its Subsidiaries of a majority of the share capital of Sky.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“Sky Closing Date” means October 9, 2018.</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“Sky Group” means Sky and its Subsidiaries.</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“SOFR” means, with respect to any Business Day, a rate per annum equal to the secured overnight financing rate for such Business Day published by the SOFR Administrator on the SOFR Administrator’s Website.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“SOFR Administrator” means the NYFRB (or a successor administrator of the secured overnight financing rate).</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“SOFR Administrator’s Website” means the NYFRB’s website,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FF0000"/>
          <w:strike w:val="1"/>
        </w:rPr>
        <w:t xml:space="preserve">“SONIA” </w:t>
      </w:r>
      <w:r>
        <w:rPr>
          <w:rFonts w:ascii="Arial" w:cs="Arial" w:eastAsia="Arial" w:hAnsi="Arial"/>
          <w:sz w:val="20"/>
          <w:szCs w:val="20"/>
          <w:color w:val="009900"/>
          <w:strike w:val="1"/>
        </w:rPr>
        <w:t>means, with respect to any Business Day, a rate per annum equal to the Sterling Overnight Index Average for such</w:t>
      </w:r>
      <w:r>
        <w:rPr>
          <w:rFonts w:ascii="Arial" w:cs="Arial" w:eastAsia="Arial" w:hAnsi="Arial"/>
          <w:sz w:val="20"/>
          <w:szCs w:val="20"/>
          <w:color w:val="FF0000"/>
          <w:strike w:val="1"/>
        </w:rPr>
        <w:t xml:space="preserve"> </w:t>
      </w:r>
      <w:r>
        <w:rPr>
          <w:rFonts w:ascii="Arial" w:cs="Arial" w:eastAsia="Arial" w:hAnsi="Arial"/>
          <w:sz w:val="20"/>
          <w:szCs w:val="20"/>
          <w:color w:val="009900"/>
          <w:strike w:val="1"/>
        </w:rPr>
        <w:t>Business Day published by the SONIA Administrator on the SONIA Administrator’s Website.</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“SONIA Administrator” means the Bank of England (or any successor administrator of the Sterling Overnight Index</w:t>
      </w:r>
    </w:p>
    <w:p>
      <w:pPr>
        <w:spacing w:after="0"/>
        <w:rPr>
          <w:sz w:val="20"/>
          <w:szCs w:val="20"/>
          <w:color w:val="auto"/>
        </w:rPr>
      </w:pPr>
      <w:r>
        <w:rPr>
          <w:rFonts w:ascii="Arial" w:cs="Arial" w:eastAsia="Arial" w:hAnsi="Arial"/>
          <w:sz w:val="20"/>
          <w:szCs w:val="20"/>
          <w:color w:val="auto"/>
        </w:rPr>
        <w:t>Average).</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“SONIA Administrator’s Website” means the Bank of England’s website, currently at http://www.bankofengland.co.uk, or any successor source for the Sterling Overnight Index Average identified as such by the SONIA Administrator from time to time.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“SONIA Interest Day” has the meaning assigned to it in the definition of “Daily Simple SONIA”.</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u w:val="single" w:color="auto"/>
          <w:color w:val="0000FF"/>
        </w:rPr>
        <w:t>“SONIA Rate</w:t>
      </w:r>
      <w:r>
        <w:rPr>
          <w:rFonts w:ascii="Arial" w:cs="Arial" w:eastAsia="Arial" w:hAnsi="Arial"/>
          <w:sz w:val="20"/>
          <w:szCs w:val="20"/>
          <w:u w:val="single" w:color="auto"/>
          <w:color w:val="000000"/>
        </w:rPr>
        <w:t>”</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9900"/>
        </w:rPr>
        <w:t>means, with respect to any Business Day, a rate per annum equal to the Sterling Overnight Index Average for</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9900"/>
        </w:rPr>
        <w:t>such Business Day published by the SONIA Administrator on the SONIA Administrator’s Website.</w:t>
      </w:r>
    </w:p>
    <w:p>
      <w:pPr>
        <w:spacing w:after="0" w:line="155"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18"/>
          <w:szCs w:val="18"/>
          <w:color w:val="auto"/>
        </w:rPr>
        <w:t>“Statutory Reserve Rate”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LIBO Rate, for eurocurrency funding (currently referred to as “Eurocurrency liabilities” in Regulation D). Such reserve percentage shall include those imposed pursuant to Regulation D. Adjusted LIBO Rate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“Sterling” and “£” means lawful money of the United Kingdom.</w:t>
      </w:r>
    </w:p>
    <w:p>
      <w:pPr>
        <w:spacing w:after="0" w:line="17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9"/>
          <w:szCs w:val="19"/>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5" w:right="339" w:bottom="1440" w:gutter="0" w:footer="0" w:header="0"/>
        </w:sectPr>
      </w:pPr>
    </w:p>
    <w:bookmarkStart w:id="200" w:name="page201"/>
    <w:bookmarkEnd w:id="200"/>
    <w:p>
      <w:pPr>
        <w:ind w:left="1300"/>
        <w:spacing w:after="0"/>
        <w:rPr>
          <w:sz w:val="20"/>
          <w:szCs w:val="20"/>
          <w:color w:val="auto"/>
        </w:rPr>
      </w:pPr>
      <w:r>
        <w:rPr>
          <w:rFonts w:ascii="Arial" w:cs="Arial" w:eastAsia="Arial" w:hAnsi="Arial"/>
          <w:sz w:val="20"/>
          <w:szCs w:val="20"/>
          <w:color w:val="auto"/>
        </w:rPr>
        <w:t>“Supported QFC” has the meaning assigned to it in Section 10.27.</w:t>
      </w:r>
    </w:p>
    <w:p>
      <w:pPr>
        <w:spacing w:after="0" w:line="175"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color w:val="auto"/>
        </w:rPr>
        <w:t>“Swap Agreement”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or the Subsidiaries shall be a Swap Agreement.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“Syndication Agent” means Citibank, N.A.</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“TARGET2” means the Trans-European Automated Real-time Gross Settlement Express Transfer payment system which utilizes a single shared platform and which was launched on November 19, 2007.</w:t>
      </w:r>
    </w:p>
    <w:p>
      <w:pPr>
        <w:spacing w:after="0" w:line="15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“TARGET Day” means any day on which TARGET2 (or, if such payment system ceases to be operative, such other payment system, if any, determined by the Administrative Agent to be a suitable replacement) is open for the settlement of payments in Euro.</w:t>
      </w:r>
    </w:p>
    <w:p>
      <w:pPr>
        <w:spacing w:after="0" w:line="130"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“Term ESTR” means, for the applicable Corresponding Tenor as of the applicable Reference Time, the forward-looking term rate based on ESTR that has been selected or recommended by the Relevant Governmental Body.</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“Term ESTR Notice” means a notification by the Administrative Agent to the Lenders and the Borrower of the occurrence of a Term ESTR Transition Event.</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“Term ESTR Transition Event” means the determination by the Administrative Agent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Section 3.03 that is not Term ESTR.</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“Term SOFR” means, for the applicable Corresponding Tenor as of the applicable Reference Time, the forward-looking term rate based on SOFR that has been selected or recommended by the Relevant Governmental Body.</w:t>
      </w:r>
    </w:p>
    <w:p>
      <w:pPr>
        <w:spacing w:after="0" w:line="15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“Term SOFR Notice” means a notification by the Administrative Agent to the Lenders and the Borrower of the occurrence of a Term SOFR Transition Event.</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“Term SOFR Transition Event”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3.03 that is not Term SOFR.</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“Term TONA” means, for the applicable Corresponding Tenor as of the applicable Reference Time, the forward-looking term rate based on TONA that has been selected or recommended by the Relevant Governmental Body.</w:t>
      </w:r>
    </w:p>
    <w:p>
      <w:pPr>
        <w:spacing w:after="0" w:line="15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“Term TONA Notice” means a notification by the Administrative Agent to the Lenders and the Borrower of the occurrence of a Term TONA Transition Event.</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“Term TONA Transition Event” means the determination by the Administrative Agent that (a) Term TONA has been recommended for use by the Relevant Governmental Body, (b) the administration of Term TONA is administratively feasible for the Administrative Agent and (c)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5" w:right="339" w:bottom="1440" w:gutter="0" w:footer="0" w:header="0"/>
        </w:sectPr>
      </w:pPr>
    </w:p>
    <w:bookmarkStart w:id="201" w:name="page202"/>
    <w:bookmarkEnd w:id="201"/>
    <w:p>
      <w:pPr>
        <w:jc w:val="both"/>
        <w:spacing w:after="0" w:line="229" w:lineRule="auto"/>
        <w:rPr>
          <w:sz w:val="20"/>
          <w:szCs w:val="20"/>
          <w:color w:val="auto"/>
        </w:rPr>
      </w:pPr>
      <w:r>
        <w:rPr>
          <w:rFonts w:ascii="Arial" w:cs="Arial" w:eastAsia="Arial" w:hAnsi="Arial"/>
          <w:sz w:val="20"/>
          <w:szCs w:val="20"/>
          <w:color w:val="auto"/>
        </w:rPr>
        <w:t>Benchmark Transition Event or an Early Opt-in Election, as applicable, has previously occurred resulting in a Benchmark Replacement in accordance with Section 3.03 that is not Term TONA.</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18"/>
          <w:szCs w:val="18"/>
          <w:color w:val="auto"/>
        </w:rPr>
        <w:t xml:space="preserve">“TIBOR Interpolated Rate” means, at any time, with respect to any Floating Rate Borrowing denominated in Yen and for any Interest Period, the rate per annum (rounded to the same number of decimal places as the TIBOR Screen Rate) determined by the Administrative Agent (which determination shall be conclusive and binding absent manifest error) to be equal to the rate that results from interpolating on a linear basis between: (a) the TIBOR Screen Rate for the longest period (for which the TIBOR Screen Rate is available for Yen) that is shorter than the Impacted TIBOR Rate Interest Period; and (b) the TIBOR Screen Rate for the shortest period (for which the TIBOR Screen Rate is available for Yen) that exceeds the Impacted TIBOR Rate Interest Period, in each case,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TIBOR Interpolated Rate shall be less than zero, such rate shall be deemed to be zero for the purposes of this Agreement.</w:t>
      </w:r>
    </w:p>
    <w:p>
      <w:pPr>
        <w:spacing w:after="0" w:line="157"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 xml:space="preserve">“TIBOR Rate” means, with respect to any Floating Rate Borrowing denominated in Yen and for any Interest Period, the TIBOR Screen Rate at approximately 11:00 a.m., Japan time, two Business Days prior to the commencement of such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TIBOR Screen Rate shall not be available at such time for such Interest Period (an “Impacted TIBOR Rate Interest Period”) with respect to Yen then the TIBOR Rate shall be the TIBOR Interpolated Rate.</w:t>
      </w:r>
    </w:p>
    <w:p>
      <w:pPr>
        <w:spacing w:after="0" w:line="156" w:lineRule="exact"/>
        <w:rPr>
          <w:sz w:val="20"/>
          <w:szCs w:val="20"/>
          <w:color w:val="auto"/>
        </w:rPr>
      </w:pPr>
    </w:p>
    <w:p>
      <w:pPr>
        <w:jc w:val="both"/>
        <w:ind w:firstLine="1296"/>
        <w:spacing w:after="0" w:line="206" w:lineRule="auto"/>
        <w:rPr>
          <w:sz w:val="20"/>
          <w:szCs w:val="20"/>
          <w:color w:val="auto"/>
        </w:rPr>
      </w:pPr>
      <w:r>
        <w:rPr>
          <w:rFonts w:ascii="Arial" w:cs="Arial" w:eastAsia="Arial" w:hAnsi="Arial"/>
          <w:sz w:val="20"/>
          <w:szCs w:val="20"/>
          <w:color w:val="auto"/>
        </w:rPr>
        <w:t>“TIBOR Screen Rate”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two Business Days prior to the commencement of such Interest Period. If the TIBOR Screen Rate shall be less than zero, the TIBOR Screen Rate shall be deemed to be zero for purposes of this Agreement.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“Threshold Amount” means $750,000,000.</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“TONA” means, with respect to any Business Day, a rate per annum equal to the Tokyo Overnight Average Rate for such Business Day published by the TONA Administrator on the TONA Administrator’s Website.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“TONA Administrator” means the Bank of Japan (or any successor administrator of the Tokyo Overnight Average Rate).</w:t>
      </w:r>
    </w:p>
    <w:p>
      <w:pPr>
        <w:spacing w:after="0" w:line="198"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“TONA Administrator’s Website” means the Bank of Japan’s website, currently at http://www.boj.or.jp, or any successor source for the Tokyo Overnight Average Rate identified as such by the TONA Administrator from time to time.</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 xml:space="preserve">“Type” when used in reference to any Loan or Borrowing, refers to whether the rate of interest on such Loan, or on the Loans comprising such Borrowing, is determined by reference to the Adjusted LIBO Rate, the Adjusted </w:t>
      </w:r>
      <w:r>
        <w:rPr>
          <w:rFonts w:ascii="Arial" w:cs="Arial" w:eastAsia="Arial" w:hAnsi="Arial"/>
          <w:sz w:val="20"/>
          <w:szCs w:val="20"/>
          <w:u w:val="single" w:color="auto"/>
          <w:color w:val="0000FF"/>
        </w:rPr>
        <w:t>Daily Simple SONIA Rate, the Adjusted</w:t>
      </w:r>
      <w:r>
        <w:rPr>
          <w:rFonts w:ascii="Arial" w:cs="Arial" w:eastAsia="Arial" w:hAnsi="Arial"/>
          <w:sz w:val="20"/>
          <w:szCs w:val="20"/>
          <w:color w:val="auto"/>
        </w:rPr>
        <w:t xml:space="preserve"> EURIBOR Rate, the Adjusted TIBOR Rate, the CDOR Screen Rate, the </w:t>
      </w:r>
      <w:r>
        <w:rPr>
          <w:rFonts w:ascii="Arial" w:cs="Arial" w:eastAsia="Arial" w:hAnsi="Arial"/>
          <w:sz w:val="20"/>
          <w:szCs w:val="20"/>
          <w:color w:val="FF0000"/>
          <w:strike w:val="1"/>
        </w:rPr>
        <w:t>Alternate</w:t>
      </w:r>
      <w:r>
        <w:rPr>
          <w:rFonts w:ascii="Arial" w:cs="Arial" w:eastAsia="Arial" w:hAnsi="Arial"/>
          <w:sz w:val="20"/>
          <w:szCs w:val="20"/>
          <w:color w:val="auto"/>
        </w:rPr>
        <w:t xml:space="preserve"> Base Rate, the Canadian Prime Rate or, in the case of a Competitive Loan or Borrowing, the LIBO Rate or a Fixed Rate.</w:t>
      </w:r>
    </w:p>
    <w:p>
      <w:pPr>
        <w:spacing w:after="0" w:line="15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“UK Resolution Authority” means the Bank of England or any other public administrative authority having responsibility for the resolution of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05" w:right="339" w:bottom="1440" w:gutter="0" w:footer="0" w:header="0"/>
        </w:sectPr>
      </w:pPr>
    </w:p>
    <w:bookmarkStart w:id="202" w:name="page203"/>
    <w:bookmarkEnd w:id="202"/>
    <w:p>
      <w:pPr>
        <w:jc w:val="both"/>
        <w:ind w:firstLine="1296"/>
        <w:spacing w:after="0" w:line="229" w:lineRule="auto"/>
        <w:rPr>
          <w:sz w:val="20"/>
          <w:szCs w:val="20"/>
          <w:color w:val="auto"/>
        </w:rPr>
      </w:pPr>
      <w:r>
        <w:rPr>
          <w:rFonts w:ascii="Arial" w:cs="Arial" w:eastAsia="Arial" w:hAnsi="Arial"/>
          <w:sz w:val="20"/>
          <w:szCs w:val="20"/>
          <w:color w:val="auto"/>
        </w:rPr>
        <w:t>“Unadjusted Benchmark Replacement” means the applicable Benchmark Replacement excluding the related Benchmark Replacement Adjustment.</w:t>
      </w:r>
    </w:p>
    <w:p>
      <w:pPr>
        <w:spacing w:after="0" w:line="15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“U.S. Tax Compliance Certificate” has the meaning set forth in Section 10.20(a).</w:t>
      </w:r>
    </w:p>
    <w:p>
      <w:pPr>
        <w:spacing w:after="0" w:line="17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19"/>
          <w:szCs w:val="19"/>
          <w:color w:val="auto"/>
        </w:rPr>
        <w:t>“Write-Down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“Yen” and “¥” means lawful money of Japan.</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u w:val="single" w:color="auto"/>
          <w:color w:val="auto"/>
        </w:rPr>
        <w:t>Use of Certain Terms</w:t>
      </w:r>
      <w:r>
        <w:rPr>
          <w:rFonts w:ascii="Arial" w:cs="Arial" w:eastAsia="Arial" w:hAnsi="Arial"/>
          <w:sz w:val="16"/>
          <w:szCs w:val="16"/>
          <w:color w:val="auto"/>
        </w:rPr>
        <w:t>.</w:t>
      </w:r>
    </w:p>
    <w:p>
      <w:pPr>
        <w:spacing w:after="0" w:line="175" w:lineRule="exact"/>
        <w:rPr>
          <w:sz w:val="20"/>
          <w:szCs w:val="20"/>
          <w:color w:val="auto"/>
        </w:rPr>
      </w:pPr>
    </w:p>
    <w:p>
      <w:pPr>
        <w:ind w:firstLine="1304"/>
        <w:spacing w:after="0" w:line="229" w:lineRule="auto"/>
        <w:tabs>
          <w:tab w:leader="none" w:pos="193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All terms defined in this Agreement shall have the defined meanings when used in any certificate or other document made or delivered pursuant hereto or thereto, unless otherwise defined therein.</w:t>
      </w:r>
    </w:p>
    <w:p>
      <w:pPr>
        <w:spacing w:after="0" w:line="155" w:lineRule="exact"/>
        <w:rPr>
          <w:rFonts w:ascii="Arial" w:cs="Arial" w:eastAsia="Arial" w:hAnsi="Arial"/>
          <w:sz w:val="20"/>
          <w:szCs w:val="20"/>
          <w:color w:val="auto"/>
        </w:rPr>
      </w:pPr>
    </w:p>
    <w:p>
      <w:pPr>
        <w:ind w:firstLine="1304"/>
        <w:spacing w:after="0" w:line="229" w:lineRule="auto"/>
        <w:tabs>
          <w:tab w:leader="none" w:pos="193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As used herein, unless the context requires otherwise, the masculine, feminine and neuter genders and the singular and plural include one another.</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42" w:lineRule="exact"/>
        <w:rPr>
          <w:rFonts w:ascii="Arial" w:cs="Arial" w:eastAsia="Arial" w:hAnsi="Arial"/>
          <w:sz w:val="20"/>
          <w:szCs w:val="20"/>
          <w:color w:val="auto"/>
        </w:rPr>
      </w:pPr>
    </w:p>
    <w:p>
      <w:pPr>
        <w:ind w:left="1940" w:hanging="636"/>
        <w:spacing w:after="0"/>
        <w:tabs>
          <w:tab w:leader="none" w:pos="19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term “or” is disjunctive; the term “and” is conjunctive. The term “shall” is mandatory; the term “may” is</w:t>
      </w:r>
    </w:p>
    <w:p>
      <w:pPr>
        <w:spacing w:after="0"/>
        <w:rPr>
          <w:rFonts w:ascii="Arial" w:cs="Arial" w:eastAsia="Arial" w:hAnsi="Arial"/>
          <w:sz w:val="19"/>
          <w:szCs w:val="19"/>
          <w:color w:val="auto"/>
        </w:rPr>
      </w:pPr>
      <w:r>
        <w:rPr>
          <w:rFonts w:ascii="Arial" w:cs="Arial" w:eastAsia="Arial" w:hAnsi="Arial"/>
          <w:sz w:val="20"/>
          <w:szCs w:val="20"/>
          <w:color w:val="auto"/>
        </w:rPr>
        <w:t>permissive.</w:t>
      </w:r>
    </w:p>
    <w:p>
      <w:pPr>
        <w:spacing w:after="0" w:line="159"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Accounting Terms</w:t>
      </w:r>
      <w:r>
        <w:rPr>
          <w:rFonts w:ascii="Arial" w:cs="Arial" w:eastAsia="Arial" w:hAnsi="Arial"/>
          <w:sz w:val="19"/>
          <w:szCs w:val="19"/>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Borrower notifies Administrative Agent that Borrower requests an amendment to any provision hereof to eliminate the effect of any change occurring after the Effective Date in GAAP or in the application thereof on the operation of such provision, then (a) regardless of whether such any such notice is given before or after such change in GAAP or the application thereof, then such provision shall be interpreted on the basis of GAAP as in effect and applied immediately before such change shall have become effective until such notice shall have been withdrawn or such provision amended in accordance herewith and (b) Administrative Agent and Borrower shall negotiate in good faith to determine such adjustments and amendments to the applicable terms and definitions as to make them consistent with the intent hereof, and promptly upon Borrower and Administrative Agent reaching such agreement, Administrative Agent shall notify Lenders of such adjustments and amendments, which shall be conclusive and effective as amendments hereunder, unless Required Lenders object to such adjustments within 30 days of receipt of notice.</w:t>
      </w:r>
    </w:p>
    <w:p>
      <w:pPr>
        <w:spacing w:after="0" w:line="157"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Each Compliance Certificate shall be prepared in accordance with this Section 1.03, except for the exclusion of Unrestricted Subsidiaries from the calculations therein.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05" w:right="339" w:bottom="1440" w:gutter="0" w:footer="0" w:header="0"/>
        </w:sectPr>
      </w:pPr>
    </w:p>
    <w:bookmarkStart w:id="203" w:name="page204"/>
    <w:bookmarkEnd w:id="203"/>
    <w:p>
      <w:pPr>
        <w:jc w:val="both"/>
        <w:spacing w:after="0" w:line="244" w:lineRule="auto"/>
        <w:rPr>
          <w:sz w:val="20"/>
          <w:szCs w:val="20"/>
          <w:color w:val="auto"/>
        </w:rPr>
      </w:pPr>
      <w:r>
        <w:rPr>
          <w:rFonts w:ascii="Arial" w:cs="Arial" w:eastAsia="Arial" w:hAnsi="Arial"/>
          <w:sz w:val="18"/>
          <w:szCs w:val="18"/>
          <w:color w:val="auto"/>
        </w:rPr>
        <w:t>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w:t>
      </w:r>
    </w:p>
    <w:p>
      <w:pPr>
        <w:spacing w:after="0" w:line="152"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Borrower or any Subsidiary at “fair value”, as defined therein.</w:t>
      </w:r>
    </w:p>
    <w:p>
      <w:pPr>
        <w:spacing w:after="0" w:line="156"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18"/>
          <w:szCs w:val="18"/>
          <w:color w:val="auto"/>
        </w:rPr>
        <w:t>For purposes of determining compliance with any provision of this Agreement and any related definitions, the determination of whether a lease is to be treated as an operating lease, as opposed to a capital lease or financing lease, shall be made without giving effect to any change in accounting for leases pursuant to GAAP that became effective after December 31, 2015, including resulting from the adoption of Financial Accounting Standards Board Accounting Standards Update No. 2016-02, Leases (Topic 842) (“FAS 842”) or any successor or similar proposal, in each case to the extent such adoption would require treating any lease (or similar arrangement conveying the right to use) as a capital lease or financing lease where such lease (or similar arrangement) would not have been required to be so treated under GAAP as in effect on December 31, 2015. In the foregoing circumstances, such lease shall not be considered a capital lease or financing lease, and all calculations and related deliverables under this Agreement or any other Loan Document shall be made or delivered, as applicable, in accordance herewith (and, for the avoidance of doubt, operating leases (as determined after giving effect to this Section 1.03), shall not be considered “Indebtedness” for any purpose under this Agreement).</w:t>
      </w:r>
    </w:p>
    <w:p>
      <w:pPr>
        <w:spacing w:after="0" w:line="157"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Rounding</w:t>
      </w:r>
      <w:r>
        <w:rPr>
          <w:rFonts w:ascii="Arial" w:cs="Arial" w:eastAsia="Arial" w:hAnsi="Arial"/>
          <w:sz w:val="20"/>
          <w:szCs w:val="20"/>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Exhibits and Schedules</w:t>
      </w:r>
      <w:r>
        <w:rPr>
          <w:rFonts w:ascii="Arial" w:cs="Arial" w:eastAsia="Arial" w:hAnsi="Arial"/>
          <w:sz w:val="20"/>
          <w:szCs w:val="20"/>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5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References to Agreements and Laws</w:t>
      </w:r>
      <w:r>
        <w:rPr>
          <w:rFonts w:ascii="Arial" w:cs="Arial" w:eastAsia="Arial" w:hAnsi="Arial"/>
          <w:sz w:val="19"/>
          <w:szCs w:val="19"/>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56"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Pro Forma Calculations</w:t>
      </w:r>
      <w:r>
        <w:rPr>
          <w:rFonts w:ascii="Arial" w:cs="Arial" w:eastAsia="Arial" w:hAnsi="Arial"/>
          <w:sz w:val="19"/>
          <w:szCs w:val="19"/>
          <w:color w:val="auto"/>
        </w:rPr>
        <w:t>. For the purposes of calculating Annualized EBITDA of Borrower and its Restricted Subsidiaries, on a consolidated basis, for any period (a “Test Period”),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05" w:right="339" w:bottom="1440" w:gutter="0" w:footer="0" w:header="0"/>
        </w:sectPr>
      </w:pPr>
    </w:p>
    <w:bookmarkStart w:id="204" w:name="page205"/>
    <w:bookmarkEnd w:id="204"/>
    <w:p>
      <w:pPr>
        <w:jc w:val="both"/>
        <w:spacing w:after="0" w:line="215" w:lineRule="auto"/>
        <w:rPr>
          <w:sz w:val="20"/>
          <w:szCs w:val="20"/>
          <w:color w:val="auto"/>
        </w:rPr>
      </w:pPr>
      <w:r>
        <w:rPr>
          <w:rFonts w:ascii="Arial" w:cs="Arial" w:eastAsia="Arial" w:hAnsi="Arial"/>
          <w:sz w:val="19"/>
          <w:szCs w:val="19"/>
          <w:color w:val="auto"/>
        </w:rPr>
        <w:t>Acquisition (and the incurrence or assumption of any such Indebtedness) occurred on the first day of such Test Period; and (iii) if during such Test Period any Person that subsequently became a Restricted Subsidiary or was merged with or into Borrower or any Restricted Subsidiary since the beginning of such Test Period shall have entered into any Material Disposition or Material Acquisition that would have required an adjustment pursuant to clause (i) or (ii) above if made by Borrower or a Restricted Subsidiary during such Test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15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Interest Rates; LIBOR Notification.</w:t>
      </w:r>
      <w:r>
        <w:rPr>
          <w:rFonts w:ascii="Arial" w:cs="Arial" w:eastAsia="Arial" w:hAnsi="Arial"/>
          <w:sz w:val="18"/>
          <w:szCs w:val="18"/>
          <w:color w:val="auto"/>
        </w:rPr>
        <w:t xml:space="preserve"> The interest rate on a Loan denominated in Dollars or an Alternative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(“LIBOR”) is intended to represent the rate at which contributing banks may obtain short-term borrowings from each other in the London interbank market. On March 5, 2021, the U.K. Financial Conduct Authority (“FCA”) publicly announced that: (a) immediately after December 31, 2021, publication of all seven euro LIBOR settings, the spot next, 1-week, 2-month and 12-month Japanese Yen LIBOR settings, the overnight, 1-week, 2-month and 12-month British Pound Sterling LIBOR settings, and the 1-week and 2-month U.S. Dollar LIBOR settings will permanently cease; immediately after June 30, 2023, publication of the overnight and 12-month U.S. Dollar LIBOR settings will permanently cease;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a Term ESTR Transition Event, a Term TONA Transition Event or an Early Opt-In Election, Section 3.03(b) and (c) provide a mechanism for determining an alternative rate of interest. The Administrative Agent will promptly notify the Borrower, pursuant to Section 3.03(e), of any change to the reference rate upon which the interest rate on Floating Rate Loans is based. However, the Administrative Agent does not warrant or accept any responsibility for, and shall not have any liability with respect to, the administration, submission or any other matter related to LIBOR or other rates in the definition of “LIBO Rate” (or “EURIBOR Rate”, or “TIBOR Rate”, as applicable) or with respect to any alternative or successor rate thereto, or replacement rate thereof (including, without limitation, (i) any such alternative, successor or replacement rate implemented pursuant to Section 3.03(b) or (c), whether upon the occurrence of a Benchmark Transition Event, a Term SOFR Transition Event, a Term ESTR Transition Event, a Term TONA Transition Event or an Early Opt-in Election, and (ii) the implementation of any Benchmark Replacement Conforming Changes pursuant to Section 3.03(d)), including without limitation, whether the composition or characteristics of any such alternative, successor or replacement reference rate will be similar to, or produce the same value or economic equivalence of, the LIBO Rate (or the EURIBOR Rate, or the TIBOR Rate, as applicable) or have the same volume or liquidity as did the London interbank offered rate (or the euro interbank offered rate, as applicable) prior to its discontinuance or unavailability.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5" w:right="339" w:bottom="1440" w:gutter="0" w:footer="0" w:header="0"/>
        </w:sectPr>
      </w:pPr>
    </w:p>
    <w:bookmarkStart w:id="205" w:name="page206"/>
    <w:bookmarkEnd w:id="205"/>
    <w:p>
      <w:pPr>
        <w:spacing w:after="0" w:line="18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2</w:t>
      </w:r>
    </w:p>
    <w:p>
      <w:pPr>
        <w:spacing w:after="0" w:line="148"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THE REVOLVING COMMITMENTS AND EXTENSIONS OF CREDIT</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u w:val="single" w:color="auto"/>
          <w:color w:val="auto"/>
        </w:rPr>
        <w:t>Amount and Terms of Revolving Commitments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05" w:lineRule="auto"/>
        <w:tabs>
          <w:tab w:leader="none" w:pos="193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in this Agreement, during the Revolving Commitment Period, each Lender severally agrees to make, Convert and Continue revolving credit loans (“Revolving Loans”) in Dollars or any Alternative Currency in such amounts as Borrower may from time to time request;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 the Dollar Amount of the Outstanding Revolving Obligations of each Lender shall not exceed such Lender’s Revolving Commitment at any time, (ii) the Dollar Amount of the Outstanding Revolving Obligations of all Lenders plus the aggregate principal amount of all outstanding Competitive Loans shall not exceed the combined Revolving Commitments at any time. The Revolving Facility is a revolving credit and, subject to the foregoing and the other terms and conditions hereof, Borrower may borrow, Convert, Continue, prepay and reborrow Revolving Loans as set forth herein without premium or penalty.</w:t>
      </w:r>
    </w:p>
    <w:p>
      <w:pPr>
        <w:spacing w:after="0" w:line="156" w:lineRule="exact"/>
        <w:rPr>
          <w:rFonts w:ascii="Arial" w:cs="Arial" w:eastAsia="Arial" w:hAnsi="Arial"/>
          <w:sz w:val="20"/>
          <w:szCs w:val="20"/>
          <w:color w:val="auto"/>
        </w:rPr>
      </w:pPr>
    </w:p>
    <w:p>
      <w:pPr>
        <w:jc w:val="both"/>
        <w:ind w:firstLine="1304"/>
        <w:spacing w:after="0" w:line="228" w:lineRule="auto"/>
        <w:tabs>
          <w:tab w:leader="none" w:pos="19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any time after the Effective Date, Borrower and any one or more Lenders (including any New Lender) may agree that such Lender or Lenders shall make or increase the amount of their Revolving Commitments by executing and delivering to Administrative Agent an Increased Revolving Commitment Activation Notice specifying the amount of such increase or new Revolving Commitment and the applicable Increased Revolving Commitment Closing Date. Notwithstanding the foregoing, (i) at no time may the combined Revolving Commitments exceed $14,000,000,000, (ii) Revolving Commitments may not be made or increased after the occurrence of an Event of Default that is continuing, including after giving effect to the incremental Revolving Commitments in question, and (iii) any increase effected pursuant to this Section 2.01(b) shall be in a minimum amount of at least $25,000,000. No Lender shall have any obligation to participate in any increase described in this Section 2.01(b) unless it agrees to do so in its sole discretion.</w:t>
      </w:r>
    </w:p>
    <w:p>
      <w:pPr>
        <w:spacing w:after="0" w:line="154" w:lineRule="exact"/>
        <w:rPr>
          <w:rFonts w:ascii="Arial" w:cs="Arial" w:eastAsia="Arial" w:hAnsi="Arial"/>
          <w:sz w:val="18"/>
          <w:szCs w:val="18"/>
          <w:color w:val="auto"/>
        </w:rPr>
      </w:pPr>
    </w:p>
    <w:p>
      <w:pPr>
        <w:jc w:val="both"/>
        <w:ind w:firstLine="1304"/>
        <w:spacing w:after="0" w:line="207" w:lineRule="auto"/>
        <w:tabs>
          <w:tab w:leader="none" w:pos="193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Any additional bank or financial institution (each, a “</w:t>
      </w:r>
      <w:r>
        <w:rPr>
          <w:rFonts w:ascii="Arial" w:cs="Arial" w:eastAsia="Arial" w:hAnsi="Arial"/>
          <w:sz w:val="20"/>
          <w:szCs w:val="20"/>
          <w:u w:val="single" w:color="auto"/>
          <w:color w:val="auto"/>
        </w:rPr>
        <w:t>New Lender</w:t>
      </w:r>
      <w:r>
        <w:rPr>
          <w:rFonts w:ascii="Arial" w:cs="Arial" w:eastAsia="Arial" w:hAnsi="Arial"/>
          <w:sz w:val="20"/>
          <w:szCs w:val="20"/>
          <w:color w:val="auto"/>
        </w:rPr>
        <w:t>”) that, in the case of an institution that is not an Affiliate of a then-existing Lender, with the consent of Administrative Agent and each Issuing Lender (which consent, in each case, shall not be unreasonably withheld), elects to become a “Lender” under this Agreement in connection with an increase described in Section 2.01(b) shall execute a New Lender Supplement (each, a “</w:t>
      </w:r>
      <w:r>
        <w:rPr>
          <w:rFonts w:ascii="Arial" w:cs="Arial" w:eastAsia="Arial" w:hAnsi="Arial"/>
          <w:sz w:val="20"/>
          <w:szCs w:val="20"/>
          <w:u w:val="single" w:color="auto"/>
          <w:color w:val="auto"/>
        </w:rPr>
        <w:t>New Lender Supplement</w:t>
      </w:r>
      <w:r>
        <w:rPr>
          <w:rFonts w:ascii="Arial" w:cs="Arial" w:eastAsia="Arial" w:hAnsi="Arial"/>
          <w:sz w:val="20"/>
          <w:szCs w:val="20"/>
          <w:color w:val="auto"/>
        </w:rPr>
        <w:t>”), substantially in the form of Exhibit E-1, whereupon such bank or financial institution shall become a Lender for all purposes and to the same extent as if originally a party hereto and shall be bound by and entitled to the benefits of this Agreement.</w:t>
      </w:r>
    </w:p>
    <w:p>
      <w:pPr>
        <w:spacing w:after="0" w:line="159" w:lineRule="exact"/>
        <w:rPr>
          <w:rFonts w:ascii="Arial" w:cs="Arial" w:eastAsia="Arial" w:hAnsi="Arial"/>
          <w:sz w:val="20"/>
          <w:szCs w:val="20"/>
          <w:color w:val="auto"/>
        </w:rPr>
      </w:pPr>
    </w:p>
    <w:p>
      <w:pPr>
        <w:jc w:val="both"/>
        <w:ind w:firstLine="1304"/>
        <w:spacing w:after="0" w:line="233" w:lineRule="auto"/>
        <w:tabs>
          <w:tab w:leader="none" w:pos="193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 each Increased Revolving Commitment Closing Date on which there are Revolving Loans outstanding, each Lender (including any New Lender) that has made or increased its Revolving Commitment shall make a Revolving Loan, the proceeds of which will be used to prepay the Revolving Loans of other Lenders, so that, after giving effect thereto, the resulting Revolving Loans outstanding are allocated among the Lenders on a pro rata basis based on the respective Revolving Percentages of the Lenders after giving effect to the increase of Revolving Commitments pursuant to Section 2.01(b) on such Increased Revolving Commitment Closing Date.</w:t>
      </w:r>
    </w:p>
    <w:p>
      <w:pPr>
        <w:spacing w:after="0" w:line="156" w:lineRule="exact"/>
        <w:rPr>
          <w:rFonts w:ascii="Arial" w:cs="Arial" w:eastAsia="Arial" w:hAnsi="Arial"/>
          <w:sz w:val="18"/>
          <w:szCs w:val="18"/>
          <w:color w:val="auto"/>
        </w:rPr>
      </w:pPr>
    </w:p>
    <w:p>
      <w:pPr>
        <w:jc w:val="both"/>
        <w:ind w:firstLine="1304"/>
        <w:spacing w:after="0" w:line="227" w:lineRule="auto"/>
        <w:tabs>
          <w:tab w:leader="none" w:pos="193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Borrower shall repay (i) all outstanding Revolving Loans made to it and all amounts funded by the Lenders as cash collateral pursuant to Section 2.03(d) on the Revolving Termination Date, the Extended Revolving Termination Date or the Second Extended Revolving Termination Date, as applicable, and (ii) the then unpaid principal amount of each Competitive Loan made to it on the last day of the Interest Period applicable to such Loan. Borrower may request that the Revolving Commitments and Letter of Credit Commitments be extended for additional one-year periods by providing written notice to Administrative Agent (“Notice Date”) not more than two times prior to the Revolving Termination Date or the Extended Revolving Termination Date, as applicable. If a Lender or a New Lender agrees, in its individual and sole discretion, to extend its Revolving Commitments and/or Letter of Credit Commitments (such Lender or New Lender, an “Extending Lender” or “New Extending Lender”, as the case may be), it will notify Administrative Agent in writing of its decision to do so and the maximum amount of Revolving Commitments and, if applicable, Letter of Credit Commitments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206" w:name="page207"/>
    <w:bookmarkEnd w:id="206"/>
    <w:p>
      <w:pPr>
        <w:jc w:val="both"/>
        <w:spacing w:after="0" w:line="212" w:lineRule="auto"/>
        <w:rPr>
          <w:sz w:val="20"/>
          <w:szCs w:val="20"/>
          <w:color w:val="auto"/>
        </w:rPr>
      </w:pPr>
      <w:r>
        <w:rPr>
          <w:rFonts w:ascii="Arial" w:cs="Arial" w:eastAsia="Arial" w:hAnsi="Arial"/>
          <w:sz w:val="19"/>
          <w:szCs w:val="19"/>
          <w:color w:val="auto"/>
        </w:rPr>
        <w:t xml:space="preserve">agrees to so extend no later than 30 days after the applicable Notice Date, which notice shall be irrevocable. Administrative Agent will notify Borrower, in writing, of the Lenders’ decisions no later than 35 days after the applicable Notice Date (“Extension Effectiveness Date”). As of the Extension Effectiveness Date, the Extending Lenders’ and the New Extending Lenders’ Revolving Commitments and Letter of Credit Commitments will be extended for an additional year from the Revolving Termination Date (the “Extended Revolving Termination Date”) or the Extended Revolving Termination Date (the “Second Extended Revolving Termination Date”),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more than 50% of the aggregate Revolving Commitments outstanding on the applicable Extension Effectiveness Date are extended or otherwise committed to by Extending Lenders and any New Extending Lenders (ii) no Default or Event of Default shall have occurred and be continuing on the applicable Extension Effectiveness Date after giving effect to the requested extension and (iii) the remaining tenor of Revolving Commitments of any Extending Lender and any New Extending Lender shall not exceed five years from the applicable Extension Effectiveness Date after giving effect to the requested extension. No Lender shall be required to consent to any such extension request, and any Lender that declines or does not respond in writing to Borrower’s request for commitment renewal (a “</w:t>
      </w:r>
      <w:r>
        <w:rPr>
          <w:rFonts w:ascii="Arial" w:cs="Arial" w:eastAsia="Arial" w:hAnsi="Arial"/>
          <w:sz w:val="19"/>
          <w:szCs w:val="19"/>
          <w:u w:val="single" w:color="auto"/>
          <w:color w:val="auto"/>
        </w:rPr>
        <w:t>Declining Lender</w:t>
      </w:r>
      <w:r>
        <w:rPr>
          <w:rFonts w:ascii="Arial" w:cs="Arial" w:eastAsia="Arial" w:hAnsi="Arial"/>
          <w:sz w:val="19"/>
          <w:szCs w:val="19"/>
          <w:color w:val="auto"/>
        </w:rPr>
        <w:t>”) will have its Revolving Commitments and Letter of Credit Commitment terminated on the then-existing Revolving Termination Date or Extended Revolving Termination Date, as applicable (without regard to any renewals by other Lenders). Borrower will have the right to remove or replace any Declining Lenders in accordance with Section 10.21.</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Procedure for Revolving Loan Borrowings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21" w:lineRule="auto"/>
        <w:tabs>
          <w:tab w:leader="none" w:pos="193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Borrower may irrevocably request a Borrowing of Revolving Loans on any Business Day in a Minimum Amount therefor by delivering a Request for Extension of Credit therefor by Requisite Notice to Administrative Agent not later than the Requisite Time therefor. All Borrowings denominated in Dollars shall constitute Base Rate Loans unless properly and timely otherwise designated as set forth in the prior sentence. All Borrowings denominated in any Alternative Currency shall constitute Floating Rate Loans. Each Competitive Loan shall be made in accordance with the procedures set forth in Section 2.04.</w:t>
      </w:r>
    </w:p>
    <w:p>
      <w:pPr>
        <w:spacing w:after="0" w:line="155" w:lineRule="exact"/>
        <w:rPr>
          <w:rFonts w:ascii="Arial" w:cs="Arial" w:eastAsia="Arial" w:hAnsi="Arial"/>
          <w:sz w:val="19"/>
          <w:szCs w:val="19"/>
          <w:color w:val="auto"/>
        </w:rPr>
      </w:pPr>
    </w:p>
    <w:p>
      <w:pPr>
        <w:jc w:val="both"/>
        <w:ind w:firstLine="1304"/>
        <w:spacing w:after="0" w:line="221" w:lineRule="auto"/>
        <w:tabs>
          <w:tab w:leader="none" w:pos="193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Following receipt of a Request for Extension of Credit, Administrative Agent shall promptly notify each Lender by Requisite Notice of its Revolving Percentage thereof. Each Lender (subject to clause (d) below) shall make the funds for its Revolving Loan available to Administrative Agent in the requested currency at Administrative Agent’s Office not later than the Requisite Time therefor on the Business Day specified in such Request for Extension of Credit. Upon satisfaction of the applicable conditions set forth in Section 4.02, all funds so received shall be made available to Borrower in like funds received.</w:t>
      </w:r>
    </w:p>
    <w:p>
      <w:pPr>
        <w:spacing w:after="0" w:line="155" w:lineRule="exact"/>
        <w:rPr>
          <w:rFonts w:ascii="Arial" w:cs="Arial" w:eastAsia="Arial" w:hAnsi="Arial"/>
          <w:sz w:val="19"/>
          <w:szCs w:val="19"/>
          <w:color w:val="auto"/>
        </w:rPr>
      </w:pPr>
    </w:p>
    <w:p>
      <w:pPr>
        <w:jc w:val="both"/>
        <w:ind w:firstLine="1304"/>
        <w:spacing w:after="0" w:line="224" w:lineRule="auto"/>
        <w:tabs>
          <w:tab w:leader="none" w:pos="193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 Borrower shall have the right to replace any Lender which fails to make a Revolving Loan when obligated to do so in accordance with Section 10.21.</w:t>
      </w:r>
    </w:p>
    <w:p>
      <w:pPr>
        <w:spacing w:after="0" w:line="156" w:lineRule="exact"/>
        <w:rPr>
          <w:rFonts w:ascii="Arial" w:cs="Arial" w:eastAsia="Arial" w:hAnsi="Arial"/>
          <w:sz w:val="19"/>
          <w:szCs w:val="19"/>
          <w:color w:val="auto"/>
        </w:rPr>
      </w:pPr>
    </w:p>
    <w:p>
      <w:pPr>
        <w:jc w:val="both"/>
        <w:ind w:firstLine="1304"/>
        <w:spacing w:after="0" w:line="210" w:lineRule="auto"/>
        <w:tabs>
          <w:tab w:leader="none" w:pos="193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Each Lender may, at its option, make any Loan available to Borrower by causing any foreign or domestic branch or Affiliate of such Lender to make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Borrower to repay such Loan in accordance with the terms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5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3" w:lineRule="auto"/>
        <w:tabs>
          <w:tab w:leader="none" w:pos="193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in this Agreement, during the period from and including the Effective Date to, but not including the Letter of Credit Expiration Date, each Issuing Lender shall take such Letter of Credit Actions denominated in Dollars or any Alternative Currency as Borrower may from time to time request;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 the Outstanding Revolving Obligations of each Lender shall not exceed such Lender’s Revolving Commitment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05" w:right="339" w:bottom="1440" w:gutter="0" w:footer="0" w:header="0"/>
        </w:sectPr>
      </w:pPr>
    </w:p>
    <w:bookmarkStart w:id="207" w:name="page208"/>
    <w:bookmarkEnd w:id="207"/>
    <w:p>
      <w:pPr>
        <w:jc w:val="both"/>
        <w:spacing w:after="0" w:line="222" w:lineRule="auto"/>
        <w:rPr>
          <w:sz w:val="20"/>
          <w:szCs w:val="20"/>
          <w:color w:val="auto"/>
        </w:rPr>
      </w:pPr>
      <w:r>
        <w:rPr>
          <w:rFonts w:ascii="Arial" w:cs="Arial" w:eastAsia="Arial" w:hAnsi="Arial"/>
          <w:sz w:val="18"/>
          <w:szCs w:val="18"/>
          <w:color w:val="auto"/>
        </w:rPr>
        <w:t xml:space="preserve">time, (ii) the Outstanding Revolving Obligations of all Lenders plus the aggregate principal amount of all outstanding Competitive Loans shall not exceed the combined Revolving Commitments at any time, (iii) the Letter of Credit Usage shall not exceed the Letter of Credit Sublimit at any time and (iv) the Letter of Credit Usage in respect of Letters of Credit issued by each Issuing Lender shall not exceed the Letter of Credit Commitment of such Issuing Lender at any time. All Existing Letters of Credit shall be deemed to be Letters of Credit issued hereunder on the Effective Date for the account of Borrower, and the participations therein created pursuant to the Existing Comcast Credit Agreement shall be superseded by participations created by Section 2.03(b) hereof. Subject to subsection (f) below and unless consented to 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subject to clause (y), no Letter of Credit shall expire after the Business Day which is at least five days prior to the Revolving Termination Date (as it may be extended) and (y) a Letter of Credit may expire up to the date that is one year after the Revolving Termination Date (as it may be extended) with the consent of the Issuing Lender in respect thereof (which consent shall not be unreasonably withheld) so long as Borrower shall, at least 15 days prior to the Revolving Termination Date (as it may be extended) (or for any Letters of Credit issued after such date, the date of issuance) deposit cash in the Dollar Amount equal to the Letter of Credit Usage applicable to it in a Letter of Credit Cash Collateral Account. In the event that any Lender’s Commitment terminates prior to an extended Revolving Termination Date as contemplated by Section 2.01(e), the respective participations of the other Lenders in all outstanding Letters of Credit shall be redetermined on the basis of their respective Commitments after giving effect to such termination, and the participation therein of the Lender whose Commitment is terminated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shall, if and to the extent necessary to permit such redetermination of participations in Letters of Credit within the limits of the Commitments which are not terminated, prepay on such date all or a portion of the outstanding Revolving Loans, and such redetermination and termination of participations in outstanding Letters of Credit shall be conditioned upon their having done so. If any Letter of Credit Usage remains or is expected to remain outstanding on the Revolving Termination Date (as it may be extended), Borrower shall, at least 15 days prior to the Revolving Termination Date (as it may be extended), deposit cash in an amount equal to the Letter of Credit Usage applicable to it in a Letter of Credit Cash Collateral Account.</w:t>
      </w:r>
    </w:p>
    <w:p>
      <w:pPr>
        <w:spacing w:after="0" w:line="162" w:lineRule="exact"/>
        <w:rPr>
          <w:sz w:val="20"/>
          <w:szCs w:val="20"/>
          <w:color w:val="auto"/>
        </w:rPr>
      </w:pPr>
    </w:p>
    <w:p>
      <w:pPr>
        <w:jc w:val="both"/>
        <w:ind w:firstLine="1304"/>
        <w:spacing w:after="0" w:line="211" w:lineRule="auto"/>
        <w:tabs>
          <w:tab w:leader="none" w:pos="193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Borrower may irrevocably request a Letter of Credit Action in a Minimum Amount therefor (or, if such Letter of Credit Action is in respect of a Letter of Credit denominated in an Alternative Currency, a Dollar Amount which is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4.02(a) and (b) are applicable to such Letter of Credit Action, constitute a representation and warranty by Borrower that the conditions set forth in Sections 4.02(a) and (b)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Dollar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 Notwithstanding anything herein to the contrary, Morgan Stanley Bank, N.A. as an Issuing Lender, shall only be obligated to issue standby Letters of Credit, and shall only be obligated to do so upon at least 3 Business Days’ prior written notice (or such shorter period of time as Morgan Stanley Bank, N.A. shall approve in its sole discretion).</w:t>
      </w:r>
    </w:p>
    <w:p>
      <w:pPr>
        <w:spacing w:after="0" w:line="160" w:lineRule="exact"/>
        <w:rPr>
          <w:rFonts w:ascii="Arial" w:cs="Arial" w:eastAsia="Arial" w:hAnsi="Arial"/>
          <w:sz w:val="19"/>
          <w:szCs w:val="19"/>
          <w:color w:val="auto"/>
        </w:rPr>
      </w:pPr>
    </w:p>
    <w:p>
      <w:pPr>
        <w:jc w:val="both"/>
        <w:ind w:firstLine="1304"/>
        <w:spacing w:after="0" w:line="218" w:lineRule="auto"/>
        <w:tabs>
          <w:tab w:leader="none" w:pos="193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Borrower shall reimburse each Issuing Lender through Administrative Agent for any payment that such Issuing Lender makes under a Letter of Credit within one Business Day following demand by Administrative Agent or such Issuing Lender in Dollars or in the applicable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05" w:right="339" w:bottom="1440" w:gutter="0" w:footer="0" w:header="0"/>
        </w:sectPr>
      </w:pPr>
    </w:p>
    <w:bookmarkStart w:id="208" w:name="page209"/>
    <w:bookmarkEnd w:id="208"/>
    <w:p>
      <w:pPr>
        <w:jc w:val="both"/>
        <w:spacing w:after="0" w:line="214" w:lineRule="auto"/>
        <w:rPr>
          <w:sz w:val="20"/>
          <w:szCs w:val="20"/>
          <w:color w:val="auto"/>
        </w:rPr>
      </w:pPr>
      <w:r>
        <w:rPr>
          <w:rFonts w:ascii="Arial" w:cs="Arial" w:eastAsia="Arial" w:hAnsi="Arial"/>
          <w:sz w:val="19"/>
          <w:szCs w:val="19"/>
          <w:color w:val="auto"/>
        </w:rPr>
        <w:t xml:space="preserve">Currency in which such payment was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conditions precedent set forth in Section 4.02 can be satisfied (except for the giving of a Request for Extension of Credit), Borrower may request a Borrowing of Base Rate Loans in the Dollar Amount necessary to reimburse such Issuing Lender for such payment pursuant to Section 2.02 (without regard to the Minimum Amount requirements thereof). If Borrower’s reimbursement of, or obligation to reimburse, any amounts in any Alternative Currency would subject Administrative Agent, the applicable Issuing Lender or any Lender to any stamp duty, ad valorem charge or similar tax that would not be payable if such reimbursement were made or required to be made in Dollars, Borrower shall pay the amount of any such tax requested by Administrative Agent, the relevant Issuing Lender or Lender. If Borrower fails to make such payment when due, then if such payment relates to a Letter of Credit denominated in an Alternative Currency, automatically and with no further action required, Borrower’s obligation to reimburse the applicable payment by the applicable Issuing Lender shall be permanently converted into an obligation to reimburse the Dollar Amount of such payment.</w:t>
      </w:r>
    </w:p>
    <w:p>
      <w:pPr>
        <w:spacing w:after="0" w:line="158" w:lineRule="exact"/>
        <w:rPr>
          <w:sz w:val="20"/>
          <w:szCs w:val="20"/>
          <w:color w:val="auto"/>
        </w:rPr>
      </w:pPr>
    </w:p>
    <w:p>
      <w:pPr>
        <w:jc w:val="both"/>
        <w:ind w:firstLine="1304"/>
        <w:spacing w:after="0" w:line="224" w:lineRule="auto"/>
        <w:tabs>
          <w:tab w:leader="none" w:pos="19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Upon any drawing under a Letter of Credit, the applicable Issuing Lender shall notify Administrative Agent and Borrower. If Borrower fails to timely make the payment required pursuant to subsection (c) above or to provide cash collateral as required in subsection (a) above, such Issuing Lender shall notify Administrative Agent of such fact and the Dollar Amount of such unreimbursed payment or required cash collateral, as applicable. Administrative Agent shall promptly notify each Lender of its Revolving Percentage of such Dollar Amount by Requisite Notice. Each Lender shall make funds in an amount equal to its Revolving Percentage of such Dollar Amount available to Administrative Agent at Administrative Agent’s Office not later than the Requisite Time therefor on the Business Day specified by Administrative Agent. Administrative Agent shall remit the funds so received to such Issuing Lender in the case of reimbursement of a Letter of Credit drawing or to Administrative Agent for deposit in a Letter of Credit Cash Collateral Account, as applicable. The obligation of each Lender to so reimburse such Issuing Lender and fund such Letter of Credit Cash Collateral Account shall be absolute and unconditional and shall not be affected by the occurrence of a Default or Event of Default or any other occurrence or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Borrower to reimburse each Issuing Lender for the amount of any payment made by such Issuing Lender under any Letter of Credit, together with interest as provided herein, or to provide cash collateral.</w:t>
      </w:r>
    </w:p>
    <w:p>
      <w:pPr>
        <w:spacing w:after="0" w:line="157" w:lineRule="exact"/>
        <w:rPr>
          <w:rFonts w:ascii="Arial" w:cs="Arial" w:eastAsia="Arial" w:hAnsi="Arial"/>
          <w:sz w:val="18"/>
          <w:szCs w:val="18"/>
          <w:color w:val="auto"/>
        </w:rPr>
      </w:pPr>
    </w:p>
    <w:p>
      <w:pPr>
        <w:jc w:val="both"/>
        <w:ind w:firstLine="1304"/>
        <w:spacing w:after="0" w:line="212" w:lineRule="auto"/>
        <w:tabs>
          <w:tab w:leader="none" w:pos="193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If the conditions precedent set forth in Section 4.02 can be satisfied (except for the giving of a Request for Extension of Credit) on any date Borrower is obligated to, but fails to, reimburse an Issuing Lender for a drawing under a Letter of Credit or to provide cash collateral as required in subsection (a) above, the funding by Lenders pursuant to subsection (d) above shall be deemed to be a Borrowing of Base Rate Loans (without regard to the Minimum Amount therefor). If the conditions precedent set forth in Section 4.02 (except for the giving of a Request for Extension of Credit) cannot be satisfied on the date Borrower is obligated to, but fails to, reimburse an Issuing Lender for a drawing under a Letter of Credit or to provide cash collateral in respect of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Borrower in respect of such payment or obligation to provide cash collateral and shall share, in accordance with that pro rata participation, in any payment made by Borrower with respect to such claim. Any amounts made available by a Lender under its participation shall be payable by Borrower upon demand of Administrative Agent (or, if earlier, on the Revolving Termination Date, the Extended Revolving Termination Date or the Second Extended Revolving Termination Date, as applicable), and shall bear interest at a rate per annum equal to the Default Rate.</w:t>
      </w:r>
    </w:p>
    <w:p>
      <w:pPr>
        <w:spacing w:after="0" w:line="164" w:lineRule="exact"/>
        <w:rPr>
          <w:rFonts w:ascii="Arial" w:cs="Arial" w:eastAsia="Arial" w:hAnsi="Arial"/>
          <w:sz w:val="19"/>
          <w:szCs w:val="19"/>
          <w:color w:val="auto"/>
        </w:rPr>
      </w:pPr>
    </w:p>
    <w:p>
      <w:pPr>
        <w:jc w:val="both"/>
        <w:ind w:firstLine="1304"/>
        <w:spacing w:after="0" w:line="210" w:lineRule="auto"/>
        <w:tabs>
          <w:tab w:leader="none" w:pos="1939" w:val="left"/>
        </w:tabs>
        <w:numPr>
          <w:ilvl w:val="0"/>
          <w:numId w:val="146"/>
        </w:numPr>
        <w:rPr>
          <w:rFonts w:ascii="Arial" w:cs="Arial" w:eastAsia="Arial" w:hAnsi="Arial"/>
          <w:sz w:val="20"/>
          <w:szCs w:val="20"/>
          <w:color w:val="auto"/>
        </w:rPr>
      </w:pPr>
      <w:r>
        <w:rPr>
          <w:rFonts w:ascii="Arial" w:cs="Arial" w:eastAsia="Arial" w:hAnsi="Arial"/>
          <w:sz w:val="20"/>
          <w:szCs w:val="20"/>
          <w:color w:val="auto"/>
        </w:rPr>
        <w:t>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05" w:right="339" w:bottom="1440" w:gutter="0" w:footer="0" w:header="0"/>
        </w:sectPr>
      </w:pPr>
    </w:p>
    <w:bookmarkStart w:id="209" w:name="page210"/>
    <w:bookmarkEnd w:id="209"/>
    <w:p>
      <w:pPr>
        <w:jc w:val="both"/>
        <w:spacing w:after="0" w:line="207" w:lineRule="auto"/>
        <w:rPr>
          <w:sz w:val="20"/>
          <w:szCs w:val="20"/>
          <w:color w:val="auto"/>
        </w:rPr>
      </w:pPr>
      <w:r>
        <w:rPr>
          <w:rFonts w:ascii="Arial" w:cs="Arial" w:eastAsia="Arial" w:hAnsi="Arial"/>
          <w:sz w:val="20"/>
          <w:szCs w:val="20"/>
          <w:color w:val="auto"/>
        </w:rPr>
        <w:t>Borrower, Administrative Agent and Lenders shall be deemed to have authorized (but may not require) such Issuing Lender to permit the renewal of such evergreen Letter of Credit at any time to a date not later than five Business Days prior to the Revolving Termination Date (as it may be extended) or such later date as may be permitted pursuant to clause (y) of the second proviso of Section 2.03(a). Such Issuing 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160" w:lineRule="exact"/>
        <w:rPr>
          <w:sz w:val="20"/>
          <w:szCs w:val="20"/>
          <w:color w:val="auto"/>
        </w:rPr>
      </w:pPr>
    </w:p>
    <w:p>
      <w:pPr>
        <w:jc w:val="both"/>
        <w:ind w:firstLine="1304"/>
        <w:spacing w:after="0" w:line="218" w:lineRule="auto"/>
        <w:tabs>
          <w:tab w:leader="none" w:pos="1932"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obligation of Borrower to pay to each Issuing Lender the amount of any payment made by such Issuing Lender under any Letter of Credit shall be absolute, unconditional, and irrevocable. Without limiting the foregoing, Borrower’s obligations shall not be affected by any of the following circumstances:</w:t>
      </w:r>
    </w:p>
    <w:p>
      <w:pPr>
        <w:spacing w:after="0" w:line="156" w:lineRule="exact"/>
        <w:rPr>
          <w:rFonts w:ascii="Arial" w:cs="Arial" w:eastAsia="Arial" w:hAnsi="Arial"/>
          <w:sz w:val="20"/>
          <w:szCs w:val="20"/>
          <w:color w:val="auto"/>
        </w:rPr>
      </w:pPr>
    </w:p>
    <w:p>
      <w:pPr>
        <w:ind w:left="1300" w:right="20" w:firstLine="652"/>
        <w:spacing w:after="0" w:line="229" w:lineRule="auto"/>
        <w:tabs>
          <w:tab w:leader="none" w:pos="2549"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this Agreement, or any other agreement or instrument relating thereto;</w:t>
      </w:r>
    </w:p>
    <w:p>
      <w:pPr>
        <w:spacing w:after="0" w:line="155" w:lineRule="exact"/>
        <w:rPr>
          <w:rFonts w:ascii="Arial" w:cs="Arial" w:eastAsia="Arial" w:hAnsi="Arial"/>
          <w:sz w:val="20"/>
          <w:szCs w:val="20"/>
          <w:color w:val="auto"/>
        </w:rPr>
      </w:pPr>
    </w:p>
    <w:p>
      <w:pPr>
        <w:ind w:left="1300" w:firstLine="652"/>
        <w:spacing w:after="0" w:line="229" w:lineRule="auto"/>
        <w:tabs>
          <w:tab w:leader="none" w:pos="2536"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amendment or waiver of or any consent to departure from such Letter of Credit, this Agreement or any other agreement or instrument relating hereto or thereto;</w:t>
      </w:r>
    </w:p>
    <w:p>
      <w:pPr>
        <w:spacing w:after="0" w:line="155" w:lineRule="exact"/>
        <w:rPr>
          <w:rFonts w:ascii="Arial" w:cs="Arial" w:eastAsia="Arial" w:hAnsi="Arial"/>
          <w:sz w:val="20"/>
          <w:szCs w:val="20"/>
          <w:color w:val="auto"/>
        </w:rPr>
      </w:pPr>
    </w:p>
    <w:p>
      <w:pPr>
        <w:jc w:val="both"/>
        <w:ind w:left="1300" w:firstLine="652"/>
        <w:spacing w:after="0" w:line="236" w:lineRule="auto"/>
        <w:tabs>
          <w:tab w:leader="none" w:pos="253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157" w:lineRule="exact"/>
        <w:rPr>
          <w:rFonts w:ascii="Arial" w:cs="Arial" w:eastAsia="Arial" w:hAnsi="Arial"/>
          <w:sz w:val="18"/>
          <w:szCs w:val="18"/>
          <w:color w:val="auto"/>
        </w:rPr>
      </w:pPr>
    </w:p>
    <w:p>
      <w:pPr>
        <w:jc w:val="both"/>
        <w:ind w:left="1300" w:firstLine="652"/>
        <w:spacing w:after="0" w:line="230" w:lineRule="auto"/>
        <w:tabs>
          <w:tab w:leader="none" w:pos="2553" w:val="left"/>
        </w:tabs>
        <w:numPr>
          <w:ilvl w:val="1"/>
          <w:numId w:val="147"/>
        </w:numPr>
        <w:rPr>
          <w:rFonts w:ascii="Arial" w:cs="Arial" w:eastAsia="Arial" w:hAnsi="Arial"/>
          <w:sz w:val="19"/>
          <w:szCs w:val="19"/>
          <w:color w:val="auto"/>
        </w:rPr>
      </w:pPr>
      <w:r>
        <w:rPr>
          <w:rFonts w:ascii="Arial" w:cs="Arial" w:eastAsia="Arial" w:hAnsi="Arial"/>
          <w:sz w:val="19"/>
          <w:szCs w:val="19"/>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154" w:lineRule="exact"/>
        <w:rPr>
          <w:rFonts w:ascii="Arial" w:cs="Arial" w:eastAsia="Arial" w:hAnsi="Arial"/>
          <w:sz w:val="19"/>
          <w:szCs w:val="19"/>
          <w:color w:val="auto"/>
        </w:rPr>
      </w:pPr>
    </w:p>
    <w:p>
      <w:pPr>
        <w:jc w:val="both"/>
        <w:ind w:left="1300" w:firstLine="652"/>
        <w:spacing w:after="0" w:line="207" w:lineRule="auto"/>
        <w:tabs>
          <w:tab w:leader="none" w:pos="2539"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159" w:lineRule="exact"/>
        <w:rPr>
          <w:rFonts w:ascii="Arial" w:cs="Arial" w:eastAsia="Arial" w:hAnsi="Arial"/>
          <w:sz w:val="20"/>
          <w:szCs w:val="20"/>
          <w:color w:val="auto"/>
        </w:rPr>
      </w:pPr>
    </w:p>
    <w:p>
      <w:pPr>
        <w:ind w:left="1300" w:right="20" w:firstLine="652"/>
        <w:spacing w:after="0" w:line="229" w:lineRule="auto"/>
        <w:tabs>
          <w:tab w:leader="none" w:pos="2553"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error in the transmission of any message relating to such Letter of Credit not caused by such Issuing Lender, or any delay or interruption in any such message;</w:t>
      </w:r>
    </w:p>
    <w:p>
      <w:pPr>
        <w:spacing w:after="0" w:line="153" w:lineRule="exact"/>
        <w:rPr>
          <w:rFonts w:ascii="Arial" w:cs="Arial" w:eastAsia="Arial" w:hAnsi="Arial"/>
          <w:sz w:val="20"/>
          <w:szCs w:val="20"/>
          <w:color w:val="auto"/>
        </w:rPr>
      </w:pPr>
    </w:p>
    <w:p>
      <w:pPr>
        <w:ind w:left="2540" w:hanging="588"/>
        <w:spacing w:after="0"/>
        <w:tabs>
          <w:tab w:leader="none" w:pos="25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error, neglect or default of any correspondent of such Issuing Lender in connection with such Letter of</w:t>
      </w:r>
    </w:p>
    <w:p>
      <w:pPr>
        <w:ind w:left="1300"/>
        <w:spacing w:after="0"/>
        <w:rPr>
          <w:rFonts w:ascii="Arial" w:cs="Arial" w:eastAsia="Arial" w:hAnsi="Arial"/>
          <w:sz w:val="18"/>
          <w:szCs w:val="18"/>
          <w:color w:val="auto"/>
        </w:rPr>
      </w:pPr>
      <w:r>
        <w:rPr>
          <w:rFonts w:ascii="Arial" w:cs="Arial" w:eastAsia="Arial" w:hAnsi="Arial"/>
          <w:sz w:val="20"/>
          <w:szCs w:val="20"/>
          <w:color w:val="auto"/>
        </w:rPr>
        <w:t>Credit;</w:t>
      </w:r>
    </w:p>
    <w:p>
      <w:pPr>
        <w:spacing w:after="0" w:line="159" w:lineRule="exact"/>
        <w:rPr>
          <w:rFonts w:ascii="Arial" w:cs="Arial" w:eastAsia="Arial" w:hAnsi="Arial"/>
          <w:sz w:val="18"/>
          <w:szCs w:val="18"/>
          <w:color w:val="auto"/>
        </w:rPr>
      </w:pPr>
    </w:p>
    <w:p>
      <w:pPr>
        <w:ind w:left="1300" w:firstLine="652"/>
        <w:spacing w:after="0" w:line="229" w:lineRule="auto"/>
        <w:tabs>
          <w:tab w:leader="none" w:pos="2569"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Any consequence arising from acts of God, wars, insurrections, civil unrest, disturbances, labor disputes, emergency conditions or other causes beyond the control of such Issuing Lender;</w:t>
      </w:r>
    </w:p>
    <w:p>
      <w:pPr>
        <w:spacing w:after="0" w:line="155" w:lineRule="exact"/>
        <w:rPr>
          <w:rFonts w:ascii="Arial" w:cs="Arial" w:eastAsia="Arial" w:hAnsi="Arial"/>
          <w:sz w:val="20"/>
          <w:szCs w:val="20"/>
          <w:color w:val="auto"/>
        </w:rPr>
      </w:pPr>
    </w:p>
    <w:p>
      <w:pPr>
        <w:jc w:val="both"/>
        <w:ind w:left="1300" w:firstLine="652"/>
        <w:spacing w:after="0" w:line="230" w:lineRule="auto"/>
        <w:tabs>
          <w:tab w:leader="none" w:pos="253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05" w:right="339" w:bottom="1440" w:gutter="0" w:footer="0" w:header="0"/>
        </w:sectPr>
      </w:pPr>
    </w:p>
    <w:bookmarkStart w:id="210" w:name="page211"/>
    <w:bookmarkEnd w:id="210"/>
    <w:p>
      <w:pPr>
        <w:ind w:left="2540" w:hanging="588"/>
        <w:spacing w:after="0"/>
        <w:tabs>
          <w:tab w:leader="none" w:pos="25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Any other circumstances whatsoever where such Issuing Lender has acted in good faith.</w:t>
      </w:r>
    </w:p>
    <w:p>
      <w:pPr>
        <w:spacing w:after="0" w:line="17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In addition, Borrower will promptly examine a copy of each Letter of Credit and amendments thereto delivered to it and, in the event of any claim of noncompliance with Borrower’s instructions or other irregularity, Borrower will immediately notify the applicable Issuing Lender in writing. Borrower shall be conclusively deemed to have waived any such claim against such Issuing Lender and its correspondents unless such notice is given as aforesaid.</w:t>
      </w:r>
    </w:p>
    <w:p>
      <w:pPr>
        <w:spacing w:after="0" w:line="156" w:lineRule="exact"/>
        <w:rPr>
          <w:sz w:val="20"/>
          <w:szCs w:val="20"/>
          <w:color w:val="auto"/>
        </w:rPr>
      </w:pPr>
    </w:p>
    <w:p>
      <w:pPr>
        <w:jc w:val="both"/>
        <w:ind w:firstLine="1304"/>
        <w:spacing w:after="0" w:line="211" w:lineRule="auto"/>
        <w:tabs>
          <w:tab w:leader="none" w:pos="193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Each Lender and 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Borrower hereby assumes all risks of the acts or omissions of any beneficiary or transferee relative to any Issuing Lender, any Lender or any Administrative Agent-Related Person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assumption is not intended to, and shall not, preclude 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63" w:lineRule="exact"/>
        <w:rPr>
          <w:rFonts w:ascii="Arial" w:cs="Arial" w:eastAsia="Arial" w:hAnsi="Arial"/>
          <w:sz w:val="19"/>
          <w:szCs w:val="19"/>
          <w:color w:val="auto"/>
        </w:rPr>
      </w:pPr>
    </w:p>
    <w:p>
      <w:pPr>
        <w:jc w:val="both"/>
        <w:ind w:firstLine="1304"/>
        <w:spacing w:after="0" w:line="221" w:lineRule="auto"/>
        <w:tabs>
          <w:tab w:leader="none" w:pos="194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Unless otherwise expressly agreed by the applicable Issuing Lender and 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600, as the same may be revised from time to time.</w:t>
      </w:r>
    </w:p>
    <w:p>
      <w:pPr>
        <w:spacing w:after="0" w:line="155" w:lineRule="exact"/>
        <w:rPr>
          <w:rFonts w:ascii="Arial" w:cs="Arial" w:eastAsia="Arial" w:hAnsi="Arial"/>
          <w:sz w:val="19"/>
          <w:szCs w:val="19"/>
          <w:color w:val="auto"/>
        </w:rPr>
      </w:pPr>
    </w:p>
    <w:p>
      <w:pPr>
        <w:jc w:val="both"/>
        <w:ind w:firstLine="1304"/>
        <w:spacing w:after="0" w:line="217" w:lineRule="auto"/>
        <w:tabs>
          <w:tab w:leader="none" w:pos="194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Borrower shall pay to Administrative Agent on each Applicable Payment Date in arrears, for the account of each Lender in accordance with its Revolving Percentage, a Letter of Credit fee in Dollars at a rate equal to the Applicable Amount times the actual daily maximum Dollar Amount available to be drawn under each Letter of Credit requested by 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Dollar Amount shall be computed and multiplied by the Applicable Amount separately for each period during such quarter that such Applicable Amount was in effect.</w:t>
      </w:r>
    </w:p>
    <w:p>
      <w:pPr>
        <w:spacing w:after="0" w:line="156" w:lineRule="exact"/>
        <w:rPr>
          <w:rFonts w:ascii="Arial" w:cs="Arial" w:eastAsia="Arial" w:hAnsi="Arial"/>
          <w:sz w:val="19"/>
          <w:szCs w:val="19"/>
          <w:color w:val="auto"/>
        </w:rPr>
      </w:pPr>
    </w:p>
    <w:p>
      <w:pPr>
        <w:jc w:val="both"/>
        <w:ind w:firstLine="1304"/>
        <w:spacing w:after="0" w:line="207" w:lineRule="auto"/>
        <w:tabs>
          <w:tab w:leader="none" w:pos="1932" w:val="left"/>
        </w:tabs>
        <w:numPr>
          <w:ilvl w:val="0"/>
          <w:numId w:val="149"/>
        </w:numPr>
        <w:rPr>
          <w:rFonts w:ascii="Arial" w:cs="Arial" w:eastAsia="Arial" w:hAnsi="Arial"/>
          <w:sz w:val="20"/>
          <w:szCs w:val="20"/>
          <w:color w:val="auto"/>
        </w:rPr>
      </w:pPr>
      <w:r>
        <w:rPr>
          <w:rFonts w:ascii="Arial" w:cs="Arial" w:eastAsia="Arial" w:hAnsi="Arial"/>
          <w:sz w:val="20"/>
          <w:szCs w:val="20"/>
          <w:color w:val="auto"/>
        </w:rPr>
        <w:t>Borrower shall pay directly to each Issuing Lender, for its sole account, a fronting fee for each Letter of Credit requested by Borrower in such amount and at such times as may be set forth in a separate letter agreement between Borrower and such Issuing Lender. In addition, 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Borrower for which such charges are customarily made. Such fees and charges are nonrefundable.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05" w:right="339" w:bottom="1440" w:gutter="0" w:footer="0" w:header="0"/>
        </w:sectPr>
      </w:pPr>
    </w:p>
    <w:bookmarkStart w:id="211" w:name="page212"/>
    <w:bookmarkEnd w:id="211"/>
    <w:p>
      <w:pPr>
        <w:jc w:val="both"/>
        <w:ind w:firstLine="1304"/>
        <w:spacing w:after="0" w:line="224" w:lineRule="auto"/>
        <w:tabs>
          <w:tab w:leader="none" w:pos="194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56" w:lineRule="exact"/>
        <w:rPr>
          <w:rFonts w:ascii="Arial" w:cs="Arial" w:eastAsia="Arial" w:hAnsi="Arial"/>
          <w:sz w:val="19"/>
          <w:szCs w:val="19"/>
          <w:color w:val="auto"/>
        </w:rPr>
      </w:pPr>
    </w:p>
    <w:p>
      <w:pPr>
        <w:jc w:val="both"/>
        <w:ind w:firstLine="1304"/>
        <w:spacing w:after="0" w:line="210" w:lineRule="auto"/>
        <w:tabs>
          <w:tab w:leader="none" w:pos="193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Each Issuing Lender may, at its option, issue any Letter of Credit and make any funds available in connection with any Letter of Credit by causing any foreign or domestic branch or Affiliate of such Issuing Lender to take such 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any obligation of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5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Competitive Bid Procedure</w:t>
      </w:r>
      <w:r>
        <w:rPr>
          <w:rFonts w:ascii="Arial" w:cs="Arial" w:eastAsia="Arial" w:hAnsi="Arial"/>
          <w:sz w:val="18"/>
          <w:szCs w:val="18"/>
          <w:color w:val="auto"/>
        </w:rPr>
        <w:t xml:space="preserve">. (a) Subject to the terms and conditions set forth herein, during the period from and including the Effective Date to, but not including, the Revolving Termination Date (as it may be extended), Borrower may request Competitive Bids and may (but shall not have any obligation to) accept Competitive Bids and borrow Competitive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Outstanding Revolving Obligations of all Lenders plus the aggregate principal amount of outstanding Competitive Loans at any time shall not exceed the combined Revolving Commitments. To request Competitive Bids, Borrower shall notify Administrative Agent of such request by telephone not later than the Requisite Time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 response thereto rejected. Each such telephonic Competitive Bid Request shall be confirmed promptly by hand 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160" w:lineRule="exact"/>
        <w:rPr>
          <w:sz w:val="20"/>
          <w:szCs w:val="20"/>
          <w:color w:val="auto"/>
        </w:rPr>
      </w:pPr>
    </w:p>
    <w:p>
      <w:pPr>
        <w:ind w:left="2540" w:hanging="588"/>
        <w:spacing w:after="0"/>
        <w:tabs>
          <w:tab w:leader="none" w:pos="2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aggregate amount of the requested Borrowing (which shall be at least the Minimum Amount therefor);</w:t>
      </w:r>
    </w:p>
    <w:p>
      <w:pPr>
        <w:spacing w:after="0" w:line="198" w:lineRule="exact"/>
        <w:rPr>
          <w:rFonts w:ascii="Arial" w:cs="Arial" w:eastAsia="Arial" w:hAnsi="Arial"/>
          <w:sz w:val="18"/>
          <w:szCs w:val="18"/>
          <w:color w:val="auto"/>
        </w:rPr>
      </w:pPr>
    </w:p>
    <w:p>
      <w:pPr>
        <w:ind w:left="2540" w:hanging="588"/>
        <w:spacing w:after="0"/>
        <w:tabs>
          <w:tab w:leader="none" w:pos="254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75" w:lineRule="exact"/>
        <w:rPr>
          <w:rFonts w:ascii="Arial" w:cs="Arial" w:eastAsia="Arial" w:hAnsi="Arial"/>
          <w:sz w:val="20"/>
          <w:szCs w:val="20"/>
          <w:color w:val="auto"/>
        </w:rPr>
      </w:pPr>
    </w:p>
    <w:p>
      <w:pPr>
        <w:jc w:val="both"/>
        <w:ind w:left="1300" w:firstLine="652"/>
        <w:spacing w:after="0" w:line="230" w:lineRule="auto"/>
        <w:tabs>
          <w:tab w:leader="none" w:pos="2564"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whether such Borrowing is to be a Borrowing of Floating Rate Loans (</w:t>
      </w:r>
      <w:r>
        <w:rPr>
          <w:rFonts w:ascii="Arial" w:cs="Arial" w:eastAsia="Arial" w:hAnsi="Arial"/>
          <w:sz w:val="19"/>
          <w:szCs w:val="19"/>
          <w:u w:val="single" w:color="auto"/>
          <w:color w:val="0000FF"/>
        </w:rPr>
        <w:t>other than Floating SONIA Rate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Loans)</w:t>
      </w:r>
      <w:r>
        <w:rPr>
          <w:rFonts w:ascii="Arial" w:cs="Arial" w:eastAsia="Arial" w:hAnsi="Arial"/>
          <w:sz w:val="19"/>
          <w:szCs w:val="19"/>
          <w:color w:val="0000FF"/>
        </w:rPr>
        <w:t xml:space="preserve"> </w:t>
      </w:r>
      <w:r>
        <w:rPr>
          <w:rFonts w:ascii="Arial" w:cs="Arial" w:eastAsia="Arial" w:hAnsi="Arial"/>
          <w:sz w:val="19"/>
          <w:szCs w:val="19"/>
          <w:color w:val="000000"/>
        </w:rPr>
        <w:t>or of Fixed Rate Loans (it being understood and agreed that each Borrowing of Competitive Loans shall be</w:t>
      </w:r>
      <w:r>
        <w:rPr>
          <w:rFonts w:ascii="Arial" w:cs="Arial" w:eastAsia="Arial" w:hAnsi="Arial"/>
          <w:sz w:val="19"/>
          <w:szCs w:val="19"/>
          <w:color w:val="0000FF"/>
        </w:rPr>
        <w:t xml:space="preserve"> </w:t>
      </w:r>
      <w:r>
        <w:rPr>
          <w:rFonts w:ascii="Arial" w:cs="Arial" w:eastAsia="Arial" w:hAnsi="Arial"/>
          <w:sz w:val="19"/>
          <w:szCs w:val="19"/>
          <w:color w:val="000000"/>
        </w:rPr>
        <w:t xml:space="preserve">comprised entirely of Floating Rate Loans </w:t>
      </w:r>
      <w:r>
        <w:rPr>
          <w:rFonts w:ascii="Arial" w:cs="Arial" w:eastAsia="Arial" w:hAnsi="Arial"/>
          <w:sz w:val="19"/>
          <w:szCs w:val="19"/>
          <w:u w:val="single" w:color="auto"/>
          <w:color w:val="0000FF"/>
        </w:rPr>
        <w:t>(other than Floating SONIA Rate Loans)</w:t>
      </w:r>
      <w:r>
        <w:rPr>
          <w:rFonts w:ascii="Arial" w:cs="Arial" w:eastAsia="Arial" w:hAnsi="Arial"/>
          <w:sz w:val="19"/>
          <w:szCs w:val="19"/>
          <w:color w:val="000000"/>
        </w:rPr>
        <w:t xml:space="preserve"> or Fixed Rate Loans); and</w:t>
      </w:r>
    </w:p>
    <w:p>
      <w:pPr>
        <w:spacing w:after="0" w:line="154" w:lineRule="exact"/>
        <w:rPr>
          <w:rFonts w:ascii="Arial" w:cs="Arial" w:eastAsia="Arial" w:hAnsi="Arial"/>
          <w:sz w:val="19"/>
          <w:szCs w:val="19"/>
          <w:color w:val="auto"/>
        </w:rPr>
      </w:pPr>
    </w:p>
    <w:p>
      <w:pPr>
        <w:ind w:left="1300" w:firstLine="652"/>
        <w:spacing w:after="0" w:line="229" w:lineRule="auto"/>
        <w:tabs>
          <w:tab w:leader="none" w:pos="2539"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Interest Period to be applicable to such Borrowing, which shall be a period contemplated by the definition of the term “Interest Period”.</w:t>
      </w:r>
    </w:p>
    <w:p>
      <w:pPr>
        <w:spacing w:after="0" w:line="15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55" w:lineRule="exact"/>
        <w:rPr>
          <w:sz w:val="20"/>
          <w:szCs w:val="20"/>
          <w:color w:val="auto"/>
        </w:rPr>
      </w:pPr>
    </w:p>
    <w:p>
      <w:pPr>
        <w:jc w:val="both"/>
        <w:ind w:firstLine="1304"/>
        <w:spacing w:after="0" w:line="227" w:lineRule="auto"/>
        <w:tabs>
          <w:tab w:leader="none" w:pos="193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Lender may (but shall not have any obligation to) make one or more Competitive Bids to Borrower in response to a Competitive Bid Request. Each Competitive Bid by a Lender must be in a form approved by Administrative Agent and must be received by Administrative Agent by telecopy, in the case of a Competitive Borrowing of Floating Rate Loans, not later than 9:30 a.m., New York City time, three Business Days before the proposed date of such Competitive Borrowing, and in the case of a Borrowing of Fixed Rate Loans,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 (i) the principal amount (which shall be a minimum of $10,000,000 and an integral multiple of $1,000,000 and which may equal the entire principal amount of the Competitive Borrowing requested by Borrower) of the Competitive Loan or Loans that the Lender is willing to make, (ii) the Competitive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05" w:right="339" w:bottom="1440" w:gutter="0" w:footer="0" w:header="0"/>
        </w:sectPr>
      </w:pPr>
    </w:p>
    <w:bookmarkStart w:id="212" w:name="page213"/>
    <w:bookmarkEnd w:id="212"/>
    <w:p>
      <w:pPr>
        <w:spacing w:after="0" w:line="242" w:lineRule="auto"/>
        <w:rPr>
          <w:sz w:val="20"/>
          <w:szCs w:val="20"/>
          <w:color w:val="auto"/>
        </w:rPr>
      </w:pPr>
      <w:r>
        <w:rPr>
          <w:rFonts w:ascii="Arial" w:cs="Arial" w:eastAsia="Arial" w:hAnsi="Arial"/>
          <w:sz w:val="19"/>
          <w:szCs w:val="19"/>
          <w:color w:val="auto"/>
        </w:rPr>
        <w:t>Rate or Rates at which the Lender is prepared to make such Loan or Loans (expressed as a percentage rate per annum in the form of a decimal to no more than four decimal places) and (iii) the Interest Period applicable to each such Loan and the last day thereof.</w:t>
      </w:r>
    </w:p>
    <w:p>
      <w:pPr>
        <w:spacing w:after="0" w:line="153" w:lineRule="exact"/>
        <w:rPr>
          <w:sz w:val="20"/>
          <w:szCs w:val="20"/>
          <w:color w:val="auto"/>
        </w:rPr>
      </w:pPr>
    </w:p>
    <w:p>
      <w:pPr>
        <w:ind w:right="420" w:firstLine="1304"/>
        <w:spacing w:after="0" w:line="242" w:lineRule="auto"/>
        <w:tabs>
          <w:tab w:leader="none" w:pos="193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Administrative Agent shall promptly notify Borrower by telecopy of the Competitive Bid Rate and the principal amount specified in each Competitive Bid and the identity of the Lender that shall have made such Competitive Bid.</w:t>
      </w:r>
    </w:p>
    <w:p>
      <w:pPr>
        <w:spacing w:after="0" w:line="153" w:lineRule="exact"/>
        <w:rPr>
          <w:rFonts w:ascii="Arial" w:cs="Arial" w:eastAsia="Arial" w:hAnsi="Arial"/>
          <w:sz w:val="19"/>
          <w:szCs w:val="19"/>
          <w:color w:val="auto"/>
        </w:rPr>
      </w:pPr>
    </w:p>
    <w:p>
      <w:pPr>
        <w:jc w:val="both"/>
        <w:ind w:firstLine="1304"/>
        <w:spacing w:after="0" w:line="223" w:lineRule="auto"/>
        <w:tabs>
          <w:tab w:leader="none" w:pos="193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Subject only to the provisions of this paragraph, Borrower may accept or reject any Competitive Bid. Borrower shall notify Administrative Agent by telephone, confirmed by telecopy in a form approved by Administrative Agent, whether and to what extent it has decided to accept or reject each Competitive Bid, in the case of a Competitive Borrowing of Floating Rate Loans, not later than 10:30 a.m., New York City time, three Business Days before the date of the proposed Competitive Borrowing, and in the case of a Borrowing of Fixed Rate Loans, not later than 10:30 a.m., New York City time, on the proposed date of the Competitive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failure of Borrower to give such notice shall be deemed to be a rejection of each Competitive Bid, (ii) Borrower shall not accept a Competitive Bid made at a particular Competitive Bid Rate if Borrower rejects a Competitive Bid made at a lower Competitive Bid Rate with respect to the same Competitive Bid Request, (iii) the aggregate amount of the Competitive Bids accepted by Borrower shall not exceed the aggregate amount of the requested Competitive Borrowing specified in the related Competitive Bid Request, (iv) to the extent necessary to comply with clause (iii) above, Borrower may accept Competitive Bids at the same Competitive Bid Rate in part, which acceptance, in the case of multiple Competitive Bids at such Competitive Bid Rate, shall be made pro rata in accordance with the amount of each such Competitive Bid, and (v) except pursuant to clause (iv) above, no Competitive Bid shall be accepted for a Competitive Loan unless such Competitive Loan is in a minimum principal amount of $5,000,000 and an integral multiple of $1,000,000;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 Competitive Loan must be in an amount less than $5,000,000 because of the provisions of clause (iv) above, such Competitive Loan may be for a minimum of $1,000,000 or any integral multiple thereof, and in calculating the pro rata allocation of acceptances of portions of multiple Competitive Bids at a particular Competitive Bid Rate pursuant to clause (iv) the amounts shall be rounded to integral multiples of $1,000,000 in a manner determined by Borrower. A notice given by Borrower pursuant to this paragraph shall be irrevocable.</w:t>
      </w:r>
    </w:p>
    <w:p>
      <w:pPr>
        <w:spacing w:after="0" w:line="159" w:lineRule="exact"/>
        <w:rPr>
          <w:rFonts w:ascii="Arial" w:cs="Arial" w:eastAsia="Arial" w:hAnsi="Arial"/>
          <w:sz w:val="18"/>
          <w:szCs w:val="18"/>
          <w:color w:val="auto"/>
        </w:rPr>
      </w:pPr>
    </w:p>
    <w:p>
      <w:pPr>
        <w:jc w:val="both"/>
        <w:ind w:firstLine="1304"/>
        <w:spacing w:after="0" w:line="244" w:lineRule="auto"/>
        <w:tabs>
          <w:tab w:leader="none" w:pos="193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51" w:lineRule="exact"/>
        <w:rPr>
          <w:rFonts w:ascii="Arial" w:cs="Arial" w:eastAsia="Arial" w:hAnsi="Arial"/>
          <w:sz w:val="18"/>
          <w:szCs w:val="18"/>
          <w:color w:val="auto"/>
        </w:rPr>
      </w:pPr>
    </w:p>
    <w:p>
      <w:pPr>
        <w:jc w:val="both"/>
        <w:ind w:firstLine="1304"/>
        <w:spacing w:after="0" w:line="218" w:lineRule="auto"/>
        <w:tabs>
          <w:tab w:leader="none" w:pos="1939"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If Administrative Agent shall elect to submit a Competitive Bid in its capacity as a Lender, it shall submit such Competitive Bid directly to Borrower at least one quarter of an hour earlier than the time by which the other Lenders are required to submit their Competitive Bids to Administrative Agent pursuant to paragraph (b) of this Section.</w:t>
      </w:r>
    </w:p>
    <w:p>
      <w:pPr>
        <w:spacing w:after="0" w:line="156" w:lineRule="exact"/>
        <w:rPr>
          <w:sz w:val="20"/>
          <w:szCs w:val="20"/>
          <w:color w:val="auto"/>
        </w:rPr>
      </w:pPr>
    </w:p>
    <w:p>
      <w:pPr>
        <w:ind w:right="20" w:firstLine="1296"/>
        <w:spacing w:after="0" w:line="205" w:lineRule="auto"/>
        <w:rPr>
          <w:sz w:val="20"/>
          <w:szCs w:val="20"/>
          <w:color w:val="auto"/>
        </w:rPr>
      </w:pPr>
      <w:r>
        <w:rPr>
          <w:rFonts w:ascii="Arial" w:cs="Arial" w:eastAsia="Arial" w:hAnsi="Arial"/>
          <w:sz w:val="20"/>
          <w:szCs w:val="20"/>
          <w:color w:val="auto"/>
        </w:rPr>
        <w:t xml:space="preserve">2.05 </w:t>
      </w:r>
      <w:r>
        <w:rPr>
          <w:rFonts w:ascii="Arial" w:cs="Arial" w:eastAsia="Arial" w:hAnsi="Arial"/>
          <w:sz w:val="20"/>
          <w:szCs w:val="20"/>
          <w:u w:val="single" w:color="auto"/>
          <w:color w:val="auto"/>
        </w:rPr>
        <w:t>Reduction or Termination of Revolving Commitments</w:t>
      </w:r>
      <w:r>
        <w:rPr>
          <w:rFonts w:ascii="Arial" w:cs="Arial" w:eastAsia="Arial" w:hAnsi="Arial"/>
          <w:sz w:val="20"/>
          <w:szCs w:val="20"/>
          <w:color w:val="auto"/>
        </w:rPr>
        <w:t xml:space="preserve">. Upon Requisite Notice to Administrative Agent not later than the Requisite Time therefor, Borrower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 Lenders of any such request for reduction or termination of the Revolving Commitments. Each Lender’s Revolving Commitment shall be reduced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by the amount of such reduction.</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Upon Requisite Notice to Administrative Agent not later than the Requisite Time therefor, Borrower may at any time and from time to time voluntarily prepay Loans made to it in part in the Minimum Amount therefor or in full without premium or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Borrower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05" w:right="339" w:bottom="1440" w:gutter="0" w:footer="0" w:header="0"/>
        </w:sectPr>
      </w:pPr>
    </w:p>
    <w:bookmarkStart w:id="213" w:name="page214"/>
    <w:bookmarkEnd w:id="213"/>
    <w:p>
      <w:pPr>
        <w:jc w:val="both"/>
        <w:spacing w:after="0" w:line="244" w:lineRule="auto"/>
        <w:rPr>
          <w:sz w:val="20"/>
          <w:szCs w:val="20"/>
          <w:color w:val="auto"/>
        </w:rPr>
      </w:pPr>
      <w:r>
        <w:rPr>
          <w:rFonts w:ascii="Arial" w:cs="Arial" w:eastAsia="Arial" w:hAnsi="Arial"/>
          <w:sz w:val="18"/>
          <w:szCs w:val="18"/>
          <w:color w:val="auto"/>
        </w:rPr>
        <w:t xml:space="preserve">prepay any Competitive Loan without the prior written consent of the Lender thereof. Administrative Agent will promptly notify each relevant Lender thereof and of such Lender’s percentage of such prepayment. Any prepayment of a Floating Rate Loan shall be accompanied by all accrued interest thereon, together with </w:t>
      </w:r>
      <w:r>
        <w:rPr>
          <w:rFonts w:ascii="Arial" w:cs="Arial" w:eastAsia="Arial" w:hAnsi="Arial"/>
          <w:sz w:val="18"/>
          <w:szCs w:val="18"/>
          <w:u w:val="single" w:color="auto"/>
          <w:color w:val="0000FF"/>
        </w:rPr>
        <w:t>(other than in the case of Floating SONIA Rate Loans)</w:t>
      </w:r>
      <w:r>
        <w:rPr>
          <w:rFonts w:ascii="Arial" w:cs="Arial" w:eastAsia="Arial" w:hAnsi="Arial"/>
          <w:sz w:val="18"/>
          <w:szCs w:val="18"/>
          <w:color w:val="auto"/>
        </w:rPr>
        <w:t xml:space="preserve"> the costs set forth in Section 3.05.</w:t>
      </w:r>
    </w:p>
    <w:p>
      <w:pPr>
        <w:spacing w:after="0" w:line="152" w:lineRule="exact"/>
        <w:rPr>
          <w:sz w:val="20"/>
          <w:szCs w:val="20"/>
          <w:color w:val="auto"/>
        </w:rPr>
      </w:pPr>
    </w:p>
    <w:p>
      <w:pPr>
        <w:jc w:val="both"/>
        <w:ind w:firstLine="1304"/>
        <w:spacing w:after="0" w:line="236" w:lineRule="auto"/>
        <w:tabs>
          <w:tab w:leader="none" w:pos="19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for any reason (other than as a result of currency fluctuation, which prepayment requirement shall be governed by Section 2.15) the Dollar Amount of the Outstanding Revolving Obligations of all Lenders plus the aggregate principal amount of outstanding Competitive Loans at any time exceeds the combined Revolving Commitments from time to time in effect, Borrower shall immediately prepay Revolving Loans and/or deposit cash in a Letter of Credit Cash Collateral Account in an aggregate amount equal to such excess.</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8"/>
          <w:szCs w:val="18"/>
          <w:u w:val="single" w:color="auto"/>
          <w:color w:val="auto"/>
        </w:rPr>
        <w:t>Documentation of Loans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36" w:lineRule="auto"/>
        <w:tabs>
          <w:tab w:leader="none" w:pos="193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Borrower to pay any amount owing with respect to the Obligations.</w:t>
      </w:r>
    </w:p>
    <w:p>
      <w:pPr>
        <w:spacing w:after="0" w:line="157" w:lineRule="exact"/>
        <w:rPr>
          <w:rFonts w:ascii="Arial" w:cs="Arial" w:eastAsia="Arial" w:hAnsi="Arial"/>
          <w:sz w:val="18"/>
          <w:szCs w:val="18"/>
          <w:color w:val="auto"/>
        </w:rPr>
      </w:pPr>
    </w:p>
    <w:p>
      <w:pPr>
        <w:jc w:val="both"/>
        <w:ind w:firstLine="1304"/>
        <w:spacing w:after="0" w:line="207" w:lineRule="auto"/>
        <w:tabs>
          <w:tab w:leader="none" w:pos="193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 non-fiduciary agent for Borrower (it being acknowledged and agreed that Administrative Agent and each Administrative Agent-Related Person, in such capacity, shall constitute Indemnitees under Section 10.13).</w:t>
      </w:r>
    </w:p>
    <w:p>
      <w:pPr>
        <w:spacing w:after="0" w:line="159" w:lineRule="exact"/>
        <w:rPr>
          <w:rFonts w:ascii="Arial" w:cs="Arial" w:eastAsia="Arial" w:hAnsi="Arial"/>
          <w:sz w:val="20"/>
          <w:szCs w:val="20"/>
          <w:color w:val="auto"/>
        </w:rPr>
      </w:pPr>
    </w:p>
    <w:p>
      <w:pPr>
        <w:jc w:val="both"/>
        <w:ind w:firstLine="1304"/>
        <w:spacing w:after="0" w:line="236" w:lineRule="auto"/>
        <w:tabs>
          <w:tab w:leader="none" w:pos="193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Administrative Agent shall record in the Register the Revolving Commitment and Extensions of Credit from time to time of each Lender, and each repayment or prepayment in respect thereof. Any recordation shall be conclusive and binding on Borrower and each Lender,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make any such recordation, or any error in such recordation, shall not affect any Lender’s Revolving Commitment or Outstanding Revolving Obligations or outstanding Competitive Loans.</w:t>
      </w:r>
    </w:p>
    <w:p>
      <w:pPr>
        <w:spacing w:after="0" w:line="157" w:lineRule="exact"/>
        <w:rPr>
          <w:rFonts w:ascii="Arial" w:cs="Arial" w:eastAsia="Arial" w:hAnsi="Arial"/>
          <w:sz w:val="18"/>
          <w:szCs w:val="18"/>
          <w:color w:val="auto"/>
        </w:rPr>
      </w:pPr>
    </w:p>
    <w:p>
      <w:pPr>
        <w:jc w:val="both"/>
        <w:ind w:firstLine="1304"/>
        <w:spacing w:after="0" w:line="221" w:lineRule="auto"/>
        <w:tabs>
          <w:tab w:leader="none" w:pos="193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Each Lender shall record on its internal loan accounts or records (and may record on the Note(s) held by such Lender) the amount of each Extension of Credit made by it and each payment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make any such recordation, or any error in such recordation, shall not affect any Lender’s Revolving Commitment or Outstanding Revolving Obligations or outstanding Competitive Loans;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 of any inconsistency between the Register and any Lender’s records, the recordations in the Register shall govern, absent manifest error.</w:t>
      </w:r>
    </w:p>
    <w:p>
      <w:pPr>
        <w:spacing w:after="0" w:line="155" w:lineRule="exact"/>
        <w:rPr>
          <w:rFonts w:ascii="Arial" w:cs="Arial" w:eastAsia="Arial" w:hAnsi="Arial"/>
          <w:sz w:val="19"/>
          <w:szCs w:val="19"/>
          <w:color w:val="auto"/>
        </w:rPr>
      </w:pPr>
    </w:p>
    <w:p>
      <w:pPr>
        <w:jc w:val="both"/>
        <w:ind w:firstLine="1304"/>
        <w:spacing w:after="0" w:line="215" w:lineRule="auto"/>
        <w:tabs>
          <w:tab w:leader="none" w:pos="193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Borrower, Administrative Agent and Lenders shall deem and treat the Persons listed as Lenders in the Register as the holders of the corresponding Revolving Commitments and Extensions of Credit listed therein for all purposes hereof, and no assignment or transfer of any such Revolving Commitment or Extensions of Credit shall be effective, in each case, unless and until an Assignment and Assumption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Revolving Commitments or Outstanding Revolving Obligations or outstanding Competitive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05" w:right="339" w:bottom="1440" w:gutter="0" w:footer="0" w:header="0"/>
        </w:sectPr>
      </w:pPr>
    </w:p>
    <w:bookmarkStart w:id="214" w:name="page215"/>
    <w:bookmarkEnd w:id="214"/>
    <w:p>
      <w:pPr>
        <w:ind w:left="1300"/>
        <w:spacing w:after="0"/>
        <w:tabs>
          <w:tab w:leader="none" w:pos="192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8"/>
          <w:szCs w:val="18"/>
          <w:u w:val="single" w:color="auto"/>
          <w:color w:val="auto"/>
        </w:rPr>
        <w:t>Continuation and Conversion Option</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3" w:lineRule="auto"/>
        <w:tabs>
          <w:tab w:leader="none" w:pos="1934" w:val="left"/>
        </w:tabs>
        <w:numPr>
          <w:ilvl w:val="0"/>
          <w:numId w:val="157"/>
        </w:numPr>
        <w:rPr>
          <w:rFonts w:ascii="Arial" w:cs="Arial" w:eastAsia="Arial" w:hAnsi="Arial"/>
          <w:sz w:val="20"/>
          <w:szCs w:val="20"/>
          <w:color w:val="auto"/>
        </w:rPr>
      </w:pPr>
      <w:r>
        <w:rPr>
          <w:rFonts w:ascii="Arial" w:cs="Arial" w:eastAsia="Arial" w:hAnsi="Arial"/>
          <w:sz w:val="20"/>
          <w:szCs w:val="20"/>
          <w:color w:val="auto"/>
        </w:rPr>
        <w:t>Subject to Section 2.08(d), 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of Loans denominated in Dollars shall constitute Base Rate Loans unless properly and timely otherwise designated as set forth in the prior sentence.</w:t>
      </w:r>
    </w:p>
    <w:p>
      <w:pPr>
        <w:spacing w:after="0" w:line="155" w:lineRule="exact"/>
        <w:rPr>
          <w:rFonts w:ascii="Arial" w:cs="Arial" w:eastAsia="Arial" w:hAnsi="Arial"/>
          <w:sz w:val="20"/>
          <w:szCs w:val="20"/>
          <w:color w:val="auto"/>
        </w:rPr>
      </w:pPr>
    </w:p>
    <w:p>
      <w:pPr>
        <w:jc w:val="both"/>
        <w:ind w:firstLine="1304"/>
        <w:spacing w:after="0" w:line="207" w:lineRule="auto"/>
        <w:tabs>
          <w:tab w:leader="none" w:pos="193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Unless Borrower pays all amounts due under Section 3.05, if any, a Floating Rate Loan </w:t>
      </w:r>
      <w:r>
        <w:rPr>
          <w:rFonts w:ascii="Arial" w:cs="Arial" w:eastAsia="Arial" w:hAnsi="Arial"/>
          <w:sz w:val="20"/>
          <w:szCs w:val="20"/>
          <w:u w:val="single" w:color="auto"/>
          <w:color w:val="0000FF"/>
        </w:rPr>
        <w:t>(other than a Floating</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SONIA Rate Loan)</w:t>
      </w:r>
      <w:r>
        <w:rPr>
          <w:rFonts w:ascii="Arial" w:cs="Arial" w:eastAsia="Arial" w:hAnsi="Arial"/>
          <w:sz w:val="20"/>
          <w:szCs w:val="20"/>
          <w:color w:val="0000FF"/>
        </w:rPr>
        <w:t xml:space="preserve"> </w:t>
      </w:r>
      <w:r>
        <w:rPr>
          <w:rFonts w:ascii="Arial" w:cs="Arial" w:eastAsia="Arial" w:hAnsi="Arial"/>
          <w:sz w:val="20"/>
          <w:szCs w:val="20"/>
          <w:color w:val="000000"/>
        </w:rPr>
        <w:t>may be Continued or Converted only on the last day of the Interest Period for such Floating Rate Loan. During the</w:t>
      </w:r>
      <w:r>
        <w:rPr>
          <w:rFonts w:ascii="Arial" w:cs="Arial" w:eastAsia="Arial" w:hAnsi="Arial"/>
          <w:sz w:val="20"/>
          <w:szCs w:val="20"/>
          <w:color w:val="0000FF"/>
        </w:rPr>
        <w:t xml:space="preserve"> </w:t>
      </w:r>
      <w:r>
        <w:rPr>
          <w:rFonts w:ascii="Arial" w:cs="Arial" w:eastAsia="Arial" w:hAnsi="Arial"/>
          <w:sz w:val="20"/>
          <w:szCs w:val="20"/>
          <w:color w:val="000000"/>
        </w:rPr>
        <w:t xml:space="preserve">existence of an Event of Default, Administrative Agent may (and upon the request of the Required Lenders shall) prohibit Loans </w:t>
      </w:r>
      <w:r>
        <w:rPr>
          <w:rFonts w:ascii="Arial" w:cs="Arial" w:eastAsia="Arial" w:hAnsi="Arial"/>
          <w:sz w:val="20"/>
          <w:szCs w:val="20"/>
          <w:u w:val="single" w:color="auto"/>
          <w:color w:val="0000FF"/>
        </w:rPr>
        <w:t>(other than</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Floating SONIA Rate Loans)</w:t>
      </w:r>
      <w:r>
        <w:rPr>
          <w:rFonts w:ascii="Arial" w:cs="Arial" w:eastAsia="Arial" w:hAnsi="Arial"/>
          <w:sz w:val="20"/>
          <w:szCs w:val="20"/>
          <w:color w:val="0000FF"/>
        </w:rPr>
        <w:t xml:space="preserve"> </w:t>
      </w:r>
      <w:r>
        <w:rPr>
          <w:rFonts w:ascii="Arial" w:cs="Arial" w:eastAsia="Arial" w:hAnsi="Arial"/>
          <w:sz w:val="20"/>
          <w:szCs w:val="20"/>
          <w:color w:val="000000"/>
        </w:rPr>
        <w:t>from being requested as, Converted into, or Continued as Floating Rate Loans, and Required Lenders may</w:t>
      </w:r>
      <w:r>
        <w:rPr>
          <w:rFonts w:ascii="Arial" w:cs="Arial" w:eastAsia="Arial" w:hAnsi="Arial"/>
          <w:sz w:val="20"/>
          <w:szCs w:val="20"/>
          <w:color w:val="0000FF"/>
        </w:rPr>
        <w:t xml:space="preserve"> </w:t>
      </w:r>
      <w:r>
        <w:rPr>
          <w:rFonts w:ascii="Arial" w:cs="Arial" w:eastAsia="Arial" w:hAnsi="Arial"/>
          <w:sz w:val="20"/>
          <w:szCs w:val="20"/>
          <w:color w:val="000000"/>
        </w:rPr>
        <w:t xml:space="preserve">demand that any or all of the then outstanding Floating Rate Loans </w:t>
      </w:r>
      <w:r>
        <w:rPr>
          <w:rFonts w:ascii="Arial" w:cs="Arial" w:eastAsia="Arial" w:hAnsi="Arial"/>
          <w:sz w:val="20"/>
          <w:szCs w:val="20"/>
          <w:u w:val="single" w:color="auto"/>
          <w:color w:val="0000FF"/>
        </w:rPr>
        <w:t>(other than Floating SONIA Rate Loans)</w:t>
      </w:r>
      <w:r>
        <w:rPr>
          <w:rFonts w:ascii="Arial" w:cs="Arial" w:eastAsia="Arial" w:hAnsi="Arial"/>
          <w:sz w:val="20"/>
          <w:szCs w:val="20"/>
          <w:color w:val="000000"/>
        </w:rPr>
        <w:t xml:space="preserve"> be Converted immediately into Base Rate Loans.</w:t>
      </w:r>
    </w:p>
    <w:p>
      <w:pPr>
        <w:spacing w:after="0" w:line="159" w:lineRule="exact"/>
        <w:rPr>
          <w:rFonts w:ascii="Arial" w:cs="Arial" w:eastAsia="Arial" w:hAnsi="Arial"/>
          <w:sz w:val="20"/>
          <w:szCs w:val="20"/>
          <w:color w:val="auto"/>
        </w:rPr>
      </w:pPr>
    </w:p>
    <w:p>
      <w:pPr>
        <w:jc w:val="both"/>
        <w:ind w:firstLine="1304"/>
        <w:spacing w:after="0" w:line="230" w:lineRule="auto"/>
        <w:tabs>
          <w:tab w:leader="none" w:pos="193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Administrative Agent shall promptly notify Borrower and Lenders of the interest rate applicable to any Floating Rate Loan upon determination of the same. Administrative Agent shall from time to time notify Borrower and Lenders of any change in JPMorgan Chase’s prime rate used in determining the Base Rate promptly following the public announcement of such change.</w:t>
      </w:r>
    </w:p>
    <w:p>
      <w:pPr>
        <w:spacing w:after="0" w:line="154" w:lineRule="exact"/>
        <w:rPr>
          <w:rFonts w:ascii="Arial" w:cs="Arial" w:eastAsia="Arial" w:hAnsi="Arial"/>
          <w:sz w:val="19"/>
          <w:szCs w:val="19"/>
          <w:color w:val="auto"/>
        </w:rPr>
      </w:pPr>
    </w:p>
    <w:p>
      <w:pPr>
        <w:ind w:left="1300" w:right="120" w:firstLine="4"/>
        <w:spacing w:after="0" w:line="422" w:lineRule="auto"/>
        <w:tabs>
          <w:tab w:leader="none" w:pos="193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Competitive Loans may not be Converted or Continued. 2.09 </w:t>
      </w: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1" w:lineRule="exact"/>
        <w:rPr>
          <w:sz w:val="20"/>
          <w:szCs w:val="20"/>
          <w:color w:val="auto"/>
        </w:rPr>
      </w:pPr>
    </w:p>
    <w:p>
      <w:pPr>
        <w:jc w:val="both"/>
        <w:ind w:firstLine="1304"/>
        <w:spacing w:after="0" w:line="224" w:lineRule="auto"/>
        <w:tabs>
          <w:tab w:leader="none" w:pos="1934" w:val="left"/>
        </w:tabs>
        <w:numPr>
          <w:ilvl w:val="0"/>
          <w:numId w:val="158"/>
        </w:numPr>
        <w:rPr>
          <w:rFonts w:ascii="Arial" w:cs="Arial" w:eastAsia="Arial" w:hAnsi="Arial"/>
          <w:sz w:val="19"/>
          <w:szCs w:val="19"/>
          <w:color w:val="auto"/>
        </w:rPr>
      </w:pPr>
      <w:r>
        <w:rPr>
          <w:rFonts w:ascii="Arial" w:cs="Arial" w:eastAsia="Arial" w:hAnsi="Arial"/>
          <w:sz w:val="19"/>
          <w:szCs w:val="19"/>
          <w:color w:val="auto"/>
        </w:rPr>
        <w:t>Subject to subsection (b) below, and unless otherwise specified herein, 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156" w:lineRule="exact"/>
        <w:rPr>
          <w:sz w:val="20"/>
          <w:szCs w:val="20"/>
          <w:color w:val="auto"/>
        </w:rPr>
      </w:pPr>
    </w:p>
    <w:p>
      <w:pPr>
        <w:ind w:left="1680" w:hanging="376"/>
        <w:spacing w:after="0"/>
        <w:tabs>
          <w:tab w:leader="none" w:pos="168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in the case of Base Rate Loans, the Base Rate plus the Applicable Amount for such Type of Loan;</w:t>
      </w:r>
    </w:p>
    <w:p>
      <w:pPr>
        <w:spacing w:after="0" w:line="175" w:lineRule="exact"/>
        <w:rPr>
          <w:rFonts w:ascii="Arial" w:cs="Arial" w:eastAsia="Arial" w:hAnsi="Arial"/>
          <w:sz w:val="20"/>
          <w:szCs w:val="20"/>
          <w:color w:val="auto"/>
        </w:rPr>
      </w:pPr>
    </w:p>
    <w:p>
      <w:pPr>
        <w:jc w:val="both"/>
        <w:ind w:firstLine="1304"/>
        <w:spacing w:after="0" w:line="218" w:lineRule="auto"/>
        <w:tabs>
          <w:tab w:leader="none" w:pos="1853"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in the case of Floating Rate Loans (other than </w:t>
      </w:r>
      <w:r>
        <w:rPr>
          <w:rFonts w:ascii="Arial" w:cs="Arial" w:eastAsia="Arial" w:hAnsi="Arial"/>
          <w:sz w:val="20"/>
          <w:szCs w:val="20"/>
          <w:u w:val="single" w:color="auto"/>
          <w:color w:val="0000FF"/>
        </w:rPr>
        <w:t>Floating SONIA Rate Loans and</w:t>
      </w:r>
      <w:r>
        <w:rPr>
          <w:rFonts w:ascii="Arial" w:cs="Arial" w:eastAsia="Arial" w:hAnsi="Arial"/>
          <w:sz w:val="20"/>
          <w:szCs w:val="20"/>
          <w:color w:val="auto"/>
        </w:rPr>
        <w:t xml:space="preserve"> Competitive Loans) at the Adjusted LIBO Rate, the Adjusted EURIBOR Rate, the Adjusted TIBOR Rate or the CDOR Screen Rate, as applicable, for the Interest Period in effect for such Borrowing plus the Applicable Amount for such Type of Loan;</w:t>
      </w:r>
    </w:p>
    <w:p>
      <w:pPr>
        <w:spacing w:after="0" w:line="154" w:lineRule="exact"/>
        <w:rPr>
          <w:rFonts w:ascii="Arial" w:cs="Arial" w:eastAsia="Arial" w:hAnsi="Arial"/>
          <w:sz w:val="20"/>
          <w:szCs w:val="20"/>
          <w:color w:val="auto"/>
        </w:rPr>
      </w:pPr>
    </w:p>
    <w:p>
      <w:pPr>
        <w:ind w:left="1880" w:hanging="576"/>
        <w:spacing w:after="0"/>
        <w:tabs>
          <w:tab w:leader="none" w:pos="1880" w:val="left"/>
        </w:tabs>
        <w:numPr>
          <w:ilvl w:val="0"/>
          <w:numId w:val="15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case of Floating SONIA Rate Loans, the Adjusted Daily Simple SONIA Rate plus the Applicable Amount for</w:t>
      </w:r>
    </w:p>
    <w:p>
      <w:pPr>
        <w:spacing w:after="0"/>
        <w:rPr>
          <w:rFonts w:ascii="Arial" w:cs="Arial" w:eastAsia="Arial" w:hAnsi="Arial"/>
          <w:sz w:val="18"/>
          <w:szCs w:val="18"/>
          <w:u w:val="single" w:color="auto"/>
          <w:color w:val="0000FF"/>
        </w:rPr>
      </w:pPr>
      <w:r>
        <w:rPr>
          <w:rFonts w:ascii="Arial" w:cs="Arial" w:eastAsia="Arial" w:hAnsi="Arial"/>
          <w:sz w:val="20"/>
          <w:szCs w:val="20"/>
          <w:u w:val="single" w:color="auto"/>
          <w:color w:val="0000FF"/>
        </w:rPr>
        <w:t>such Type of Loan;</w:t>
      </w:r>
    </w:p>
    <w:p>
      <w:pPr>
        <w:spacing w:after="0" w:line="159" w:lineRule="exact"/>
        <w:rPr>
          <w:sz w:val="20"/>
          <w:szCs w:val="20"/>
          <w:color w:val="auto"/>
        </w:rPr>
      </w:pPr>
    </w:p>
    <w:p>
      <w:pPr>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iv</w:t>
      </w:r>
      <w:r>
        <w:rPr>
          <w:rFonts w:ascii="Arial" w:cs="Arial" w:eastAsia="Arial" w:hAnsi="Arial"/>
          <w:sz w:val="18"/>
          <w:szCs w:val="18"/>
          <w:color w:val="auto"/>
        </w:rPr>
        <w:t xml:space="preserve">) in the case of Competitive Loans that are Floating Rate </w:t>
      </w:r>
      <w:r>
        <w:rPr>
          <w:rFonts w:ascii="Arial" w:cs="Arial" w:eastAsia="Arial" w:hAnsi="Arial"/>
          <w:sz w:val="18"/>
          <w:szCs w:val="18"/>
          <w:u w:val="single" w:color="auto"/>
          <w:color w:val="0000FF"/>
        </w:rPr>
        <w:t>Loans (other than Floating SONIA Rate Loans)</w:t>
      </w:r>
      <w:r>
        <w:rPr>
          <w:rFonts w:ascii="Arial" w:cs="Arial" w:eastAsia="Arial" w:hAnsi="Arial"/>
          <w:sz w:val="18"/>
          <w:szCs w:val="18"/>
          <w:color w:val="auto"/>
        </w:rPr>
        <w:t>, the Floating Rate for the Interest Period in effect for such Borrowing plus (or minus, as the case may be) Margin applicable to such Loan; and</w:t>
      </w:r>
    </w:p>
    <w:p>
      <w:pPr>
        <w:spacing w:after="0" w:line="13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iv</w:t>
      </w:r>
      <w:r>
        <w:rPr>
          <w:rFonts w:ascii="Arial" w:cs="Arial" w:eastAsia="Arial" w:hAnsi="Arial"/>
          <w:sz w:val="20"/>
          <w:szCs w:val="20"/>
          <w:u w:val="single" w:color="auto"/>
          <w:color w:val="0000FF"/>
        </w:rPr>
        <w:t>v</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in the case of Fixed Rate Loans, at the Fixed Rate applicable to such Loan.</w:t>
      </w:r>
    </w:p>
    <w:p>
      <w:pPr>
        <w:spacing w:after="0" w:line="175" w:lineRule="exact"/>
        <w:rPr>
          <w:sz w:val="20"/>
          <w:szCs w:val="20"/>
          <w:color w:val="auto"/>
        </w:rPr>
      </w:pPr>
    </w:p>
    <w:p>
      <w:pPr>
        <w:jc w:val="both"/>
        <w:ind w:firstLine="1304"/>
        <w:spacing w:after="0" w:line="236" w:lineRule="auto"/>
        <w:tabs>
          <w:tab w:leader="none" w:pos="193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any amount payable by Borrower under any Loan Document is not paid when due (without regard to any applicable grace periods), 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05" w:right="339" w:bottom="1440" w:gutter="0" w:footer="0" w:header="0"/>
        </w:sectPr>
      </w:pPr>
    </w:p>
    <w:bookmarkStart w:id="215" w:name="page216"/>
    <w:bookmarkEnd w:id="215"/>
    <w:p>
      <w:pPr>
        <w:jc w:val="both"/>
        <w:ind w:firstLine="1304"/>
        <w:spacing w:after="0" w:line="218" w:lineRule="auto"/>
        <w:tabs>
          <w:tab w:leader="none" w:pos="193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On any Business Day, Borrower may call Administrative Agent and request information as to the then current Adjusted LIBO Rate, </w:t>
      </w:r>
      <w:r>
        <w:rPr>
          <w:rFonts w:ascii="Arial" w:cs="Arial" w:eastAsia="Arial" w:hAnsi="Arial"/>
          <w:sz w:val="20"/>
          <w:szCs w:val="20"/>
          <w:u w:val="single" w:color="auto"/>
          <w:color w:val="0000FF"/>
        </w:rPr>
        <w:t>the</w:t>
      </w:r>
      <w:r>
        <w:rPr>
          <w:rFonts w:ascii="Arial" w:cs="Arial" w:eastAsia="Arial" w:hAnsi="Arial"/>
          <w:sz w:val="20"/>
          <w:szCs w:val="20"/>
          <w:color w:val="auto"/>
        </w:rPr>
        <w:t xml:space="preserve"> Adjusted </w:t>
      </w:r>
      <w:r>
        <w:rPr>
          <w:rFonts w:ascii="Arial" w:cs="Arial" w:eastAsia="Arial" w:hAnsi="Arial"/>
          <w:sz w:val="20"/>
          <w:szCs w:val="20"/>
          <w:u w:val="single" w:color="auto"/>
          <w:color w:val="0000FF"/>
        </w:rPr>
        <w:t>Daily Simple SONIA Rate, Adjusted</w:t>
      </w:r>
      <w:r>
        <w:rPr>
          <w:rFonts w:ascii="Arial" w:cs="Arial" w:eastAsia="Arial" w:hAnsi="Arial"/>
          <w:sz w:val="20"/>
          <w:szCs w:val="20"/>
          <w:color w:val="auto"/>
        </w:rPr>
        <w:t xml:space="preserve"> EURIBOR Rate, Adjusted TIBOR Rate, CDOR Screen Rate or Base Rate, and Administrative Agent shall provide such information.</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04" w:lineRule="auto"/>
        <w:tabs>
          <w:tab w:leader="none" w:pos="1934"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Commitment Fee</w:t>
      </w:r>
      <w:r>
        <w:rPr>
          <w:rFonts w:ascii="Arial" w:cs="Arial" w:eastAsia="Arial" w:hAnsi="Arial"/>
          <w:sz w:val="20"/>
          <w:szCs w:val="20"/>
          <w:color w:val="auto"/>
        </w:rPr>
        <w:t>. Borrower shall pay to Administrative Agent,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(as it may be extended)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157" w:lineRule="exact"/>
        <w:rPr>
          <w:rFonts w:ascii="Arial" w:cs="Arial" w:eastAsia="Arial" w:hAnsi="Arial"/>
          <w:sz w:val="20"/>
          <w:szCs w:val="20"/>
          <w:color w:val="auto"/>
        </w:rPr>
      </w:pPr>
    </w:p>
    <w:p>
      <w:pPr>
        <w:jc w:val="both"/>
        <w:ind w:right="20" w:firstLine="1304"/>
        <w:spacing w:after="0" w:line="218" w:lineRule="auto"/>
        <w:tabs>
          <w:tab w:leader="none" w:pos="1932"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56"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xml:space="preserve">. All interest hereunder shall be computed on the basis of a year of 360 days, except that interest computed by reference to the </w:t>
      </w:r>
      <w:r>
        <w:rPr>
          <w:rFonts w:ascii="Arial" w:cs="Arial" w:eastAsia="Arial" w:hAnsi="Arial"/>
          <w:sz w:val="18"/>
          <w:szCs w:val="18"/>
          <w:color w:val="FF0000"/>
          <w:strike w:val="1"/>
        </w:rPr>
        <w:t>LIBO</w:t>
      </w:r>
      <w:r>
        <w:rPr>
          <w:rFonts w:ascii="Arial" w:cs="Arial" w:eastAsia="Arial" w:hAnsi="Arial"/>
          <w:sz w:val="18"/>
          <w:szCs w:val="18"/>
          <w:u w:val="single" w:color="auto"/>
          <w:color w:val="0000FF"/>
        </w:rPr>
        <w:t>SONIA</w:t>
      </w:r>
      <w:r>
        <w:rPr>
          <w:rFonts w:ascii="Arial" w:cs="Arial" w:eastAsia="Arial" w:hAnsi="Arial"/>
          <w:sz w:val="18"/>
          <w:szCs w:val="18"/>
          <w:color w:val="auto"/>
        </w:rPr>
        <w:t xml:space="preserve"> Rate </w:t>
      </w:r>
      <w:r>
        <w:rPr>
          <w:rFonts w:ascii="Arial" w:cs="Arial" w:eastAsia="Arial" w:hAnsi="Arial"/>
          <w:sz w:val="18"/>
          <w:szCs w:val="18"/>
          <w:color w:val="FF0000"/>
          <w:strike w:val="1"/>
        </w:rPr>
        <w:t>(with respect to Sterling Loans only)</w:t>
      </w:r>
      <w:r>
        <w:rPr>
          <w:rFonts w:ascii="Arial" w:cs="Arial" w:eastAsia="Arial" w:hAnsi="Arial"/>
          <w:sz w:val="18"/>
          <w:szCs w:val="18"/>
          <w:color w:val="auto"/>
        </w:rPr>
        <w:t xml:space="preserve">, the TIBOR Rate or the Base Rate at times when the Base Rate is based on the Prime Rate shall be computed on the basis of a year of 365 days (or 366 days in a leap year), and in each case shall be payable for the actual number of days elapsed (including the first day but excluding the last day). Computation of all other types of interest and all fees shall be calculated on the basis of a year of 360 days or, in the case of any amount denominated in Sterling or Canadian Dollars, 365 days and the actual number of days elapsed.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bear interest for one day.</w:t>
      </w:r>
    </w:p>
    <w:p>
      <w:pPr>
        <w:spacing w:after="0" w:line="15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Making Payments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07" w:lineRule="auto"/>
        <w:tabs>
          <w:tab w:leader="none" w:pos="193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Borrower shall be made without condition or deduction for any counterclaim, defense, recoupment or setoff.</w:t>
      </w:r>
    </w:p>
    <w:p>
      <w:pPr>
        <w:spacing w:after="0" w:line="159" w:lineRule="exact"/>
        <w:rPr>
          <w:rFonts w:ascii="Arial" w:cs="Arial" w:eastAsia="Arial" w:hAnsi="Arial"/>
          <w:sz w:val="20"/>
          <w:szCs w:val="20"/>
          <w:color w:val="auto"/>
        </w:rPr>
      </w:pPr>
    </w:p>
    <w:p>
      <w:pPr>
        <w:jc w:val="both"/>
        <w:ind w:firstLine="1304"/>
        <w:spacing w:after="0" w:line="221" w:lineRule="auto"/>
        <w:tabs>
          <w:tab w:leader="none" w:pos="193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Upon satisfaction of any applicable terms and conditions set forth herein, Administrative Agent shall promptly make any amounts received in accordance with Section 2.12(a) available in like funds received as follows: (i) if payable to Borrower, by crediting a deposit account designated from time to time by 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55" w:lineRule="exact"/>
        <w:rPr>
          <w:rFonts w:ascii="Arial" w:cs="Arial" w:eastAsia="Arial" w:hAnsi="Arial"/>
          <w:sz w:val="19"/>
          <w:szCs w:val="19"/>
          <w:color w:val="auto"/>
        </w:rPr>
      </w:pPr>
    </w:p>
    <w:p>
      <w:pPr>
        <w:jc w:val="both"/>
        <w:ind w:firstLine="1304"/>
        <w:spacing w:after="0" w:line="218" w:lineRule="auto"/>
        <w:tabs>
          <w:tab w:leader="none" w:pos="193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05" w:right="339" w:bottom="1440" w:gutter="0" w:footer="0" w:header="0"/>
        </w:sectPr>
      </w:pPr>
    </w:p>
    <w:bookmarkStart w:id="216" w:name="page217"/>
    <w:bookmarkEnd w:id="216"/>
    <w:p>
      <w:pPr>
        <w:jc w:val="both"/>
        <w:ind w:firstLine="1304"/>
        <w:spacing w:after="0" w:line="210" w:lineRule="auto"/>
        <w:tabs>
          <w:tab w:leader="none" w:pos="1932" w:val="left"/>
        </w:tabs>
        <w:numPr>
          <w:ilvl w:val="0"/>
          <w:numId w:val="164"/>
        </w:numPr>
        <w:rPr>
          <w:rFonts w:ascii="Arial" w:cs="Arial" w:eastAsia="Arial" w:hAnsi="Arial"/>
          <w:sz w:val="20"/>
          <w:szCs w:val="20"/>
          <w:color w:val="auto"/>
        </w:rPr>
      </w:pPr>
      <w:r>
        <w:rPr>
          <w:rFonts w:ascii="Arial" w:cs="Arial" w:eastAsia="Arial" w:hAnsi="Arial"/>
          <w:sz w:val="20"/>
          <w:szCs w:val="20"/>
          <w:color w:val="auto"/>
        </w:rPr>
        <w:t>Unless Borrower or any Lender has notified Administrative Agent, prior to the Requisite Time any payment 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54" w:lineRule="exact"/>
        <w:rPr>
          <w:rFonts w:ascii="Arial" w:cs="Arial" w:eastAsia="Arial" w:hAnsi="Arial"/>
          <w:sz w:val="20"/>
          <w:szCs w:val="20"/>
          <w:color w:val="auto"/>
        </w:rPr>
      </w:pPr>
    </w:p>
    <w:p>
      <w:pPr>
        <w:jc w:val="both"/>
        <w:ind w:left="1300" w:firstLine="652"/>
        <w:spacing w:after="0" w:line="224" w:lineRule="auto"/>
        <w:tabs>
          <w:tab w:leader="none" w:pos="2549" w:val="left"/>
        </w:tabs>
        <w:numPr>
          <w:ilvl w:val="1"/>
          <w:numId w:val="164"/>
        </w:numPr>
        <w:rPr>
          <w:rFonts w:ascii="Arial" w:cs="Arial" w:eastAsia="Arial" w:hAnsi="Arial"/>
          <w:sz w:val="19"/>
          <w:szCs w:val="19"/>
          <w:color w:val="auto"/>
        </w:rPr>
      </w:pPr>
      <w:r>
        <w:rPr>
          <w:rFonts w:ascii="Arial" w:cs="Arial" w:eastAsia="Arial" w:hAnsi="Arial"/>
          <w:sz w:val="19"/>
          <w:szCs w:val="19"/>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56" w:lineRule="exact"/>
        <w:rPr>
          <w:rFonts w:ascii="Arial" w:cs="Arial" w:eastAsia="Arial" w:hAnsi="Arial"/>
          <w:sz w:val="19"/>
          <w:szCs w:val="19"/>
          <w:color w:val="auto"/>
        </w:rPr>
      </w:pPr>
    </w:p>
    <w:p>
      <w:pPr>
        <w:jc w:val="both"/>
        <w:ind w:left="1300" w:firstLine="652"/>
        <w:spacing w:after="0" w:line="214" w:lineRule="auto"/>
        <w:tabs>
          <w:tab w:leader="none" w:pos="259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Revolving Commitment or to prejudice any rights which Administrative Agent or Borrower may have against any Lender as a result of any default by such Lender hereunder.</w:t>
      </w:r>
    </w:p>
    <w:p>
      <w:pPr>
        <w:spacing w:after="0" w:line="157" w:lineRule="exact"/>
        <w:rPr>
          <w:rFonts w:ascii="Arial" w:cs="Arial" w:eastAsia="Arial" w:hAnsi="Arial"/>
          <w:sz w:val="19"/>
          <w:szCs w:val="19"/>
          <w:color w:val="auto"/>
        </w:rPr>
      </w:pPr>
    </w:p>
    <w:p>
      <w:pPr>
        <w:jc w:val="both"/>
        <w:ind w:firstLine="1304"/>
        <w:spacing w:after="0" w:line="213" w:lineRule="auto"/>
        <w:tabs>
          <w:tab w:leader="none" w:pos="193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Funding Sources</w:t>
      </w:r>
      <w:r>
        <w:rPr>
          <w:rFonts w:ascii="Arial" w:cs="Arial" w:eastAsia="Arial" w:hAnsi="Arial"/>
          <w:sz w:val="20"/>
          <w:szCs w:val="20"/>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3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w:t>
      </w:r>
    </w:p>
    <w:p>
      <w:pPr>
        <w:spacing w:after="0"/>
        <w:rPr>
          <w:sz w:val="20"/>
          <w:szCs w:val="20"/>
          <w:color w:val="auto"/>
        </w:rPr>
      </w:pPr>
      <w:r>
        <w:rPr>
          <w:rFonts w:ascii="Arial" w:cs="Arial" w:eastAsia="Arial" w:hAnsi="Arial"/>
          <w:sz w:val="20"/>
          <w:szCs w:val="20"/>
          <w:color w:val="auto"/>
        </w:rPr>
        <w:t>Defaulting Lender, then the following provisions shall apply for so long as such Lender is a Defaulting Lender:</w:t>
      </w:r>
    </w:p>
    <w:p>
      <w:pPr>
        <w:spacing w:after="0" w:line="146" w:lineRule="exact"/>
        <w:rPr>
          <w:sz w:val="20"/>
          <w:szCs w:val="20"/>
          <w:color w:val="auto"/>
        </w:rPr>
      </w:pPr>
    </w:p>
    <w:p>
      <w:pPr>
        <w:ind w:left="1940" w:hanging="636"/>
        <w:spacing w:after="0"/>
        <w:tabs>
          <w:tab w:leader="none" w:pos="194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Fees set forth in Section 2.10(a) shall cease to accrue on the unfunded portion of the Commitments of such</w:t>
      </w:r>
    </w:p>
    <w:p>
      <w:pPr>
        <w:spacing w:after="0"/>
        <w:rPr>
          <w:rFonts w:ascii="Arial" w:cs="Arial" w:eastAsia="Arial" w:hAnsi="Arial"/>
          <w:sz w:val="19"/>
          <w:szCs w:val="19"/>
          <w:color w:val="auto"/>
        </w:rPr>
      </w:pPr>
      <w:r>
        <w:rPr>
          <w:rFonts w:ascii="Arial" w:cs="Arial" w:eastAsia="Arial" w:hAnsi="Arial"/>
          <w:sz w:val="20"/>
          <w:szCs w:val="20"/>
          <w:color w:val="auto"/>
        </w:rPr>
        <w:t>Defaulting Lender;</w:t>
      </w:r>
    </w:p>
    <w:p>
      <w:pPr>
        <w:spacing w:after="0" w:line="159" w:lineRule="exact"/>
        <w:rPr>
          <w:rFonts w:ascii="Arial" w:cs="Arial" w:eastAsia="Arial" w:hAnsi="Arial"/>
          <w:sz w:val="19"/>
          <w:szCs w:val="19"/>
          <w:color w:val="auto"/>
        </w:rPr>
      </w:pPr>
    </w:p>
    <w:p>
      <w:pPr>
        <w:jc w:val="both"/>
        <w:ind w:firstLine="1304"/>
        <w:spacing w:after="0" w:line="213" w:lineRule="auto"/>
        <w:tabs>
          <w:tab w:leader="none" w:pos="1932"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To the extent permitted by applicable Law, any voluntary prepayment of Revolving Loans shall, if Borrower so directs at the time of making such voluntary prepayment, be applied to the Revolving Loans of other Lenders as if such Defaulting Lender had no Revolving Loans outstanding and the Aggregate Exposure of such Defaulting Lender in respect of its Revolving Commitment were zero;</w:t>
      </w:r>
    </w:p>
    <w:p>
      <w:pPr>
        <w:spacing w:after="0" w:line="155" w:lineRule="exact"/>
        <w:rPr>
          <w:rFonts w:ascii="Arial" w:cs="Arial" w:eastAsia="Arial" w:hAnsi="Arial"/>
          <w:sz w:val="20"/>
          <w:szCs w:val="20"/>
          <w:color w:val="auto"/>
        </w:rPr>
      </w:pPr>
    </w:p>
    <w:p>
      <w:pPr>
        <w:jc w:val="both"/>
        <w:ind w:firstLine="1304"/>
        <w:spacing w:after="0" w:line="210" w:lineRule="auto"/>
        <w:tabs>
          <w:tab w:leader="none" w:pos="193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The Aggregate Exposure of such Defaulting Lender shall not be included in determining whether all Lenders or Required Lenders have taken or may take any action hereunder (including any consent to any amendment, waiver or modification pursuant to Section 10.01),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 increase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05" w:right="339" w:bottom="1440" w:gutter="0" w:footer="0" w:header="0"/>
        </w:sectPr>
      </w:pPr>
    </w:p>
    <w:bookmarkStart w:id="217" w:name="page218"/>
    <w:bookmarkEnd w:id="217"/>
    <w:p>
      <w:pPr>
        <w:spacing w:after="0" w:line="269" w:lineRule="auto"/>
        <w:rPr>
          <w:sz w:val="20"/>
          <w:szCs w:val="20"/>
          <w:color w:val="auto"/>
        </w:rPr>
      </w:pPr>
      <w:r>
        <w:rPr>
          <w:rFonts w:ascii="Arial" w:cs="Arial" w:eastAsia="Arial" w:hAnsi="Arial"/>
          <w:sz w:val="18"/>
          <w:szCs w:val="18"/>
          <w:color w:val="auto"/>
        </w:rPr>
        <w:t>Revolving Commitments or reduce the principal amount of any Loans of such Defaulting Lender, extend the maturity date applicable thereto or decrease the rate of interest (including any commitment fees) payable in respect thereof without the consent of such Defaulting Lender;</w:t>
      </w:r>
    </w:p>
    <w:p>
      <w:pPr>
        <w:spacing w:after="0" w:line="130" w:lineRule="exact"/>
        <w:rPr>
          <w:sz w:val="20"/>
          <w:szCs w:val="20"/>
          <w:color w:val="auto"/>
        </w:rPr>
      </w:pPr>
    </w:p>
    <w:p>
      <w:pPr>
        <w:ind w:left="1940" w:hanging="636"/>
        <w:spacing w:after="0"/>
        <w:tabs>
          <w:tab w:leader="none" w:pos="194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If any Letter of Credit Usage exists at the time a Lender becomes a Defaulting Lender then:</w:t>
      </w:r>
    </w:p>
    <w:p>
      <w:pPr>
        <w:spacing w:after="0" w:line="175" w:lineRule="exact"/>
        <w:rPr>
          <w:rFonts w:ascii="Arial" w:cs="Arial" w:eastAsia="Arial" w:hAnsi="Arial"/>
          <w:sz w:val="20"/>
          <w:szCs w:val="20"/>
          <w:color w:val="auto"/>
        </w:rPr>
      </w:pPr>
    </w:p>
    <w:p>
      <w:pPr>
        <w:jc w:val="both"/>
        <w:ind w:left="1300" w:firstLine="652"/>
        <w:spacing w:after="0" w:line="210" w:lineRule="auto"/>
        <w:tabs>
          <w:tab w:leader="none" w:pos="2535" w:val="left"/>
        </w:tabs>
        <w:numPr>
          <w:ilvl w:val="1"/>
          <w:numId w:val="166"/>
        </w:numPr>
        <w:rPr>
          <w:rFonts w:ascii="Arial" w:cs="Arial" w:eastAsia="Arial" w:hAnsi="Arial"/>
          <w:sz w:val="20"/>
          <w:szCs w:val="20"/>
          <w:color w:val="auto"/>
        </w:rPr>
      </w:pPr>
      <w:r>
        <w:rPr>
          <w:rFonts w:ascii="Arial" w:cs="Arial" w:eastAsia="Arial" w:hAnsi="Arial"/>
          <w:sz w:val="20"/>
          <w:szCs w:val="20"/>
          <w:color w:val="auto"/>
        </w:rPr>
        <w:t>all or any part of such Letter of Credit Usage shall be reallocated among the Lenders that are not Defaulting Lenders in accordance with their respective Revolving Percentages but, in any case, only to the extent the sum of the Outstanding Revolving Obligations of all Lenders that are not Defaulting Lenders plus such Defaulting Lender’s ratable participation in all Letter of Credit Usage does not exceed the total of the Revolving Commitments of all Lenders that are not Defaulting Lenders;</w:t>
      </w:r>
    </w:p>
    <w:p>
      <w:pPr>
        <w:spacing w:after="0" w:line="154" w:lineRule="exact"/>
        <w:rPr>
          <w:rFonts w:ascii="Arial" w:cs="Arial" w:eastAsia="Arial" w:hAnsi="Arial"/>
          <w:sz w:val="20"/>
          <w:szCs w:val="20"/>
          <w:color w:val="auto"/>
        </w:rPr>
      </w:pPr>
    </w:p>
    <w:p>
      <w:pPr>
        <w:jc w:val="both"/>
        <w:ind w:left="1300" w:firstLine="652"/>
        <w:spacing w:after="0" w:line="221" w:lineRule="auto"/>
        <w:tabs>
          <w:tab w:leader="none" w:pos="2563"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if the reallocation described in clause (i) above cannot, or can only partially, be effected, Borrower shall within one Business Day following notice by Administrative Agent, either (x) cash collateralize such Defaulting Lender’s participation in all Letter of Credit Usage (after giving effect to any partial reallocation pursuant to clause (i) above) in a Letter of Credit Cash Collateral Account for so long as such Letter of Credit is outstanding or (y) backstop such Letter of Credit Usage with a letter of credit reasonably satisfactory to the Issuing Lender;</w:t>
      </w:r>
    </w:p>
    <w:p>
      <w:pPr>
        <w:spacing w:after="0" w:line="155" w:lineRule="exact"/>
        <w:rPr>
          <w:rFonts w:ascii="Arial" w:cs="Arial" w:eastAsia="Arial" w:hAnsi="Arial"/>
          <w:sz w:val="19"/>
          <w:szCs w:val="19"/>
          <w:color w:val="auto"/>
        </w:rPr>
      </w:pPr>
    </w:p>
    <w:p>
      <w:pPr>
        <w:jc w:val="both"/>
        <w:ind w:left="1300" w:firstLine="652"/>
        <w:spacing w:after="0" w:line="213" w:lineRule="auto"/>
        <w:tabs>
          <w:tab w:leader="none" w:pos="2537" w:val="left"/>
        </w:tabs>
        <w:numPr>
          <w:ilvl w:val="1"/>
          <w:numId w:val="166"/>
        </w:numPr>
        <w:rPr>
          <w:rFonts w:ascii="Arial" w:cs="Arial" w:eastAsia="Arial" w:hAnsi="Arial"/>
          <w:sz w:val="20"/>
          <w:szCs w:val="20"/>
          <w:color w:val="auto"/>
        </w:rPr>
      </w:pPr>
      <w:r>
        <w:rPr>
          <w:rFonts w:ascii="Arial" w:cs="Arial" w:eastAsia="Arial" w:hAnsi="Arial"/>
          <w:sz w:val="20"/>
          <w:szCs w:val="20"/>
          <w:color w:val="auto"/>
        </w:rPr>
        <w:t>if Borrower cash collateralizes or backstops any portion of such Defaulting Lender’s Letter of Credit Usage pursuant to this subsection (d), Borrower shall not be required to pay any fees to such Defaulting Lender pursuant to Section 2.03(j) with respect to such Defaulting Lender’s Letter of Credit Usage during the period such Defaulting Lender’s Letter of Credit Usage is cash collateralized or backstopped;</w:t>
      </w:r>
    </w:p>
    <w:p>
      <w:pPr>
        <w:spacing w:after="0" w:line="155" w:lineRule="exact"/>
        <w:rPr>
          <w:rFonts w:ascii="Arial" w:cs="Arial" w:eastAsia="Arial" w:hAnsi="Arial"/>
          <w:sz w:val="20"/>
          <w:szCs w:val="20"/>
          <w:color w:val="auto"/>
        </w:rPr>
      </w:pPr>
    </w:p>
    <w:p>
      <w:pPr>
        <w:jc w:val="both"/>
        <w:ind w:left="1300" w:firstLine="652"/>
        <w:spacing w:after="0" w:line="244" w:lineRule="auto"/>
        <w:tabs>
          <w:tab w:leader="none" w:pos="253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if the Letter of Credit Usage attributable to the Defaulting Lenders is reallocated pursuant to this subsection (d), then the fees payable to the non-Defaulting Lenders pursuant to Section 2.03(j) and Section 2.10(a) shall be adjusted in accordance with the non-Defaulting Lenders’ respective Revolving Percentages to account for such reallocation; and</w:t>
      </w:r>
    </w:p>
    <w:p>
      <w:pPr>
        <w:spacing w:after="0" w:line="151" w:lineRule="exact"/>
        <w:rPr>
          <w:rFonts w:ascii="Arial" w:cs="Arial" w:eastAsia="Arial" w:hAnsi="Arial"/>
          <w:sz w:val="18"/>
          <w:szCs w:val="18"/>
          <w:color w:val="auto"/>
        </w:rPr>
      </w:pPr>
    </w:p>
    <w:p>
      <w:pPr>
        <w:jc w:val="both"/>
        <w:ind w:left="1300" w:firstLine="652"/>
        <w:spacing w:after="0" w:line="221" w:lineRule="auto"/>
        <w:tabs>
          <w:tab w:leader="none" w:pos="2593"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if any Defaulting Lender’s participation in all Letter of Credit Usage is neither cash collateralized, backstopped nor reallocated pursuant to this subsection (d), then, without prejudice to any rights or remedies of Issuing Lenders or any Lender hereunder, all Letter of Credit fees payable under Section 2.03(j) with respect to such Defaulting Lender’s remaining participation in all Letter of Credit Usage shall be payable to the applicable Issuing Lenders until such participation in all Letter of Credit Usage is backstopped, cash collateralized and/or reallocated</w:t>
      </w:r>
    </w:p>
    <w:p>
      <w:pPr>
        <w:spacing w:after="0" w:line="155" w:lineRule="exact"/>
        <w:rPr>
          <w:rFonts w:ascii="Arial" w:cs="Arial" w:eastAsia="Arial" w:hAnsi="Arial"/>
          <w:sz w:val="19"/>
          <w:szCs w:val="19"/>
          <w:color w:val="auto"/>
        </w:rPr>
      </w:pPr>
    </w:p>
    <w:p>
      <w:pPr>
        <w:jc w:val="both"/>
        <w:ind w:firstLine="1304"/>
        <w:spacing w:after="0" w:line="233" w:lineRule="auto"/>
        <w:tabs>
          <w:tab w:leader="none" w:pos="193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So long as any Lender is a Defaulting Lender, no Issuing Lender shall be required to issue, amend or increase any Letter of Credit, unless it is satisfied that the related exposure will be 100% covered by the Revolving Commitments of the non-Defaulting Lenders and/or cash collateral or backstop letters of credit will be provided by Borrower in accordance with subsection (d) of this Section, and participating interests in any such newly issued or increased Letter of Credit shall be allocated among non-Defaulting Lenders that are Lenders in a manner consistent with subsection (d)(i) of this Section (and Defaulting Lenders shall not participate therein).</w:t>
      </w:r>
    </w:p>
    <w:p>
      <w:pPr>
        <w:spacing w:after="0" w:line="156" w:lineRule="exact"/>
        <w:rPr>
          <w:rFonts w:ascii="Arial" w:cs="Arial" w:eastAsia="Arial" w:hAnsi="Arial"/>
          <w:sz w:val="18"/>
          <w:szCs w:val="18"/>
          <w:color w:val="auto"/>
        </w:rPr>
      </w:pPr>
    </w:p>
    <w:p>
      <w:pPr>
        <w:jc w:val="both"/>
        <w:ind w:firstLine="1304"/>
        <w:spacing w:after="0" w:line="233" w:lineRule="auto"/>
        <w:tabs>
          <w:tab w:leader="none" w:pos="193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event that each of Administrative Agent, Borrower and Issuing Lenders agrees that a Defaulting Lender has adequately remedied all matters that caused such Lender to be a Defaulting Lender, then the Letter of Credit Usage of the Lenders shall be readjusted to reflect the inclusion of such formerly Defaulting Lender’s Revolving Commitment and on such date such formerly Defaulting Lender shall purchase at par such of the Revolving Loans of the other Lenders as Administrative Agent shall determine may be necessary in order for such formerly Defaulting Lender to hold such Revolving Loans in accordance with its Revolving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05" w:right="339" w:bottom="1440" w:gutter="0" w:footer="0" w:header="0"/>
        </w:sectPr>
      </w:pPr>
    </w:p>
    <w:bookmarkStart w:id="218" w:name="page219"/>
    <w:bookmarkEnd w:id="218"/>
    <w:p>
      <w:pPr>
        <w:ind w:left="1300"/>
        <w:spacing w:after="0"/>
        <w:tabs>
          <w:tab w:leader="none" w:pos="19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u w:val="single" w:color="auto"/>
          <w:color w:val="auto"/>
        </w:rPr>
        <w:t>Currency Equivalents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06" w:lineRule="auto"/>
        <w:tabs>
          <w:tab w:leader="none" w:pos="193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Administrative Agent shall determine the Dollar Amount of (i) the Letter of Credit Usage in respect of Letters of Credit denominated in an Alternative Currency based on the Exchange Rate (A) on or about the date of the related notice requesting the issuance of such Letter of Credit and (B) at such other times as Administrative Agent may elect in its discretion (but in no case more frequently than monthly), (ii) the Loans denominated in an Alternative Currency based on the Exchange Rate (A) on or about the date of the related notice requesting any Borrowing, Continuation or Conversion and (B) at such other times as Administrative Agent may elect in its discretion (but in no case more frequently than monthly) and (iii) any other amount to be converted into Dollars in accordance with the provisions hereof at the time of such conversion.</w:t>
      </w:r>
    </w:p>
    <w:p>
      <w:pPr>
        <w:spacing w:after="0" w:line="157" w:lineRule="exact"/>
        <w:rPr>
          <w:rFonts w:ascii="Arial" w:cs="Arial" w:eastAsia="Arial" w:hAnsi="Arial"/>
          <w:sz w:val="20"/>
          <w:szCs w:val="20"/>
          <w:color w:val="auto"/>
        </w:rPr>
      </w:pPr>
    </w:p>
    <w:p>
      <w:pPr>
        <w:jc w:val="both"/>
        <w:ind w:firstLine="1304"/>
        <w:spacing w:after="0" w:line="216" w:lineRule="auto"/>
        <w:tabs>
          <w:tab w:leader="none" w:pos="193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If after giving effect to any such determination of a Dollar Amount, the Letter of Credit Usage exceeds 105% of the Letter of Credit Sublimit, Borrower shall, within five Business Days of receipt of notice thereof from Administrative Agent setting forth such calculation in reasonable detail, deposit cash collateral in a Letter of Credit Cash Collateral Account in an amount equal to such excess. If after giving effect to any such determination of a Dollar Amount, the Dollar Amount of the Outstanding Revolving Obligations of all Lenders plus the aggregate principal amount of outstanding Competitive Loans at any time exceeds the combined Revolving Commitments from time to time in effect by more than 105%, Borrower shall, immediately upon receipt of notice thereof from Administrative Agent setting forth such calculation in reasonable detail, prepay Revolving Loans and/or deposit cash in a Letter of Credit Cash Collateral Account in an aggregate amount equal to such excess in accordance with Section 2.06(b).</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3</w:t>
      </w:r>
    </w:p>
    <w:p>
      <w:pPr>
        <w:spacing w:after="0" w:line="148"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TAXES, YIELD PROTECTION AND ILLEGALITY</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22" w:lineRule="auto"/>
        <w:tabs>
          <w:tab w:leader="none" w:pos="193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the extent permitted by Law, any and all payments by or on account of 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interest, additions to tax, or penalties with respect thereto, excluding, (w) in the case of a Lender Party, taxes imposed on or measured by its net income, branch profits taxes,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withholding taxes imposed pursuant to FATCA (all non-excluded taxes, duties, levies, imposts, deductions, assessments, fees, withholdings or similar charges, and liabilities imposed on or with respect to any payment made by or on account of any obligation of any Loan Party under any Loan Document being hereinafter referred to as “Non-Excluded Taxes”). If 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05" w:right="339" w:bottom="1440" w:gutter="0" w:footer="0" w:header="0"/>
        </w:sectPr>
      </w:pPr>
    </w:p>
    <w:bookmarkStart w:id="219" w:name="page220"/>
    <w:bookmarkEnd w:id="219"/>
    <w:p>
      <w:pPr>
        <w:jc w:val="both"/>
        <w:spacing w:after="0" w:line="210" w:lineRule="auto"/>
        <w:rPr>
          <w:sz w:val="20"/>
          <w:szCs w:val="20"/>
          <w:color w:val="auto"/>
        </w:rPr>
      </w:pPr>
      <w:r>
        <w:rPr>
          <w:rFonts w:ascii="Arial" w:cs="Arial" w:eastAsia="Arial" w:hAnsi="Arial"/>
          <w:sz w:val="20"/>
          <w:szCs w:val="20"/>
          <w:color w:val="auto"/>
        </w:rPr>
        <w:t>received had no such deductions been made, (ii) Borrower or Administrative Agent shall make such deductions or withholdings, (iii) Borrower or Administrative Agent shall pay the full amount deducted or withheld to the relevant taxation authority or other authority in accordance with applicable Laws and (iv) with respect to 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155" w:lineRule="exact"/>
        <w:rPr>
          <w:sz w:val="20"/>
          <w:szCs w:val="20"/>
          <w:color w:val="auto"/>
        </w:rPr>
      </w:pPr>
    </w:p>
    <w:p>
      <w:pPr>
        <w:jc w:val="both"/>
        <w:ind w:firstLine="1304"/>
        <w:spacing w:after="0" w:line="210" w:lineRule="auto"/>
        <w:tabs>
          <w:tab w:leader="none" w:pos="1932"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In addition, Borrower agrees to pay, or at the option of Administrative Agent timely reimburse it for the payment of,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except any such taxes that are imposed with respect to an assignment by the Lender (hereinafter referred to as “Other Taxes”).</w:t>
      </w:r>
    </w:p>
    <w:p>
      <w:pPr>
        <w:spacing w:after="0" w:line="154" w:lineRule="exact"/>
        <w:rPr>
          <w:rFonts w:ascii="Arial" w:cs="Arial" w:eastAsia="Arial" w:hAnsi="Arial"/>
          <w:sz w:val="20"/>
          <w:szCs w:val="20"/>
          <w:color w:val="auto"/>
        </w:rPr>
      </w:pPr>
    </w:p>
    <w:p>
      <w:pPr>
        <w:jc w:val="both"/>
        <w:ind w:firstLine="1304"/>
        <w:spacing w:after="0" w:line="227" w:lineRule="auto"/>
        <w:tabs>
          <w:tab w:leader="none" w:pos="193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Borrower agrees to indemnify each Lender Party for the full amount of Non- Excluded Taxes and Other Taxes (including any Non-Excluded Taxes or Other Taxes imposed or asserted by any jurisdiction on amounts payable under this Section) paid by such Lender Party with respect to any Loan or Loan Document and any liability (including penalties, interest and expenses) arising therefrom or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not be obligated to indemnify such Recipient pursuant to this Section 3.01 in respect of interest, penalties and other liabilities attributable to any Non-Excluded Taxes or Other Taxes, if such interest, penalties and other liabilities are attributable to the gross negligence or willful misconduct of such Lender Party. After a Lender Party learns of the imposition of Non-Excluded Taxes or Other Taxes, such Lender will act in good faith to promptly notify the Borrower of its obligations hereunder.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55" w:lineRule="exact"/>
        <w:rPr>
          <w:rFonts w:ascii="Arial" w:cs="Arial" w:eastAsia="Arial" w:hAnsi="Arial"/>
          <w:sz w:val="18"/>
          <w:szCs w:val="18"/>
          <w:color w:val="auto"/>
        </w:rPr>
      </w:pPr>
    </w:p>
    <w:p>
      <w:pPr>
        <w:ind w:firstLine="1304"/>
        <w:spacing w:after="0" w:line="269" w:lineRule="auto"/>
        <w:tabs>
          <w:tab w:leader="none" w:pos="193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3.01, all obligations of Borrower to any Lender under such Section 3.01 shall be subject to, and conditioned upon such Lender’s compliance with its obligations, if any, under Section 10.20.</w:t>
      </w:r>
    </w:p>
    <w:p>
      <w:pPr>
        <w:spacing w:after="0" w:line="130" w:lineRule="exact"/>
        <w:rPr>
          <w:rFonts w:ascii="Arial" w:cs="Arial" w:eastAsia="Arial" w:hAnsi="Arial"/>
          <w:sz w:val="18"/>
          <w:szCs w:val="18"/>
          <w:color w:val="auto"/>
        </w:rPr>
      </w:pPr>
    </w:p>
    <w:p>
      <w:pPr>
        <w:jc w:val="both"/>
        <w:ind w:firstLine="1304"/>
        <w:spacing w:after="0" w:line="213" w:lineRule="auto"/>
        <w:tabs>
          <w:tab w:leader="none" w:pos="1934"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If any Lender Party determines, in its sole discretion exercised in good faith, that it has received a refund from a relevant taxing or governmental authority in respect of any Non-Excluded Taxes or Other Taxes as to which it has been indemnified by Borrower or with respect to which Borrower has paid additional amounts pursuant to this Section 3.01, it shall pay over such refund to Borrower (but only to the extent of indemnity payments made, or additional amounts paid, by 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such Lender Party is required to repay any or all of such refund to such Governmental Authority (a “Refund Repayment Requirement”), 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Borrower or any other Person.</w:t>
      </w:r>
    </w:p>
    <w:p>
      <w:pPr>
        <w:spacing w:after="0" w:line="162"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19"/>
          <w:szCs w:val="19"/>
          <w:color w:val="auto"/>
        </w:rPr>
        <w:t xml:space="preserve">3.02 </w:t>
      </w:r>
      <w:r>
        <w:rPr>
          <w:rFonts w:ascii="Arial" w:cs="Arial" w:eastAsia="Arial" w:hAnsi="Arial"/>
          <w:sz w:val="19"/>
          <w:szCs w:val="19"/>
          <w:u w:val="single" w:color="auto"/>
          <w:color w:val="auto"/>
        </w:rPr>
        <w:t>Illegality</w:t>
      </w:r>
      <w:r>
        <w:rPr>
          <w:rFonts w:ascii="Arial" w:cs="Arial" w:eastAsia="Arial" w:hAnsi="Arial"/>
          <w:sz w:val="19"/>
          <w:szCs w:val="19"/>
          <w:color w:val="auto"/>
        </w:rPr>
        <w:t xml:space="preserve">. If any Lender determines that any Laws have made it unlawful, or that any Governmental Authority has asserted that it is unlawful, for such Lender or its applicable Lending Office to make, maintain or fund Floating Rate Loans, or materially restricts the authority of such Lender to purchase or sell, or to take deposits of, Dollars in the applicable offshore interbank market, or to determine or charge interest rates based upon the applicable Floating Rate, then, on notice thereof by such Lender to Borrower through Administrative Agent, the obligation of such Lender to make Floating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Floating Rate Loans of such Lender, either on the last day of the Interest Period thereof, if </w:t>
      </w:r>
      <w:r>
        <w:rPr>
          <w:rFonts w:ascii="Arial" w:cs="Arial" w:eastAsia="Arial" w:hAnsi="Arial"/>
          <w:sz w:val="19"/>
          <w:szCs w:val="19"/>
          <w:u w:val="single" w:color="auto"/>
          <w:color w:val="0000FF"/>
        </w:rPr>
        <w:t>(a) such Loans are not Floating SONIA Rate Loans and (b)</w:t>
      </w:r>
      <w:r>
        <w:rPr>
          <w:rFonts w:ascii="Arial" w:cs="Arial" w:eastAsia="Arial" w:hAnsi="Arial"/>
          <w:sz w:val="19"/>
          <w:szCs w:val="19"/>
          <w:color w:val="auto"/>
        </w:rPr>
        <w:t xml:space="preserve"> such Lender may lawfully continue to maintain such Floating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05" w:right="339" w:bottom="1440" w:gutter="0" w:footer="0" w:header="0"/>
        </w:sectPr>
      </w:pPr>
    </w:p>
    <w:bookmarkStart w:id="220" w:name="page221"/>
    <w:bookmarkEnd w:id="220"/>
    <w:p>
      <w:pPr>
        <w:jc w:val="both"/>
        <w:spacing w:after="0" w:line="244" w:lineRule="auto"/>
        <w:rPr>
          <w:sz w:val="20"/>
          <w:szCs w:val="20"/>
          <w:color w:val="auto"/>
        </w:rPr>
      </w:pPr>
      <w:r>
        <w:rPr>
          <w:rFonts w:ascii="Arial" w:cs="Arial" w:eastAsia="Arial" w:hAnsi="Arial"/>
          <w:sz w:val="18"/>
          <w:szCs w:val="18"/>
          <w:color w:val="auto"/>
        </w:rPr>
        <w:t xml:space="preserve">Rate Loans to such day, or immediately, if </w:t>
      </w:r>
      <w:r>
        <w:rPr>
          <w:rFonts w:ascii="Arial" w:cs="Arial" w:eastAsia="Arial" w:hAnsi="Arial"/>
          <w:sz w:val="18"/>
          <w:szCs w:val="18"/>
          <w:u w:val="single" w:color="auto"/>
          <w:color w:val="0000FF"/>
        </w:rPr>
        <w:t>(i) such Loans are Floating SONIA Rate Loans or (ii)</w:t>
      </w:r>
      <w:r>
        <w:rPr>
          <w:rFonts w:ascii="Arial" w:cs="Arial" w:eastAsia="Arial" w:hAnsi="Arial"/>
          <w:sz w:val="18"/>
          <w:szCs w:val="18"/>
          <w:color w:val="auto"/>
        </w:rPr>
        <w:t xml:space="preserve"> such Lender may not lawfully continue to maintain such Floating Rate Loans. Each Lender agrees to designate a different Lending Office if such designation will avoid the need for such notice and will not, in the good faith judgment of such Lender, otherwise be materially disadvantageous to such Lender.</w:t>
      </w:r>
    </w:p>
    <w:p>
      <w:pPr>
        <w:spacing w:after="0" w:line="152" w:lineRule="exact"/>
        <w:rPr>
          <w:sz w:val="20"/>
          <w:szCs w:val="20"/>
          <w:color w:val="auto"/>
        </w:rPr>
      </w:pPr>
    </w:p>
    <w:p>
      <w:pPr>
        <w:ind w:right="620" w:firstLine="1296"/>
        <w:spacing w:after="0" w:line="229" w:lineRule="auto"/>
        <w:rPr>
          <w:sz w:val="20"/>
          <w:szCs w:val="20"/>
          <w:color w:val="auto"/>
        </w:rPr>
      </w:pPr>
      <w:r>
        <w:rPr>
          <w:rFonts w:ascii="Arial" w:cs="Arial" w:eastAsia="Arial" w:hAnsi="Arial"/>
          <w:sz w:val="20"/>
          <w:szCs w:val="20"/>
          <w:color w:val="auto"/>
        </w:rPr>
        <w:t xml:space="preserve">3.03 </w:t>
      </w:r>
      <w:r>
        <w:rPr>
          <w:rFonts w:ascii="Arial" w:cs="Arial" w:eastAsia="Arial" w:hAnsi="Arial"/>
          <w:sz w:val="20"/>
          <w:szCs w:val="20"/>
          <w:u w:val="single" w:color="auto"/>
          <w:color w:val="auto"/>
        </w:rPr>
        <w:t>Alternate Rate of Interest</w:t>
      </w:r>
      <w:r>
        <w:rPr>
          <w:rFonts w:ascii="Arial" w:cs="Arial" w:eastAsia="Arial" w:hAnsi="Arial"/>
          <w:sz w:val="20"/>
          <w:szCs w:val="20"/>
          <w:color w:val="auto"/>
        </w:rPr>
        <w:t xml:space="preserve"> . Subject to clauses (b), (c), (d), (e), (f) and (g) of this Section 3.03, if </w:t>
      </w:r>
      <w:r>
        <w:rPr>
          <w:rFonts w:ascii="Arial" w:cs="Arial" w:eastAsia="Arial" w:hAnsi="Arial"/>
          <w:sz w:val="20"/>
          <w:szCs w:val="20"/>
          <w:color w:val="009900"/>
          <w:strike w:val="1"/>
        </w:rPr>
        <w:t>prior to the</w:t>
      </w:r>
      <w:r>
        <w:rPr>
          <w:rFonts w:ascii="Arial" w:cs="Arial" w:eastAsia="Arial" w:hAnsi="Arial"/>
          <w:sz w:val="20"/>
          <w:szCs w:val="20"/>
          <w:color w:val="auto"/>
        </w:rPr>
        <w:t xml:space="preserve"> </w:t>
      </w:r>
      <w:r>
        <w:rPr>
          <w:rFonts w:ascii="Arial" w:cs="Arial" w:eastAsia="Arial" w:hAnsi="Arial"/>
          <w:sz w:val="20"/>
          <w:szCs w:val="20"/>
          <w:color w:val="009900"/>
          <w:strike w:val="1"/>
        </w:rPr>
        <w:t>commencement of any Interest Period for a</w:t>
      </w:r>
      <w:r>
        <w:rPr>
          <w:rFonts w:ascii="Arial" w:cs="Arial" w:eastAsia="Arial" w:hAnsi="Arial"/>
          <w:sz w:val="20"/>
          <w:szCs w:val="20"/>
          <w:color w:val="009900"/>
        </w:rPr>
        <w:t xml:space="preserve"> </w:t>
      </w:r>
      <w:r>
        <w:rPr>
          <w:rFonts w:ascii="Arial" w:cs="Arial" w:eastAsia="Arial" w:hAnsi="Arial"/>
          <w:sz w:val="20"/>
          <w:szCs w:val="20"/>
          <w:color w:val="FF0000"/>
          <w:strike w:val="1"/>
        </w:rPr>
        <w:t>Floating Rate Borrowing</w:t>
      </w:r>
      <w:r>
        <w:rPr>
          <w:rFonts w:ascii="Arial" w:cs="Arial" w:eastAsia="Arial" w:hAnsi="Arial"/>
          <w:sz w:val="20"/>
          <w:szCs w:val="20"/>
          <w:color w:val="000000"/>
        </w:rPr>
        <w:t>:</w:t>
      </w:r>
    </w:p>
    <w:p>
      <w:pPr>
        <w:spacing w:after="0" w:line="155" w:lineRule="exact"/>
        <w:rPr>
          <w:sz w:val="20"/>
          <w:szCs w:val="20"/>
          <w:color w:val="auto"/>
        </w:rPr>
      </w:pPr>
    </w:p>
    <w:p>
      <w:pPr>
        <w:jc w:val="both"/>
        <w:ind w:left="1300" w:firstLine="652"/>
        <w:spacing w:after="0" w:line="216" w:lineRule="auto"/>
        <w:tabs>
          <w:tab w:leader="none" w:pos="2549"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the Administrative Agent determines (which determination shall be conclusive absent manifest error),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w:t>
      </w:r>
      <w:r>
        <w:rPr>
          <w:rFonts w:ascii="Arial" w:cs="Arial" w:eastAsia="Arial" w:hAnsi="Arial"/>
          <w:sz w:val="19"/>
          <w:szCs w:val="19"/>
          <w:u w:val="single" w:color="auto"/>
          <w:color w:val="009900"/>
        </w:rPr>
        <w:t xml:space="preserve">prior to the commencement of any Interest Period for a </w:t>
      </w:r>
      <w:r>
        <w:rPr>
          <w:rFonts w:ascii="Arial" w:cs="Arial" w:eastAsia="Arial" w:hAnsi="Arial"/>
          <w:sz w:val="19"/>
          <w:szCs w:val="19"/>
          <w:u w:val="single" w:color="auto"/>
          <w:color w:val="0000FF"/>
        </w:rPr>
        <w:t>LIBOR Borrowing, a EURIBOR Borrowing, TIBOR Borrowing or a</w:t>
      </w:r>
      <w:r>
        <w:rPr>
          <w:rFonts w:ascii="Arial" w:cs="Arial" w:eastAsia="Arial" w:hAnsi="Arial"/>
          <w:sz w:val="19"/>
          <w:szCs w:val="19"/>
          <w:u w:val="single" w:color="auto"/>
          <w:color w:val="009900"/>
        </w:rPr>
        <w:t xml:space="preserve"> </w:t>
      </w:r>
      <w:r>
        <w:rPr>
          <w:rFonts w:ascii="Arial" w:cs="Arial" w:eastAsia="Arial" w:hAnsi="Arial"/>
          <w:sz w:val="19"/>
          <w:szCs w:val="19"/>
          <w:u w:val="single" w:color="auto"/>
          <w:color w:val="0000FF"/>
        </w:rPr>
        <w:t>CDOR Borrowing</w:t>
      </w:r>
      <w:r>
        <w:rPr>
          <w:rFonts w:ascii="Arial" w:cs="Arial" w:eastAsia="Arial" w:hAnsi="Arial"/>
          <w:sz w:val="19"/>
          <w:szCs w:val="19"/>
          <w:color w:val="0000FF"/>
        </w:rPr>
        <w:t xml:space="preserve"> </w:t>
      </w:r>
      <w:r>
        <w:rPr>
          <w:rFonts w:ascii="Arial" w:cs="Arial" w:eastAsia="Arial" w:hAnsi="Arial"/>
          <w:sz w:val="19"/>
          <w:szCs w:val="19"/>
          <w:color w:val="000000"/>
        </w:rPr>
        <w:t>that adequate and reasonable means do not exist for ascertaining the Adjusted LIBO Rate, the LIBO Rate,</w:t>
      </w:r>
      <w:r>
        <w:rPr>
          <w:rFonts w:ascii="Arial" w:cs="Arial" w:eastAsia="Arial" w:hAnsi="Arial"/>
          <w:sz w:val="19"/>
          <w:szCs w:val="19"/>
          <w:color w:val="0000FF"/>
        </w:rPr>
        <w:t xml:space="preserve"> </w:t>
      </w:r>
      <w:r>
        <w:rPr>
          <w:rFonts w:ascii="Arial" w:cs="Arial" w:eastAsia="Arial" w:hAnsi="Arial"/>
          <w:sz w:val="19"/>
          <w:szCs w:val="19"/>
          <w:color w:val="000000"/>
        </w:rPr>
        <w:t xml:space="preserve">the Adjusted EURIBOR Rate, the EURIBOR Rate, the Adjusted TIBOR Rate, the TIBOR Rate or the CDOR Screen Rate, as applicable (including because the Relevant Screen Rate is not available or published on a current basis), for the applicable Agreed Currency and such Interest Period, </w:t>
      </w:r>
      <w:r>
        <w:rPr>
          <w:rFonts w:ascii="Arial" w:cs="Arial" w:eastAsia="Arial" w:hAnsi="Arial"/>
          <w:sz w:val="19"/>
          <w:szCs w:val="19"/>
          <w:u w:val="single" w:color="auto"/>
          <w:color w:val="0000FF"/>
        </w:rPr>
        <w:t>or (B) at any time, that adequate and reasonable means do not exist for</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ascertaining the Daily Simple SONIA with respect to any Borrowing denominated in Sterling;</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FF"/>
        </w:rPr>
        <w:t xml:space="preserve"> </w:t>
      </w:r>
      <w:r>
        <w:rPr>
          <w:rFonts w:ascii="Arial" w:cs="Arial" w:eastAsia="Arial" w:hAnsi="Arial"/>
          <w:sz w:val="19"/>
          <w:szCs w:val="19"/>
          <w:color w:val="000000"/>
        </w:rPr>
        <w:t>that no Benchmark</w:t>
      </w:r>
      <w:r>
        <w:rPr>
          <w:rFonts w:ascii="Arial" w:cs="Arial" w:eastAsia="Arial" w:hAnsi="Arial"/>
          <w:sz w:val="19"/>
          <w:szCs w:val="19"/>
          <w:color w:val="0000FF"/>
        </w:rPr>
        <w:t xml:space="preserve"> </w:t>
      </w:r>
      <w:r>
        <w:rPr>
          <w:rFonts w:ascii="Arial" w:cs="Arial" w:eastAsia="Arial" w:hAnsi="Arial"/>
          <w:sz w:val="19"/>
          <w:szCs w:val="19"/>
          <w:color w:val="000000"/>
        </w:rPr>
        <w:t>Transition Event shall have occurred at such time; or</w:t>
      </w:r>
    </w:p>
    <w:p>
      <w:pPr>
        <w:spacing w:after="0" w:line="154" w:lineRule="exact"/>
        <w:rPr>
          <w:rFonts w:ascii="Arial" w:cs="Arial" w:eastAsia="Arial" w:hAnsi="Arial"/>
          <w:sz w:val="19"/>
          <w:szCs w:val="19"/>
          <w:color w:val="auto"/>
        </w:rPr>
      </w:pPr>
    </w:p>
    <w:p>
      <w:pPr>
        <w:jc w:val="both"/>
        <w:ind w:left="1300" w:firstLine="652"/>
        <w:spacing w:after="0" w:line="215" w:lineRule="auto"/>
        <w:tabs>
          <w:tab w:leader="none" w:pos="253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the Administrative Agent is advised by the Required Lenders (or, in the case of a Floating Rate Competitive Loan, the Lender that is required to make such Loan) </w:t>
      </w:r>
      <w:r>
        <w:rPr>
          <w:rFonts w:ascii="Arial" w:cs="Arial" w:eastAsia="Arial" w:hAnsi="Arial"/>
          <w:sz w:val="19"/>
          <w:szCs w:val="19"/>
          <w:u w:val="single" w:color="auto"/>
          <w:color w:val="0000FF"/>
        </w:rPr>
        <w:t>(A) prior to the commencement of any Interest Period for a LIBOR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Borrowing, a EURIBOR Borrowing or a CDOR Borrowing,</w:t>
      </w:r>
      <w:r>
        <w:rPr>
          <w:rFonts w:ascii="Arial" w:cs="Arial" w:eastAsia="Arial" w:hAnsi="Arial"/>
          <w:sz w:val="19"/>
          <w:szCs w:val="19"/>
          <w:color w:val="0000FF"/>
        </w:rPr>
        <w:t xml:space="preserve"> </w:t>
      </w:r>
      <w:r>
        <w:rPr>
          <w:rFonts w:ascii="Arial" w:cs="Arial" w:eastAsia="Arial" w:hAnsi="Arial"/>
          <w:sz w:val="19"/>
          <w:szCs w:val="19"/>
          <w:color w:val="000000"/>
        </w:rPr>
        <w:t>that the Adjusted LIBO Rate, the LIBO Rate, the Adjusted</w:t>
      </w:r>
      <w:r>
        <w:rPr>
          <w:rFonts w:ascii="Arial" w:cs="Arial" w:eastAsia="Arial" w:hAnsi="Arial"/>
          <w:sz w:val="19"/>
          <w:szCs w:val="19"/>
          <w:color w:val="0000FF"/>
        </w:rPr>
        <w:t xml:space="preserve"> </w:t>
      </w:r>
      <w:r>
        <w:rPr>
          <w:rFonts w:ascii="Arial" w:cs="Arial" w:eastAsia="Arial" w:hAnsi="Arial"/>
          <w:sz w:val="19"/>
          <w:szCs w:val="19"/>
          <w:color w:val="000000"/>
        </w:rPr>
        <w:t xml:space="preserve">EURIBOR Rate, the EURIBOR Rate, the Adjusted TIBOR Rate, the TIBOR Rate or the CDOR Screen Rate, as applicable, for the applicable Agreed Currency and such Interest Period will not adequately and fairly reflect the cost to such Lenders (or Lender) of making or maintaining their Loans (or its Loan) included in such Borrowing for the applicable Agreed Currency and such Interest Period </w:t>
      </w:r>
      <w:r>
        <w:rPr>
          <w:rFonts w:ascii="Arial" w:cs="Arial" w:eastAsia="Arial" w:hAnsi="Arial"/>
          <w:sz w:val="19"/>
          <w:szCs w:val="19"/>
          <w:u w:val="single" w:color="auto"/>
          <w:color w:val="0000FF"/>
        </w:rPr>
        <w:t>or (B) at any time, that the Adjusted Daily Simple SONIA with respect to any Borrowing</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denominated in Sterling will not adequately and fairly reflect the cost to such Lenders of making or maintaining the Loans included in such Borrowing</w:t>
      </w:r>
      <w:r>
        <w:rPr>
          <w:rFonts w:ascii="Arial" w:cs="Arial" w:eastAsia="Arial" w:hAnsi="Arial"/>
          <w:sz w:val="19"/>
          <w:szCs w:val="19"/>
          <w:color w:val="000000"/>
        </w:rPr>
        <w:t>;</w:t>
      </w:r>
    </w:p>
    <w:p>
      <w:pPr>
        <w:spacing w:after="0" w:line="15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then the Administrative Agent shall give written notice thereof to the Borrower and the Lenders by hand delivery, facsimile or electronic mail as promptly as practicable thereafter and, until the Administrative Agent notifies the Borrower and the Lenders that the circumstances giving rise to such notice no longer exist, (A) any Conversion or Continuation of Loans that requests the conversion of any Borrowing to, or continuation of any Borrowing as, a Floating Rate Borrowing that is affected by the foregoing circumstances shall be ineffective, (B) if any Request for Extension of Credit requests a Floating Rate Borrowing that is affected by the foregoing circumstances in Dollars, such Borrowing shall be made as a Base Rate Borrowing, (C) if any Request for Extension of Credit requests a Floating Rate Borrowing that is affected by the foregoing circumstances in Canadian Dollars, such Borrowing shall be made as a Canadian Prime Rate Borrowing, (D) if any Request for Extension of Credit requests a Floating Rate Borrowing in an Alternative Currency (other than Canadian Dollars </w:t>
      </w:r>
      <w:r>
        <w:rPr>
          <w:rFonts w:ascii="Arial" w:cs="Arial" w:eastAsia="Arial" w:hAnsi="Arial"/>
          <w:sz w:val="18"/>
          <w:szCs w:val="18"/>
          <w:u w:val="single" w:color="auto"/>
          <w:color w:val="0000FF"/>
        </w:rPr>
        <w:t>or Sterling</w:t>
      </w:r>
      <w:r>
        <w:rPr>
          <w:rFonts w:ascii="Arial" w:cs="Arial" w:eastAsia="Arial" w:hAnsi="Arial"/>
          <w:sz w:val="18"/>
          <w:szCs w:val="18"/>
          <w:color w:val="auto"/>
        </w:rPr>
        <w:t>) that is affected by the foregoing circumstances, then such request shall bear interest by reference to an acceptable alternative rate mutually established by Borrower, the Administrative Agent and the applicable Lenders (for so long as no such alternative rate is established, or if no such alternative rate can be established, such request shall be ineffective)</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color w:val="FF0000"/>
          <w:strike w:val="1"/>
        </w:rPr>
        <w:t>and</w:t>
      </w:r>
      <w:r>
        <w:rPr>
          <w:rFonts w:ascii="Arial" w:cs="Arial" w:eastAsia="Arial" w:hAnsi="Arial"/>
          <w:sz w:val="18"/>
          <w:szCs w:val="18"/>
          <w:color w:val="auto"/>
        </w:rPr>
        <w:t xml:space="preserve"> (E) any request by the Borrower for a Floating Rate Competitive Borrowing shall be </w:t>
      </w:r>
      <w:r>
        <w:rPr>
          <w:rFonts w:ascii="Arial" w:cs="Arial" w:eastAsia="Arial" w:hAnsi="Arial"/>
          <w:sz w:val="18"/>
          <w:szCs w:val="18"/>
          <w:u w:val="single" w:color="auto"/>
          <w:color w:val="0000FF"/>
        </w:rPr>
        <w:t>ineffective, (F) if any Request for Extension of Credit requests a Floating Rate Borrowing that is affected by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foregoing circumstances in Sterling, such request shall be</w:t>
      </w:r>
      <w:r>
        <w:rPr>
          <w:rFonts w:ascii="Arial" w:cs="Arial" w:eastAsia="Arial" w:hAnsi="Arial"/>
          <w:sz w:val="18"/>
          <w:szCs w:val="18"/>
          <w:color w:val="0000FF"/>
        </w:rPr>
        <w:t xml:space="preserve"> </w:t>
      </w:r>
      <w:r>
        <w:rPr>
          <w:rFonts w:ascii="Arial" w:cs="Arial" w:eastAsia="Arial" w:hAnsi="Arial"/>
          <w:sz w:val="18"/>
          <w:szCs w:val="18"/>
          <w:color w:val="000000"/>
        </w:rPr>
        <w:t>ineffective;</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FF"/>
        </w:rPr>
        <w:t xml:space="preserve"> </w:t>
      </w:r>
      <w:r>
        <w:rPr>
          <w:rFonts w:ascii="Arial" w:cs="Arial" w:eastAsia="Arial" w:hAnsi="Arial"/>
          <w:sz w:val="18"/>
          <w:szCs w:val="18"/>
          <w:color w:val="000000"/>
        </w:rPr>
        <w:t>that if the circumstances giving rise to such notice do not</w:t>
      </w:r>
      <w:r>
        <w:rPr>
          <w:rFonts w:ascii="Arial" w:cs="Arial" w:eastAsia="Arial" w:hAnsi="Arial"/>
          <w:sz w:val="18"/>
          <w:szCs w:val="18"/>
          <w:color w:val="0000FF"/>
        </w:rPr>
        <w:t xml:space="preserve"> </w:t>
      </w:r>
      <w:r>
        <w:rPr>
          <w:rFonts w:ascii="Arial" w:cs="Arial" w:eastAsia="Arial" w:hAnsi="Arial"/>
          <w:sz w:val="18"/>
          <w:szCs w:val="18"/>
          <w:color w:val="000000"/>
        </w:rPr>
        <w:t xml:space="preserve">affect all the Lenders, then requests by the Borrower for Floating Rate Competitive Borrowings may be made to Lenders that are not affected thereby;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however, that, in each case, Borrower may revoke any Request for Extension of Credit that is pending when any such notice is received. Furthermore, if any Floating Rate Loan in any Agreed Currency is outstanding on the date of the Borrower’s receipt of the notice from the Administrative Agent referred to in this Section 3.03(a) with respect to a Relevant Rate applicable to such Floating Rate Loan, then until the Administrative Agent notifies the Borrower and the Lenders that the circumstances giving rise to such notice no longer exist (which it shall do promptly after such circumstances no longer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05" w:right="339" w:bottom="1440" w:gutter="0" w:footer="0" w:header="0"/>
        </w:sectPr>
      </w:pPr>
    </w:p>
    <w:bookmarkStart w:id="221" w:name="page222"/>
    <w:bookmarkEnd w:id="221"/>
    <w:p>
      <w:pPr>
        <w:jc w:val="both"/>
        <w:ind w:firstLine="8"/>
        <w:spacing w:after="0" w:line="220" w:lineRule="auto"/>
        <w:tabs>
          <w:tab w:leader="none" w:pos="25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such Floating Rate Loan is denominated in Dollars, then on the last day of the Interest Period applicable to such Loan (or the next succeeding Business Day if such day is not a Business Day), such Loan shall be converted by the Administrative Agent to, and shall constitute, a Base Rate Loan denominated in Dollars on such day, (ii) if such Floating Rate Loan is denominated in Canadian Dollars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then on the last day of the Interest Period applicable to such Loan (or the next succeeding Business Day if such day is not a Business Day), such Loan shall be converted by the Administrative Agent to, and shall constitute, a Canadian Prime Rate Loan denominated in Canadian Dollars on such day</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color w:val="FF0000"/>
        </w:rPr>
        <w:t>and</w:t>
      </w:r>
      <w:r>
        <w:rPr>
          <w:rFonts w:ascii="Arial" w:cs="Arial" w:eastAsia="Arial" w:hAnsi="Arial"/>
          <w:sz w:val="18"/>
          <w:szCs w:val="18"/>
          <w:color w:val="auto"/>
        </w:rPr>
        <w:t xml:space="preserve"> (iii</w:t>
      </w:r>
      <w:r>
        <w:rPr>
          <w:rFonts w:ascii="Arial" w:cs="Arial" w:eastAsia="Arial" w:hAnsi="Arial"/>
          <w:sz w:val="18"/>
          <w:szCs w:val="18"/>
          <w:u w:val="single" w:color="auto"/>
          <w:color w:val="0000FF"/>
        </w:rPr>
        <w:t>) if such Floating Rate Loan is denominated in Sterling, then on the next succeeding Business Day after the Borrower’s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receipt of such notice if such notice is delivered in connection with the circumstances contemplated by Section 3.03(a)(i), or on the third succeeding Business Day after the Borrower’s receipt of such notice if such notice is delivered in connection with the circumstances contemplated by Section 3.03(a)(ii), such Loan shall, at the Borrower’s election (it being understood that if the Borrower does not affirmatively make an election by the next succeeding Business Day or third succeeding Business Day, as applicable, the Borrower will be deemed to have elected option (3)), either (1) be prepaid (including interest that accrues after the date of notice), (2) be converted by the Administrative Agent to, and shall constitute, a Base Rate Loan denominated in Dollars (in an amount equal to the Dollar Amount thereof) or</w:t>
      </w:r>
    </w:p>
    <w:p>
      <w:pPr>
        <w:spacing w:after="0" w:line="7" w:lineRule="exact"/>
        <w:rPr>
          <w:rFonts w:ascii="Arial" w:cs="Arial" w:eastAsia="Arial" w:hAnsi="Arial"/>
          <w:sz w:val="18"/>
          <w:szCs w:val="18"/>
          <w:color w:val="auto"/>
        </w:rPr>
      </w:pPr>
    </w:p>
    <w:p>
      <w:pPr>
        <w:jc w:val="both"/>
        <w:spacing w:after="0" w:line="213" w:lineRule="auto"/>
        <w:rPr>
          <w:rFonts w:ascii="Arial" w:cs="Arial" w:eastAsia="Arial" w:hAnsi="Arial"/>
          <w:sz w:val="18"/>
          <w:szCs w:val="18"/>
          <w:color w:val="auto"/>
        </w:rPr>
      </w:pPr>
      <w:r>
        <w:rPr>
          <w:rFonts w:ascii="Arial" w:cs="Arial" w:eastAsia="Arial" w:hAnsi="Arial"/>
          <w:sz w:val="19"/>
          <w:szCs w:val="19"/>
          <w:u w:val="single" w:color="auto"/>
          <w:color w:val="0000FF"/>
        </w:rPr>
        <w:t>(3) be converted by the Administrative Agent to, and shall constitute, a Loan bearing interest at the Central Bank Rate for Sterling plus the CBR Spread; provided that the Central Bank Rate for Sterling can be determined by the Administrative Agent and (iv</w:t>
      </w:r>
      <w:r>
        <w:rPr>
          <w:rFonts w:ascii="Arial" w:cs="Arial" w:eastAsia="Arial" w:hAnsi="Arial"/>
          <w:sz w:val="19"/>
          <w:szCs w:val="19"/>
          <w:color w:val="000000"/>
        </w:rPr>
        <w:t>) if such Floating Rate</w:t>
      </w:r>
      <w:r>
        <w:rPr>
          <w:rFonts w:ascii="Arial" w:cs="Arial" w:eastAsia="Arial" w:hAnsi="Arial"/>
          <w:sz w:val="19"/>
          <w:szCs w:val="19"/>
          <w:color w:val="0000FF"/>
        </w:rPr>
        <w:t xml:space="preserve"> </w:t>
      </w:r>
      <w:r>
        <w:rPr>
          <w:rFonts w:ascii="Arial" w:cs="Arial" w:eastAsia="Arial" w:hAnsi="Arial"/>
          <w:sz w:val="19"/>
          <w:szCs w:val="19"/>
          <w:color w:val="000000"/>
        </w:rPr>
        <w:t>Loan is denominated in any Agreed Currency other than Dollars</w:t>
      </w:r>
      <w:r>
        <w:rPr>
          <w:rFonts w:ascii="Arial" w:cs="Arial" w:eastAsia="Arial" w:hAnsi="Arial"/>
          <w:sz w:val="19"/>
          <w:szCs w:val="19"/>
          <w:u w:val="single" w:color="auto"/>
          <w:color w:val="0000FF"/>
        </w:rPr>
        <w:t>, Sterling</w:t>
      </w:r>
      <w:r>
        <w:rPr>
          <w:rFonts w:ascii="Arial" w:cs="Arial" w:eastAsia="Arial" w:hAnsi="Arial"/>
          <w:sz w:val="19"/>
          <w:szCs w:val="19"/>
          <w:color w:val="000000"/>
        </w:rPr>
        <w:t xml:space="preserve"> or Canadian Dollars, then such Loan shall, on the last day of the Interest Period applicable to such Loan (or the next succeeding Business Day if such day is not a Business Day), at the Borrower’s election prior to such day: (A) be prepaid by the Borrower on such day, (B) solely for the purpose of calculating the interest rate applicable to such Floating Rate Loan, such Floating Rate Loan denominated in any Agreed Currency other than Dollars shall be deemed to be a Floating Rate Loan denominated in Dollars and shall accrue interest at the same interest rate applicable to Floating Rate Loans denominated in Dollars at such time or (C) if an interest rate is mutually established by Borrower, the Administrative Agent and the applicable Lenders, bear interest at such rate.</w:t>
      </w:r>
    </w:p>
    <w:p>
      <w:pPr>
        <w:spacing w:after="0" w:line="155" w:lineRule="exact"/>
        <w:rPr>
          <w:rFonts w:ascii="Arial" w:cs="Arial" w:eastAsia="Arial" w:hAnsi="Arial"/>
          <w:sz w:val="18"/>
          <w:szCs w:val="18"/>
          <w:color w:val="auto"/>
        </w:rPr>
      </w:pPr>
    </w:p>
    <w:p>
      <w:pPr>
        <w:jc w:val="both"/>
        <w:ind w:firstLine="1304"/>
        <w:spacing w:after="0" w:line="225" w:lineRule="auto"/>
        <w:tabs>
          <w:tab w:leader="none" w:pos="199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5" w:lineRule="exact"/>
        <w:rPr>
          <w:rFonts w:ascii="Arial" w:cs="Arial" w:eastAsia="Arial" w:hAnsi="Arial"/>
          <w:sz w:val="18"/>
          <w:szCs w:val="18"/>
          <w:color w:val="auto"/>
        </w:rPr>
      </w:pPr>
    </w:p>
    <w:p>
      <w:pPr>
        <w:jc w:val="both"/>
        <w:ind w:firstLine="1304"/>
        <w:spacing w:after="0" w:line="226" w:lineRule="auto"/>
        <w:tabs>
          <w:tab w:leader="none" w:pos="193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and subject to the proviso below in this paragraph, (x) with respect to a Loan denominated in Dollars, if a Term SOFR Transition Event and its related Benchmark Replacement Date, (y) with respect to a Loan denominated in Euros, if a Term ESTR Transition Event and its related Benchmark Replacement Date, or (z) with respect to a Loan denominated in Yen, if a Term TONA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(c) shall not be effective unless the Administrative Agent has delivered to the Lenders and the Borrower a Term SOFR Notice, a Term ESTR Notice or a Term TONA Notice, as applicable. For the avoidance of doubt, the Administrative Agent shall not be required to deliver any (x) Term SOFR Notice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-4784090</wp:posOffset>
            </wp:positionV>
            <wp:extent cx="220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4">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05" w:right="339" w:bottom="1440" w:gutter="0" w:footer="0" w:header="0"/>
        </w:sectPr>
      </w:pPr>
    </w:p>
    <w:bookmarkStart w:id="222" w:name="page223"/>
    <w:bookmarkEnd w:id="222"/>
    <w:p>
      <w:pPr>
        <w:spacing w:after="0" w:line="229" w:lineRule="auto"/>
        <w:rPr>
          <w:sz w:val="20"/>
          <w:szCs w:val="20"/>
          <w:color w:val="auto"/>
        </w:rPr>
      </w:pPr>
      <w:r>
        <w:rPr>
          <w:rFonts w:ascii="Arial" w:cs="Arial" w:eastAsia="Arial" w:hAnsi="Arial"/>
          <w:sz w:val="20"/>
          <w:szCs w:val="20"/>
          <w:color w:val="auto"/>
        </w:rPr>
        <w:t>occurrence of a Term SOFR Transition Event, (y) Term ESTR Notice after the occurrence of a Term ESTR Transition Event or (z) Term TONA Notice after the occurrence of a Term TONA Transition Event, and may do so in its sole discretion.</w:t>
      </w:r>
    </w:p>
    <w:p>
      <w:pPr>
        <w:spacing w:after="0" w:line="155" w:lineRule="exact"/>
        <w:rPr>
          <w:sz w:val="20"/>
          <w:szCs w:val="20"/>
          <w:color w:val="auto"/>
        </w:rPr>
      </w:pPr>
    </w:p>
    <w:p>
      <w:pPr>
        <w:jc w:val="both"/>
        <w:ind w:firstLine="1304"/>
        <w:spacing w:after="0" w:line="236" w:lineRule="auto"/>
        <w:tabs>
          <w:tab w:leader="none" w:pos="193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57" w:lineRule="exact"/>
        <w:rPr>
          <w:rFonts w:ascii="Arial" w:cs="Arial" w:eastAsia="Arial" w:hAnsi="Arial"/>
          <w:sz w:val="18"/>
          <w:szCs w:val="18"/>
          <w:color w:val="auto"/>
        </w:rPr>
      </w:pPr>
    </w:p>
    <w:p>
      <w:pPr>
        <w:jc w:val="both"/>
        <w:ind w:firstLine="1304"/>
        <w:spacing w:after="0" w:line="227" w:lineRule="auto"/>
        <w:tabs>
          <w:tab w:leader="none" w:pos="193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Borrower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and/or Borrower or, if applicable, any Lender (or group of Lenders) pursuant to this Section 3.03,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w:t>
      </w:r>
    </w:p>
    <w:p>
      <w:pPr>
        <w:spacing w:after="0" w:line="155" w:lineRule="exact"/>
        <w:rPr>
          <w:rFonts w:ascii="Arial" w:cs="Arial" w:eastAsia="Arial" w:hAnsi="Arial"/>
          <w:sz w:val="18"/>
          <w:szCs w:val="18"/>
          <w:color w:val="auto"/>
        </w:rPr>
      </w:pPr>
    </w:p>
    <w:p>
      <w:pPr>
        <w:jc w:val="both"/>
        <w:ind w:firstLine="1304"/>
        <w:spacing w:after="0" w:line="225" w:lineRule="auto"/>
        <w:tabs>
          <w:tab w:leader="none" w:pos="203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at any time (including in connection with the implementation of a Benchmark Replacement), (i) if the then-current Benchmark is a term rate (including Term SOFR, </w:t>
      </w:r>
      <w:r>
        <w:rPr>
          <w:rFonts w:ascii="Arial" w:cs="Arial" w:eastAsia="Arial" w:hAnsi="Arial"/>
          <w:sz w:val="18"/>
          <w:szCs w:val="18"/>
          <w:u w:val="single" w:color="auto"/>
          <w:color w:val="0000FF"/>
        </w:rPr>
        <w:t>Daily Simple SONIA,</w:t>
      </w:r>
      <w:r>
        <w:rPr>
          <w:rFonts w:ascii="Arial" w:cs="Arial" w:eastAsia="Arial" w:hAnsi="Arial"/>
          <w:sz w:val="18"/>
          <w:szCs w:val="18"/>
          <w:color w:val="0000FF"/>
        </w:rPr>
        <w:t xml:space="preserve"> </w:t>
      </w:r>
      <w:r>
        <w:rPr>
          <w:rFonts w:ascii="Arial" w:cs="Arial" w:eastAsia="Arial" w:hAnsi="Arial"/>
          <w:sz w:val="18"/>
          <w:szCs w:val="18"/>
          <w:color w:val="000000"/>
        </w:rPr>
        <w:t>Term ESTR, Term TONA, LIBO Rate, EURIBOR Rate or TIBOR Rate) and either (A) any tenor for such Benchmark</w:t>
      </w:r>
      <w:r>
        <w:rPr>
          <w:rFonts w:ascii="Arial" w:cs="Arial" w:eastAsia="Arial" w:hAnsi="Arial"/>
          <w:sz w:val="18"/>
          <w:szCs w:val="18"/>
          <w:color w:val="0000FF"/>
        </w:rPr>
        <w:t xml:space="preserve"> </w:t>
      </w:r>
      <w:r>
        <w:rPr>
          <w:rFonts w:ascii="Arial" w:cs="Arial" w:eastAsia="Arial" w:hAnsi="Arial"/>
          <w:sz w:val="18"/>
          <w:szCs w:val="18"/>
          <w:color w:val="000000"/>
        </w:rPr>
        <w:t>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0" w:lineRule="exact"/>
        <w:rPr>
          <w:rFonts w:ascii="Arial" w:cs="Arial" w:eastAsia="Arial" w:hAnsi="Arial"/>
          <w:sz w:val="18"/>
          <w:szCs w:val="18"/>
          <w:color w:val="auto"/>
        </w:rPr>
      </w:pPr>
    </w:p>
    <w:p>
      <w:pPr>
        <w:jc w:val="both"/>
        <w:ind w:firstLine="1304"/>
        <w:spacing w:after="0" w:line="224" w:lineRule="auto"/>
        <w:tabs>
          <w:tab w:leader="none" w:pos="193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Upon the Borrower’s receipt of notice of the commencement of a Benchmark Unavailability Period, the Borrower may revoke any request for a Floating Rate Borrowing of, conversion to or continuation of Floating Rate Loans to be made, converted or continued during any Benchmark Unavailability Period and, failing that, either (x) the Borrower will be deemed to have converted any request for a Floating Rate Borrowing denominated in Dollars into a request for a Borrowing of or conversion to Base Rate Loans, (y) the Borrower will be deemed to have converted any request for a Floating Rate Borrowing denominated in Canadian Dollars into a request for a Borrowing of or conversion to Canadian Prime Rate Loans or (z) any </w:t>
      </w:r>
      <w:r>
        <w:rPr>
          <w:rFonts w:ascii="Arial" w:cs="Arial" w:eastAsia="Arial" w:hAnsi="Arial"/>
          <w:sz w:val="18"/>
          <w:szCs w:val="18"/>
          <w:u w:val="single" w:color="auto"/>
          <w:color w:val="0000FF"/>
        </w:rPr>
        <w:t>request for a</w:t>
      </w:r>
      <w:r>
        <w:rPr>
          <w:rFonts w:ascii="Arial" w:cs="Arial" w:eastAsia="Arial" w:hAnsi="Arial"/>
          <w:sz w:val="18"/>
          <w:szCs w:val="18"/>
          <w:color w:val="auto"/>
        </w:rPr>
        <w:t xml:space="preserve"> Floating Rate Borrowing denominated in an Alternative Currency </w:t>
      </w:r>
      <w:r>
        <w:rPr>
          <w:rFonts w:ascii="Arial" w:cs="Arial" w:eastAsia="Arial" w:hAnsi="Arial"/>
          <w:sz w:val="18"/>
          <w:szCs w:val="18"/>
          <w:u w:val="single" w:color="auto"/>
          <w:color w:val="0000FF"/>
        </w:rPr>
        <w:t>(other than Canadian Dollars)</w:t>
      </w:r>
      <w:r>
        <w:rPr>
          <w:rFonts w:ascii="Arial" w:cs="Arial" w:eastAsia="Arial" w:hAnsi="Arial"/>
          <w:sz w:val="18"/>
          <w:szCs w:val="18"/>
          <w:color w:val="auto"/>
        </w:rPr>
        <w:t xml:space="preserve"> shall be ineffective.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Furthermore, if any Floating Rate Loan in any Agreed Currency is outstanding on the date of the Borrower’s receipt of notice of the commencement of a Benchmark Unavailability Period with respect to a Relevant Rate applicable to such Floating Rate Loan, then until such time as a Benchmark Replacement for such Agreed Currency is implemented pursuant to this Section 3.03, (i) if such Floating Rate Loan is denominated in Dollars, then on the last day of the Interest Period applicable to such Loan (or the next succeeding Business Day if such day is not a Business Day), such Loan shall be converted by the Administrative Agent to,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05" w:right="339" w:bottom="1440" w:gutter="0" w:footer="0" w:header="0"/>
        </w:sectPr>
      </w:pPr>
    </w:p>
    <w:bookmarkStart w:id="223" w:name="page224"/>
    <w:bookmarkEnd w:id="223"/>
    <w:p>
      <w:pPr>
        <w:jc w:val="both"/>
        <w:spacing w:after="0" w:line="225" w:lineRule="auto"/>
        <w:rPr>
          <w:sz w:val="20"/>
          <w:szCs w:val="20"/>
          <w:color w:val="auto"/>
        </w:rPr>
      </w:pPr>
      <w:r>
        <w:rPr>
          <w:rFonts w:ascii="Arial" w:cs="Arial" w:eastAsia="Arial" w:hAnsi="Arial"/>
          <w:sz w:val="18"/>
          <w:szCs w:val="18"/>
          <w:color w:val="auto"/>
        </w:rPr>
        <w:t>constitute, a Base Rate Loan denominated in Dollars on such day</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color w:val="FF0000"/>
          <w:strike w:val="1"/>
        </w:rPr>
        <w:t>or</w:t>
      </w:r>
      <w:r>
        <w:rPr>
          <w:rFonts w:ascii="Arial" w:cs="Arial" w:eastAsia="Arial" w:hAnsi="Arial"/>
          <w:sz w:val="18"/>
          <w:szCs w:val="18"/>
          <w:color w:val="auto"/>
        </w:rPr>
        <w:t xml:space="preserve"> (ii</w:t>
      </w:r>
      <w:r>
        <w:rPr>
          <w:rFonts w:ascii="Arial" w:cs="Arial" w:eastAsia="Arial" w:hAnsi="Arial"/>
          <w:sz w:val="18"/>
          <w:szCs w:val="18"/>
          <w:u w:val="single" w:color="auto"/>
          <w:color w:val="0000FF"/>
        </w:rPr>
        <w:t>) if such Floating Rate Loan is denominated in Sterling, then on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next succeeding Business Day after the Borrower’s receipt of such notice, such Loan shall, at the Borrower’s election (it being understood that if the Borrower does not affirmatively make an election by the next succeeding Business Day, the Borrower will be deemed to have elected option (3)), either (1) be prepaid (including interest that accrues after the date of such notice), (2) be converted by the Administrative Agent to, and shall constitute, a Base Rate Loan denominated in Dollars (in an amount equal to the Dollar Amount thereof) or (3) be converted by the Administrative Agent to, and shall constitute, a Loan bearing interest at the Central Bank Rate for Sterling plus the CBR Spread; provided that the Central Bank Rate for Sterling can be determined by the Administrative Agent or (iii</w:t>
      </w:r>
      <w:r>
        <w:rPr>
          <w:rFonts w:ascii="Arial" w:cs="Arial" w:eastAsia="Arial" w:hAnsi="Arial"/>
          <w:sz w:val="18"/>
          <w:szCs w:val="18"/>
          <w:color w:val="000000"/>
        </w:rPr>
        <w:t>) if such Floating Rate Loan is</w:t>
      </w:r>
      <w:r>
        <w:rPr>
          <w:rFonts w:ascii="Arial" w:cs="Arial" w:eastAsia="Arial" w:hAnsi="Arial"/>
          <w:sz w:val="18"/>
          <w:szCs w:val="18"/>
          <w:color w:val="0000FF"/>
        </w:rPr>
        <w:t xml:space="preserve"> </w:t>
      </w:r>
      <w:r>
        <w:rPr>
          <w:rFonts w:ascii="Arial" w:cs="Arial" w:eastAsia="Arial" w:hAnsi="Arial"/>
          <w:sz w:val="18"/>
          <w:szCs w:val="18"/>
          <w:color w:val="000000"/>
        </w:rPr>
        <w:t xml:space="preserve">denominated in any Agreed Currency other than Dollars </w:t>
      </w:r>
      <w:r>
        <w:rPr>
          <w:rFonts w:ascii="Arial" w:cs="Arial" w:eastAsia="Arial" w:hAnsi="Arial"/>
          <w:sz w:val="18"/>
          <w:szCs w:val="18"/>
          <w:u w:val="single" w:color="auto"/>
          <w:color w:val="0000FF"/>
        </w:rPr>
        <w:t>and Sterling</w:t>
      </w:r>
      <w:r>
        <w:rPr>
          <w:rFonts w:ascii="Arial" w:cs="Arial" w:eastAsia="Arial" w:hAnsi="Arial"/>
          <w:sz w:val="18"/>
          <w:szCs w:val="18"/>
          <w:color w:val="000000"/>
        </w:rPr>
        <w:t>, then such Loan shall, on the last day of the Interest Period applicable to such Loan (or the next succeeding Business Day if such day is not a Business Day), at the Borrower’s election prior to such day: (A) be prepaid by the Borrower on such day or (B) solely for the purpose of calculating the interest rate applicable to such Floating Rate Loan, such Floating Rate Loan denominated in any Agreed Currency other than Dollars shall be deemed to be a Floating Rate Loan denominated in Dollars and shall accrue interest at the same interest rate applicable to Floating Rate Loans denominated in Dollars at such time.</w:t>
      </w:r>
    </w:p>
    <w:p>
      <w:pPr>
        <w:spacing w:after="0" w:line="15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u w:val="single" w:color="auto"/>
          <w:color w:val="auto"/>
        </w:rPr>
        <w:t>Increased Cost and Reduced Return; Capital Adequacy</w:t>
      </w:r>
      <w:r>
        <w:rPr>
          <w:rFonts w:ascii="Arial" w:cs="Arial" w:eastAsia="Arial" w:hAnsi="Arial"/>
          <w:sz w:val="16"/>
          <w:szCs w:val="16"/>
          <w:color w:val="auto"/>
        </w:rPr>
        <w:t>.</w:t>
      </w:r>
    </w:p>
    <w:p>
      <w:pPr>
        <w:spacing w:after="0" w:line="175" w:lineRule="exact"/>
        <w:rPr>
          <w:sz w:val="20"/>
          <w:szCs w:val="20"/>
          <w:color w:val="auto"/>
        </w:rPr>
      </w:pPr>
    </w:p>
    <w:p>
      <w:pPr>
        <w:ind w:firstLine="1304"/>
        <w:spacing w:after="0" w:line="229" w:lineRule="auto"/>
        <w:tabs>
          <w:tab w:leader="none" w:pos="1934"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If any Lender Party determines that the adoption of any Law or any change in any Law or in the interpretation thereof effective after the date hereof:</w:t>
      </w:r>
    </w:p>
    <w:p>
      <w:pPr>
        <w:spacing w:after="0" w:line="155" w:lineRule="exact"/>
        <w:rPr>
          <w:rFonts w:ascii="Arial" w:cs="Arial" w:eastAsia="Arial" w:hAnsi="Arial"/>
          <w:sz w:val="20"/>
          <w:szCs w:val="20"/>
          <w:color w:val="auto"/>
        </w:rPr>
      </w:pPr>
    </w:p>
    <w:p>
      <w:pPr>
        <w:jc w:val="both"/>
        <w:ind w:left="1300" w:firstLine="652"/>
        <w:spacing w:after="0" w:line="224" w:lineRule="auto"/>
        <w:tabs>
          <w:tab w:leader="none" w:pos="2562" w:val="left"/>
        </w:tabs>
        <w:numPr>
          <w:ilvl w:val="1"/>
          <w:numId w:val="173"/>
        </w:numPr>
        <w:rPr>
          <w:rFonts w:ascii="Arial" w:cs="Arial" w:eastAsia="Arial" w:hAnsi="Arial"/>
          <w:sz w:val="19"/>
          <w:szCs w:val="19"/>
          <w:color w:val="auto"/>
        </w:rPr>
      </w:pPr>
      <w:r>
        <w:rPr>
          <w:rFonts w:ascii="Arial" w:cs="Arial" w:eastAsia="Arial" w:hAnsi="Arial"/>
          <w:sz w:val="19"/>
          <w:szCs w:val="19"/>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Floating Rate Loans or Fixed Rate Loans or its obligation to make Floating Rate Loans or Fixed Rate Loans;</w:t>
      </w:r>
    </w:p>
    <w:p>
      <w:pPr>
        <w:spacing w:after="0" w:line="156" w:lineRule="exact"/>
        <w:rPr>
          <w:rFonts w:ascii="Arial" w:cs="Arial" w:eastAsia="Arial" w:hAnsi="Arial"/>
          <w:sz w:val="19"/>
          <w:szCs w:val="19"/>
          <w:color w:val="auto"/>
        </w:rPr>
      </w:pPr>
    </w:p>
    <w:p>
      <w:pPr>
        <w:jc w:val="both"/>
        <w:ind w:left="1300" w:firstLine="652"/>
        <w:spacing w:after="0" w:line="224" w:lineRule="auto"/>
        <w:tabs>
          <w:tab w:leader="none" w:pos="2536" w:val="left"/>
        </w:tabs>
        <w:numPr>
          <w:ilvl w:val="1"/>
          <w:numId w:val="173"/>
        </w:numPr>
        <w:rPr>
          <w:rFonts w:ascii="Arial" w:cs="Arial" w:eastAsia="Arial" w:hAnsi="Arial"/>
          <w:sz w:val="19"/>
          <w:szCs w:val="19"/>
          <w:color w:val="auto"/>
        </w:rPr>
      </w:pPr>
      <w:r>
        <w:rPr>
          <w:rFonts w:ascii="Arial" w:cs="Arial" w:eastAsia="Arial" w:hAnsi="Arial"/>
          <w:sz w:val="19"/>
          <w:szCs w:val="19"/>
          <w:color w:val="auto"/>
        </w:rPr>
        <w:t>Imposes or modifies any reserve, special deposit, compulsory loan, insurance charge, or similar requirement (other than the reserve requirement utilized in the determination of the Adjusted LIBO Rate, the Adjusted EURIBOR Rate or the Adjusted TIBOR Rate, as applicable) relating to any extensions of credit or other assets of, or any deposits with or other liabilities or commitments of, such Lender Party (including its Revolving Commitment); or</w:t>
      </w:r>
    </w:p>
    <w:p>
      <w:pPr>
        <w:spacing w:after="0" w:line="156" w:lineRule="exact"/>
        <w:rPr>
          <w:rFonts w:ascii="Arial" w:cs="Arial" w:eastAsia="Arial" w:hAnsi="Arial"/>
          <w:sz w:val="19"/>
          <w:szCs w:val="19"/>
          <w:color w:val="auto"/>
        </w:rPr>
      </w:pPr>
    </w:p>
    <w:p>
      <w:pPr>
        <w:ind w:left="1300" w:firstLine="652"/>
        <w:spacing w:after="0" w:line="242" w:lineRule="auto"/>
        <w:tabs>
          <w:tab w:leader="none" w:pos="2537" w:val="left"/>
        </w:tabs>
        <w:numPr>
          <w:ilvl w:val="1"/>
          <w:numId w:val="173"/>
        </w:numPr>
        <w:rPr>
          <w:rFonts w:ascii="Arial" w:cs="Arial" w:eastAsia="Arial" w:hAnsi="Arial"/>
          <w:sz w:val="19"/>
          <w:szCs w:val="19"/>
          <w:color w:val="auto"/>
        </w:rPr>
      </w:pPr>
      <w:r>
        <w:rPr>
          <w:rFonts w:ascii="Arial" w:cs="Arial" w:eastAsia="Arial" w:hAnsi="Arial"/>
          <w:sz w:val="19"/>
          <w:szCs w:val="19"/>
          <w:color w:val="auto"/>
        </w:rPr>
        <w:t>Imposes on such Lender Party or on the offshore interbank market any other condition, cost or expense (other than taxes) affecting this Agreement or any of such extensions of credit or liabilities or commitments;</w:t>
      </w:r>
    </w:p>
    <w:p>
      <w:pPr>
        <w:spacing w:after="0" w:line="153"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and the result of any of the foregoing is to increase the cost to such Lender Party of making, Converting into, Continuing, or maintaining any Floating Rate Loans or Fixed Rate Loans or issuing or participating in Letters of Credit or to reduce any sum received or receivable by such Lender Party under this Agreement with respect to any Floating Rate Loans or Fixed Rate Loans or Letter of Credit, then from time to time upon demand of such Lender Party (with a copy of such demand to Administrative Agent), Borrower shall pay to such Lender Party such additional amounts as will compensate such Lender Party for such increased cost or reduction.</w:t>
      </w:r>
    </w:p>
    <w:p>
      <w:pPr>
        <w:spacing w:after="0" w:line="155" w:lineRule="exact"/>
        <w:rPr>
          <w:sz w:val="20"/>
          <w:szCs w:val="20"/>
          <w:color w:val="auto"/>
        </w:rPr>
      </w:pPr>
    </w:p>
    <w:p>
      <w:pPr>
        <w:jc w:val="both"/>
        <w:ind w:firstLine="1304"/>
        <w:spacing w:after="0" w:line="206" w:lineRule="auto"/>
        <w:tabs>
          <w:tab w:leader="none" w:pos="193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Borrower shall pay to such Lender Party such additional amounts as will compensate such Lender Party for such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05" w:right="339" w:bottom="1440" w:gutter="0" w:footer="0" w:header="0"/>
        </w:sectPr>
      </w:pPr>
    </w:p>
    <w:bookmarkStart w:id="224" w:name="page225"/>
    <w:bookmarkEnd w:id="224"/>
    <w:p>
      <w:pPr>
        <w:jc w:val="both"/>
        <w:ind w:firstLine="1304"/>
        <w:spacing w:after="0" w:line="213" w:lineRule="auto"/>
        <w:tabs>
          <w:tab w:leader="none" w:pos="1565" w:val="left"/>
        </w:tabs>
        <w:numPr>
          <w:ilvl w:val="0"/>
          <w:numId w:val="175"/>
        </w:numPr>
        <w:rPr>
          <w:rFonts w:ascii="Arial" w:cs="Arial" w:eastAsia="Arial" w:hAnsi="Arial"/>
          <w:sz w:val="20"/>
          <w:szCs w:val="20"/>
          <w:color w:val="auto"/>
        </w:rPr>
      </w:pPr>
      <w:r>
        <w:rPr>
          <w:rFonts w:ascii="Arial" w:cs="Arial" w:eastAsia="Arial" w:hAnsi="Arial"/>
          <w:sz w:val="20"/>
          <w:szCs w:val="20"/>
          <w:color w:val="auto"/>
        </w:rPr>
        <w:t>Notwithstanding the foregoing provisions of this Section, a Lender Party shall not be entitled to compensation pursuant to this Section in respect of any Competitive Loan if the adoption of or change in Law or in the interpretation thereof that would otherwise entitle it to such compensation shall have been publicly announced prior to submission of the Competitive Bid pursuant to which such Loan was made.</w:t>
      </w:r>
    </w:p>
    <w:p>
      <w:pPr>
        <w:spacing w:after="0" w:line="155" w:lineRule="exact"/>
        <w:rPr>
          <w:rFonts w:ascii="Arial" w:cs="Arial" w:eastAsia="Arial" w:hAnsi="Arial"/>
          <w:sz w:val="20"/>
          <w:szCs w:val="20"/>
          <w:color w:val="auto"/>
        </w:rPr>
      </w:pPr>
    </w:p>
    <w:p>
      <w:pPr>
        <w:jc w:val="both"/>
        <w:ind w:firstLine="1304"/>
        <w:spacing w:after="0" w:line="268" w:lineRule="auto"/>
        <w:tabs>
          <w:tab w:leader="none" w:pos="164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34" w:lineRule="exact"/>
        <w:rPr>
          <w:sz w:val="20"/>
          <w:szCs w:val="20"/>
          <w:color w:val="auto"/>
        </w:rPr>
      </w:pPr>
    </w:p>
    <w:p>
      <w:pPr>
        <w:ind w:right="20" w:firstLine="1296"/>
        <w:spacing w:after="0" w:line="218" w:lineRule="auto"/>
        <w:rPr>
          <w:sz w:val="20"/>
          <w:szCs w:val="20"/>
          <w:color w:val="auto"/>
        </w:rPr>
      </w:pPr>
      <w:r>
        <w:rPr>
          <w:rFonts w:ascii="Arial" w:cs="Arial" w:eastAsia="Arial" w:hAnsi="Arial"/>
          <w:sz w:val="20"/>
          <w:szCs w:val="20"/>
          <w:color w:val="auto"/>
        </w:rPr>
        <w:t xml:space="preserve">3.05 </w:t>
      </w:r>
      <w:r>
        <w:rPr>
          <w:rFonts w:ascii="Arial" w:cs="Arial" w:eastAsia="Arial" w:hAnsi="Arial"/>
          <w:sz w:val="20"/>
          <w:szCs w:val="20"/>
          <w:u w:val="single" w:color="auto"/>
          <w:color w:val="auto"/>
        </w:rPr>
        <w:t>Breakfunding Costs</w:t>
      </w:r>
      <w:r>
        <w:rPr>
          <w:rFonts w:ascii="Arial" w:cs="Arial" w:eastAsia="Arial" w:hAnsi="Arial"/>
          <w:sz w:val="20"/>
          <w:szCs w:val="20"/>
          <w:color w:val="auto"/>
        </w:rPr>
        <w:t>. Subject to Section 3.06(a), upon demand of any Lender (with a copy to Administrative Agent) from time to time, Borrower shall promptly compensate such Lender for and hold such Lender harmless from any actual loss, cost or expense incurred by it as a result of:</w:t>
      </w:r>
    </w:p>
    <w:p>
      <w:pPr>
        <w:spacing w:after="0" w:line="156" w:lineRule="exact"/>
        <w:rPr>
          <w:sz w:val="20"/>
          <w:szCs w:val="20"/>
          <w:color w:val="auto"/>
        </w:rPr>
      </w:pPr>
    </w:p>
    <w:p>
      <w:pPr>
        <w:jc w:val="both"/>
        <w:ind w:firstLine="1304"/>
        <w:spacing w:after="0" w:line="218" w:lineRule="auto"/>
        <w:tabs>
          <w:tab w:leader="none" w:pos="193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Any Continuation, Conversion, payment or prepayment by Borrower of any Floating Rate Loan </w:t>
      </w:r>
      <w:r>
        <w:rPr>
          <w:rFonts w:ascii="Arial" w:cs="Arial" w:eastAsia="Arial" w:hAnsi="Arial"/>
          <w:sz w:val="20"/>
          <w:szCs w:val="20"/>
          <w:u w:val="single" w:color="auto"/>
          <w:color w:val="0000FF"/>
        </w:rPr>
        <w:t>(other than a</w:t>
      </w:r>
      <w:r>
        <w:rPr>
          <w:rFonts w:ascii="Arial" w:cs="Arial" w:eastAsia="Arial" w:hAnsi="Arial"/>
          <w:sz w:val="20"/>
          <w:szCs w:val="20"/>
          <w:color w:val="auto"/>
        </w:rPr>
        <w:t xml:space="preserve"> </w:t>
      </w:r>
      <w:r>
        <w:rPr>
          <w:rFonts w:ascii="Arial" w:cs="Arial" w:eastAsia="Arial" w:hAnsi="Arial"/>
          <w:sz w:val="20"/>
          <w:szCs w:val="20"/>
          <w:u w:val="single" w:color="auto"/>
          <w:color w:val="0000FF"/>
        </w:rPr>
        <w:t>Floating SONIA Rate Loan)</w:t>
      </w:r>
      <w:r>
        <w:rPr>
          <w:rFonts w:ascii="Arial" w:cs="Arial" w:eastAsia="Arial" w:hAnsi="Arial"/>
          <w:sz w:val="20"/>
          <w:szCs w:val="20"/>
          <w:color w:val="0000FF"/>
        </w:rPr>
        <w:t xml:space="preserve"> </w:t>
      </w:r>
      <w:r>
        <w:rPr>
          <w:rFonts w:ascii="Arial" w:cs="Arial" w:eastAsia="Arial" w:hAnsi="Arial"/>
          <w:sz w:val="20"/>
          <w:szCs w:val="20"/>
          <w:color w:val="000000"/>
        </w:rPr>
        <w:t>or Fixed Rate Loan on a day other than the last day of the Interest Period for such Floating Rate Loan or Fixed</w:t>
      </w:r>
      <w:r>
        <w:rPr>
          <w:rFonts w:ascii="Arial" w:cs="Arial" w:eastAsia="Arial" w:hAnsi="Arial"/>
          <w:sz w:val="20"/>
          <w:szCs w:val="20"/>
          <w:color w:val="0000FF"/>
        </w:rPr>
        <w:t xml:space="preserve"> </w:t>
      </w:r>
      <w:r>
        <w:rPr>
          <w:rFonts w:ascii="Arial" w:cs="Arial" w:eastAsia="Arial" w:hAnsi="Arial"/>
          <w:sz w:val="20"/>
          <w:szCs w:val="20"/>
          <w:color w:val="000000"/>
        </w:rPr>
        <w:t>Rate Loan (whether voluntary, mandatory, automatic, by reason of acceleration or otherwise);</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Any failure by Borrower (for a reason other than the failure of such Lender to make a Floating Rate Loan or Fixed Rate Loan) to prepay, borrow, Continue or Convert any Floating Rate Loan </w:t>
      </w:r>
      <w:r>
        <w:rPr>
          <w:rFonts w:ascii="Arial" w:cs="Arial" w:eastAsia="Arial" w:hAnsi="Arial"/>
          <w:sz w:val="20"/>
          <w:szCs w:val="20"/>
          <w:u w:val="single" w:color="auto"/>
          <w:color w:val="0000FF"/>
        </w:rPr>
        <w:t>(other than a Floating SONIA Rate Loan)</w:t>
      </w:r>
      <w:r>
        <w:rPr>
          <w:rFonts w:ascii="Arial" w:cs="Arial" w:eastAsia="Arial" w:hAnsi="Arial"/>
          <w:sz w:val="20"/>
          <w:szCs w:val="20"/>
          <w:color w:val="auto"/>
        </w:rPr>
        <w:t xml:space="preserve"> or Fixed Rate Loan on the date or in the amount notified by Borrower; </w:t>
      </w:r>
      <w:r>
        <w:rPr>
          <w:rFonts w:ascii="Arial" w:cs="Arial" w:eastAsia="Arial" w:hAnsi="Arial"/>
          <w:sz w:val="20"/>
          <w:szCs w:val="20"/>
          <w:color w:val="FF0000"/>
          <w:strike w:val="1"/>
        </w:rPr>
        <w:t>or</w:t>
      </w:r>
    </w:p>
    <w:p>
      <w:pPr>
        <w:spacing w:after="0" w:line="154" w:lineRule="exact"/>
        <w:rPr>
          <w:rFonts w:ascii="Arial" w:cs="Arial" w:eastAsia="Arial" w:hAnsi="Arial"/>
          <w:sz w:val="20"/>
          <w:szCs w:val="20"/>
          <w:color w:val="auto"/>
        </w:rPr>
      </w:pPr>
    </w:p>
    <w:p>
      <w:pPr>
        <w:ind w:left="1940" w:hanging="636"/>
        <w:spacing w:after="0"/>
        <w:tabs>
          <w:tab w:leader="none" w:pos="19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failure by Borrower to borrow any Competitive Loan after accepting the Competitive Bid to make such Loan;</w:t>
      </w:r>
    </w:p>
    <w:p>
      <w:pPr>
        <w:spacing w:after="0"/>
        <w:rPr>
          <w:rFonts w:ascii="Arial" w:cs="Arial" w:eastAsia="Arial" w:hAnsi="Arial"/>
          <w:sz w:val="18"/>
          <w:szCs w:val="18"/>
          <w:color w:val="auto"/>
        </w:rPr>
      </w:pPr>
      <w:r>
        <w:rPr>
          <w:rFonts w:ascii="Arial" w:cs="Arial" w:eastAsia="Arial" w:hAnsi="Arial"/>
          <w:sz w:val="20"/>
          <w:szCs w:val="20"/>
          <w:u w:val="single" w:color="auto"/>
          <w:color w:val="0000FF"/>
        </w:rPr>
        <w:t>or</w:t>
      </w:r>
    </w:p>
    <w:p>
      <w:pPr>
        <w:spacing w:after="0" w:line="159" w:lineRule="exact"/>
        <w:rPr>
          <w:rFonts w:ascii="Arial" w:cs="Arial" w:eastAsia="Arial" w:hAnsi="Arial"/>
          <w:sz w:val="18"/>
          <w:szCs w:val="18"/>
          <w:color w:val="auto"/>
        </w:rPr>
      </w:pPr>
    </w:p>
    <w:p>
      <w:pPr>
        <w:jc w:val="both"/>
        <w:ind w:firstLine="1304"/>
        <w:spacing w:after="0" w:line="228" w:lineRule="auto"/>
        <w:tabs>
          <w:tab w:leader="none" w:pos="1932"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0000FF"/>
        </w:rPr>
        <w:t>In the event of (A) the payment of any principal of any Floating SONIA Rate Loan other than on the Applicable Payment Date (including as a result of an Event of Default), (B) the failure (for a reason other than the failure of such Lender to make a Floating SONIA Rate Loan) to borrow or prepay any Floating SONIA Rate Loan on the date specified in any notice delivered pursuant hereto (regardless of whether such notice may be revoked under Section 3.03 and is revoked in accordance therewith) or (C) the assignment of any Floating SONIA Rate Loan other than on the Applicable Payment Date applicable thereto as a result of a request by the Borrower pursuant to Section 10.04, then, in any such event, the Borrower shall compensate each Lender for the loss, cost and expense (but not for any lost profit) attributable to such event (it being understood that a certificate of such Lender setting forth any amount or amounts that such Lender is entitled to receive pursuant to this Section 3.05(d) shall be delivered to the Borrower);</w:t>
      </w:r>
    </w:p>
    <w:p>
      <w:pPr>
        <w:spacing w:after="0" w:line="15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5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Matters Applicable to all Requests for Compensation</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31" w:lineRule="auto"/>
        <w:tabs>
          <w:tab w:leader="none" w:pos="193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05" w:right="339" w:bottom="1440" w:gutter="0" w:footer="0" w:header="0"/>
        </w:sectPr>
      </w:pPr>
    </w:p>
    <w:bookmarkStart w:id="225" w:name="page226"/>
    <w:bookmarkEnd w:id="225"/>
    <w:p>
      <w:pPr>
        <w:jc w:val="both"/>
        <w:spacing w:after="0" w:line="210" w:lineRule="auto"/>
        <w:rPr>
          <w:sz w:val="20"/>
          <w:szCs w:val="20"/>
          <w:color w:val="auto"/>
        </w:rPr>
      </w:pPr>
      <w:r>
        <w:rPr>
          <w:rFonts w:ascii="Arial" w:cs="Arial" w:eastAsia="Arial" w:hAnsi="Arial"/>
          <w:sz w:val="20"/>
          <w:szCs w:val="20"/>
          <w:color w:val="auto"/>
        </w:rPr>
        <w:t>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55" w:lineRule="exact"/>
        <w:rPr>
          <w:sz w:val="20"/>
          <w:szCs w:val="20"/>
          <w:color w:val="auto"/>
        </w:rPr>
      </w:pPr>
    </w:p>
    <w:p>
      <w:pPr>
        <w:jc w:val="both"/>
        <w:ind w:firstLine="1304"/>
        <w:spacing w:after="0" w:line="218" w:lineRule="auto"/>
        <w:tabs>
          <w:tab w:leader="none" w:pos="193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Upon any Lender becoming prohibited from making, maintaining or funding Floating Rate Loans pursuant to Section 3.02, or upon any Lender making a claim for compensation under Section 3.01 or Section 3.04, Borrower may remove or replace such Lender in accordance with Section 10.21.</w:t>
      </w:r>
    </w:p>
    <w:p>
      <w:pPr>
        <w:spacing w:after="0" w:line="156"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 xml:space="preserve">3.07 </w:t>
      </w:r>
      <w:r>
        <w:rPr>
          <w:rFonts w:ascii="Arial" w:cs="Arial" w:eastAsia="Arial" w:hAnsi="Arial"/>
          <w:sz w:val="20"/>
          <w:szCs w:val="20"/>
          <w:u w:val="single" w:color="auto"/>
          <w:color w:val="auto"/>
        </w:rPr>
        <w:t>Survival</w:t>
      </w:r>
      <w:r>
        <w:rPr>
          <w:rFonts w:ascii="Arial" w:cs="Arial" w:eastAsia="Arial" w:hAnsi="Arial"/>
          <w:sz w:val="20"/>
          <w:szCs w:val="20"/>
          <w:color w:val="auto"/>
        </w:rPr>
        <w:t>. All of Borrower’s obligations under this Section 3 shall survive termination of the Revolving Commitments and payment in full of all Obligations.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4</w:t>
      </w:r>
    </w:p>
    <w:p>
      <w:pPr>
        <w:spacing w:after="0" w:line="148"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CONDITIONS PRECEDENT TO EXTENSIONS OF CREDIT</w:t>
      </w:r>
    </w:p>
    <w:p>
      <w:pPr>
        <w:spacing w:after="0" w:line="175" w:lineRule="exact"/>
        <w:rPr>
          <w:sz w:val="20"/>
          <w:szCs w:val="20"/>
          <w:color w:val="auto"/>
        </w:rPr>
      </w:pPr>
    </w:p>
    <w:p>
      <w:pPr>
        <w:ind w:right="160" w:firstLine="1296"/>
        <w:spacing w:after="0" w:line="218" w:lineRule="auto"/>
        <w:rPr>
          <w:sz w:val="20"/>
          <w:szCs w:val="20"/>
          <w:color w:val="auto"/>
        </w:rPr>
      </w:pPr>
      <w:r>
        <w:rPr>
          <w:rFonts w:ascii="Arial" w:cs="Arial" w:eastAsia="Arial" w:hAnsi="Arial"/>
          <w:sz w:val="20"/>
          <w:szCs w:val="20"/>
          <w:color w:val="auto"/>
        </w:rPr>
        <w:t xml:space="preserve">4.01 </w:t>
      </w:r>
      <w:r>
        <w:rPr>
          <w:rFonts w:ascii="Arial" w:cs="Arial" w:eastAsia="Arial" w:hAnsi="Arial"/>
          <w:sz w:val="20"/>
          <w:szCs w:val="20"/>
          <w:u w:val="single" w:color="auto"/>
          <w:color w:val="auto"/>
        </w:rPr>
        <w:t>Conditions Precedent to Effective Date</w:t>
      </w:r>
      <w:r>
        <w:rPr>
          <w:rFonts w:ascii="Arial" w:cs="Arial" w:eastAsia="Arial" w:hAnsi="Arial"/>
          <w:sz w:val="20"/>
          <w:szCs w:val="20"/>
          <w:color w:val="auto"/>
        </w:rPr>
        <w:t>. The agreement of each Lender to make the initial Extension of Credit requested to be made by it is subject to the satisfaction, on or before May 28, 2021, of the conditions precedent set forth in this Section 4.01 (all of which have been irrevocably satisfied or waived as of March 30, 2021):</w:t>
      </w:r>
    </w:p>
    <w:p>
      <w:pPr>
        <w:spacing w:after="0" w:line="156" w:lineRule="exact"/>
        <w:rPr>
          <w:sz w:val="20"/>
          <w:szCs w:val="20"/>
          <w:color w:val="auto"/>
        </w:rPr>
      </w:pPr>
    </w:p>
    <w:p>
      <w:pPr>
        <w:jc w:val="both"/>
        <w:ind w:right="20" w:firstLine="1304"/>
        <w:spacing w:after="0" w:line="244" w:lineRule="auto"/>
        <w:tabs>
          <w:tab w:leader="none" w:pos="193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Receipt by Administrative Agent of each of the following, each of which shall be originals, facsimiles or pdf copies 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151" w:lineRule="exact"/>
        <w:rPr>
          <w:rFonts w:ascii="Arial" w:cs="Arial" w:eastAsia="Arial" w:hAnsi="Arial"/>
          <w:sz w:val="18"/>
          <w:szCs w:val="18"/>
          <w:color w:val="auto"/>
        </w:rPr>
      </w:pPr>
    </w:p>
    <w:p>
      <w:pPr>
        <w:jc w:val="both"/>
        <w:ind w:left="1300" w:firstLine="652"/>
        <w:spacing w:after="0" w:line="210" w:lineRule="auto"/>
        <w:tabs>
          <w:tab w:leader="none" w:pos="2535" w:val="left"/>
        </w:tabs>
        <w:numPr>
          <w:ilvl w:val="1"/>
          <w:numId w:val="179"/>
        </w:numPr>
        <w:rPr>
          <w:rFonts w:ascii="Arial" w:cs="Arial" w:eastAsia="Arial" w:hAnsi="Arial"/>
          <w:sz w:val="20"/>
          <w:szCs w:val="20"/>
          <w:color w:val="auto"/>
        </w:rPr>
      </w:pPr>
      <w:r>
        <w:rPr>
          <w:rFonts w:ascii="Arial" w:cs="Arial" w:eastAsia="Arial" w:hAnsi="Arial"/>
          <w:sz w:val="20"/>
          <w:szCs w:val="20"/>
          <w:color w:val="auto"/>
        </w:rPr>
        <w:t>Executed counterparts of (a) this Agreement, executed and delivered by Borrower, Administrative Agent and each Person listed on Schedule 2.01 and (b) the Guarantee Agreement, executed and delivered by each Guarantor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Agreement or the Guarantee Agreement (as applicable));</w:t>
      </w:r>
    </w:p>
    <w:p>
      <w:pPr>
        <w:spacing w:after="0" w:line="154" w:lineRule="exact"/>
        <w:rPr>
          <w:rFonts w:ascii="Arial" w:cs="Arial" w:eastAsia="Arial" w:hAnsi="Arial"/>
          <w:sz w:val="20"/>
          <w:szCs w:val="20"/>
          <w:color w:val="auto"/>
        </w:rPr>
      </w:pPr>
    </w:p>
    <w:p>
      <w:pPr>
        <w:jc w:val="both"/>
        <w:ind w:left="1300" w:right="20" w:firstLine="652"/>
        <w:spacing w:after="0" w:line="228" w:lineRule="auto"/>
        <w:tabs>
          <w:tab w:leader="none" w:pos="256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Administrative Agent shall have received a certificate of each Loan Party, dated the Effective Date and executed by a secretary, assistant secretary or Responsible Officer thereof, which shall (A) certify that attached thereto are</w:t>
      </w:r>
    </w:p>
    <w:p>
      <w:pPr>
        <w:jc w:val="both"/>
        <w:ind w:left="1300" w:firstLine="4"/>
        <w:spacing w:after="0" w:line="211" w:lineRule="auto"/>
        <w:tabs>
          <w:tab w:leader="none" w:pos="160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the Loan Documents, and, in the case of Borrower, the borrowings and other obligations thereunder, which resolutions or consent have not been modified, rescinded or amended (other than as attached thereto) and are in full force and effect, and (B) identify by name and title and bear the signatures of the officers, managers, directors or authorized signatories of such Loan Party authorized to sign the Loan Documents to which such Loan Party is a party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05" w:right="339" w:bottom="1440" w:gutter="0" w:footer="0" w:header="0"/>
        </w:sectPr>
      </w:pPr>
    </w:p>
    <w:bookmarkStart w:id="226" w:name="page227"/>
    <w:bookmarkEnd w:id="226"/>
    <w:p>
      <w:pPr>
        <w:jc w:val="both"/>
        <w:ind w:left="1300" w:firstLine="652"/>
        <w:spacing w:after="0" w:line="218" w:lineRule="auto"/>
        <w:tabs>
          <w:tab w:leader="none" w:pos="2564" w:val="left"/>
        </w:tabs>
        <w:numPr>
          <w:ilvl w:val="1"/>
          <w:numId w:val="181"/>
        </w:numPr>
        <w:rPr>
          <w:rFonts w:ascii="Arial" w:cs="Arial" w:eastAsia="Arial" w:hAnsi="Arial"/>
          <w:sz w:val="20"/>
          <w:szCs w:val="20"/>
          <w:color w:val="auto"/>
        </w:rPr>
      </w:pPr>
      <w:r>
        <w:rPr>
          <w:rFonts w:ascii="Arial" w:cs="Arial" w:eastAsia="Arial" w:hAnsi="Arial"/>
          <w:sz w:val="20"/>
          <w:szCs w:val="20"/>
          <w:color w:val="auto"/>
        </w:rPr>
        <w:t>A certificate signed by a Responsible Officer of Borrower certifying (A) that the conditions specified in Sections 4.01(e) and (f) have been satisfied and (B) that there has been no event or circumstance since the date of the Reference Statements which has a Material Adverse Effect;</w:t>
      </w:r>
    </w:p>
    <w:p>
      <w:pPr>
        <w:spacing w:after="0" w:line="154" w:lineRule="exact"/>
        <w:rPr>
          <w:rFonts w:ascii="Arial" w:cs="Arial" w:eastAsia="Arial" w:hAnsi="Arial"/>
          <w:sz w:val="20"/>
          <w:szCs w:val="20"/>
          <w:color w:val="auto"/>
        </w:rPr>
      </w:pPr>
    </w:p>
    <w:p>
      <w:pPr>
        <w:ind w:left="2560" w:hanging="608"/>
        <w:spacing w:after="0"/>
        <w:tabs>
          <w:tab w:leader="none" w:pos="25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 opinion of counsel to Borrower in form and substance reasonably satisfactory to Administrative Agent;</w:t>
      </w:r>
    </w:p>
    <w:p>
      <w:pPr>
        <w:ind w:left="130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59" w:lineRule="exact"/>
        <w:rPr>
          <w:rFonts w:ascii="Arial" w:cs="Arial" w:eastAsia="Arial" w:hAnsi="Arial"/>
          <w:sz w:val="18"/>
          <w:szCs w:val="18"/>
          <w:color w:val="auto"/>
        </w:rPr>
      </w:pPr>
    </w:p>
    <w:p>
      <w:pPr>
        <w:jc w:val="both"/>
        <w:ind w:left="1300" w:firstLine="652"/>
        <w:spacing w:after="0" w:line="213" w:lineRule="auto"/>
        <w:tabs>
          <w:tab w:leader="none" w:pos="2539" w:val="left"/>
        </w:tabs>
        <w:numPr>
          <w:ilvl w:val="1"/>
          <w:numId w:val="181"/>
        </w:numPr>
        <w:rPr>
          <w:rFonts w:ascii="Arial" w:cs="Arial" w:eastAsia="Arial" w:hAnsi="Arial"/>
          <w:sz w:val="20"/>
          <w:szCs w:val="20"/>
          <w:color w:val="auto"/>
        </w:rPr>
      </w:pPr>
      <w:r>
        <w:rPr>
          <w:rFonts w:ascii="Arial" w:cs="Arial" w:eastAsia="Arial" w:hAnsi="Arial"/>
          <w:sz w:val="20"/>
          <w:szCs w:val="20"/>
          <w:color w:val="auto"/>
        </w:rPr>
        <w:t>All information requested by any Lender in writing at least ten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two Business Days prior to the Effective Date).</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Any fees required to be paid on or before the Effective Date shall have been paid.</w:t>
      </w:r>
    </w:p>
    <w:p>
      <w:pPr>
        <w:spacing w:after="0" w:line="175" w:lineRule="exact"/>
        <w:rPr>
          <w:rFonts w:ascii="Arial" w:cs="Arial" w:eastAsia="Arial" w:hAnsi="Arial"/>
          <w:sz w:val="20"/>
          <w:szCs w:val="20"/>
          <w:color w:val="auto"/>
        </w:rPr>
      </w:pPr>
    </w:p>
    <w:p>
      <w:pPr>
        <w:jc w:val="both"/>
        <w:ind w:firstLine="1304"/>
        <w:spacing w:after="0" w:line="218" w:lineRule="auto"/>
        <w:tabs>
          <w:tab w:leader="none" w:pos="1934"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Administrative Agent shall have received notice that substantially simultaneously with the Effective Date, the Existing Credit Agreements shall have been terminated in accordance with the terms of the Existing Credit Agreements, and all principal, interest and fees owing thereunder shall have been paid.</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right="20" w:firstLine="1304"/>
        <w:spacing w:after="0" w:line="218" w:lineRule="auto"/>
        <w:tabs>
          <w:tab w:leader="none" w:pos="1934"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w:t>
      </w:r>
    </w:p>
    <w:p>
      <w:pPr>
        <w:spacing w:after="0" w:line="175" w:lineRule="exact"/>
        <w:rPr>
          <w:rFonts w:ascii="Arial" w:cs="Arial" w:eastAsia="Arial" w:hAnsi="Arial"/>
          <w:sz w:val="20"/>
          <w:szCs w:val="20"/>
          <w:color w:val="auto"/>
        </w:rPr>
      </w:pPr>
    </w:p>
    <w:p>
      <w:pPr>
        <w:ind w:firstLine="1304"/>
        <w:spacing w:after="0" w:line="229" w:lineRule="auto"/>
        <w:tabs>
          <w:tab w:leader="none" w:pos="193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Unless waived by Administrative Agent, Borrower shall have paid all Attorney Costs of Administrative Agent to the extent invoiced prior to or on the Effective Date.</w:t>
      </w:r>
    </w:p>
    <w:p>
      <w:pPr>
        <w:spacing w:after="0" w:line="15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The obligation of each Lender to honor any Request for Extension of Credit (including the initial Extension of Credit, but other than a Conversion or Continuation) is subject to the following conditions precedent:</w:t>
      </w:r>
    </w:p>
    <w:p>
      <w:pPr>
        <w:spacing w:after="0" w:line="130" w:lineRule="exact"/>
        <w:rPr>
          <w:sz w:val="20"/>
          <w:szCs w:val="20"/>
          <w:color w:val="auto"/>
        </w:rPr>
      </w:pPr>
    </w:p>
    <w:p>
      <w:pPr>
        <w:jc w:val="both"/>
        <w:ind w:firstLine="1304"/>
        <w:spacing w:after="0" w:line="213" w:lineRule="auto"/>
        <w:tabs>
          <w:tab w:leader="none" w:pos="193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true and correct in all material respects on and as of such earlier date.</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No Default or Event of Default exists, or would result from such Extension of Credit or the use thereof.</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Each Request for Extension of Credit by Borrower shall be deemed to be a representation and warranty that the conditions specified in Sections 4.02(a) and (b) have been satisfied on and as of the date of such Extension of Credit.</w:t>
      </w:r>
    </w:p>
    <w:p>
      <w:pPr>
        <w:spacing w:after="0" w:line="15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4.03 </w:t>
      </w:r>
      <w:r>
        <w:rPr>
          <w:rFonts w:ascii="Arial" w:cs="Arial" w:eastAsia="Arial" w:hAnsi="Arial"/>
          <w:sz w:val="20"/>
          <w:szCs w:val="20"/>
          <w:u w:val="single" w:color="auto"/>
          <w:color w:val="auto"/>
        </w:rPr>
        <w:t>Determinations Under Section 4.01</w:t>
      </w:r>
      <w:r>
        <w:rPr>
          <w:rFonts w:ascii="Arial" w:cs="Arial" w:eastAsia="Arial" w:hAnsi="Arial"/>
          <w:sz w:val="20"/>
          <w:szCs w:val="20"/>
          <w:color w:val="auto"/>
        </w:rPr>
        <w:t>. For purposes of determining compliance with the conditions specified in Section 4.01, each Lender that has executed this Agreement shall be deemed to have consented to, approved or accepted or to be satisfied with each document or other matter required thereunder to be consented to or approved by or acceptable or satisfactory to the Lenders. Administrative Agent (or its counsel) shall promptly notify the Lenders and Borrower in writing of the occurrence of the Effective Date, which writing shall be irrevocable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05" w:right="339" w:bottom="1440" w:gutter="0" w:footer="0" w:header="0"/>
        </w:sectPr>
      </w:pPr>
    </w:p>
    <w:bookmarkStart w:id="227" w:name="page228"/>
    <w:bookmarkEnd w:id="227"/>
    <w:p>
      <w:pPr>
        <w:spacing w:after="0" w:line="18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5</w:t>
      </w:r>
    </w:p>
    <w:p>
      <w:pPr>
        <w:spacing w:after="0" w:line="148"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REPRESENTATIONS AND WARRANTIES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Borrower represents and warrants to Administrative Agent and Lenders that:</w:t>
      </w:r>
    </w:p>
    <w:p>
      <w:pPr>
        <w:spacing w:after="0" w:line="175" w:lineRule="exact"/>
        <w:rPr>
          <w:sz w:val="20"/>
          <w:szCs w:val="20"/>
          <w:color w:val="auto"/>
        </w:rPr>
      </w:pPr>
    </w:p>
    <w:p>
      <w:pPr>
        <w:ind w:right="200" w:firstLine="1296"/>
        <w:spacing w:after="0" w:line="213" w:lineRule="auto"/>
        <w:rPr>
          <w:sz w:val="20"/>
          <w:szCs w:val="20"/>
          <w:color w:val="auto"/>
        </w:rPr>
      </w:pPr>
      <w:r>
        <w:rPr>
          <w:rFonts w:ascii="Arial" w:cs="Arial" w:eastAsia="Arial" w:hAnsi="Arial"/>
          <w:sz w:val="20"/>
          <w:szCs w:val="20"/>
          <w:color w:val="auto"/>
        </w:rPr>
        <w:t xml:space="preserve">5.01 </w:t>
      </w:r>
      <w:r>
        <w:rPr>
          <w:rFonts w:ascii="Arial" w:cs="Arial" w:eastAsia="Arial" w:hAnsi="Arial"/>
          <w:sz w:val="20"/>
          <w:szCs w:val="20"/>
          <w:u w:val="single" w:color="auto"/>
          <w:color w:val="auto"/>
        </w:rPr>
        <w:t>Existence and Qualification; Power; Compliance with Laws</w:t>
      </w:r>
      <w:r>
        <w:rPr>
          <w:rFonts w:ascii="Arial" w:cs="Arial" w:eastAsia="Arial" w:hAnsi="Arial"/>
          <w:sz w:val="20"/>
          <w:szCs w:val="20"/>
          <w:color w:val="auto"/>
        </w:rPr>
        <w:t>. Each of Borrower and each Guarantor (a) is a corporation, partnership or limited liability company duly organized or formed, validly existing and in good standing under the Laws of the state of its organization, and (b) is in compliance with all Laws, except to the extent that noncompliance does not have a Material Adverse Effect.</w:t>
      </w:r>
    </w:p>
    <w:p>
      <w:pPr>
        <w:spacing w:after="0" w:line="156" w:lineRule="exact"/>
        <w:rPr>
          <w:sz w:val="20"/>
          <w:szCs w:val="20"/>
          <w:color w:val="auto"/>
        </w:rPr>
      </w:pPr>
    </w:p>
    <w:p>
      <w:pPr>
        <w:ind w:right="60" w:firstLine="1296"/>
        <w:spacing w:after="0" w:line="226"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Power; Authorization; Enforceable Obligations</w:t>
      </w:r>
      <w:r>
        <w:rPr>
          <w:rFonts w:ascii="Arial" w:cs="Arial" w:eastAsia="Arial" w:hAnsi="Arial"/>
          <w:sz w:val="18"/>
          <w:szCs w:val="18"/>
          <w:color w:val="auto"/>
        </w:rPr>
        <w:t>. Each Loan Party has the power and authority and the legal right to execute, deliver and perform each Loan Document to which it is a party, and has taken all necessary organizational action to authorize the execution, delivery and performance of each Loan Document to which it is a party. Except for such consents, authorizations, filings or other acts which have been duly made or obtained and are in full force and effect, no consent or authorization of, filing with, or other act by or in respect of any Governmental Authority is required for the due execution, delivery or performance of this Agreement or any of the other Loan Documents, except as would not reasonably be expected to have a material adverse effect on the validity or enforceability of this Agreement or the Guarantee Agreement.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7"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by each Loan Party of the Loan Documents to which it is a party do not and will not (a) violate or conflict with, or result in a breach of, or require any consent under (i) such Loan Party’s organizational documents, (ii) any applicable Laws which has a Material Adverse Effect, or (iii) any Contractual Obligation, license or franchise of any 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15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5.04</w:t>
      </w:r>
      <w:r>
        <w:rPr>
          <w:sz w:val="20"/>
          <w:szCs w:val="20"/>
          <w:color w:val="auto"/>
        </w:rPr>
        <w:tab/>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 Reference Statements fairly present, in all material respects,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42" w:lineRule="exact"/>
        <w:rPr>
          <w:rFonts w:ascii="Arial" w:cs="Arial" w:eastAsia="Arial" w:hAnsi="Arial"/>
          <w:sz w:val="20"/>
          <w:szCs w:val="20"/>
          <w:color w:val="auto"/>
        </w:rPr>
      </w:pPr>
    </w:p>
    <w:p>
      <w:pPr>
        <w:ind w:left="1940" w:hanging="636"/>
        <w:spacing w:after="0"/>
        <w:tabs>
          <w:tab w:leader="none" w:pos="19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From December 31, 2020 to the Effective Date, there has been no event or circumstance which has a Material</w:t>
      </w:r>
    </w:p>
    <w:p>
      <w:pPr>
        <w:spacing w:after="0"/>
        <w:rPr>
          <w:rFonts w:ascii="Arial" w:cs="Arial" w:eastAsia="Arial" w:hAnsi="Arial"/>
          <w:sz w:val="19"/>
          <w:szCs w:val="19"/>
          <w:color w:val="auto"/>
        </w:rPr>
      </w:pPr>
      <w:r>
        <w:rPr>
          <w:rFonts w:ascii="Arial" w:cs="Arial" w:eastAsia="Arial" w:hAnsi="Arial"/>
          <w:sz w:val="20"/>
          <w:szCs w:val="20"/>
          <w:color w:val="auto"/>
        </w:rPr>
        <w:t>Adverse Effect.</w:t>
      </w:r>
    </w:p>
    <w:p>
      <w:pPr>
        <w:spacing w:after="0" w:line="159" w:lineRule="exact"/>
        <w:rPr>
          <w:sz w:val="20"/>
          <w:szCs w:val="20"/>
          <w:color w:val="auto"/>
        </w:rPr>
      </w:pPr>
    </w:p>
    <w:p>
      <w:pPr>
        <w:ind w:right="100" w:firstLine="1296"/>
        <w:spacing w:after="0" w:line="24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Borrower’s public filings prior to the Effective Date, no litigation, investigation or 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52"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 xml:space="preserve">5.06 </w:t>
      </w:r>
      <w:r>
        <w:rPr>
          <w:rFonts w:ascii="Arial" w:cs="Arial" w:eastAsia="Arial" w:hAnsi="Arial"/>
          <w:sz w:val="20"/>
          <w:szCs w:val="20"/>
          <w:u w:val="single" w:color="auto"/>
          <w:color w:val="auto"/>
        </w:rPr>
        <w:t>Use of Proceeds</w:t>
      </w:r>
      <w:r>
        <w:rPr>
          <w:rFonts w:ascii="Arial" w:cs="Arial" w:eastAsia="Arial" w:hAnsi="Arial"/>
          <w:sz w:val="20"/>
          <w:szCs w:val="20"/>
          <w:color w:val="auto"/>
        </w:rPr>
        <w:t>. Borrower will use the proceeds of the Extensions of Credit for general corporate purposes. No part of the proceeds of any Extensions of Credit hereunder will be used for “purchasing” or “carrying” “margin stock” as so defined in a manner which violates, or which would be inconsistent with, the provisions of Regulations T, U, or X of the Board of Governors of the Federal Reserve System.</w:t>
      </w:r>
    </w:p>
    <w:p>
      <w:pPr>
        <w:spacing w:after="0" w:line="156" w:lineRule="exact"/>
        <w:rPr>
          <w:sz w:val="20"/>
          <w:szCs w:val="20"/>
          <w:color w:val="auto"/>
        </w:rPr>
      </w:pPr>
    </w:p>
    <w:p>
      <w:pPr>
        <w:ind w:right="360" w:firstLine="1296"/>
        <w:spacing w:after="0" w:line="229" w:lineRule="auto"/>
        <w:rPr>
          <w:sz w:val="20"/>
          <w:szCs w:val="20"/>
          <w:color w:val="auto"/>
        </w:rPr>
      </w:pPr>
      <w:r>
        <w:rPr>
          <w:rFonts w:ascii="Arial" w:cs="Arial" w:eastAsia="Arial" w:hAnsi="Arial"/>
          <w:sz w:val="20"/>
          <w:szCs w:val="20"/>
          <w:color w:val="auto"/>
        </w:rPr>
        <w:t xml:space="preserve">5.07 </w:t>
      </w:r>
      <w:r>
        <w:rPr>
          <w:rFonts w:ascii="Arial" w:cs="Arial" w:eastAsia="Arial" w:hAnsi="Arial"/>
          <w:sz w:val="20"/>
          <w:szCs w:val="20"/>
          <w:u w:val="single" w:color="auto"/>
          <w:color w:val="auto"/>
        </w:rPr>
        <w:t>Anti-Corruption Laws and Sanctions</w:t>
      </w:r>
      <w:r>
        <w:rPr>
          <w:rFonts w:ascii="Arial" w:cs="Arial" w:eastAsia="Arial" w:hAnsi="Arial"/>
          <w:sz w:val="20"/>
          <w:szCs w:val="20"/>
          <w:color w:val="auto"/>
        </w:rPr>
        <w:t>. Borrower has implemented and maintains in effect policies and procedures reasonably designed to promote compliance by Borrower,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40" w:right="339" w:bottom="1440" w:gutter="0" w:footer="0" w:header="0"/>
        </w:sectPr>
      </w:pPr>
    </w:p>
    <w:bookmarkStart w:id="228" w:name="page229"/>
    <w:bookmarkEnd w:id="228"/>
    <w:p>
      <w:pPr>
        <w:ind w:right="40"/>
        <w:spacing w:after="0" w:line="233" w:lineRule="auto"/>
        <w:rPr>
          <w:sz w:val="20"/>
          <w:szCs w:val="20"/>
          <w:color w:val="auto"/>
        </w:rPr>
      </w:pPr>
      <w:r>
        <w:rPr>
          <w:rFonts w:ascii="Arial" w:cs="Arial" w:eastAsia="Arial" w:hAnsi="Arial"/>
          <w:sz w:val="18"/>
          <w:szCs w:val="18"/>
          <w:color w:val="auto"/>
        </w:rPr>
        <w:t>Subsidiaries and their respective directors, officers, employees and agents with Anti-Corruption Laws and applicable Sanctions, and Borrower, its Subsidiaries and to the knowledge of Borrower its officers, directors, employees and agents, are in compliance with Anti-Corruption Laws and applicable Sanctions in all material respects. None of (a) Borrower, any Subsidiary or, to the knowledge of Borrower or such Subsidiary, any of their respective directors, officers or employees, or (b) to the knowledge of Borrower, any agent of Borrower or any Subsidiary that will act in any capacity in connection with or benefit from the credit facility established hereby, is a Sanctioned Person.</w:t>
      </w:r>
    </w:p>
    <w:p>
      <w:pPr>
        <w:spacing w:after="0" w:line="156"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 xml:space="preserve">5.08 </w:t>
      </w:r>
      <w:r>
        <w:rPr>
          <w:rFonts w:ascii="Arial" w:cs="Arial" w:eastAsia="Arial" w:hAnsi="Arial"/>
          <w:sz w:val="20"/>
          <w:szCs w:val="20"/>
          <w:u w:val="single" w:color="auto"/>
          <w:color w:val="auto"/>
        </w:rPr>
        <w:t>ERISA.</w:t>
      </w:r>
      <w:r>
        <w:rPr>
          <w:rFonts w:ascii="Arial" w:cs="Arial" w:eastAsia="Arial" w:hAnsi="Arial"/>
          <w:sz w:val="20"/>
          <w:szCs w:val="20"/>
          <w:color w:val="auto"/>
        </w:rPr>
        <w:t xml:space="preserve"> No ERISA Event has occurred or is reasonably expected to occur that would reasonably be expected to have a Material Adverse Effect.</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6</w:t>
      </w:r>
    </w:p>
    <w:p>
      <w:pPr>
        <w:spacing w:after="0" w:line="148"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AFFIRMATIVE COVENANTS</w:t>
      </w:r>
    </w:p>
    <w:p>
      <w:pPr>
        <w:spacing w:after="0" w:line="175" w:lineRule="exact"/>
        <w:rPr>
          <w:sz w:val="20"/>
          <w:szCs w:val="20"/>
          <w:color w:val="auto"/>
        </w:rPr>
      </w:pPr>
    </w:p>
    <w:p>
      <w:pPr>
        <w:ind w:right="340" w:firstLine="1296"/>
        <w:spacing w:after="0" w:line="242" w:lineRule="auto"/>
        <w:rPr>
          <w:sz w:val="20"/>
          <w:szCs w:val="20"/>
          <w:color w:val="auto"/>
        </w:rPr>
      </w:pPr>
      <w:r>
        <w:rPr>
          <w:rFonts w:ascii="Arial" w:cs="Arial" w:eastAsia="Arial" w:hAnsi="Arial"/>
          <w:sz w:val="19"/>
          <w:szCs w:val="19"/>
          <w:color w:val="auto"/>
        </w:rPr>
        <w:t>So long as any Obligation remains unpaid, or any portion of the Revolving Commitments remains outstanding, Borrower shall, and shall (except in the case of Borrower’s reporting covenants), cause each Restricted Subsidiary to:</w:t>
      </w:r>
    </w:p>
    <w:p>
      <w:pPr>
        <w:spacing w:after="0" w:line="12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Administrative Agent and Lenders, in form and detail satisfactory to Administrative</w:t>
      </w:r>
    </w:p>
    <w:p>
      <w:pPr>
        <w:spacing w:after="0"/>
        <w:rPr>
          <w:sz w:val="20"/>
          <w:szCs w:val="20"/>
          <w:color w:val="auto"/>
        </w:rPr>
      </w:pPr>
      <w:r>
        <w:rPr>
          <w:rFonts w:ascii="Arial" w:cs="Arial" w:eastAsia="Arial" w:hAnsi="Arial"/>
          <w:sz w:val="20"/>
          <w:szCs w:val="20"/>
          <w:color w:val="auto"/>
        </w:rPr>
        <w:t>Agent:</w:t>
      </w:r>
    </w:p>
    <w:p>
      <w:pPr>
        <w:spacing w:after="0" w:line="159" w:lineRule="exact"/>
        <w:rPr>
          <w:sz w:val="20"/>
          <w:szCs w:val="20"/>
          <w:color w:val="auto"/>
        </w:rPr>
      </w:pPr>
    </w:p>
    <w:p>
      <w:pPr>
        <w:ind w:right="60" w:firstLine="1304"/>
        <w:spacing w:after="0" w:line="218" w:lineRule="auto"/>
        <w:tabs>
          <w:tab w:leader="none" w:pos="193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As soon as available but in any event within 105 days after the end of each fiscal year of Borrower, consolidated 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“going concern” qualification or qualifications as to the scope of the audit.</w:t>
      </w:r>
    </w:p>
    <w:p>
      <w:pPr>
        <w:spacing w:after="0" w:line="159" w:lineRule="exact"/>
        <w:rPr>
          <w:rFonts w:ascii="Arial" w:cs="Arial" w:eastAsia="Arial" w:hAnsi="Arial"/>
          <w:sz w:val="19"/>
          <w:szCs w:val="19"/>
          <w:color w:val="auto"/>
        </w:rPr>
      </w:pPr>
    </w:p>
    <w:p>
      <w:pPr>
        <w:jc w:val="both"/>
        <w:ind w:firstLine="1304"/>
        <w:spacing w:after="0" w:line="229" w:lineRule="auto"/>
        <w:tabs>
          <w:tab w:leader="none" w:pos="193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Borrower and its consolidated Subsidiaries,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consolidated Subsidiaries in accordance with GAAP, subject only to pro forma adjustments and normal year-end audit adjustments.</w:t>
      </w:r>
    </w:p>
    <w:p>
      <w:pPr>
        <w:spacing w:after="0" w:line="156" w:lineRule="exact"/>
        <w:rPr>
          <w:rFonts w:ascii="Arial" w:cs="Arial" w:eastAsia="Arial" w:hAnsi="Arial"/>
          <w:sz w:val="18"/>
          <w:szCs w:val="18"/>
          <w:color w:val="auto"/>
        </w:rPr>
      </w:pPr>
    </w:p>
    <w:p>
      <w:pPr>
        <w:jc w:val="both"/>
        <w:ind w:firstLine="1304"/>
        <w:spacing w:after="0" w:line="210" w:lineRule="auto"/>
        <w:tabs>
          <w:tab w:leader="none" w:pos="1934" w:val="left"/>
        </w:tabs>
        <w:numPr>
          <w:ilvl w:val="0"/>
          <w:numId w:val="185"/>
        </w:numPr>
        <w:rPr>
          <w:rFonts w:ascii="Arial" w:cs="Arial" w:eastAsia="Arial" w:hAnsi="Arial"/>
          <w:sz w:val="20"/>
          <w:szCs w:val="20"/>
          <w:color w:val="auto"/>
        </w:rPr>
      </w:pPr>
      <w:r>
        <w:rPr>
          <w:rFonts w:ascii="Arial" w:cs="Arial" w:eastAsia="Arial" w:hAnsi="Arial"/>
          <w:sz w:val="20"/>
          <w:szCs w:val="20"/>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Borrower’s behalf on an Internet website to which each Lender and Administrative Agent has access.</w:t>
      </w:r>
    </w:p>
    <w:p>
      <w:pPr>
        <w:spacing w:after="0" w:line="13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u w:val="single" w:color="auto"/>
          <w:color w:val="auto"/>
        </w:rPr>
        <w:t>Certificates, Notices and Other Information</w:t>
      </w:r>
      <w:r>
        <w:rPr>
          <w:rFonts w:ascii="Arial" w:cs="Arial" w:eastAsia="Arial" w:hAnsi="Arial"/>
          <w:sz w:val="18"/>
          <w:szCs w:val="18"/>
          <w:color w:val="auto"/>
        </w:rPr>
        <w:t>. Deliver to Administrative Agent in form and detail satisfactory to</w:t>
      </w:r>
    </w:p>
    <w:p>
      <w:pPr>
        <w:spacing w:after="0"/>
        <w:rPr>
          <w:sz w:val="20"/>
          <w:szCs w:val="20"/>
          <w:color w:val="auto"/>
        </w:rPr>
      </w:pPr>
      <w:r>
        <w:rPr>
          <w:rFonts w:ascii="Arial" w:cs="Arial" w:eastAsia="Arial" w:hAnsi="Arial"/>
          <w:sz w:val="20"/>
          <w:szCs w:val="20"/>
          <w:color w:val="auto"/>
        </w:rPr>
        <w:t>Administrative Agent:</w:t>
      </w:r>
    </w:p>
    <w:p>
      <w:pPr>
        <w:spacing w:after="0" w:line="159" w:lineRule="exact"/>
        <w:rPr>
          <w:sz w:val="20"/>
          <w:szCs w:val="20"/>
          <w:color w:val="auto"/>
        </w:rPr>
      </w:pPr>
    </w:p>
    <w:p>
      <w:pPr>
        <w:jc w:val="both"/>
        <w:ind w:firstLine="1304"/>
        <w:spacing w:after="0" w:line="224" w:lineRule="auto"/>
        <w:tabs>
          <w:tab w:leader="none" w:pos="193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No later than the date required for the delivery of the financial statements referred to in Sections 6.01(a) and (b), a duly completed Compliance Certificate (which shall include reconciliation of certain financial information with respect to the Restricted Group) signed by a Responsible Officer of Borrower, which Compliance Certificate shall set forth the necessary adjustments to exclude the Indebtedness and EBITDA attributed to Unrestricted Subsidiaries from the calculations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05" w:right="339" w:bottom="1440" w:gutter="0" w:footer="0" w:header="0"/>
        </w:sectPr>
      </w:pPr>
    </w:p>
    <w:bookmarkStart w:id="229" w:name="page230"/>
    <w:bookmarkEnd w:id="229"/>
    <w:p>
      <w:pPr>
        <w:spacing w:after="0"/>
        <w:rPr>
          <w:sz w:val="20"/>
          <w:szCs w:val="20"/>
          <w:color w:val="auto"/>
        </w:rPr>
      </w:pPr>
      <w:r>
        <w:rPr>
          <w:rFonts w:ascii="Arial" w:cs="Arial" w:eastAsia="Arial" w:hAnsi="Arial"/>
          <w:sz w:val="20"/>
          <w:szCs w:val="20"/>
          <w:color w:val="auto"/>
        </w:rPr>
        <w:t>forth therein and shall give pro forma effect to Material Acquisitions and Material Dispositions in accordance with Section 1.07;</w:t>
      </w:r>
    </w:p>
    <w:p>
      <w:pPr>
        <w:spacing w:after="0" w:line="175" w:lineRule="exact"/>
        <w:rPr>
          <w:sz w:val="20"/>
          <w:szCs w:val="20"/>
          <w:color w:val="auto"/>
        </w:rPr>
      </w:pPr>
    </w:p>
    <w:p>
      <w:pPr>
        <w:jc w:val="both"/>
        <w:ind w:firstLine="1304"/>
        <w:spacing w:after="0" w:line="218" w:lineRule="auto"/>
        <w:tabs>
          <w:tab w:leader="none" w:pos="193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Promptly after the same are available, copies of all annual, regular, periodic and special reports and registration statements which Borrower may file with the Securities and Exchange Commission under Sections 13 or 15(d) of the Securities Exchange Act of 1934, and not otherwise required to be delivered to Administrative Agent pursuant hereto;</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93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Promptly after a Responsible Officer of Borrower obtaining actual knowledge of the occurrence thereof, notice of any Default or Event of Default specifying the nature thereof and what action Borrower has taken, is taking or proposes to take with respect thereto;</w:t>
      </w:r>
    </w:p>
    <w:p>
      <w:pPr>
        <w:spacing w:after="0" w:line="156" w:lineRule="exact"/>
        <w:rPr>
          <w:rFonts w:ascii="Arial" w:cs="Arial" w:eastAsia="Arial" w:hAnsi="Arial"/>
          <w:sz w:val="20"/>
          <w:szCs w:val="20"/>
          <w:color w:val="auto"/>
        </w:rPr>
      </w:pPr>
    </w:p>
    <w:p>
      <w:pPr>
        <w:ind w:right="20" w:firstLine="1304"/>
        <w:spacing w:after="0" w:line="229" w:lineRule="auto"/>
        <w:tabs>
          <w:tab w:leader="none" w:pos="193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Promptly after a Responsible Officer of Borrower obtaining actual knowledge of the occurrence thereof, notice of any ERISA Event that has a Material Adverse Effect; and</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Promptly after such request, such other data and information as from time to time may be reasonably requested by Administrative Agent or any Lender through Administrative Agent (it being understood that Borrower and its Subsidiaries shall not be required to provide any information or documents that are subject to confidentiality provisions, the nature of which prohibit such disclosure, or would violate any attorney-client privilege).</w:t>
      </w:r>
    </w:p>
    <w:p>
      <w:pPr>
        <w:spacing w:after="0" w:line="15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 xml:space="preserve">6.03 </w:t>
      </w:r>
      <w:r>
        <w:rPr>
          <w:rFonts w:ascii="Arial" w:cs="Arial" w:eastAsia="Arial" w:hAnsi="Arial"/>
          <w:sz w:val="19"/>
          <w:szCs w:val="19"/>
          <w:u w:val="single" w:color="auto"/>
          <w:color w:val="auto"/>
        </w:rPr>
        <w:t>Payment of Taxes</w:t>
      </w:r>
      <w:r>
        <w:rPr>
          <w:rFonts w:ascii="Arial" w:cs="Arial" w:eastAsia="Arial" w:hAnsi="Arial"/>
          <w:sz w:val="19"/>
          <w:szCs w:val="19"/>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 xml:space="preserve">6.04 </w:t>
      </w:r>
      <w:r>
        <w:rPr>
          <w:rFonts w:ascii="Arial" w:cs="Arial" w:eastAsia="Arial" w:hAnsi="Arial"/>
          <w:sz w:val="20"/>
          <w:szCs w:val="20"/>
          <w:u w:val="single" w:color="auto"/>
          <w:color w:val="auto"/>
        </w:rPr>
        <w:t>Preservation of Existence</w:t>
      </w:r>
      <w:r>
        <w:rPr>
          <w:rFonts w:ascii="Arial" w:cs="Arial" w:eastAsia="Arial" w:hAnsi="Arial"/>
          <w:sz w:val="20"/>
          <w:szCs w:val="20"/>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56"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 xml:space="preserve">6.05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Comply with the requirements of all applicable Laws and orders of any Governmental Authority, noncompliance with which has a Material Adverse Effect.</w:t>
      </w:r>
    </w:p>
    <w:p>
      <w:pPr>
        <w:spacing w:after="0" w:line="155"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u w:val="single" w:color="auto"/>
          <w:color w:val="auto"/>
        </w:rPr>
        <w:t>Inspection Rights</w:t>
      </w:r>
      <w:r>
        <w:rPr>
          <w:rFonts w:ascii="Arial" w:cs="Arial" w:eastAsia="Arial" w:hAnsi="Arial"/>
          <w:sz w:val="18"/>
          <w:szCs w:val="18"/>
          <w:color w:val="auto"/>
        </w:rPr>
        <w:t xml:space="preserve">.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other than during the continuance of an Event of Default, no more than one such examination, visit or inspection shall occur during any calendar year. Notwithstanding the foregoing, it is understood and agreed that Borrower and its Subsidiaries shall not be required to provide or otherwise allow access to any information or documents that are subject to confidentiality provisions, the nature of which prohibit such disclosure, or would violate any attorney-client privilege.</w:t>
      </w:r>
    </w:p>
    <w:p>
      <w:pPr>
        <w:spacing w:after="0" w:line="15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6.07 </w:t>
      </w:r>
      <w:r>
        <w:rPr>
          <w:rFonts w:ascii="Arial" w:cs="Arial" w:eastAsia="Arial" w:hAnsi="Arial"/>
          <w:sz w:val="19"/>
          <w:szCs w:val="19"/>
          <w:u w:val="single" w:color="auto"/>
          <w:color w:val="auto"/>
        </w:rPr>
        <w:t>Keeping of Records and Books of Account</w:t>
      </w:r>
      <w:r>
        <w:rPr>
          <w:rFonts w:ascii="Arial" w:cs="Arial" w:eastAsia="Arial" w:hAnsi="Arial"/>
          <w:sz w:val="19"/>
          <w:szCs w:val="19"/>
          <w:color w:val="auto"/>
        </w:rPr>
        <w:t>. Keep, in all material respects, proper books of record and account, in which entries shall be made sufficient to permit the preparation of consolidated financial statements in accordance with GAAP.</w:t>
      </w:r>
    </w:p>
    <w:p>
      <w:pPr>
        <w:spacing w:after="0" w:line="153"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6.08 </w:t>
      </w:r>
      <w:r>
        <w:rPr>
          <w:rFonts w:ascii="Arial" w:cs="Arial" w:eastAsia="Arial" w:hAnsi="Arial"/>
          <w:sz w:val="20"/>
          <w:szCs w:val="20"/>
          <w:u w:val="single" w:color="auto"/>
          <w:color w:val="auto"/>
        </w:rPr>
        <w:t>Designation of Unrestricted Subsidiaries</w:t>
      </w:r>
      <w:r>
        <w:rPr>
          <w:rFonts w:ascii="Arial" w:cs="Arial" w:eastAsia="Arial" w:hAnsi="Arial"/>
          <w:sz w:val="20"/>
          <w:szCs w:val="20"/>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Borrower shall (a) provide Administrative Agent written notification of such designation prior to or concurrently therewith (which written notification Administrative Agent will promptly forward to Lenders), (b) if such designation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05" w:right="339" w:bottom="1440" w:gutter="0" w:footer="0" w:header="0"/>
        </w:sectPr>
      </w:pPr>
    </w:p>
    <w:bookmarkStart w:id="230" w:name="page231"/>
    <w:bookmarkEnd w:id="230"/>
    <w:p>
      <w:pPr>
        <w:jc w:val="both"/>
        <w:spacing w:after="0" w:line="213" w:lineRule="auto"/>
        <w:rPr>
          <w:sz w:val="20"/>
          <w:szCs w:val="20"/>
          <w:color w:val="auto"/>
        </w:rPr>
      </w:pPr>
      <w:r>
        <w:rPr>
          <w:rFonts w:ascii="Arial" w:cs="Arial" w:eastAsia="Arial" w:hAnsi="Arial"/>
          <w:sz w:val="19"/>
          <w:szCs w:val="19"/>
          <w:color w:val="auto"/>
        </w:rPr>
        <w:t>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7.05 immediately prior to and after giving effect to such designation and (c) not designate as an Unrestricted Subsidiary any Guarantor that is a Significant Subsidiary and that guarantees Material Debt unless such Guarantor is simultaneously released from its guarantee of such Material Debt. Notwithstanding anything to the contrary contained herein, (x) each Guarantor shall at all times be a Restricted Subsidiary for all purposes hereunder unless such Guarantor is simultaneously released as a Guarantor upon such designation as contemplated pursuant to Section 6.10,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4.50 to 1.00. Borrower hereby designates the Subsidiaries listed on Schedule 6.08 as Unrestricted Subsidiaries.</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6.09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7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Guarantors</w:t>
      </w:r>
      <w:r>
        <w:rPr>
          <w:rFonts w:ascii="Arial" w:cs="Arial" w:eastAsia="Arial" w:hAnsi="Arial"/>
          <w:sz w:val="18"/>
          <w:szCs w:val="18"/>
          <w:color w:val="auto"/>
        </w:rPr>
        <w:t>. Any time after the Effective Date, Borrower may cause any of its Subsidiaries to guarantee the Obligations of Borrower hereunder by delivering to Administrative Agent an Assumption Agreement to the Guarantee Agreement, in form set forth on Annex 1 to the Guarantee Agreement and executed by such proposed Guarantor. If, at any time following the Effective Date, a Guarantor ceases to be a Restricted Subsidiary (including as a result of a redesignation of such Restricted Subsidiary as an Unrestricted Subsidiary) or ceases to be a Subsidiary, in each case as a result of a transaction not otherwise prohibited hereunder, then such Guarantor’s guarantee of the Obligations shall be automatically released and such Guarantor shall be automatically released from its obligations under the Guarantee Agreement. In addition, if Borrower elects by notice in writing to Administrative Agent to cause such Guarantor to be released from its guarantee of the Obligations, and a Responsible Officer of Borrower certifies in writing that immediately after giving effect to such release, no Default or Event of Default shall have occurred and be continuing, then immediately upon the delivery of such notice and certification to Administrative Agent such Guarantor’s guarantee of the Obligations shall be automatically released and such Guarantor shall be automatically released from its obligations under the Guarantee Agreement. Notwithstanding the foregoing, no Guarantor that is a Significant Subsidiary and that guarantees any Material Debt may be released from the Guarantee Agreement and its Guarantee Obligation thereunder, including as a result of being designated as an Unrestricted Subsidiary, unless such Guarantor is simultaneously released from its guarantee of such Material Debt. Administrative Agent shall execute such documents as Borrower shall reasonably request to evidence the release contemplated by this Section 6.10.</w:t>
      </w:r>
    </w:p>
    <w:p>
      <w:pPr>
        <w:spacing w:after="0" w:line="166" w:lineRule="exact"/>
        <w:rPr>
          <w:sz w:val="20"/>
          <w:szCs w:val="20"/>
          <w:color w:val="auto"/>
        </w:rPr>
      </w:pPr>
    </w:p>
    <w:p>
      <w:pPr>
        <w:jc w:val="center"/>
        <w:spacing w:after="0"/>
        <w:tabs>
          <w:tab w:leader="none" w:pos="34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9"/>
          <w:szCs w:val="19"/>
          <w:color w:val="auto"/>
        </w:rPr>
        <w:t>NEGATIVE COVENANTS</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So long as any Obligations remain unpaid, or any portion of the Revolving Commitments remains outstanding:</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 xml:space="preserve">7.01 </w:t>
      </w:r>
      <w:r>
        <w:rPr>
          <w:rFonts w:ascii="Arial" w:cs="Arial" w:eastAsia="Arial" w:hAnsi="Arial"/>
          <w:sz w:val="20"/>
          <w:szCs w:val="20"/>
          <w:u w:val="single" w:color="auto"/>
          <w:color w:val="auto"/>
        </w:rPr>
        <w:t>Liens</w:t>
      </w:r>
      <w:r>
        <w:rPr>
          <w:rFonts w:ascii="Arial" w:cs="Arial" w:eastAsia="Arial" w:hAnsi="Arial"/>
          <w:sz w:val="20"/>
          <w:szCs w:val="20"/>
          <w:color w:val="auto"/>
        </w:rPr>
        <w:t>.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pacing w:after="0" w:line="156" w:lineRule="exact"/>
        <w:rPr>
          <w:sz w:val="20"/>
          <w:szCs w:val="20"/>
          <w:color w:val="auto"/>
        </w:rPr>
      </w:pPr>
    </w:p>
    <w:p>
      <w:pPr>
        <w:ind w:left="1940" w:hanging="636"/>
        <w:spacing w:after="0"/>
        <w:tabs>
          <w:tab w:leader="none" w:pos="19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175"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Liens existing on the date hereof securing Indebtedness for borrowed money (including without duplication Guaranty Obligations in respect thereof) that does not exceed $1,000,000,000 in the aggregate, and any renewals or extensions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are not extended to cover any other property, assets or revenues;</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Liens in favor of Borrower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05" w:right="339" w:bottom="1440" w:gutter="0" w:footer="0" w:header="0"/>
        </w:sectPr>
      </w:pPr>
    </w:p>
    <w:bookmarkStart w:id="231" w:name="page232"/>
    <w:bookmarkEnd w:id="231"/>
    <w:p>
      <w:pPr>
        <w:ind w:left="1940" w:hanging="636"/>
        <w:spacing w:after="0"/>
        <w:tabs>
          <w:tab w:leader="none" w:pos="19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98" w:lineRule="exact"/>
        <w:rPr>
          <w:rFonts w:ascii="Arial" w:cs="Arial" w:eastAsia="Arial" w:hAnsi="Arial"/>
          <w:sz w:val="18"/>
          <w:szCs w:val="18"/>
          <w:color w:val="auto"/>
        </w:rPr>
      </w:pPr>
    </w:p>
    <w:p>
      <w:pPr>
        <w:jc w:val="both"/>
        <w:ind w:firstLine="1304"/>
        <w:spacing w:after="0" w:line="224" w:lineRule="auto"/>
        <w:tabs>
          <w:tab w:leader="none" w:pos="1934"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and are not extended to cover any other property;</w:t>
      </w:r>
    </w:p>
    <w:p>
      <w:pPr>
        <w:spacing w:after="0" w:line="156" w:lineRule="exact"/>
        <w:rPr>
          <w:rFonts w:ascii="Arial" w:cs="Arial" w:eastAsia="Arial" w:hAnsi="Arial"/>
          <w:sz w:val="19"/>
          <w:szCs w:val="19"/>
          <w:color w:val="auto"/>
        </w:rPr>
      </w:pPr>
    </w:p>
    <w:p>
      <w:pPr>
        <w:jc w:val="both"/>
        <w:ind w:firstLine="1304"/>
        <w:spacing w:after="0" w:line="218" w:lineRule="auto"/>
        <w:tabs>
          <w:tab w:leader="none" w:pos="1939"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To the extent constituting Liens securing Indebtedness for borrowed money (including without duplication Guaranty Obligations in respect thereof), Liens under Sale-Leaseback Transactions, and any renewals or extensions thereof, so long as the Indebtedness secured thereby does not exceed $1,500,000,000 in the aggregate;</w:t>
      </w:r>
    </w:p>
    <w:p>
      <w:pPr>
        <w:spacing w:after="0" w:line="156" w:lineRule="exact"/>
        <w:rPr>
          <w:rFonts w:ascii="Arial" w:cs="Arial" w:eastAsia="Arial" w:hAnsi="Arial"/>
          <w:sz w:val="20"/>
          <w:szCs w:val="20"/>
          <w:color w:val="auto"/>
        </w:rPr>
      </w:pPr>
    </w:p>
    <w:p>
      <w:pPr>
        <w:ind w:firstLine="1304"/>
        <w:spacing w:after="0" w:line="229" w:lineRule="auto"/>
        <w:tabs>
          <w:tab w:leader="none" w:pos="1932" w:val="left"/>
        </w:tabs>
        <w:numPr>
          <w:ilvl w:val="0"/>
          <w:numId w:val="189"/>
        </w:numPr>
        <w:rPr>
          <w:rFonts w:ascii="Arial" w:cs="Arial" w:eastAsia="Arial" w:hAnsi="Arial"/>
          <w:sz w:val="20"/>
          <w:szCs w:val="20"/>
          <w:color w:val="auto"/>
        </w:rPr>
      </w:pPr>
      <w:r>
        <w:rPr>
          <w:rFonts w:ascii="Arial" w:cs="Arial" w:eastAsia="Arial" w:hAnsi="Arial"/>
          <w:sz w:val="20"/>
          <w:szCs w:val="20"/>
          <w:color w:val="auto"/>
        </w:rPr>
        <w:t>Liens arising in connection with asset securitization transactions, so long as the aggregate outstanding principal amount of the obligations secured thereby does not exceed $2,000,000,000 at any one time;</w:t>
      </w:r>
    </w:p>
    <w:p>
      <w:pPr>
        <w:spacing w:after="0" w:line="153" w:lineRule="exact"/>
        <w:rPr>
          <w:rFonts w:ascii="Arial" w:cs="Arial" w:eastAsia="Arial" w:hAnsi="Arial"/>
          <w:sz w:val="20"/>
          <w:szCs w:val="20"/>
          <w:color w:val="auto"/>
        </w:rPr>
      </w:pPr>
    </w:p>
    <w:p>
      <w:pPr>
        <w:ind w:left="1940" w:hanging="636"/>
        <w:spacing w:after="0"/>
        <w:tabs>
          <w:tab w:leader="none" w:pos="19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not  otherwise  permitted  hereby  which  secure  Indebtedness  incurred  pursuant  to  Asset  Monetization</w:t>
      </w:r>
    </w:p>
    <w:p>
      <w:pPr>
        <w:spacing w:after="0"/>
        <w:rPr>
          <w:rFonts w:ascii="Arial" w:cs="Arial" w:eastAsia="Arial" w:hAnsi="Arial"/>
          <w:sz w:val="18"/>
          <w:szCs w:val="18"/>
          <w:color w:val="auto"/>
        </w:rPr>
      </w:pPr>
      <w:r>
        <w:rPr>
          <w:rFonts w:ascii="Arial" w:cs="Arial" w:eastAsia="Arial" w:hAnsi="Arial"/>
          <w:sz w:val="20"/>
          <w:szCs w:val="20"/>
          <w:color w:val="auto"/>
        </w:rPr>
        <w:t>Transactions;</w:t>
      </w:r>
    </w:p>
    <w:p>
      <w:pPr>
        <w:spacing w:after="0" w:line="159" w:lineRule="exact"/>
        <w:rPr>
          <w:rFonts w:ascii="Arial" w:cs="Arial" w:eastAsia="Arial" w:hAnsi="Arial"/>
          <w:sz w:val="18"/>
          <w:szCs w:val="18"/>
          <w:color w:val="auto"/>
        </w:rPr>
      </w:pPr>
    </w:p>
    <w:p>
      <w:pPr>
        <w:jc w:val="both"/>
        <w:ind w:firstLine="1304"/>
        <w:spacing w:after="0" w:line="210" w:lineRule="auto"/>
        <w:tabs>
          <w:tab w:leader="none" w:pos="1942" w:val="left"/>
        </w:tabs>
        <w:numPr>
          <w:ilvl w:val="0"/>
          <w:numId w:val="189"/>
        </w:numPr>
        <w:rPr>
          <w:rFonts w:ascii="Arial" w:cs="Arial" w:eastAsia="Arial" w:hAnsi="Arial"/>
          <w:sz w:val="20"/>
          <w:szCs w:val="20"/>
          <w:color w:val="auto"/>
        </w:rPr>
      </w:pPr>
      <w:r>
        <w:rPr>
          <w:rFonts w:ascii="Arial" w:cs="Arial" w:eastAsia="Arial" w:hAnsi="Arial"/>
          <w:sz w:val="20"/>
          <w:szCs w:val="20"/>
          <w:color w:val="auto"/>
        </w:rPr>
        <w:t>(A) Liens on any assets of the Sky Group which Liens (i) were existing as of the Sky Closing Date, (ii) were not incurred to secure indebtedness financing the Sky Acquisition and (iii) do not extend to other assets other than (x) after acquired property that is automatically subject to such Lien and (y) proceeds and products of such property and any replacement, improvement, accessions or additions thereto and (B) any modification, replacement, refinancing, renewal or extension of such Lien (including prior to the date hereof); and</w:t>
      </w:r>
    </w:p>
    <w:p>
      <w:pPr>
        <w:spacing w:after="0" w:line="154" w:lineRule="exact"/>
        <w:rPr>
          <w:rFonts w:ascii="Arial" w:cs="Arial" w:eastAsia="Arial" w:hAnsi="Arial"/>
          <w:sz w:val="20"/>
          <w:szCs w:val="20"/>
          <w:color w:val="auto"/>
        </w:rPr>
      </w:pPr>
    </w:p>
    <w:p>
      <w:pPr>
        <w:jc w:val="both"/>
        <w:ind w:firstLine="1304"/>
        <w:spacing w:after="0" w:line="213" w:lineRule="auto"/>
        <w:tabs>
          <w:tab w:leader="none" w:pos="1942" w:val="left"/>
        </w:tabs>
        <w:numPr>
          <w:ilvl w:val="0"/>
          <w:numId w:val="189"/>
        </w:numPr>
        <w:rPr>
          <w:rFonts w:ascii="Arial" w:cs="Arial" w:eastAsia="Arial" w:hAnsi="Arial"/>
          <w:sz w:val="20"/>
          <w:szCs w:val="20"/>
          <w:color w:val="auto"/>
        </w:rPr>
      </w:pPr>
      <w:r>
        <w:rPr>
          <w:rFonts w:ascii="Arial" w:cs="Arial" w:eastAsia="Arial" w:hAnsi="Arial"/>
          <w:sz w:val="20"/>
          <w:szCs w:val="20"/>
          <w:color w:val="auto"/>
        </w:rPr>
        <w:t>other Liens, so long as the aggregate outstanding principal amount of the Indebtedness for borrowed money (including without duplication Guaranty Obligations in respect thereof) secured thereby does not exceed at any time an amount equal to (x) 15% of Consolidated Net Worth minus (y) the amount, if any, of any unsecured Indebtedness incurred by any Restricted Subsidiary that is not a Guarantor pursuant to Section 7.02(d).</w:t>
      </w:r>
    </w:p>
    <w:p>
      <w:pPr>
        <w:spacing w:after="0" w:line="13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8"/>
          <w:szCs w:val="18"/>
          <w:u w:val="single" w:color="auto"/>
          <w:color w:val="auto"/>
        </w:rPr>
        <w:t>Non-Guarantor Subsidiary Indebtedness</w:t>
      </w:r>
      <w:r>
        <w:rPr>
          <w:rFonts w:ascii="Arial" w:cs="Arial" w:eastAsia="Arial" w:hAnsi="Arial"/>
          <w:sz w:val="18"/>
          <w:szCs w:val="18"/>
          <w:color w:val="auto"/>
        </w:rPr>
        <w:t>. Borrower shall not permit any of its Restricted Subsidiaries that are not</w:t>
      </w:r>
    </w:p>
    <w:p>
      <w:pPr>
        <w:spacing w:after="0"/>
        <w:rPr>
          <w:sz w:val="20"/>
          <w:szCs w:val="20"/>
          <w:color w:val="auto"/>
        </w:rPr>
      </w:pPr>
      <w:r>
        <w:rPr>
          <w:rFonts w:ascii="Arial" w:cs="Arial" w:eastAsia="Arial" w:hAnsi="Arial"/>
          <w:sz w:val="20"/>
          <w:szCs w:val="20"/>
          <w:color w:val="auto"/>
        </w:rPr>
        <w:t>Guarantors to create, incur, assume or permit to exist any Indebtedness, except:</w:t>
      </w:r>
    </w:p>
    <w:p>
      <w:pPr>
        <w:spacing w:after="0" w:line="159" w:lineRule="exact"/>
        <w:rPr>
          <w:sz w:val="20"/>
          <w:szCs w:val="20"/>
          <w:color w:val="auto"/>
        </w:rPr>
      </w:pPr>
    </w:p>
    <w:p>
      <w:pPr>
        <w:ind w:firstLine="1304"/>
        <w:spacing w:after="0" w:line="229" w:lineRule="auto"/>
        <w:tabs>
          <w:tab w:leader="none" w:pos="1934"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Indebtedness existing on the date hereof, in an aggregate amount not in excess of $2,000,000,000, and all extensions, renewals and replacements of such Indebtedness that do not increase the outstanding principal amount thereof;</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Indebtedness of any Restricted Subsidiary to Borrower or any other Restricted Subsidiary;</w:t>
      </w:r>
    </w:p>
    <w:p>
      <w:pPr>
        <w:spacing w:after="0" w:line="175" w:lineRule="exact"/>
        <w:rPr>
          <w:rFonts w:ascii="Arial" w:cs="Arial" w:eastAsia="Arial" w:hAnsi="Arial"/>
          <w:sz w:val="20"/>
          <w:szCs w:val="20"/>
          <w:color w:val="auto"/>
        </w:rPr>
      </w:pPr>
    </w:p>
    <w:p>
      <w:pPr>
        <w:jc w:val="both"/>
        <w:ind w:firstLine="1304"/>
        <w:spacing w:after="0" w:line="218" w:lineRule="auto"/>
        <w:tabs>
          <w:tab w:leader="none" w:pos="1934"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 Indebtedness of the Sky Group that (i) was existing as of the Sky Closing Date and (ii) was not incurred to finance the Sky Acquisition and (B) any modification, replacement, refinancing, renewal or extension of such Indebtedness (including prior to the date hereof); and</w:t>
      </w:r>
    </w:p>
    <w:p>
      <w:pPr>
        <w:spacing w:after="0" w:line="156" w:lineRule="exact"/>
        <w:rPr>
          <w:rFonts w:ascii="Arial" w:cs="Arial" w:eastAsia="Arial" w:hAnsi="Arial"/>
          <w:sz w:val="20"/>
          <w:szCs w:val="20"/>
          <w:color w:val="auto"/>
        </w:rPr>
      </w:pPr>
    </w:p>
    <w:p>
      <w:pPr>
        <w:jc w:val="both"/>
        <w:ind w:firstLine="1304"/>
        <w:spacing w:after="0" w:line="230" w:lineRule="auto"/>
        <w:tabs>
          <w:tab w:leader="none" w:pos="193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Indebtedness in an aggregate principal amount for all such Restricted Subsidiaries that are not Guarantors not exceeding at any time (x) 15% of Consolidated Net Worth minus (y) the amount, if any, of Indebtedness for borrowed money (including without duplication Guaranty Obligations in respect thereof) of any Loan Party secured pursuant to Section 7.01(j).</w:t>
      </w:r>
    </w:p>
    <w:p>
      <w:pPr>
        <w:spacing w:after="0" w:line="155"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 xml:space="preserve">7.03 </w:t>
      </w:r>
      <w:r>
        <w:rPr>
          <w:rFonts w:ascii="Arial" w:cs="Arial" w:eastAsia="Arial" w:hAnsi="Arial"/>
          <w:sz w:val="20"/>
          <w:szCs w:val="20"/>
          <w:u w:val="single" w:color="auto"/>
          <w:color w:val="auto"/>
        </w:rPr>
        <w:t>Fundamental Changes</w:t>
      </w:r>
      <w:r>
        <w:rPr>
          <w:rFonts w:ascii="Arial" w:cs="Arial" w:eastAsia="Arial" w:hAnsi="Arial"/>
          <w:sz w:val="20"/>
          <w:szCs w:val="20"/>
          <w:color w:val="auto"/>
        </w:rPr>
        <w:t>. Borrower shall not (A) merge or consolidate with or into any Person or (B) liquidate, wind-up or dissolve itself or (C) sell, transfer or dispose of all or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05" w:right="339" w:bottom="1440" w:gutter="0" w:footer="0" w:header="0"/>
        </w:sectPr>
      </w:pPr>
    </w:p>
    <w:bookmarkStart w:id="232" w:name="page233"/>
    <w:bookmarkEnd w:id="232"/>
    <w:p>
      <w:pPr>
        <w:jc w:val="both"/>
        <w:spacing w:after="0" w:line="218" w:lineRule="auto"/>
        <w:rPr>
          <w:sz w:val="20"/>
          <w:szCs w:val="20"/>
          <w:color w:val="auto"/>
        </w:rPr>
      </w:pPr>
      <w:r>
        <w:rPr>
          <w:rFonts w:ascii="Arial" w:cs="Arial" w:eastAsia="Arial" w:hAnsi="Arial"/>
          <w:sz w:val="20"/>
          <w:szCs w:val="20"/>
          <w:color w:val="auto"/>
        </w:rPr>
        <w:t xml:space="preserve">all of its assets,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in this Section 7.03 shall be construed to prohibit Borrower from reincorporating in another jurisdiction permitted by clause (iii) below, changing its form of organization or merging or consolidating with or into, or selling or transferring all or substantially all of its assets to, another Person so long as:</w:t>
      </w:r>
    </w:p>
    <w:p>
      <w:pPr>
        <w:spacing w:after="0" w:line="156" w:lineRule="exact"/>
        <w:rPr>
          <w:sz w:val="20"/>
          <w:szCs w:val="20"/>
          <w:color w:val="auto"/>
        </w:rPr>
      </w:pPr>
    </w:p>
    <w:p>
      <w:pPr>
        <w:jc w:val="both"/>
        <w:ind w:left="660" w:firstLine="644"/>
        <w:spacing w:after="0" w:line="227" w:lineRule="auto"/>
        <w:tabs>
          <w:tab w:leader="none" w:pos="188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either (x) Borrower shall be the surviving entity with substantially the same assets immediately following the reincorporation or reorganization or (y) the surviving entity or transferee (the “Successor Entity”)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(and become the “Borrower” hereunder or thereunder) in form and substance satisfactory to Administrative Agent (and, if requested by Administrative Agent, the Successor Entity shall have delivered an opinion of counsel as to the assumption of such obligations) and (C) either (I) have then-effective ratings (or implied ratings) published by Moody’s or S&amp;P applicable to such Successor Entity’s senior, unsecured, non-credit-enhanced, long term indebtedness for borrowed money, which ratings shall be either Baa3 or higher (if assigned by Moody’s) or BBB- or higher (if assigned by S&amp;P) or (II) be acceptable to Required Lenders;</w:t>
      </w:r>
    </w:p>
    <w:p>
      <w:pPr>
        <w:spacing w:after="0" w:line="141" w:lineRule="exact"/>
        <w:rPr>
          <w:rFonts w:ascii="Arial" w:cs="Arial" w:eastAsia="Arial" w:hAnsi="Arial"/>
          <w:sz w:val="18"/>
          <w:szCs w:val="18"/>
          <w:color w:val="auto"/>
        </w:rPr>
      </w:pPr>
    </w:p>
    <w:p>
      <w:pPr>
        <w:ind w:left="1920" w:hanging="616"/>
        <w:spacing w:after="0"/>
        <w:tabs>
          <w:tab w:leader="none" w:pos="192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no Default or Event of Default shall have occurred and be</w:t>
      </w:r>
    </w:p>
    <w:p>
      <w:pPr>
        <w:ind w:left="660"/>
        <w:spacing w:after="0"/>
        <w:rPr>
          <w:rFonts w:ascii="Arial" w:cs="Arial" w:eastAsia="Arial" w:hAnsi="Arial"/>
          <w:sz w:val="19"/>
          <w:szCs w:val="19"/>
          <w:color w:val="auto"/>
        </w:rPr>
      </w:pPr>
      <w:r>
        <w:rPr>
          <w:rFonts w:ascii="Arial" w:cs="Arial" w:eastAsia="Arial" w:hAnsi="Arial"/>
          <w:sz w:val="20"/>
          <w:szCs w:val="20"/>
          <w:color w:val="auto"/>
        </w:rPr>
        <w:t>continuing; and</w:t>
      </w:r>
    </w:p>
    <w:p>
      <w:pPr>
        <w:spacing w:after="0" w:line="159" w:lineRule="exact"/>
        <w:rPr>
          <w:rFonts w:ascii="Arial" w:cs="Arial" w:eastAsia="Arial" w:hAnsi="Arial"/>
          <w:sz w:val="19"/>
          <w:szCs w:val="19"/>
          <w:color w:val="auto"/>
        </w:rPr>
      </w:pPr>
    </w:p>
    <w:p>
      <w:pPr>
        <w:ind w:left="660" w:right="20" w:firstLine="644"/>
        <w:spacing w:after="0" w:line="229" w:lineRule="auto"/>
        <w:tabs>
          <w:tab w:leader="none" w:pos="180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the Borrower or a Successor Entity’s jurisdiction of organization shall be a state within the United States of America or the District of Columbia.</w:t>
      </w:r>
    </w:p>
    <w:p>
      <w:pPr>
        <w:spacing w:after="0" w:line="155"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19"/>
          <w:szCs w:val="19"/>
          <w:color w:val="auto"/>
        </w:rPr>
        <w:t xml:space="preserve">7.04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Borrower will not request any Borrowing or Letter of Credit, and Borrower shall not use, and shall not make available to its Subsidiaries and its or their respective directors, officers, employees and agents,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to the knowledge of the Borrower, would result in the violation of any Sanctions applicable to any party hereto in any material respect.</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 xml:space="preserve">7.05 </w:t>
      </w:r>
      <w:r>
        <w:rPr>
          <w:rFonts w:ascii="Arial" w:cs="Arial" w:eastAsia="Arial" w:hAnsi="Arial"/>
          <w:sz w:val="20"/>
          <w:szCs w:val="20"/>
          <w:u w:val="single" w:color="auto"/>
          <w:color w:val="auto"/>
        </w:rPr>
        <w:t>Financial Covenant</w:t>
      </w:r>
      <w:r>
        <w:rPr>
          <w:rFonts w:ascii="Arial" w:cs="Arial" w:eastAsia="Arial" w:hAnsi="Arial"/>
          <w:sz w:val="20"/>
          <w:szCs w:val="20"/>
          <w:color w:val="auto"/>
        </w:rPr>
        <w:t>. Borrower shall not permit the Leverage Ratio as of the end of any fiscal quarter of Borrower to be greater than 5.75 to 1.00.</w:t>
      </w:r>
    </w:p>
    <w:p>
      <w:pPr>
        <w:spacing w:after="0" w:line="13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8</w:t>
      </w:r>
    </w:p>
    <w:p>
      <w:pPr>
        <w:ind w:left="3880"/>
        <w:spacing w:after="0"/>
        <w:rPr>
          <w:sz w:val="20"/>
          <w:szCs w:val="20"/>
          <w:color w:val="auto"/>
        </w:rPr>
      </w:pPr>
      <w:r>
        <w:rPr>
          <w:rFonts w:ascii="Arial" w:cs="Arial" w:eastAsia="Arial" w:hAnsi="Arial"/>
          <w:sz w:val="20"/>
          <w:szCs w:val="20"/>
          <w:color w:val="auto"/>
        </w:rPr>
        <w:t>EVENTS OF DEFAULT AND REMEDIES</w:t>
      </w:r>
    </w:p>
    <w:p>
      <w:pPr>
        <w:spacing w:after="0" w:line="15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one or more of the following events shall constitute an Event of Default:</w:t>
      </w:r>
    </w:p>
    <w:p>
      <w:pPr>
        <w:spacing w:after="0" w:line="175" w:lineRule="exact"/>
        <w:rPr>
          <w:sz w:val="20"/>
          <w:szCs w:val="20"/>
          <w:color w:val="auto"/>
        </w:rPr>
      </w:pPr>
    </w:p>
    <w:p>
      <w:pPr>
        <w:ind w:firstLine="1304"/>
        <w:spacing w:after="0" w:line="229" w:lineRule="auto"/>
        <w:tabs>
          <w:tab w:leader="none" w:pos="1934" w:val="left"/>
        </w:tabs>
        <w:numPr>
          <w:ilvl w:val="1"/>
          <w:numId w:val="192"/>
        </w:numPr>
        <w:rPr>
          <w:rFonts w:ascii="Arial" w:cs="Arial" w:eastAsia="Arial" w:hAnsi="Arial"/>
          <w:sz w:val="20"/>
          <w:szCs w:val="20"/>
          <w:color w:val="auto"/>
        </w:rPr>
      </w:pPr>
      <w:r>
        <w:rPr>
          <w:rFonts w:ascii="Arial" w:cs="Arial" w:eastAsia="Arial" w:hAnsi="Arial"/>
          <w:sz w:val="20"/>
          <w:szCs w:val="20"/>
          <w:color w:val="auto"/>
        </w:rPr>
        <w:t>Borrower fails to pay any principal on any of its Outstanding Revolving Obligations or Competitive Loans (other than fees) on the date when due; or</w:t>
      </w:r>
    </w:p>
    <w:p>
      <w:pPr>
        <w:spacing w:after="0" w:line="155" w:lineRule="exact"/>
        <w:rPr>
          <w:rFonts w:ascii="Arial" w:cs="Arial" w:eastAsia="Arial" w:hAnsi="Arial"/>
          <w:sz w:val="20"/>
          <w:szCs w:val="20"/>
          <w:color w:val="auto"/>
        </w:rPr>
      </w:pPr>
    </w:p>
    <w:p>
      <w:pPr>
        <w:jc w:val="both"/>
        <w:ind w:firstLine="1304"/>
        <w:spacing w:after="0" w:line="244" w:lineRule="auto"/>
        <w:tabs>
          <w:tab w:leader="none" w:pos="193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Borrower fails to pay any interest on any of its Outstanding Revolving Obligations or Competitive Loans,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51" w:lineRule="exact"/>
        <w:rPr>
          <w:rFonts w:ascii="Arial" w:cs="Arial" w:eastAsia="Arial" w:hAnsi="Arial"/>
          <w:sz w:val="18"/>
          <w:szCs w:val="18"/>
          <w:color w:val="auto"/>
        </w:rPr>
      </w:pPr>
    </w:p>
    <w:p>
      <w:pPr>
        <w:ind w:left="1940" w:hanging="636"/>
        <w:spacing w:after="0"/>
        <w:tabs>
          <w:tab w:leader="none" w:pos="19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7.03 or 7.05; or</w:t>
      </w:r>
    </w:p>
    <w:p>
      <w:pPr>
        <w:spacing w:after="0" w:line="196" w:lineRule="exact"/>
        <w:rPr>
          <w:rFonts w:ascii="Arial" w:cs="Arial" w:eastAsia="Arial" w:hAnsi="Arial"/>
          <w:sz w:val="18"/>
          <w:szCs w:val="18"/>
          <w:color w:val="auto"/>
        </w:rPr>
      </w:pPr>
    </w:p>
    <w:p>
      <w:pPr>
        <w:ind w:left="1940" w:hanging="636"/>
        <w:spacing w:after="0"/>
        <w:tabs>
          <w:tab w:leader="none" w:pos="19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w:t>
      </w:r>
    </w:p>
    <w:p>
      <w:pPr>
        <w:ind w:left="280" w:hanging="272"/>
        <w:spacing w:after="0"/>
        <w:tabs>
          <w:tab w:leader="none" w:pos="28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above) contained in any Loan Document on its part to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05" w:right="339" w:bottom="1440" w:gutter="0" w:footer="0" w:header="0"/>
        </w:sectPr>
      </w:pPr>
    </w:p>
    <w:bookmarkStart w:id="233" w:name="page234"/>
    <w:bookmarkEnd w:id="233"/>
    <w:p>
      <w:pPr>
        <w:spacing w:after="0"/>
        <w:rPr>
          <w:sz w:val="20"/>
          <w:szCs w:val="20"/>
          <w:color w:val="auto"/>
        </w:rPr>
      </w:pPr>
      <w:r>
        <w:rPr>
          <w:rFonts w:ascii="Arial" w:cs="Arial" w:eastAsia="Arial" w:hAnsi="Arial"/>
          <w:sz w:val="20"/>
          <w:szCs w:val="20"/>
          <w:color w:val="auto"/>
        </w:rPr>
        <w:t>or observed and such failure continues for 30 days after notice thereof to Borrower from Administrative Agent or any Lender; or</w:t>
      </w:r>
    </w:p>
    <w:p>
      <w:pPr>
        <w:spacing w:after="0" w:line="175" w:lineRule="exact"/>
        <w:rPr>
          <w:sz w:val="20"/>
          <w:szCs w:val="20"/>
          <w:color w:val="auto"/>
        </w:rPr>
      </w:pPr>
    </w:p>
    <w:p>
      <w:pPr>
        <w:ind w:firstLine="1304"/>
        <w:spacing w:after="0" w:line="229" w:lineRule="auto"/>
        <w:tabs>
          <w:tab w:leader="none" w:pos="1934" w:val="left"/>
        </w:tabs>
        <w:numPr>
          <w:ilvl w:val="0"/>
          <w:numId w:val="194"/>
        </w:numPr>
        <w:rPr>
          <w:rFonts w:ascii="Arial" w:cs="Arial" w:eastAsia="Arial" w:hAnsi="Arial"/>
          <w:sz w:val="20"/>
          <w:szCs w:val="20"/>
          <w:color w:val="auto"/>
        </w:rPr>
      </w:pPr>
      <w:r>
        <w:rPr>
          <w:rFonts w:ascii="Arial" w:cs="Arial" w:eastAsia="Arial" w:hAnsi="Arial"/>
          <w:sz w:val="20"/>
          <w:szCs w:val="20"/>
          <w:color w:val="auto"/>
        </w:rPr>
        <w:t>Any representation or warranty by any Loan Party in this Agreement or any other Loan Document or any Compliance Certificate proves to have been incorrect in any material respect when made or deemed made; or</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93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 Borrower or any Restricted Subsidiary (x) defaults in any payment when due (giving effect to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shall generally not pay its debts as they become due or shall admit in writing its inability to pay its debts as they mature; </w:t>
      </w:r>
      <w:r>
        <w:rPr>
          <w:rFonts w:ascii="Arial" w:cs="Arial" w:eastAsia="Arial" w:hAnsi="Arial"/>
          <w:sz w:val="17"/>
          <w:szCs w:val="17"/>
          <w:i w:val="1"/>
          <w:iCs w:val="1"/>
          <w:color w:val="auto"/>
        </w:rPr>
        <w:t>provided</w:t>
      </w:r>
      <w:r>
        <w:rPr>
          <w:rFonts w:ascii="Arial" w:cs="Arial" w:eastAsia="Arial" w:hAnsi="Arial"/>
          <w:sz w:val="19"/>
          <w:szCs w:val="19"/>
          <w:color w:val="auto"/>
        </w:rPr>
        <w:t xml:space="preserve"> </w:t>
      </w:r>
      <w:r>
        <w:rPr>
          <w:rFonts w:ascii="Arial" w:cs="Arial" w:eastAsia="Arial" w:hAnsi="Arial"/>
          <w:sz w:val="17"/>
          <w:szCs w:val="17"/>
          <w:color w:val="auto"/>
        </w:rPr>
        <w:t>that (1) clause (y) above shall not apply to any prepayment, redemption, purchase or</w:t>
      </w:r>
      <w:r>
        <w:rPr>
          <w:rFonts w:ascii="Arial" w:cs="Arial" w:eastAsia="Arial" w:hAnsi="Arial"/>
          <w:sz w:val="19"/>
          <w:szCs w:val="19"/>
          <w:color w:val="auto"/>
        </w:rPr>
        <w:t xml:space="preserve"> </w:t>
      </w:r>
      <w:r>
        <w:rPr>
          <w:rFonts w:ascii="Arial" w:cs="Arial" w:eastAsia="Arial" w:hAnsi="Arial"/>
          <w:sz w:val="17"/>
          <w:szCs w:val="17"/>
          <w:color w:val="auto"/>
        </w:rPr>
        <w:t>defeasance of any such Indebtedness incurred for the purpose of financing, in whole or in part, any acquisition if such prepayment, redemption, purchase or defeasance is required to be made (A) as a result of such acquisition failing to be consummated or (B) with the proceeds of any sale or other disposition of assets, any incurrence of any other Indebtedness or any issuance of any equity interests by the Borrower or any Restricted Subsidiary and (2) clause (y) above shall not apply to any prepayment, redemption, purchase or defeasance of any such Indebtedness of any Person acquired by the Borrower or any of its Subsidiaries after the date hereof if such prepayment, redemption, purchase or defeasance is required to be made as a result of the consummation of such acquisition; or</w:t>
      </w:r>
    </w:p>
    <w:p>
      <w:pPr>
        <w:spacing w:after="0" w:line="182" w:lineRule="exact"/>
        <w:rPr>
          <w:rFonts w:ascii="Arial" w:cs="Arial" w:eastAsia="Arial" w:hAnsi="Arial"/>
          <w:sz w:val="19"/>
          <w:szCs w:val="19"/>
          <w:color w:val="auto"/>
        </w:rPr>
      </w:pPr>
    </w:p>
    <w:p>
      <w:pPr>
        <w:jc w:val="both"/>
        <w:ind w:firstLine="1304"/>
        <w:spacing w:after="0" w:line="221" w:lineRule="auto"/>
        <w:tabs>
          <w:tab w:leader="none" w:pos="193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Except as permitted by Section 6.10, the Guarantee Agreement,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Borrower denies in writing that it has any or further liability or obligation under the Guarantee Agreement, or purports to revoke, terminate or rescind the Guarantee Agreement in writing; or</w:t>
      </w:r>
    </w:p>
    <w:p>
      <w:pPr>
        <w:spacing w:after="0" w:line="155" w:lineRule="exact"/>
        <w:rPr>
          <w:rFonts w:ascii="Arial" w:cs="Arial" w:eastAsia="Arial" w:hAnsi="Arial"/>
          <w:sz w:val="19"/>
          <w:szCs w:val="19"/>
          <w:color w:val="auto"/>
        </w:rPr>
      </w:pPr>
    </w:p>
    <w:p>
      <w:pPr>
        <w:jc w:val="both"/>
        <w:ind w:firstLine="1304"/>
        <w:spacing w:after="0" w:line="218" w:lineRule="auto"/>
        <w:tabs>
          <w:tab w:leader="none" w:pos="193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A final non-appealable judgment against Borrower or any of its Significant Subsidiaries is entered for the payment of money (which is not covered by insurance) in excess of the Threshold Amount if such judgment remains unsatisfied without procurement of a stay of execution for 60 calendar days after the date of entry of such judgment; or</w:t>
      </w:r>
    </w:p>
    <w:p>
      <w:pPr>
        <w:spacing w:after="0" w:line="156" w:lineRule="exact"/>
        <w:rPr>
          <w:rFonts w:ascii="Arial" w:cs="Arial" w:eastAsia="Arial" w:hAnsi="Arial"/>
          <w:sz w:val="20"/>
          <w:szCs w:val="20"/>
          <w:color w:val="auto"/>
        </w:rPr>
      </w:pPr>
    </w:p>
    <w:p>
      <w:pPr>
        <w:jc w:val="both"/>
        <w:ind w:firstLine="1304"/>
        <w:spacing w:after="0" w:line="217" w:lineRule="auto"/>
        <w:tabs>
          <w:tab w:leader="none" w:pos="194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Borrower or any of its Significant Subsidiaries institutes or consents to the institution of any proceeding under Debtor Relief Laws, or makes a general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56" w:lineRule="exact"/>
        <w:rPr>
          <w:rFonts w:ascii="Arial" w:cs="Arial" w:eastAsia="Arial" w:hAnsi="Arial"/>
          <w:sz w:val="19"/>
          <w:szCs w:val="19"/>
          <w:color w:val="auto"/>
        </w:rPr>
      </w:pPr>
    </w:p>
    <w:p>
      <w:pPr>
        <w:ind w:left="1940" w:hanging="636"/>
        <w:spacing w:after="0"/>
        <w:tabs>
          <w:tab w:leader="none" w:pos="194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There occurs any Change of Control.</w:t>
      </w:r>
    </w:p>
    <w:p>
      <w:pPr>
        <w:spacing w:after="0" w:line="175" w:lineRule="exact"/>
        <w:rPr>
          <w:sz w:val="20"/>
          <w:szCs w:val="20"/>
          <w:color w:val="auto"/>
        </w:rPr>
      </w:pPr>
    </w:p>
    <w:p>
      <w:pPr>
        <w:ind w:firstLine="1296"/>
        <w:spacing w:after="0" w:line="242" w:lineRule="auto"/>
        <w:rPr>
          <w:sz w:val="20"/>
          <w:szCs w:val="20"/>
          <w:color w:val="auto"/>
        </w:rPr>
      </w:pPr>
      <w:r>
        <w:rPr>
          <w:rFonts w:ascii="Arial" w:cs="Arial" w:eastAsia="Arial" w:hAnsi="Arial"/>
          <w:sz w:val="19"/>
          <w:szCs w:val="19"/>
          <w:color w:val="auto"/>
        </w:rPr>
        <w:t xml:space="preserve">8.02 </w:t>
      </w:r>
      <w:r>
        <w:rPr>
          <w:rFonts w:ascii="Arial" w:cs="Arial" w:eastAsia="Arial" w:hAnsi="Arial"/>
          <w:sz w:val="19"/>
          <w:szCs w:val="19"/>
          <w:u w:val="single" w:color="auto"/>
          <w:color w:val="auto"/>
        </w:rPr>
        <w:t>Remedies Upon Event of Default</w:t>
      </w:r>
      <w:r>
        <w:rPr>
          <w:rFonts w:ascii="Arial" w:cs="Arial" w:eastAsia="Arial" w:hAnsi="Arial"/>
          <w:sz w:val="19"/>
          <w:szCs w:val="19"/>
          <w:color w:val="auto"/>
        </w:rPr>
        <w:t>. Without limiting any other rights or remedies of Administrative Agent or Lenders provided for elsewhere in this Agreement, or the other Loan Documents, or by applicable Law, or in equity,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05" w:right="339" w:bottom="1440" w:gutter="0" w:footer="0" w:header="0"/>
        </w:sectPr>
      </w:pPr>
    </w:p>
    <w:bookmarkStart w:id="234" w:name="page235"/>
    <w:bookmarkEnd w:id="234"/>
    <w:p>
      <w:pPr>
        <w:ind w:left="1940" w:hanging="636"/>
        <w:spacing w:after="0"/>
        <w:tabs>
          <w:tab w:leader="none" w:pos="19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other than an Event of Default described</w:t>
      </w:r>
    </w:p>
    <w:p>
      <w:pPr>
        <w:spacing w:after="0"/>
        <w:rPr>
          <w:rFonts w:ascii="Arial" w:cs="Arial" w:eastAsia="Arial" w:hAnsi="Arial"/>
          <w:sz w:val="18"/>
          <w:szCs w:val="18"/>
          <w:color w:val="auto"/>
        </w:rPr>
      </w:pPr>
      <w:r>
        <w:rPr>
          <w:rFonts w:ascii="Arial" w:cs="Arial" w:eastAsia="Arial" w:hAnsi="Arial"/>
          <w:sz w:val="20"/>
          <w:szCs w:val="20"/>
          <w:color w:val="auto"/>
        </w:rPr>
        <w:t>in Section 8.01(i):</w:t>
      </w:r>
    </w:p>
    <w:p>
      <w:pPr>
        <w:spacing w:after="0" w:line="159" w:lineRule="exact"/>
        <w:rPr>
          <w:rFonts w:ascii="Arial" w:cs="Arial" w:eastAsia="Arial" w:hAnsi="Arial"/>
          <w:sz w:val="18"/>
          <w:szCs w:val="18"/>
          <w:color w:val="auto"/>
        </w:rPr>
      </w:pPr>
    </w:p>
    <w:p>
      <w:pPr>
        <w:jc w:val="both"/>
        <w:ind w:left="1300" w:firstLine="652"/>
        <w:spacing w:after="0" w:line="207" w:lineRule="auto"/>
        <w:tabs>
          <w:tab w:leader="none" w:pos="2535" w:val="left"/>
        </w:tabs>
        <w:numPr>
          <w:ilvl w:val="1"/>
          <w:numId w:val="195"/>
        </w:numPr>
        <w:rPr>
          <w:rFonts w:ascii="Arial" w:cs="Arial" w:eastAsia="Arial" w:hAnsi="Arial"/>
          <w:sz w:val="20"/>
          <w:szCs w:val="20"/>
          <w:color w:val="auto"/>
        </w:rPr>
      </w:pPr>
      <w:r>
        <w:rPr>
          <w:rFonts w:ascii="Arial" w:cs="Arial" w:eastAsia="Arial" w:hAnsi="Arial"/>
          <w:sz w:val="20"/>
          <w:szCs w:val="20"/>
          <w:color w:val="auto"/>
        </w:rPr>
        <w:t>Administrative Agent may, with the consent of the Required Lenders,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 and</w:t>
      </w:r>
    </w:p>
    <w:p>
      <w:pPr>
        <w:spacing w:after="0" w:line="159" w:lineRule="exact"/>
        <w:rPr>
          <w:rFonts w:ascii="Arial" w:cs="Arial" w:eastAsia="Arial" w:hAnsi="Arial"/>
          <w:sz w:val="20"/>
          <w:szCs w:val="20"/>
          <w:color w:val="auto"/>
        </w:rPr>
      </w:pPr>
    </w:p>
    <w:p>
      <w:pPr>
        <w:jc w:val="both"/>
        <w:ind w:left="1300" w:firstLine="652"/>
        <w:spacing w:after="0" w:line="244" w:lineRule="auto"/>
        <w:tabs>
          <w:tab w:leader="none" w:pos="253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Administrative Agent may, with the consent of the Required Lenders, and (subject to the terms of Section 9) shall, upon the request of Required Lenders, demand immediate payment by Borrower of an amount equal to the aggregate amount of all outstanding Letter of Credit Usage to be held in a Letter of Credit Cash Collateral Account.</w:t>
      </w:r>
    </w:p>
    <w:p>
      <w:pPr>
        <w:spacing w:after="0" w:line="151" w:lineRule="exact"/>
        <w:rPr>
          <w:rFonts w:ascii="Arial" w:cs="Arial" w:eastAsia="Arial" w:hAnsi="Arial"/>
          <w:sz w:val="18"/>
          <w:szCs w:val="18"/>
          <w:color w:val="auto"/>
        </w:rPr>
      </w:pPr>
    </w:p>
    <w:p>
      <w:pPr>
        <w:ind w:left="1940" w:hanging="636"/>
        <w:spacing w:after="0"/>
        <w:tabs>
          <w:tab w:leader="none" w:pos="19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Upon the occurrence of any Event of Default described in Section 8.01(i):</w:t>
      </w:r>
    </w:p>
    <w:p>
      <w:pPr>
        <w:spacing w:after="0" w:line="175" w:lineRule="exact"/>
        <w:rPr>
          <w:rFonts w:ascii="Arial" w:cs="Arial" w:eastAsia="Arial" w:hAnsi="Arial"/>
          <w:sz w:val="20"/>
          <w:szCs w:val="20"/>
          <w:color w:val="auto"/>
        </w:rPr>
      </w:pPr>
    </w:p>
    <w:p>
      <w:pPr>
        <w:ind w:left="1300" w:firstLine="652"/>
        <w:spacing w:after="0" w:line="229" w:lineRule="auto"/>
        <w:tabs>
          <w:tab w:leader="none" w:pos="2616" w:val="left"/>
        </w:tabs>
        <w:numPr>
          <w:ilvl w:val="1"/>
          <w:numId w:val="195"/>
        </w:numPr>
        <w:rPr>
          <w:rFonts w:ascii="Arial" w:cs="Arial" w:eastAsia="Arial" w:hAnsi="Arial"/>
          <w:sz w:val="20"/>
          <w:szCs w:val="20"/>
          <w:color w:val="auto"/>
        </w:rPr>
      </w:pPr>
      <w:r>
        <w:rPr>
          <w:rFonts w:ascii="Arial" w:cs="Arial" w:eastAsia="Arial" w:hAnsi="Arial"/>
          <w:sz w:val="20"/>
          <w:szCs w:val="20"/>
          <w:color w:val="auto"/>
        </w:rPr>
        <w:t>The Revolving Commitments and all other obligations of Administrative Agent or Lenders shall automatically terminate without notice to or demand upon Borrower, which is expressly waived by Borrower;</w:t>
      </w:r>
    </w:p>
    <w:p>
      <w:pPr>
        <w:spacing w:after="0" w:line="155" w:lineRule="exact"/>
        <w:rPr>
          <w:rFonts w:ascii="Arial" w:cs="Arial" w:eastAsia="Arial" w:hAnsi="Arial"/>
          <w:sz w:val="20"/>
          <w:szCs w:val="20"/>
          <w:color w:val="auto"/>
        </w:rPr>
      </w:pPr>
    </w:p>
    <w:p>
      <w:pPr>
        <w:jc w:val="both"/>
        <w:ind w:left="1300" w:firstLine="652"/>
        <w:spacing w:after="0" w:line="218" w:lineRule="auto"/>
        <w:tabs>
          <w:tab w:leader="none" w:pos="2563" w:val="left"/>
        </w:tabs>
        <w:numPr>
          <w:ilvl w:val="1"/>
          <w:numId w:val="195"/>
        </w:numPr>
        <w:rPr>
          <w:rFonts w:ascii="Arial" w:cs="Arial" w:eastAsia="Arial" w:hAnsi="Arial"/>
          <w:sz w:val="20"/>
          <w:szCs w:val="20"/>
          <w:color w:val="auto"/>
        </w:rPr>
      </w:pPr>
      <w:r>
        <w:rPr>
          <w:rFonts w:ascii="Arial" w:cs="Arial" w:eastAsia="Arial" w:hAnsi="Arial"/>
          <w:sz w:val="20"/>
          <w:szCs w:val="20"/>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Borrower; and</w:t>
      </w:r>
    </w:p>
    <w:p>
      <w:pPr>
        <w:spacing w:after="0" w:line="156" w:lineRule="exact"/>
        <w:rPr>
          <w:rFonts w:ascii="Arial" w:cs="Arial" w:eastAsia="Arial" w:hAnsi="Arial"/>
          <w:sz w:val="20"/>
          <w:szCs w:val="20"/>
          <w:color w:val="auto"/>
        </w:rPr>
      </w:pPr>
    </w:p>
    <w:p>
      <w:pPr>
        <w:jc w:val="both"/>
        <w:ind w:left="1300" w:firstLine="652"/>
        <w:spacing w:after="0" w:line="218" w:lineRule="auto"/>
        <w:tabs>
          <w:tab w:leader="none" w:pos="2537" w:val="left"/>
        </w:tabs>
        <w:numPr>
          <w:ilvl w:val="1"/>
          <w:numId w:val="195"/>
        </w:numPr>
        <w:rPr>
          <w:rFonts w:ascii="Arial" w:cs="Arial" w:eastAsia="Arial" w:hAnsi="Arial"/>
          <w:sz w:val="20"/>
          <w:szCs w:val="20"/>
          <w:color w:val="auto"/>
        </w:rPr>
      </w:pPr>
      <w:r>
        <w:rPr>
          <w:rFonts w:ascii="Arial" w:cs="Arial" w:eastAsia="Arial" w:hAnsi="Arial"/>
          <w:sz w:val="20"/>
          <w:szCs w:val="20"/>
          <w:color w:val="auto"/>
        </w:rPr>
        <w:t>An amount equal to the aggregate amount of all outstanding Letter of Credit Usage shall be immediately due and payable to Administrative Agent without notice to or demand upon Borrower, which is expressly waived by Borrower, to be held in a Letter of Credit Cash Collateral Account.</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4" w:val="left"/>
        </w:tabs>
        <w:numPr>
          <w:ilvl w:val="0"/>
          <w:numId w:val="195"/>
        </w:numPr>
        <w:rPr>
          <w:rFonts w:ascii="Arial" w:cs="Arial" w:eastAsia="Arial" w:hAnsi="Arial"/>
          <w:sz w:val="20"/>
          <w:szCs w:val="20"/>
          <w:color w:val="auto"/>
        </w:rPr>
      </w:pPr>
      <w:r>
        <w:rPr>
          <w:rFonts w:ascii="Arial" w:cs="Arial" w:eastAsia="Arial" w:hAnsi="Arial"/>
          <w:sz w:val="20"/>
          <w:szCs w:val="20"/>
          <w:color w:val="auto"/>
        </w:rPr>
        <w:t>Upon the occurrence of any Event of Default, Administrative Agent may, with the consent of the Required Lenders, and (subject to the terms of Section 9) shall, upon the request of Required Lenders, protect, exercise and enforce against Borrower the rights and remedies of Administrative Agent and Lenders under the Loan Documents and such other rights and remedies as are provided by Law or equity.</w:t>
      </w:r>
    </w:p>
    <w:p>
      <w:pPr>
        <w:spacing w:after="0" w:line="155" w:lineRule="exact"/>
        <w:rPr>
          <w:rFonts w:ascii="Arial" w:cs="Arial" w:eastAsia="Arial" w:hAnsi="Arial"/>
          <w:sz w:val="20"/>
          <w:szCs w:val="20"/>
          <w:color w:val="auto"/>
        </w:rPr>
      </w:pPr>
    </w:p>
    <w:p>
      <w:pPr>
        <w:jc w:val="both"/>
        <w:ind w:firstLine="1304"/>
        <w:spacing w:after="0" w:line="226" w:lineRule="auto"/>
        <w:tabs>
          <w:tab w:leader="none" w:pos="193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subject to the last parenthetical of Section 2.01(a) of the Guarantee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03" w:right="339" w:bottom="1440" w:gutter="0" w:footer="0" w:header="0"/>
        </w:sectPr>
      </w:pPr>
    </w:p>
    <w:bookmarkStart w:id="235" w:name="page236"/>
    <w:bookmarkEnd w:id="235"/>
    <w:p>
      <w:pPr>
        <w:spacing w:after="0" w:line="18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9</w:t>
      </w:r>
    </w:p>
    <w:p>
      <w:pPr>
        <w:spacing w:after="0" w:line="148"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THE AGENTS</w:t>
      </w:r>
    </w:p>
    <w:p>
      <w:pPr>
        <w:spacing w:after="0" w:line="17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19"/>
          <w:szCs w:val="19"/>
          <w:color w:val="auto"/>
        </w:rPr>
        <w:t xml:space="preserve">9.01 </w:t>
      </w:r>
      <w:r>
        <w:rPr>
          <w:rFonts w:ascii="Arial" w:cs="Arial" w:eastAsia="Arial" w:hAnsi="Arial"/>
          <w:sz w:val="19"/>
          <w:szCs w:val="19"/>
          <w:u w:val="single" w:color="auto"/>
          <w:color w:val="auto"/>
        </w:rPr>
        <w:t>Appointment</w:t>
      </w:r>
      <w:r>
        <w:rPr>
          <w:rFonts w:ascii="Arial" w:cs="Arial" w:eastAsia="Arial" w:hAnsi="Arial"/>
          <w:sz w:val="19"/>
          <w:szCs w:val="19"/>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 xml:space="preserve">9.02 </w:t>
      </w:r>
      <w:r>
        <w:rPr>
          <w:rFonts w:ascii="Arial" w:cs="Arial" w:eastAsia="Arial" w:hAnsi="Arial"/>
          <w:sz w:val="20"/>
          <w:szCs w:val="20"/>
          <w:u w:val="single" w:color="auto"/>
          <w:color w:val="auto"/>
        </w:rPr>
        <w:t>Delegation of Duties</w:t>
      </w:r>
      <w:r>
        <w:rPr>
          <w:rFonts w:ascii="Arial" w:cs="Arial" w:eastAsia="Arial" w:hAnsi="Arial"/>
          <w:sz w:val="20"/>
          <w:szCs w:val="20"/>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156"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60"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60" w:lineRule="exact"/>
        <w:rPr>
          <w:sz w:val="20"/>
          <w:szCs w:val="20"/>
          <w:color w:val="auto"/>
        </w:rPr>
      </w:pPr>
    </w:p>
    <w:p>
      <w:pPr>
        <w:jc w:val="both"/>
        <w:ind w:firstLine="1304"/>
        <w:spacing w:after="0" w:line="244" w:lineRule="auto"/>
        <w:tabs>
          <w:tab w:leader="none" w:pos="159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40" w:right="339" w:bottom="1440" w:gutter="0" w:footer="0" w:header="0"/>
        </w:sectPr>
      </w:pPr>
    </w:p>
    <w:bookmarkStart w:id="236" w:name="page237"/>
    <w:bookmarkEnd w:id="236"/>
    <w:p>
      <w:pPr>
        <w:spacing w:after="0"/>
        <w:rPr>
          <w:sz w:val="20"/>
          <w:szCs w:val="20"/>
          <w:color w:val="auto"/>
        </w:rPr>
      </w:pPr>
      <w:r>
        <w:rPr>
          <w:rFonts w:ascii="Arial" w:cs="Arial" w:eastAsia="Arial" w:hAnsi="Arial"/>
          <w:sz w:val="20"/>
          <w:szCs w:val="20"/>
          <w:color w:val="auto"/>
        </w:rPr>
        <w:t>satisfaction, or required thereunder to be consented to or approved by or acceptable or satisfactory to a Lender.</w:t>
      </w:r>
    </w:p>
    <w:p>
      <w:pPr>
        <w:spacing w:after="0" w:line="175" w:lineRule="exact"/>
        <w:rPr>
          <w:sz w:val="20"/>
          <w:szCs w:val="20"/>
          <w:color w:val="auto"/>
        </w:rPr>
      </w:pPr>
    </w:p>
    <w:p>
      <w:pPr>
        <w:jc w:val="both"/>
        <w:ind w:firstLine="1296"/>
        <w:spacing w:after="0" w:line="205" w:lineRule="auto"/>
        <w:rPr>
          <w:sz w:val="20"/>
          <w:szCs w:val="20"/>
          <w:color w:val="auto"/>
        </w:rPr>
      </w:pPr>
      <w:r>
        <w:rPr>
          <w:rFonts w:ascii="Arial" w:cs="Arial" w:eastAsia="Arial" w:hAnsi="Arial"/>
          <w:sz w:val="20"/>
          <w:szCs w:val="20"/>
          <w:color w:val="auto"/>
        </w:rPr>
        <w:t xml:space="preserve">9.05 </w:t>
      </w:r>
      <w:r>
        <w:rPr>
          <w:rFonts w:ascii="Arial" w:cs="Arial" w:eastAsia="Arial" w:hAnsi="Arial"/>
          <w:sz w:val="20"/>
          <w:szCs w:val="20"/>
          <w:u w:val="single" w:color="auto"/>
          <w:color w:val="auto"/>
        </w:rPr>
        <w:t>Notice of Default</w:t>
      </w:r>
      <w:r>
        <w:rPr>
          <w:rFonts w:ascii="Arial" w:cs="Arial" w:eastAsia="Arial" w:hAnsi="Arial"/>
          <w:sz w:val="20"/>
          <w:szCs w:val="20"/>
          <w:color w:val="auto"/>
        </w:rPr>
        <w:t xml:space="preserve">. Administrative Agent shall not be deemed to have knowledge or notice of the occurrence of any Default or Event of Default unless Administrative Agent has received 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56"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u w:val="single" w:color="auto"/>
          <w:color w:val="auto"/>
        </w:rPr>
        <w:t>Acknowledgements of Lenders and Issuing Lenders</w:t>
      </w:r>
      <w:r>
        <w:rPr>
          <w:rFonts w:ascii="Arial" w:cs="Arial" w:eastAsia="Arial" w:hAnsi="Arial"/>
          <w:sz w:val="18"/>
          <w:szCs w:val="18"/>
          <w:color w:val="auto"/>
        </w:rPr>
        <w:t>. Each Lender and each Issuing Lender represents and warrants that (i) the Loan Documents set forth the terms of a commercial lending facility, (ii) it is engaged in making, acquiring or holding commercial loans and in providing other facilities set forth herein as may be applicable to such Lender or Issuing Lender, in each case in the ordinary course of business and is making the Loans hereunder as commercial loans in the ordinary course of its business, and not for the purpose of purchasing, acquiring or holding any other type of financial instrument (and each Lender and each Issuing Lender agrees not to assert a claim in contravention of the foregoing), (iii) it has, independently and without reliance upon the Administrative Agent, any Person identified on the cover page of this Agreement as a Joint Lead Arranger and Joint Bookrunner, any Syndication Agent, any Co-Documentation Agent or any other Lender or Issuing Lender, or any of the Affiliates and directors, officers, employees, agents and advisors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Person identified on the cover page of this Agreement as a Joint Lead Arranger and Joint Bookrunner, any Syndication Agent, any Co-Documentation Agent or any other Lender or Issuing Lender, or any of the Affiliates and directors, officers, employees, agents and advisors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7" w:lineRule="exact"/>
        <w:rPr>
          <w:sz w:val="20"/>
          <w:szCs w:val="20"/>
          <w:color w:val="auto"/>
        </w:rPr>
      </w:pPr>
    </w:p>
    <w:p>
      <w:pPr>
        <w:jc w:val="both"/>
        <w:ind w:firstLine="1304"/>
        <w:spacing w:after="0" w:line="236" w:lineRule="auto"/>
        <w:tabs>
          <w:tab w:leader="none" w:pos="193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57" w:lineRule="exact"/>
        <w:rPr>
          <w:rFonts w:ascii="Arial" w:cs="Arial" w:eastAsia="Arial" w:hAnsi="Arial"/>
          <w:sz w:val="18"/>
          <w:szCs w:val="18"/>
          <w:color w:val="auto"/>
        </w:rPr>
      </w:pPr>
    </w:p>
    <w:p>
      <w:pPr>
        <w:jc w:val="both"/>
        <w:ind w:firstLine="1304"/>
        <w:spacing w:after="0" w:line="216" w:lineRule="auto"/>
        <w:tabs>
          <w:tab w:leader="none" w:pos="2137" w:val="left"/>
        </w:tabs>
        <w:numPr>
          <w:ilvl w:val="0"/>
          <w:numId w:val="197"/>
        </w:numPr>
        <w:rPr>
          <w:rFonts w:ascii="Arial" w:cs="Arial" w:eastAsia="Arial" w:hAnsi="Arial"/>
          <w:sz w:val="19"/>
          <w:szCs w:val="19"/>
          <w:color w:val="auto"/>
        </w:rPr>
      </w:pPr>
      <w:r>
        <w:rPr>
          <w:rFonts w:ascii="Arial" w:cs="Arial" w:eastAsia="Arial" w:hAnsi="Arial"/>
          <w:sz w:val="19"/>
          <w:szCs w:val="19"/>
          <w:color w:val="auto"/>
        </w:rPr>
        <w:t>Each Lender and Issuing Lender hereby agrees that (x) if the Administrative Agent notifies such Lender or Issuing Lender that the Administrative Agent has determined in its sole discretion that any funds received by such Lender or Issuing Lender from the Administrative Agent or any of its Affiliates (whether as a payment, prepayment or repayment of principal, interest, fees or otherwise; individually and collectively, a “Payment”)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05" w:right="339" w:bottom="1440" w:gutter="0" w:footer="0" w:header="0"/>
        </w:sectPr>
      </w:pPr>
    </w:p>
    <w:bookmarkStart w:id="237" w:name="page238"/>
    <w:bookmarkEnd w:id="237"/>
    <w:p>
      <w:pPr>
        <w:jc w:val="both"/>
        <w:spacing w:after="0" w:line="206" w:lineRule="auto"/>
        <w:rPr>
          <w:sz w:val="20"/>
          <w:szCs w:val="20"/>
          <w:color w:val="auto"/>
        </w:rPr>
      </w:pPr>
      <w:r>
        <w:rPr>
          <w:rFonts w:ascii="Arial" w:cs="Arial" w:eastAsia="Arial" w:hAnsi="Arial"/>
          <w:sz w:val="20"/>
          <w:szCs w:val="20"/>
          <w:color w:val="auto"/>
        </w:rPr>
        <w:t>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Lender under this Section 9.06(c) shall be conclusive, absent manifest error.</w:t>
      </w:r>
    </w:p>
    <w:p>
      <w:pPr>
        <w:spacing w:after="0" w:line="157" w:lineRule="exact"/>
        <w:rPr>
          <w:sz w:val="20"/>
          <w:szCs w:val="20"/>
          <w:color w:val="auto"/>
        </w:rPr>
      </w:pPr>
    </w:p>
    <w:p>
      <w:pPr>
        <w:jc w:val="both"/>
        <w:ind w:left="580" w:firstLine="724"/>
        <w:spacing w:after="0" w:line="213" w:lineRule="auto"/>
        <w:tabs>
          <w:tab w:leader="none" w:pos="1897" w:val="left"/>
        </w:tabs>
        <w:numPr>
          <w:ilvl w:val="1"/>
          <w:numId w:val="198"/>
        </w:numPr>
        <w:rPr>
          <w:rFonts w:ascii="Arial" w:cs="Arial" w:eastAsia="Arial" w:hAnsi="Arial"/>
          <w:sz w:val="19"/>
          <w:szCs w:val="19"/>
          <w:color w:val="auto"/>
        </w:rPr>
      </w:pPr>
      <w:r>
        <w:rPr>
          <w:rFonts w:ascii="Arial" w:cs="Arial" w:eastAsia="Arial" w:hAnsi="Arial"/>
          <w:sz w:val="19"/>
          <w:szCs w:val="19"/>
          <w:color w:val="auto"/>
        </w:rPr>
        <w:t>Each Lender and Issuing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Issuing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57" w:lineRule="exact"/>
        <w:rPr>
          <w:rFonts w:ascii="Arial" w:cs="Arial" w:eastAsia="Arial" w:hAnsi="Arial"/>
          <w:sz w:val="19"/>
          <w:szCs w:val="19"/>
          <w:color w:val="auto"/>
        </w:rPr>
      </w:pPr>
    </w:p>
    <w:p>
      <w:pPr>
        <w:jc w:val="both"/>
        <w:ind w:left="580" w:firstLine="643"/>
        <w:spacing w:after="0" w:line="250" w:lineRule="auto"/>
        <w:tabs>
          <w:tab w:leader="none" w:pos="191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 the event that an erroneous Payment (or portion thereof) is not recovered by the Administrative Agent for any reason, after demand therefor by the Administrative Agent in accordance with immediately preceding clause (i), from any Lender or Issuing Bank that has received such erroneous Payment (or portion thereof) (such unrecovered amount, an “Erroneous Payment Return Deficiency”), upon the Administrative Agent’s notice to such Lender or Issuing Lender at any time, (i) such Lender or Issuing Bank shall be deemed to have assigned its Loans (but not its Revolving Commitments or Letter of Credit Commitments) with respect to which such Erroneous Payment was made (the “Erroneous Payment Impacted Loan”) in an amount equal to the Erroneous Payment Return Deficiency (or such lesser amount as the Administrative Agent may specify) (such assignment of the Loans (but not Revolving Commitments or Letter of Credit Commitments) of the Erroneous Payment Impacted Loans, the “Erroneous Payment Deficiency Assignment”)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Revolving Commitments and Letter of Credit Commitments which shall survive as to such assigning Lender or assigning Issuing Bank and (iv) the Administrative Agent may reflect in the Register its ownership interest in the Loans subject to the Erroneous Payment Deficiency Assignment. For the avoidance of doubt, no Erroneous Payment Deficiency Assignment will reduce the Revolving Commitments or Letter of Credit Commitments of any Lender or Issuing Bank and such Revolving Commitments and Letter of Credit Commitments shall remain available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05" w:right="339" w:bottom="1440" w:gutter="0" w:footer="0" w:header="0"/>
        </w:sectPr>
      </w:pPr>
    </w:p>
    <w:bookmarkStart w:id="238" w:name="page239"/>
    <w:bookmarkEnd w:id="238"/>
    <w:p>
      <w:pPr>
        <w:jc w:val="both"/>
        <w:ind w:left="580" w:firstLine="643"/>
        <w:spacing w:after="0" w:line="216" w:lineRule="auto"/>
        <w:tabs>
          <w:tab w:leader="none" w:pos="192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The Borrower and each other Loan Party hereby agrees that an erroneous Payment shall not pay, prepay, repay, discharge or otherwise satisfy any Obligations owed by the Borrower or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clause (iii) (above) and this clause (iv) shall not be interpreted to increase (or accelerate the due date for), or have the effect of increasing (or accelerating the due date for), the Obligations of the Loan Parties relative to the amount (and/or timing for payment) of the Obligations that would have been payable had such erroneous Payment not been made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the avoidance of doubt, clause (iii) (above) and this clause (iv) shall not apply to the extent any such Payment is, and solely with respect to the amount of such Payment that is, comprised of funds received by the Administrative Agent from the Borrower or any other Loan Party for the purpose of making such Payment.</w:t>
      </w:r>
    </w:p>
    <w:p>
      <w:pPr>
        <w:spacing w:after="0" w:line="154" w:lineRule="exact"/>
        <w:rPr>
          <w:rFonts w:ascii="Arial" w:cs="Arial" w:eastAsia="Arial" w:hAnsi="Arial"/>
          <w:sz w:val="19"/>
          <w:szCs w:val="19"/>
          <w:color w:val="auto"/>
        </w:rPr>
      </w:pPr>
    </w:p>
    <w:p>
      <w:pPr>
        <w:jc w:val="both"/>
        <w:ind w:left="580" w:firstLine="643"/>
        <w:spacing w:after="0" w:line="230" w:lineRule="auto"/>
        <w:tabs>
          <w:tab w:leader="none" w:pos="190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Each party’s obligations under this Section 9.06(c) shall survive the resignation or replacement of the Administrative Agent or any transfer of rights or obligations by, or the replacement of, a Lender or Issuing Lender, the termination of the Commitments or the repayment, satisfaction or discharge of all Obligations under any Loan Document.</w:t>
      </w:r>
    </w:p>
    <w:p>
      <w:pPr>
        <w:spacing w:after="0" w:line="15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Lenders agree to indemnify each Agent and Issuing Lender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Revolving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62"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9"/>
          <w:szCs w:val="19"/>
          <w:color w:val="auto"/>
        </w:rPr>
        <w:t xml:space="preserve">9.08 </w:t>
      </w:r>
      <w:r>
        <w:rPr>
          <w:rFonts w:ascii="Arial" w:cs="Arial" w:eastAsia="Arial" w:hAnsi="Arial"/>
          <w:sz w:val="19"/>
          <w:szCs w:val="19"/>
          <w:u w:val="single" w:color="auto"/>
          <w:color w:val="auto"/>
        </w:rPr>
        <w:t>Agent in Its Individual Capacity</w:t>
      </w:r>
      <w:r>
        <w:rPr>
          <w:rFonts w:ascii="Arial" w:cs="Arial" w:eastAsia="Arial" w:hAnsi="Arial"/>
          <w:sz w:val="19"/>
          <w:szCs w:val="19"/>
          <w:color w:val="auto"/>
        </w:rPr>
        <w:t>. Each Agent and its affiliates may make loans to, accept deposits from and generally engage in any kind of business with any Loan Party and its affiliates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5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05" w:right="339" w:bottom="1440" w:gutter="0" w:footer="0" w:header="0"/>
        </w:sectPr>
      </w:pPr>
    </w:p>
    <w:bookmarkStart w:id="239" w:name="page240"/>
    <w:bookmarkEnd w:id="239"/>
    <w:p>
      <w:pPr>
        <w:jc w:val="both"/>
        <w:spacing w:after="0" w:line="218" w:lineRule="auto"/>
        <w:rPr>
          <w:sz w:val="20"/>
          <w:szCs w:val="20"/>
          <w:color w:val="auto"/>
        </w:rPr>
      </w:pPr>
      <w:r>
        <w:rPr>
          <w:rFonts w:ascii="Arial" w:cs="Arial" w:eastAsia="Arial" w:hAnsi="Arial"/>
          <w:sz w:val="20"/>
          <w:szCs w:val="20"/>
          <w:color w:val="auto"/>
        </w:rPr>
        <w:t>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56"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u w:val="single" w:color="auto"/>
          <w:color w:val="auto"/>
        </w:rPr>
        <w:t>Co-Documentation Agents and Syndication Agent</w:t>
      </w:r>
      <w:r>
        <w:rPr>
          <w:rFonts w:ascii="Arial" w:cs="Arial" w:eastAsia="Arial" w:hAnsi="Arial"/>
          <w:sz w:val="20"/>
          <w:szCs w:val="20"/>
          <w:color w:val="auto"/>
        </w:rPr>
        <w:t>. None of Co-Documentation Agents nor Syndication Agent nor any Person identified on the cover page of this Agreement as a Joint Lead Arranger and Joint Bookrunner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160"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xml:space="preserve"> Each Lender (x) represents and warrants, as of the date such Person became a Lender party hereto, to, and (y) covenants, from the date such Person became a Lender party hereto to the date such Person ceases being a Lender party hereto, for the benefit of, the Administrative Agent, each Co-Documentation Agent, the Syndication Agent, any of the Persons identified on the cover page of this Agreement as a Joint Lead Arranger and Joint Bookrunner and their respective Affiliates, and not, for the avoidance of doubt, to or for the benefit of the Borrower or any other Loan Party, that at least one of the following is and will be true:</w:t>
      </w:r>
    </w:p>
    <w:p>
      <w:pPr>
        <w:spacing w:after="0" w:line="156" w:lineRule="exact"/>
        <w:rPr>
          <w:sz w:val="20"/>
          <w:szCs w:val="20"/>
          <w:color w:val="auto"/>
        </w:rPr>
      </w:pPr>
    </w:p>
    <w:p>
      <w:pPr>
        <w:ind w:left="1300" w:firstLine="652"/>
        <w:spacing w:after="0" w:line="229" w:lineRule="auto"/>
        <w:tabs>
          <w:tab w:leader="none" w:pos="2549" w:val="left"/>
        </w:tabs>
        <w:numPr>
          <w:ilvl w:val="1"/>
          <w:numId w:val="201"/>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155" w:lineRule="exact"/>
        <w:rPr>
          <w:rFonts w:ascii="Arial" w:cs="Arial" w:eastAsia="Arial" w:hAnsi="Arial"/>
          <w:sz w:val="20"/>
          <w:szCs w:val="20"/>
          <w:color w:val="auto"/>
        </w:rPr>
      </w:pPr>
    </w:p>
    <w:p>
      <w:pPr>
        <w:jc w:val="both"/>
        <w:ind w:left="1300" w:firstLine="652"/>
        <w:spacing w:after="0" w:line="229" w:lineRule="auto"/>
        <w:tabs>
          <w:tab w:leader="none" w:pos="255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6" w:lineRule="exact"/>
        <w:rPr>
          <w:rFonts w:ascii="Arial" w:cs="Arial" w:eastAsia="Arial" w:hAnsi="Arial"/>
          <w:sz w:val="18"/>
          <w:szCs w:val="18"/>
          <w:color w:val="auto"/>
        </w:rPr>
      </w:pPr>
    </w:p>
    <w:p>
      <w:pPr>
        <w:jc w:val="both"/>
        <w:ind w:left="1300" w:firstLine="652"/>
        <w:spacing w:after="0" w:line="222" w:lineRule="auto"/>
        <w:tabs>
          <w:tab w:leader="none" w:pos="255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3" w:lineRule="exact"/>
        <w:rPr>
          <w:rFonts w:ascii="Arial" w:cs="Arial" w:eastAsia="Arial" w:hAnsi="Arial"/>
          <w:sz w:val="18"/>
          <w:szCs w:val="18"/>
          <w:color w:val="auto"/>
        </w:rPr>
      </w:pPr>
    </w:p>
    <w:p>
      <w:pPr>
        <w:jc w:val="both"/>
        <w:ind w:left="1300" w:firstLine="4"/>
        <w:spacing w:after="0" w:line="213" w:lineRule="auto"/>
        <w:tabs>
          <w:tab w:leader="none" w:pos="1625"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4" w:lineRule="exact"/>
        <w:rPr>
          <w:rFonts w:ascii="Arial" w:cs="Arial" w:eastAsia="Arial" w:hAnsi="Arial"/>
          <w:sz w:val="20"/>
          <w:szCs w:val="20"/>
          <w:color w:val="auto"/>
        </w:rPr>
      </w:pPr>
    </w:p>
    <w:p>
      <w:pPr>
        <w:ind w:left="1300" w:firstLine="652"/>
        <w:spacing w:after="0" w:line="229" w:lineRule="auto"/>
        <w:tabs>
          <w:tab w:leader="none" w:pos="2553" w:val="left"/>
        </w:tabs>
        <w:numPr>
          <w:ilvl w:val="1"/>
          <w:numId w:val="202"/>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55" w:lineRule="exact"/>
        <w:rPr>
          <w:sz w:val="20"/>
          <w:szCs w:val="20"/>
          <w:color w:val="auto"/>
        </w:rPr>
      </w:pPr>
    </w:p>
    <w:p>
      <w:pPr>
        <w:jc w:val="both"/>
        <w:ind w:firstLine="1304"/>
        <w:spacing w:after="0" w:line="210" w:lineRule="auto"/>
        <w:tabs>
          <w:tab w:leader="none" w:pos="1932" w:val="left"/>
        </w:tabs>
        <w:numPr>
          <w:ilvl w:val="0"/>
          <w:numId w:val="203"/>
        </w:numPr>
        <w:rPr>
          <w:rFonts w:ascii="Arial" w:cs="Arial" w:eastAsia="Arial" w:hAnsi="Arial"/>
          <w:sz w:val="20"/>
          <w:szCs w:val="20"/>
          <w:color w:val="auto"/>
        </w:rPr>
      </w:pPr>
      <w:r>
        <w:rPr>
          <w:rFonts w:ascii="Arial" w:cs="Arial" w:eastAsia="Arial" w:hAnsi="Arial"/>
          <w:sz w:val="20"/>
          <w:szCs w:val="20"/>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Co-Documentation Agent,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05" w:right="339" w:bottom="1440" w:gutter="0" w:footer="0" w:header="0"/>
        </w:sectPr>
      </w:pPr>
    </w:p>
    <w:bookmarkStart w:id="240" w:name="page241"/>
    <w:bookmarkEnd w:id="240"/>
    <w:p>
      <w:pPr>
        <w:jc w:val="both"/>
        <w:spacing w:after="0" w:line="207" w:lineRule="auto"/>
        <w:rPr>
          <w:sz w:val="20"/>
          <w:szCs w:val="20"/>
          <w:color w:val="auto"/>
        </w:rPr>
      </w:pPr>
      <w:r>
        <w:rPr>
          <w:rFonts w:ascii="Arial" w:cs="Arial" w:eastAsia="Arial" w:hAnsi="Arial"/>
          <w:sz w:val="20"/>
          <w:szCs w:val="20"/>
          <w:color w:val="auto"/>
        </w:rPr>
        <w:t>Agent, each Person identified on the cover page of this Agreement as a Joint Lead Arranger and Joint Bookrunner and their respective Affiliates, and not, for the avoidance of doubt, to or for the benefit of the Borrower or any other Loan Party, that none of the Administrative Agent, the Co-Documentation Agents, the Syndication Agent, the Persons identified on the cover page of this Agreement as a Joint Lead Arranger and Joint Bookrunner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60" w:lineRule="exact"/>
        <w:rPr>
          <w:sz w:val="20"/>
          <w:szCs w:val="20"/>
          <w:color w:val="auto"/>
        </w:rPr>
      </w:pPr>
    </w:p>
    <w:p>
      <w:pPr>
        <w:jc w:val="both"/>
        <w:ind w:firstLine="1304"/>
        <w:spacing w:after="0" w:line="250" w:lineRule="auto"/>
        <w:tabs>
          <w:tab w:leader="none" w:pos="193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Administrative Agent, each Co-Documentation Agent, the Syndication Agent, and each Person identified on the cover page of this Agreement as a Joint Lead Arranger and Joint Bookrunner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w:t>
      </w:r>
    </w:p>
    <w:p>
      <w:pPr>
        <w:spacing w:after="0" w:line="2" w:lineRule="exact"/>
        <w:rPr>
          <w:rFonts w:ascii="Arial" w:cs="Arial" w:eastAsia="Arial" w:hAnsi="Arial"/>
          <w:sz w:val="16"/>
          <w:szCs w:val="16"/>
          <w:color w:val="auto"/>
        </w:rPr>
      </w:pPr>
    </w:p>
    <w:p>
      <w:pPr>
        <w:jc w:val="both"/>
        <w:ind w:firstLine="8"/>
        <w:spacing w:after="0" w:line="227" w:lineRule="auto"/>
        <w:tabs>
          <w:tab w:leader="none" w:pos="30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SECTION 10</w:t>
      </w:r>
    </w:p>
    <w:p>
      <w:pPr>
        <w:spacing w:after="0" w:line="148"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MISCELLANEOUS</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Amendments; Consents</w:t>
      </w:r>
      <w:r>
        <w:rPr>
          <w:rFonts w:ascii="Arial" w:cs="Arial" w:eastAsia="Arial" w:hAnsi="Arial"/>
          <w:sz w:val="18"/>
          <w:szCs w:val="18"/>
          <w:color w:val="auto"/>
        </w:rPr>
        <w:t>. Subject to Section 3.03(b), (c), (d), (e), (f) and (g),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Borrower, Administrative Agent and each Lender directly and adversely affected thereby, no amendment, modification, supplement, termination, waiver, approval, or consent may be effective to:</w:t>
      </w:r>
    </w:p>
    <w:p>
      <w:pPr>
        <w:spacing w:after="0" w:line="143" w:lineRule="exact"/>
        <w:rPr>
          <w:sz w:val="20"/>
          <w:szCs w:val="20"/>
          <w:color w:val="auto"/>
        </w:rPr>
      </w:pPr>
    </w:p>
    <w:p>
      <w:pPr>
        <w:ind w:left="1940" w:hanging="636"/>
        <w:spacing w:after="0"/>
        <w:tabs>
          <w:tab w:leader="none" w:pos="194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Reduce the amount of principal of any Outstanding Revolving Obligations or Competitive Loans owed to such</w:t>
      </w:r>
    </w:p>
    <w:p>
      <w:pPr>
        <w:spacing w:after="0"/>
        <w:rPr>
          <w:sz w:val="20"/>
          <w:szCs w:val="20"/>
          <w:color w:val="auto"/>
        </w:rPr>
      </w:pPr>
      <w:r>
        <w:rPr>
          <w:rFonts w:ascii="Arial" w:cs="Arial" w:eastAsia="Arial" w:hAnsi="Arial"/>
          <w:sz w:val="20"/>
          <w:szCs w:val="20"/>
          <w:color w:val="auto"/>
        </w:rPr>
        <w:t>Lender;</w:t>
      </w:r>
    </w:p>
    <w:p>
      <w:pPr>
        <w:spacing w:after="0" w:line="159" w:lineRule="exact"/>
        <w:rPr>
          <w:sz w:val="20"/>
          <w:szCs w:val="20"/>
          <w:color w:val="auto"/>
        </w:rPr>
      </w:pPr>
    </w:p>
    <w:p>
      <w:pPr>
        <w:jc w:val="both"/>
        <w:ind w:firstLine="1304"/>
        <w:spacing w:after="0" w:line="218" w:lineRule="auto"/>
        <w:tabs>
          <w:tab w:leader="none" w:pos="1932" w:val="left"/>
        </w:tabs>
        <w:numPr>
          <w:ilvl w:val="0"/>
          <w:numId w:val="207"/>
        </w:numPr>
        <w:rPr>
          <w:rFonts w:ascii="Arial" w:cs="Arial" w:eastAsia="Arial" w:hAnsi="Arial"/>
          <w:sz w:val="20"/>
          <w:szCs w:val="20"/>
          <w:color w:val="auto"/>
        </w:rPr>
      </w:pPr>
      <w:r>
        <w:rPr>
          <w:rFonts w:ascii="Arial" w:cs="Arial" w:eastAsia="Arial" w:hAnsi="Arial"/>
          <w:sz w:val="20"/>
          <w:szCs w:val="20"/>
          <w:color w:val="auto"/>
        </w:rPr>
        <w:t>Reduce the rate of interest payable on any Outstanding Revolving Obligations or Competitive Loans owed to such Lender or the amount or rate of any fee or other amount payable to such Lender under the Loan Documents, except that Required Lenders may waive or defer the imposition of the Default Rate;</w:t>
      </w:r>
    </w:p>
    <w:p>
      <w:pPr>
        <w:spacing w:after="0" w:line="156" w:lineRule="exact"/>
        <w:rPr>
          <w:rFonts w:ascii="Arial" w:cs="Arial" w:eastAsia="Arial" w:hAnsi="Arial"/>
          <w:sz w:val="20"/>
          <w:szCs w:val="20"/>
          <w:color w:val="auto"/>
        </w:rPr>
      </w:pPr>
    </w:p>
    <w:p>
      <w:pPr>
        <w:ind w:firstLine="1304"/>
        <w:spacing w:after="0" w:line="229" w:lineRule="auto"/>
        <w:tabs>
          <w:tab w:leader="none" w:pos="1934" w:val="left"/>
        </w:tabs>
        <w:numPr>
          <w:ilvl w:val="0"/>
          <w:numId w:val="207"/>
        </w:numPr>
        <w:rPr>
          <w:rFonts w:ascii="Arial" w:cs="Arial" w:eastAsia="Arial" w:hAnsi="Arial"/>
          <w:sz w:val="20"/>
          <w:szCs w:val="20"/>
          <w:color w:val="auto"/>
        </w:rPr>
      </w:pPr>
      <w:r>
        <w:rPr>
          <w:rFonts w:ascii="Arial" w:cs="Arial" w:eastAsia="Arial" w:hAnsi="Arial"/>
          <w:sz w:val="20"/>
          <w:szCs w:val="20"/>
          <w:color w:val="auto"/>
        </w:rPr>
        <w:t>Waive an Event of Default consisting of the failure of Borrower to pay when due principal, interest, any commitment fee, or any other amount payable to such Lender under the Loan Documents;</w:t>
      </w:r>
    </w:p>
    <w:p>
      <w:pPr>
        <w:spacing w:after="0" w:line="155" w:lineRule="exact"/>
        <w:rPr>
          <w:rFonts w:ascii="Arial" w:cs="Arial" w:eastAsia="Arial" w:hAnsi="Arial"/>
          <w:sz w:val="20"/>
          <w:szCs w:val="20"/>
          <w:color w:val="auto"/>
        </w:rPr>
      </w:pPr>
    </w:p>
    <w:p>
      <w:pPr>
        <w:jc w:val="both"/>
        <w:ind w:firstLine="1304"/>
        <w:spacing w:after="0" w:line="224" w:lineRule="auto"/>
        <w:tabs>
          <w:tab w:leader="none" w:pos="193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Postpone any date scheduled for the payment of principal of, or interest on, any Loan or any Letter of Credit reimbursement obligation or for the payment of any commitment fee or for the payment of any other amount, in each case payable to such Lender under the Loan Documents, or extend the term of, or increase the amount of, such Lender’s Revolving Commitment (it being understood that a waiver of any Event of Default not referred to in subsection (c) above shall require only the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05" w:right="339" w:bottom="1440" w:gutter="0" w:footer="0" w:header="0"/>
        </w:sectPr>
      </w:pPr>
    </w:p>
    <w:bookmarkStart w:id="241" w:name="page242"/>
    <w:bookmarkEnd w:id="241"/>
    <w:p>
      <w:pPr>
        <w:spacing w:after="0"/>
        <w:rPr>
          <w:sz w:val="20"/>
          <w:szCs w:val="20"/>
          <w:color w:val="auto"/>
        </w:rPr>
      </w:pPr>
      <w:r>
        <w:rPr>
          <w:rFonts w:ascii="Arial" w:cs="Arial" w:eastAsia="Arial" w:hAnsi="Arial"/>
          <w:sz w:val="20"/>
          <w:szCs w:val="20"/>
          <w:color w:val="auto"/>
        </w:rPr>
        <w:t>of Required Lenders) or modify such Lender’s share of the Revolving Commitments (except as contemplated hereby);</w:t>
      </w:r>
    </w:p>
    <w:p>
      <w:pPr>
        <w:spacing w:after="0" w:line="175" w:lineRule="exact"/>
        <w:rPr>
          <w:sz w:val="20"/>
          <w:szCs w:val="20"/>
          <w:color w:val="auto"/>
        </w:rPr>
      </w:pPr>
    </w:p>
    <w:p>
      <w:pPr>
        <w:ind w:firstLine="1304"/>
        <w:spacing w:after="0" w:line="229" w:lineRule="auto"/>
        <w:tabs>
          <w:tab w:leader="none" w:pos="1934" w:val="left"/>
        </w:tabs>
        <w:numPr>
          <w:ilvl w:val="0"/>
          <w:numId w:val="208"/>
        </w:numPr>
        <w:rPr>
          <w:rFonts w:ascii="Arial" w:cs="Arial" w:eastAsia="Arial" w:hAnsi="Arial"/>
          <w:sz w:val="20"/>
          <w:szCs w:val="20"/>
          <w:color w:val="auto"/>
        </w:rPr>
      </w:pPr>
      <w:r>
        <w:rPr>
          <w:rFonts w:ascii="Arial" w:cs="Arial" w:eastAsia="Arial" w:hAnsi="Arial"/>
          <w:sz w:val="20"/>
          <w:szCs w:val="20"/>
          <w:color w:val="auto"/>
        </w:rPr>
        <w:t>Amend or waive the definition of “Required Lenders” or the provisions of this Section 10.01 or Section 10.06 (in a manner that would alter the “pro rata sharing” provisions thereof); or</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19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 (iii) any fee letters may be amended, or rights or privileges thereunder waived, in a writing executed by the parties thereto, (iv) any amendment, waiver, or consent to a Letter of Credit Application which is not inconsistent with Section 2.03 shall require only the written approval of Borrower, Administrative Agent and the applicable Issuing Lender, (v) except as otherwise contemplated hereunder (including by Section 6.10), without the written consent of all Lenders, no amendment, waiver or consent shall release all or substantially all of Guarantors from their obligations under the Guarantee Agreement and (vi) without the written consent of all Lenders, no amendment, waiver or consent shall add an Alternative Currency or change the currency of any Loan or other amount outstanding hereunder. Notwithstanding anything to the contrary contained in this Section 10.01 or any other provision of this Agreement or any provision of any other Loan Document (1) the Borrower and the Administrative Agent may, without the input or consent of any other Person, effect amendments to this Agreement and the other Loan Documents as may be necessary or advisable, in the reasonable opinion of the Administrative Agent and the Borrower, to effect the provisions of Sections 3.03(b), (c), (d), (e), (f) and (g) and/or Section 7.03, and (2) without limiting the preceding clause (1), any provision of this Agreement may be amended by an agreement in writing entered into by the Borrower and the Administrative Agent to cure any ambiguity, omission, defect or inconsistency, or to make changes solely of a technical or administrative nature, so long as, in each case of this clause (2), the Lenders and the Issuing Banks shall have received at least ten Business Days’ prior written notice thereof and the Administrative Agent shall not have received, within ten Business Days of the date of such notice to the Lenders, a written notice from the Required Lenders stating that the Required Lenders object to such amendment.</w:t>
      </w:r>
    </w:p>
    <w:p>
      <w:pPr>
        <w:spacing w:after="0" w:line="156"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In the event that any Lender does not consent to any proposed amendment, supplement, modification (including the addition of an Alternative Currency), consent or waiver of any provision of this Agreement or any other Loan Document that requires the consent of each of the Lenders or each of the Lenders directly and adversely affected thereby, so long as the consent of Required Lenders has been obtained, Borrower shall be permitted to remove or replace such Lender in accordance with Section 10.21.</w:t>
      </w:r>
    </w:p>
    <w:p>
      <w:pPr>
        <w:spacing w:after="0" w:line="156"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Any amendment, modification, supplement, termination, waiver or consent pursuant to this Section shall apply equally to, and shall be binding upon, all Lenders and Administrative Agent.</w:t>
      </w:r>
    </w:p>
    <w:p>
      <w:pPr>
        <w:spacing w:after="0" w:line="15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For the avoidance of doubt, the Letter of Credit Commitment of any Issuing Lender may be amended with the consent of Borrower and such Issuing Lender without the need to obtain the consent of the other Lenders.</w:t>
      </w:r>
    </w:p>
    <w:p>
      <w:pPr>
        <w:spacing w:after="0" w:line="15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8"/>
          <w:szCs w:val="18"/>
          <w:u w:val="single" w:color="auto"/>
          <w:color w:val="auto"/>
        </w:rPr>
        <w:t>Requisite Notice; Electronic Communications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21" w:lineRule="auto"/>
        <w:tabs>
          <w:tab w:leader="none" w:pos="1934"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Requisite Notice</w:t>
      </w:r>
      <w:r>
        <w:rPr>
          <w:rFonts w:ascii="Arial" w:cs="Arial" w:eastAsia="Arial" w:hAnsi="Arial"/>
          <w:sz w:val="19"/>
          <w:szCs w:val="19"/>
          <w:color w:val="auto"/>
        </w:rPr>
        <w:t>. Notices given in connection with any Loan Document shall be delivered to the intended recipient at the number and/or address (including email address) set forth in the case of Borrower, Administrative Agent and Issuing Lenders on Schedule 10.02, and in the case of Lenders,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and shall be effective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05" w:right="339" w:bottom="1440" w:gutter="0" w:footer="0" w:header="0"/>
        </w:sectPr>
      </w:pPr>
    </w:p>
    <w:bookmarkStart w:id="242" w:name="page243"/>
    <w:bookmarkEnd w:id="242"/>
    <w:tbl>
      <w:tblPr>
        <w:tblLayout w:type="fixed"/>
        <w:tblInd w:w="80" w:type="dxa"/>
        <w:tblCellMar>
          <w:top w:w="0" w:type="dxa"/>
          <w:left w:w="0" w:type="dxa"/>
          <w:bottom w:w="0" w:type="dxa"/>
          <w:right w:w="0" w:type="dxa"/>
        </w:tblCellMar>
      </w:tblPr>
      <w:tr>
        <w:trPr>
          <w:trHeight w:val="230"/>
        </w:trPr>
        <w:tc>
          <w:tcPr>
            <w:tcW w:w="1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Mode of Delivery</w:t>
            </w:r>
          </w:p>
        </w:tc>
        <w:tc>
          <w:tcPr>
            <w:tcW w:w="2520" w:type="dxa"/>
            <w:vAlign w:val="bottom"/>
          </w:tcPr>
          <w:p>
            <w:pPr>
              <w:spacing w:after="0"/>
              <w:rPr>
                <w:sz w:val="19"/>
                <w:szCs w:val="19"/>
                <w:color w:val="auto"/>
              </w:rPr>
            </w:pPr>
          </w:p>
        </w:tc>
        <w:tc>
          <w:tcPr>
            <w:tcW w:w="7140" w:type="dxa"/>
            <w:vAlign w:val="bottom"/>
          </w:tcPr>
          <w:p>
            <w:pPr>
              <w:spacing w:after="0"/>
              <w:rPr>
                <w:sz w:val="19"/>
                <w:szCs w:val="19"/>
                <w:color w:val="auto"/>
              </w:rPr>
            </w:pPr>
          </w:p>
        </w:tc>
      </w:tr>
      <w:tr>
        <w:trPr>
          <w:trHeight w:val="210"/>
        </w:trPr>
        <w:tc>
          <w:tcPr>
            <w:tcW w:w="3940" w:type="dxa"/>
            <w:vAlign w:val="bottom"/>
            <w:gridSpan w:val="2"/>
          </w:tcPr>
          <w:p>
            <w:pPr>
              <w:spacing w:after="0" w:line="209" w:lineRule="exact"/>
              <w:rPr>
                <w:sz w:val="20"/>
                <w:szCs w:val="20"/>
                <w:color w:val="auto"/>
              </w:rPr>
            </w:pPr>
            <w:r>
              <w:rPr>
                <w:rFonts w:ascii="Arial" w:cs="Arial" w:eastAsia="Arial" w:hAnsi="Arial"/>
                <w:sz w:val="20"/>
                <w:szCs w:val="20"/>
                <w:color w:val="auto"/>
              </w:rPr>
              <w:t>Mail</w:t>
            </w:r>
          </w:p>
        </w:tc>
        <w:tc>
          <w:tcPr>
            <w:tcW w:w="7140" w:type="dxa"/>
            <w:vAlign w:val="bottom"/>
          </w:tcPr>
          <w:p>
            <w:pPr>
              <w:ind w:left="1880"/>
              <w:spacing w:after="0" w:line="209" w:lineRule="exact"/>
              <w:rPr>
                <w:sz w:val="20"/>
                <w:szCs w:val="20"/>
                <w:color w:val="auto"/>
              </w:rPr>
            </w:pPr>
            <w:r>
              <w:rPr>
                <w:rFonts w:ascii="Arial" w:cs="Arial" w:eastAsia="Arial" w:hAnsi="Arial"/>
                <w:sz w:val="20"/>
                <w:szCs w:val="20"/>
                <w:color w:val="auto"/>
                <w:w w:val="90"/>
              </w:rPr>
              <w:t>Effective on earlier of actual receipt and fourth Business Day after</w:t>
            </w:r>
          </w:p>
        </w:tc>
      </w:tr>
      <w:tr>
        <w:trPr>
          <w:trHeight w:val="240"/>
        </w:trPr>
        <w:tc>
          <w:tcPr>
            <w:tcW w:w="1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140" w:type="dxa"/>
            <w:vAlign w:val="bottom"/>
          </w:tcPr>
          <w:p>
            <w:pPr>
              <w:ind w:left="1880"/>
              <w:spacing w:after="0"/>
              <w:rPr>
                <w:sz w:val="20"/>
                <w:szCs w:val="20"/>
                <w:color w:val="auto"/>
              </w:rPr>
            </w:pPr>
            <w:r>
              <w:rPr>
                <w:rFonts w:ascii="Arial" w:cs="Arial" w:eastAsia="Arial" w:hAnsi="Arial"/>
                <w:sz w:val="20"/>
                <w:szCs w:val="20"/>
                <w:color w:val="auto"/>
              </w:rPr>
              <w:t>deposit in U.S. Mail, first class postage pre-paid</w:t>
            </w:r>
          </w:p>
        </w:tc>
      </w:tr>
      <w:tr>
        <w:trPr>
          <w:trHeight w:val="243"/>
        </w:trPr>
        <w:tc>
          <w:tcPr>
            <w:tcW w:w="3940" w:type="dxa"/>
            <w:vAlign w:val="bottom"/>
            <w:gridSpan w:val="2"/>
          </w:tcPr>
          <w:p>
            <w:pPr>
              <w:spacing w:after="0"/>
              <w:rPr>
                <w:sz w:val="20"/>
                <w:szCs w:val="20"/>
                <w:color w:val="auto"/>
              </w:rPr>
            </w:pPr>
            <w:r>
              <w:rPr>
                <w:rFonts w:ascii="Arial" w:cs="Arial" w:eastAsia="Arial" w:hAnsi="Arial"/>
                <w:sz w:val="20"/>
                <w:szCs w:val="20"/>
                <w:color w:val="auto"/>
              </w:rPr>
              <w:t>Courier or hand delivery</w:t>
            </w:r>
          </w:p>
        </w:tc>
        <w:tc>
          <w:tcPr>
            <w:tcW w:w="7140" w:type="dxa"/>
            <w:vAlign w:val="bottom"/>
          </w:tcPr>
          <w:p>
            <w:pPr>
              <w:ind w:left="1880"/>
              <w:spacing w:after="0"/>
              <w:rPr>
                <w:sz w:val="20"/>
                <w:szCs w:val="20"/>
                <w:color w:val="auto"/>
              </w:rPr>
            </w:pPr>
            <w:r>
              <w:rPr>
                <w:rFonts w:ascii="Arial" w:cs="Arial" w:eastAsia="Arial" w:hAnsi="Arial"/>
                <w:sz w:val="20"/>
                <w:szCs w:val="20"/>
                <w:color w:val="auto"/>
              </w:rPr>
              <w:t>When received</w:t>
            </w:r>
          </w:p>
        </w:tc>
      </w:tr>
      <w:tr>
        <w:trPr>
          <w:trHeight w:val="243"/>
        </w:trPr>
        <w:tc>
          <w:tcPr>
            <w:tcW w:w="3940" w:type="dxa"/>
            <w:vAlign w:val="bottom"/>
            <w:gridSpan w:val="2"/>
          </w:tcPr>
          <w:p>
            <w:pPr>
              <w:spacing w:after="0"/>
              <w:rPr>
                <w:sz w:val="20"/>
                <w:szCs w:val="20"/>
                <w:color w:val="auto"/>
              </w:rPr>
            </w:pPr>
            <w:r>
              <w:rPr>
                <w:rFonts w:ascii="Arial" w:cs="Arial" w:eastAsia="Arial" w:hAnsi="Arial"/>
                <w:sz w:val="20"/>
                <w:szCs w:val="20"/>
                <w:color w:val="auto"/>
              </w:rPr>
              <w:t>Telephone (not voicemail)</w:t>
            </w:r>
          </w:p>
        </w:tc>
        <w:tc>
          <w:tcPr>
            <w:tcW w:w="7140" w:type="dxa"/>
            <w:vAlign w:val="bottom"/>
          </w:tcPr>
          <w:p>
            <w:pPr>
              <w:ind w:left="1880"/>
              <w:spacing w:after="0"/>
              <w:rPr>
                <w:sz w:val="20"/>
                <w:szCs w:val="20"/>
                <w:color w:val="auto"/>
              </w:rPr>
            </w:pPr>
            <w:r>
              <w:rPr>
                <w:rFonts w:ascii="Arial" w:cs="Arial" w:eastAsia="Arial" w:hAnsi="Arial"/>
                <w:sz w:val="20"/>
                <w:szCs w:val="20"/>
                <w:color w:val="auto"/>
                <w:w w:val="97"/>
              </w:rPr>
              <w:t>When conversation completed (must be confirmed in writing)</w:t>
            </w:r>
          </w:p>
        </w:tc>
      </w:tr>
      <w:tr>
        <w:trPr>
          <w:trHeight w:val="192"/>
        </w:trPr>
        <w:tc>
          <w:tcPr>
            <w:tcW w:w="3940" w:type="dxa"/>
            <w:vAlign w:val="bottom"/>
            <w:gridSpan w:val="2"/>
          </w:tcPr>
          <w:p>
            <w:pPr>
              <w:spacing w:after="0" w:line="192" w:lineRule="exact"/>
              <w:rPr>
                <w:sz w:val="20"/>
                <w:szCs w:val="20"/>
                <w:color w:val="auto"/>
              </w:rPr>
            </w:pPr>
            <w:r>
              <w:rPr>
                <w:rFonts w:ascii="Arial" w:cs="Arial" w:eastAsia="Arial" w:hAnsi="Arial"/>
                <w:sz w:val="20"/>
                <w:szCs w:val="20"/>
                <w:color w:val="auto"/>
              </w:rPr>
              <w:t>Facsimile</w:t>
            </w:r>
          </w:p>
        </w:tc>
        <w:tc>
          <w:tcPr>
            <w:tcW w:w="7140" w:type="dxa"/>
            <w:vAlign w:val="bottom"/>
          </w:tcPr>
          <w:p>
            <w:pPr>
              <w:ind w:left="1880"/>
              <w:spacing w:after="0" w:line="192" w:lineRule="exact"/>
              <w:rPr>
                <w:sz w:val="20"/>
                <w:szCs w:val="20"/>
                <w:color w:val="auto"/>
              </w:rPr>
            </w:pPr>
            <w:r>
              <w:rPr>
                <w:rFonts w:ascii="Arial" w:cs="Arial" w:eastAsia="Arial" w:hAnsi="Arial"/>
                <w:sz w:val="20"/>
                <w:szCs w:val="20"/>
                <w:color w:val="auto"/>
                <w:w w:val="90"/>
              </w:rPr>
              <w:t>When sent (except that, if not given during normal business hours</w:t>
            </w:r>
          </w:p>
        </w:tc>
      </w:tr>
      <w:tr>
        <w:trPr>
          <w:trHeight w:val="189"/>
        </w:trPr>
        <w:tc>
          <w:tcPr>
            <w:tcW w:w="14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140" w:type="dxa"/>
            <w:vAlign w:val="bottom"/>
          </w:tcPr>
          <w:p>
            <w:pPr>
              <w:ind w:left="1880"/>
              <w:spacing w:after="0" w:line="189" w:lineRule="exact"/>
              <w:rPr>
                <w:sz w:val="20"/>
                <w:szCs w:val="20"/>
                <w:color w:val="auto"/>
              </w:rPr>
            </w:pPr>
            <w:r>
              <w:rPr>
                <w:rFonts w:ascii="Arial" w:cs="Arial" w:eastAsia="Arial" w:hAnsi="Arial"/>
                <w:sz w:val="20"/>
                <w:szCs w:val="20"/>
                <w:color w:val="auto"/>
                <w:w w:val="99"/>
              </w:rPr>
              <w:t>for the recipient, shall be deemed to be giving at opening of</w:t>
            </w:r>
          </w:p>
        </w:tc>
      </w:tr>
      <w:tr>
        <w:trPr>
          <w:trHeight w:val="240"/>
        </w:trPr>
        <w:tc>
          <w:tcPr>
            <w:tcW w:w="1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140" w:type="dxa"/>
            <w:vAlign w:val="bottom"/>
          </w:tcPr>
          <w:p>
            <w:pPr>
              <w:ind w:left="1880"/>
              <w:spacing w:after="0"/>
              <w:rPr>
                <w:sz w:val="20"/>
                <w:szCs w:val="20"/>
                <w:color w:val="auto"/>
              </w:rPr>
            </w:pPr>
            <w:r>
              <w:rPr>
                <w:rFonts w:ascii="Arial" w:cs="Arial" w:eastAsia="Arial" w:hAnsi="Arial"/>
                <w:sz w:val="20"/>
                <w:szCs w:val="20"/>
                <w:color w:val="auto"/>
              </w:rPr>
              <w:t>business on next Business Day for recipient)</w:t>
            </w:r>
          </w:p>
        </w:tc>
      </w:tr>
      <w:tr>
        <w:trPr>
          <w:trHeight w:val="250"/>
        </w:trPr>
        <w:tc>
          <w:tcPr>
            <w:tcW w:w="3940" w:type="dxa"/>
            <w:vAlign w:val="bottom"/>
            <w:gridSpan w:val="2"/>
          </w:tcPr>
          <w:p>
            <w:pPr>
              <w:spacing w:after="0"/>
              <w:rPr>
                <w:sz w:val="20"/>
                <w:szCs w:val="20"/>
                <w:color w:val="auto"/>
              </w:rPr>
            </w:pPr>
            <w:r>
              <w:rPr>
                <w:rFonts w:ascii="Arial" w:cs="Arial" w:eastAsia="Arial" w:hAnsi="Arial"/>
                <w:sz w:val="20"/>
                <w:szCs w:val="20"/>
                <w:color w:val="auto"/>
              </w:rPr>
              <w:t>Electronic Mail</w:t>
            </w:r>
          </w:p>
        </w:tc>
        <w:tc>
          <w:tcPr>
            <w:tcW w:w="7140" w:type="dxa"/>
            <w:vAlign w:val="bottom"/>
          </w:tcPr>
          <w:p>
            <w:pPr>
              <w:ind w:left="1880"/>
              <w:spacing w:after="0"/>
              <w:rPr>
                <w:sz w:val="20"/>
                <w:szCs w:val="20"/>
                <w:color w:val="auto"/>
              </w:rPr>
            </w:pPr>
            <w:r>
              <w:rPr>
                <w:rFonts w:ascii="Arial" w:cs="Arial" w:eastAsia="Arial" w:hAnsi="Arial"/>
                <w:sz w:val="20"/>
                <w:szCs w:val="20"/>
                <w:color w:val="auto"/>
              </w:rPr>
              <w:t>When delivered (usage subject to subsection (b) below)</w:t>
            </w:r>
          </w:p>
        </w:tc>
      </w:tr>
    </w:tbl>
    <w:p>
      <w:pPr>
        <w:spacing w:after="0" w:line="200" w:lineRule="exact"/>
        <w:rPr>
          <w:sz w:val="20"/>
          <w:szCs w:val="20"/>
          <w:color w:val="auto"/>
        </w:rPr>
      </w:pPr>
    </w:p>
    <w:p>
      <w:pPr>
        <w:spacing w:after="0" w:line="319" w:lineRule="exact"/>
        <w:rPr>
          <w:sz w:val="20"/>
          <w:szCs w:val="20"/>
          <w:color w:val="auto"/>
        </w:rPr>
      </w:pPr>
    </w:p>
    <w:p>
      <w:pPr>
        <w:jc w:val="both"/>
        <w:ind w:firstLine="1304"/>
        <w:spacing w:after="0" w:line="231" w:lineRule="auto"/>
        <w:tabs>
          <w:tab w:leader="none" w:pos="193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Usage of Electronic Communications</w:t>
      </w:r>
      <w:r>
        <w:rPr>
          <w:rFonts w:ascii="Arial" w:cs="Arial" w:eastAsia="Arial" w:hAnsi="Arial"/>
          <w:sz w:val="18"/>
          <w:szCs w:val="18"/>
          <w:color w:val="auto"/>
        </w:rPr>
        <w:t xml:space="preserve">. Notices and other communications to Administrative Agent, the Lenders and the Issuing Lender hereunder may be delivered or furnished by using Electronic Systems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Section 2 if such Lender has notified Administrative Agent and Borrower that it is incapable of receiving notices under such Section by Electronic Communications. Administrative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7" w:lineRule="exact"/>
        <w:rPr>
          <w:sz w:val="20"/>
          <w:szCs w:val="20"/>
          <w:color w:val="auto"/>
        </w:rPr>
      </w:pPr>
    </w:p>
    <w:p>
      <w:pPr>
        <w:ind w:right="20" w:firstLine="1304"/>
        <w:spacing w:after="0" w:line="229" w:lineRule="auto"/>
        <w:tabs>
          <w:tab w:leader="none" w:pos="1934"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Any party hereto may change its address or telecopy number for notices and other communications hereunder by notice to the other parties hereto.</w:t>
      </w:r>
    </w:p>
    <w:p>
      <w:pPr>
        <w:spacing w:after="0" w:line="155" w:lineRule="exact"/>
        <w:rPr>
          <w:rFonts w:ascii="Arial" w:cs="Arial" w:eastAsia="Arial" w:hAnsi="Arial"/>
          <w:sz w:val="20"/>
          <w:szCs w:val="20"/>
          <w:color w:val="auto"/>
        </w:rPr>
      </w:pPr>
    </w:p>
    <w:p>
      <w:pPr>
        <w:jc w:val="both"/>
        <w:ind w:firstLine="1304"/>
        <w:spacing w:after="0" w:line="207" w:lineRule="auto"/>
        <w:tabs>
          <w:tab w:leader="none" w:pos="1932" w:val="left"/>
        </w:tabs>
        <w:numPr>
          <w:ilvl w:val="0"/>
          <w:numId w:val="211"/>
        </w:numPr>
        <w:rPr>
          <w:rFonts w:ascii="Arial" w:cs="Arial" w:eastAsia="Arial" w:hAnsi="Arial"/>
          <w:sz w:val="20"/>
          <w:szCs w:val="20"/>
          <w:color w:val="auto"/>
        </w:rPr>
      </w:pPr>
      <w:r>
        <w:rPr>
          <w:rFonts w:ascii="Arial" w:cs="Arial" w:eastAsia="Arial" w:hAnsi="Arial"/>
          <w:sz w:val="20"/>
          <w:szCs w:val="20"/>
          <w:u w:val="single" w:color="auto"/>
          <w:color w:val="auto"/>
        </w:rPr>
        <w:t>Reliance by Administrative Agent and Lenders</w:t>
      </w:r>
      <w:r>
        <w:rPr>
          <w:rFonts w:ascii="Arial" w:cs="Arial" w:eastAsia="Arial" w:hAnsi="Arial"/>
          <w:sz w:val="20"/>
          <w:szCs w:val="20"/>
          <w:color w:val="auto"/>
        </w:rPr>
        <w:t>.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Borrower absent the gross negligence or willful misconduct of the Person seeking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35" w:right="339" w:bottom="1440" w:gutter="0" w:footer="0" w:header="0"/>
        </w:sectPr>
      </w:pPr>
    </w:p>
    <w:bookmarkStart w:id="243" w:name="page244"/>
    <w:bookmarkEnd w:id="243"/>
    <w:p>
      <w:pPr>
        <w:ind w:left="1940" w:hanging="636"/>
        <w:spacing w:after="0"/>
        <w:tabs>
          <w:tab w:leader="none" w:pos="1940" w:val="left"/>
        </w:tabs>
        <w:numPr>
          <w:ilvl w:val="0"/>
          <w:numId w:val="212"/>
        </w:numPr>
        <w:rPr>
          <w:rFonts w:ascii="Arial" w:cs="Arial" w:eastAsia="Arial" w:hAnsi="Arial"/>
          <w:sz w:val="20"/>
          <w:szCs w:val="20"/>
          <w:color w:val="auto"/>
        </w:rPr>
      </w:pPr>
      <w:r>
        <w:rPr>
          <w:rFonts w:ascii="Arial" w:cs="Arial" w:eastAsia="Arial" w:hAnsi="Arial"/>
          <w:sz w:val="20"/>
          <w:szCs w:val="20"/>
          <w:u w:val="single" w:color="auto"/>
          <w:color w:val="auto"/>
        </w:rPr>
        <w:t>Electronic Systems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00" w:firstLine="652"/>
        <w:spacing w:after="0" w:line="218" w:lineRule="auto"/>
        <w:tabs>
          <w:tab w:leader="none" w:pos="2535" w:val="left"/>
        </w:tabs>
        <w:numPr>
          <w:ilvl w:val="1"/>
          <w:numId w:val="212"/>
        </w:numPr>
        <w:rPr>
          <w:rFonts w:ascii="Arial" w:cs="Arial" w:eastAsia="Arial" w:hAnsi="Arial"/>
          <w:sz w:val="20"/>
          <w:szCs w:val="20"/>
          <w:color w:val="auto"/>
        </w:rPr>
      </w:pPr>
      <w:r>
        <w:rPr>
          <w:rFonts w:ascii="Arial" w:cs="Arial" w:eastAsia="Arial" w:hAnsi="Arial"/>
          <w:sz w:val="20"/>
          <w:szCs w:val="20"/>
          <w:color w:val="auto"/>
        </w:rPr>
        <w:t>Each Loan Party agrees that Administrative Agent may, but shall not be obligated to, make Communications available to the Issuing Lenders and the other Lenders by posting the Communications on Debt Domain, Intralinks, Syndtrak, ClearPar or a substantially similar Electronic System.</w:t>
      </w:r>
    </w:p>
    <w:p>
      <w:pPr>
        <w:spacing w:after="0" w:line="156" w:lineRule="exact"/>
        <w:rPr>
          <w:rFonts w:ascii="Arial" w:cs="Arial" w:eastAsia="Arial" w:hAnsi="Arial"/>
          <w:sz w:val="20"/>
          <w:szCs w:val="20"/>
          <w:color w:val="auto"/>
        </w:rPr>
      </w:pPr>
    </w:p>
    <w:p>
      <w:pPr>
        <w:jc w:val="both"/>
        <w:ind w:left="1300" w:firstLine="652"/>
        <w:spacing w:after="0" w:line="225" w:lineRule="auto"/>
        <w:tabs>
          <w:tab w:leader="none" w:pos="256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Any Electronic System used by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the Issuing Lender or any other Person or entity for damages of any kind arising out of Borrower’s, any Loan Party’s or Administrative Agent’s transmission of Communications through an Electronic System, except to the extent such damages arise from bad faith, gross negligence or willful misconduct on the part of any Agent Party as determined by a final non-appealable judgment of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Agent Party be liable for any indirect, special, incidental or consequential damages, losses or expenses (whether in tort, contract or otherwise).</w:t>
      </w:r>
    </w:p>
    <w:p>
      <w:pPr>
        <w:spacing w:after="0" w:line="15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Attorney Costs and Expenses</w:t>
      </w:r>
      <w:r>
        <w:rPr>
          <w:rFonts w:ascii="Arial" w:cs="Arial" w:eastAsia="Arial" w:hAnsi="Arial"/>
          <w:sz w:val="18"/>
          <w:szCs w:val="18"/>
          <w:color w:val="auto"/>
        </w:rPr>
        <w:t>. Borrower agrees (a) to pay or reimburse Administrative Agent, each Issuing Lender and Syndication Agent for all reasonable and documented costs and expenses incurred in connection with the development, preparation, negotiation and execution of the Loan Documents, and to pay or reimburse Administrative Agent for all reasonable and documented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one counsel to Administrative Agent, each Issuing Lender and Syndication Agent and (b) to pay or reimburse Administrative Agent, each Issuing Lender and each Lender for all reasonable and documented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of one counsel to Administrative Agent, each Issuing Lender and each Lender (and, if representation of Administrative Agent, each Issuing Lender and each Lender in such matter by a single counsel would be inappropriate based on the advice of legal counsel due to the existence of an actual or potential conflict of interest, of another firm of counsel for such affected Person(s) (taken as a whole) and, if necessary, one firm of local counsel in any relevant local jurisdiction (which may include a single special counsel acting in multiple jurisdictions) for such affected Person(s)). The agreements in this Section shall survive repayment of all Obligations.</w:t>
      </w:r>
    </w:p>
    <w:p>
      <w:pPr>
        <w:spacing w:after="0" w:line="16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29" w:lineRule="auto"/>
        <w:tabs>
          <w:tab w:leader="none" w:pos="193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other central bank having jurisdiction over such Lender or, if such Lender is a fund, to any trustee or to any other representative of holders of obligations owed or securities issued by such fund as security for such obligations or securities) but no such pledge shall release such Lender from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05" w:right="339" w:bottom="1440" w:gutter="0" w:footer="0" w:header="0"/>
        </w:sectPr>
      </w:pPr>
    </w:p>
    <w:bookmarkStart w:id="244" w:name="page245"/>
    <w:bookmarkEnd w:id="244"/>
    <w:p>
      <w:pPr>
        <w:ind w:right="20"/>
        <w:spacing w:after="0" w:line="229" w:lineRule="auto"/>
        <w:rPr>
          <w:sz w:val="20"/>
          <w:szCs w:val="20"/>
          <w:color w:val="auto"/>
        </w:rPr>
      </w:pPr>
      <w:r>
        <w:rPr>
          <w:rFonts w:ascii="Arial" w:cs="Arial" w:eastAsia="Arial" w:hAnsi="Arial"/>
          <w:sz w:val="20"/>
          <w:szCs w:val="20"/>
          <w:color w:val="auto"/>
        </w:rPr>
        <w:t>obligations hereunder or grant to any such pledgee the rights of a Lender hereunder absent foreclosure of such pledge, and any transfer to any Person upon the enforcement of such pledge shall be subject to this Section 10.04.</w:t>
      </w:r>
    </w:p>
    <w:p>
      <w:pPr>
        <w:spacing w:after="0" w:line="155" w:lineRule="exact"/>
        <w:rPr>
          <w:sz w:val="20"/>
          <w:szCs w:val="20"/>
          <w:color w:val="auto"/>
        </w:rPr>
      </w:pPr>
    </w:p>
    <w:p>
      <w:pPr>
        <w:jc w:val="both"/>
        <w:ind w:firstLine="1304"/>
        <w:spacing w:after="0" w:line="222" w:lineRule="auto"/>
        <w:tabs>
          <w:tab w:leader="none" w:pos="193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From time to time following the date of this Agreement, each Lender may assign all or any portion of its rights and obligations under this Agreement and the other Loan Documents to one or more Eligible Assignees, other than (i) Borrower and its Subsidiaries and (ii) natural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shall be subject to Borrower’s consent (which shall not be unreasonably withheld) at all times other than during the existence of an Event of Default arising under Section 8.01(a), Section 8.01(b) or Section 8.01(i) and the consent of Administrative Agent and Issuing Lenders (which consents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consent of Borrower shall not be required with respect to an assignment to another Lender unless such assignment, would result in the Revolving Commitment of such assignee and its Affiliates exceeding 15% of the aggregate Revolving Commitments, as applicable, then outstanding. No such assignment shall become effective unless and until a copy of a duly signed and completed Assignment and Assumption shall be delivered to Administrative Agent. Except in the case of an assignment (A) to another Lender or (B) of the entire remaining Revolving Commitment of the assigning Lender, such assignment shall be in an aggregate principal amount not less than the Minimum Amount therefor without the consent of Borrower and Administrative Agent. The effective date of any assignment shall be as specified in the Assignment and Assumption, but not earlier than the date which is five Business Days after the date Administrative Agent has received the Assignment and Assumption. Upon obtaining any consent required as set forth this paragraph,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Revolving Commitments, the assigning Lender shall be released from any further obligations under this Agreement to the extent of such Assigned Interest. Upon request, Borrower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66" w:lineRule="exact"/>
        <w:rPr>
          <w:rFonts w:ascii="Arial" w:cs="Arial" w:eastAsia="Arial" w:hAnsi="Arial"/>
          <w:sz w:val="18"/>
          <w:szCs w:val="18"/>
          <w:color w:val="auto"/>
        </w:rPr>
      </w:pPr>
    </w:p>
    <w:p>
      <w:pPr>
        <w:jc w:val="both"/>
        <w:ind w:firstLine="1304"/>
        <w:spacing w:after="0" w:line="213" w:lineRule="auto"/>
        <w:tabs>
          <w:tab w:leader="none" w:pos="1934" w:val="left"/>
        </w:tabs>
        <w:numPr>
          <w:ilvl w:val="1"/>
          <w:numId w:val="214"/>
        </w:numPr>
        <w:rPr>
          <w:rFonts w:ascii="Arial" w:cs="Arial" w:eastAsia="Arial" w:hAnsi="Arial"/>
          <w:sz w:val="20"/>
          <w:szCs w:val="20"/>
          <w:color w:val="auto"/>
        </w:rPr>
      </w:pPr>
      <w:r>
        <w:rPr>
          <w:rFonts w:ascii="Arial" w:cs="Arial" w:eastAsia="Arial" w:hAnsi="Arial"/>
          <w:sz w:val="20"/>
          <w:szCs w:val="20"/>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 Assumption and record the information contained therein in the Register on the effective date determined pursuant thereto.</w:t>
      </w:r>
    </w:p>
    <w:p>
      <w:pPr>
        <w:spacing w:after="0" w:line="155" w:lineRule="exact"/>
        <w:rPr>
          <w:rFonts w:ascii="Arial" w:cs="Arial" w:eastAsia="Arial" w:hAnsi="Arial"/>
          <w:sz w:val="20"/>
          <w:szCs w:val="20"/>
          <w:color w:val="auto"/>
        </w:rPr>
      </w:pPr>
    </w:p>
    <w:p>
      <w:pPr>
        <w:jc w:val="both"/>
        <w:ind w:firstLine="1304"/>
        <w:spacing w:after="0" w:line="248" w:lineRule="auto"/>
        <w:tabs>
          <w:tab w:leader="none" w:pos="193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without the consent of any other Person, grant participations to one or more other Persons that are Eligible Assignees (including another Lender but excluding (x) Borrower and its Subsidiaries and (y) natural persons) in all or any portion of its Loans, Revolving Commitments, Extensions of Credit or any other interest of such Lender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w:t>
      </w:r>
    </w:p>
    <w:p>
      <w:pPr>
        <w:spacing w:after="0" w:line="190" w:lineRule="exact"/>
        <w:rPr>
          <w:rFonts w:ascii="Arial" w:cs="Arial" w:eastAsia="Arial" w:hAnsi="Arial"/>
          <w:sz w:val="16"/>
          <w:szCs w:val="16"/>
          <w:color w:val="auto"/>
        </w:rPr>
      </w:pPr>
    </w:p>
    <w:p>
      <w:pPr>
        <w:ind w:left="320" w:hanging="312"/>
        <w:spacing w:after="0"/>
        <w:tabs>
          <w:tab w:leader="none" w:pos="32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reduces the amount of any scheduled payment of principal owing to such participant. Any Lender that sells a participation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05" w:right="339" w:bottom="1440" w:gutter="0" w:footer="0" w:header="0"/>
        </w:sectPr>
      </w:pPr>
    </w:p>
    <w:bookmarkStart w:id="245" w:name="page246"/>
    <w:bookmarkEnd w:id="245"/>
    <w:p>
      <w:pPr>
        <w:jc w:val="both"/>
        <w:spacing w:after="0" w:line="222" w:lineRule="auto"/>
        <w:rPr>
          <w:sz w:val="20"/>
          <w:szCs w:val="20"/>
          <w:color w:val="auto"/>
        </w:rPr>
      </w:pPr>
      <w:r>
        <w:rPr>
          <w:rFonts w:ascii="Arial" w:cs="Arial" w:eastAsia="Arial" w:hAnsi="Arial"/>
          <w:sz w:val="18"/>
          <w:szCs w:val="18"/>
          <w:color w:val="auto"/>
        </w:rPr>
        <w:t>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w:t>
      </w:r>
    </w:p>
    <w:p>
      <w:pPr>
        <w:spacing w:after="0" w:line="4" w:lineRule="exact"/>
        <w:rPr>
          <w:sz w:val="20"/>
          <w:szCs w:val="20"/>
          <w:color w:val="auto"/>
        </w:rPr>
      </w:pPr>
    </w:p>
    <w:p>
      <w:pPr>
        <w:jc w:val="both"/>
        <w:ind w:firstLine="8"/>
        <w:spacing w:after="0" w:line="213" w:lineRule="auto"/>
        <w:tabs>
          <w:tab w:leader="none" w:pos="315" w:val="left"/>
        </w:tabs>
        <w:numPr>
          <w:ilvl w:val="0"/>
          <w:numId w:val="216"/>
        </w:numPr>
        <w:rPr>
          <w:rFonts w:ascii="Arial" w:cs="Arial" w:eastAsia="Arial" w:hAnsi="Arial"/>
          <w:sz w:val="20"/>
          <w:szCs w:val="20"/>
          <w:color w:val="auto"/>
        </w:rPr>
      </w:pPr>
      <w:r>
        <w:rPr>
          <w:rFonts w:ascii="Arial" w:cs="Arial" w:eastAsia="Arial" w:hAnsi="Arial"/>
          <w:sz w:val="20"/>
          <w:szCs w:val="20"/>
          <w:color w:val="auto"/>
        </w:rPr>
        <w:t>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55"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18"/>
          <w:szCs w:val="18"/>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Revolving Commitments, Extensions of Credit or its other obligations under any Loan Document) to any Person except to the extent that such disclosure is necessary to establish that such Revolving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57"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Set-off</w:t>
      </w:r>
      <w:r>
        <w:rPr>
          <w:rFonts w:ascii="Arial" w:cs="Arial" w:eastAsia="Arial" w:hAnsi="Arial"/>
          <w:sz w:val="18"/>
          <w:szCs w:val="18"/>
          <w:color w:val="auto"/>
        </w:rPr>
        <w:t xml:space="preserve">.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 provisional or other deposits and other indebtedness owing by such Proceeding Party to or for the credit or the account of Borrower) and apply such assets against the Obligations then due and payable, irrespective of whether such Proceeding Party shall have made any demand therefor. Each Lender agrees promptly to notify Borrower and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give such notice shall not affect the validity of such set-off and application.</w:t>
      </w:r>
    </w:p>
    <w:p>
      <w:pPr>
        <w:spacing w:after="0" w:line="155"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19"/>
          <w:szCs w:val="19"/>
          <w:color w:val="auto"/>
        </w:rPr>
        <w:t xml:space="preserve">10.06 </w:t>
      </w:r>
      <w:r>
        <w:rPr>
          <w:rFonts w:ascii="Arial" w:cs="Arial" w:eastAsia="Arial" w:hAnsi="Arial"/>
          <w:sz w:val="19"/>
          <w:szCs w:val="19"/>
          <w:u w:val="single" w:color="auto"/>
          <w:color w:val="auto"/>
        </w:rPr>
        <w:t>Sharing of Payments</w:t>
      </w:r>
      <w:r>
        <w:rPr>
          <w:rFonts w:ascii="Arial" w:cs="Arial" w:eastAsia="Arial" w:hAnsi="Arial"/>
          <w:sz w:val="19"/>
          <w:szCs w:val="19"/>
          <w:color w:val="auto"/>
        </w:rPr>
        <w:t xml:space="preserve">. Each Lender severally agrees that if it, through the exercise of any right of setoff, banker’s lien or counterclaim against 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or the other Loan Documents. Each Lender that purchases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05" w:right="339" w:bottom="1440" w:gutter="0" w:footer="0" w:header="0"/>
        </w:sectPr>
      </w:pPr>
    </w:p>
    <w:bookmarkStart w:id="246" w:name="page247"/>
    <w:bookmarkEnd w:id="246"/>
    <w:p>
      <w:pPr>
        <w:jc w:val="both"/>
        <w:spacing w:after="0" w:line="233" w:lineRule="auto"/>
        <w:rPr>
          <w:sz w:val="20"/>
          <w:szCs w:val="20"/>
          <w:color w:val="auto"/>
        </w:rPr>
      </w:pPr>
      <w:r>
        <w:rPr>
          <w:rFonts w:ascii="Arial" w:cs="Arial" w:eastAsia="Arial" w:hAnsi="Arial"/>
          <w:sz w:val="18"/>
          <w:szCs w:val="18"/>
          <w:color w:val="auto"/>
        </w:rPr>
        <w:t>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5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3" w:lineRule="auto"/>
        <w:tabs>
          <w:tab w:leader="none" w:pos="1934" w:val="left"/>
        </w:tabs>
        <w:numPr>
          <w:ilvl w:val="0"/>
          <w:numId w:val="217"/>
        </w:numPr>
        <w:rPr>
          <w:rFonts w:ascii="Arial" w:cs="Arial" w:eastAsia="Arial" w:hAnsi="Arial"/>
          <w:sz w:val="20"/>
          <w:szCs w:val="20"/>
          <w:color w:val="auto"/>
        </w:rPr>
      </w:pPr>
      <w:r>
        <w:rPr>
          <w:rFonts w:ascii="Arial" w:cs="Arial" w:eastAsia="Arial" w:hAnsi="Arial"/>
          <w:sz w:val="20"/>
          <w:szCs w:val="20"/>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55" w:lineRule="exact"/>
        <w:rPr>
          <w:rFonts w:ascii="Arial" w:cs="Arial" w:eastAsia="Arial" w:hAnsi="Arial"/>
          <w:sz w:val="20"/>
          <w:szCs w:val="20"/>
          <w:color w:val="auto"/>
        </w:rPr>
      </w:pPr>
    </w:p>
    <w:p>
      <w:pPr>
        <w:jc w:val="both"/>
        <w:ind w:firstLine="1304"/>
        <w:spacing w:after="0" w:line="207" w:lineRule="auto"/>
        <w:tabs>
          <w:tab w:leader="none" w:pos="1932" w:val="left"/>
        </w:tabs>
        <w:numPr>
          <w:ilvl w:val="0"/>
          <w:numId w:val="217"/>
        </w:numPr>
        <w:rPr>
          <w:rFonts w:ascii="Arial" w:cs="Arial" w:eastAsia="Arial" w:hAnsi="Arial"/>
          <w:sz w:val="20"/>
          <w:szCs w:val="20"/>
          <w:color w:val="auto"/>
        </w:rPr>
      </w:pPr>
      <w:r>
        <w:rPr>
          <w:rFonts w:ascii="Arial" w:cs="Arial" w:eastAsia="Arial" w:hAnsi="Arial"/>
          <w:sz w:val="20"/>
          <w:szCs w:val="20"/>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57" w:lineRule="exact"/>
        <w:rPr>
          <w:rFonts w:ascii="Arial" w:cs="Arial" w:eastAsia="Arial" w:hAnsi="Arial"/>
          <w:sz w:val="20"/>
          <w:szCs w:val="20"/>
          <w:color w:val="auto"/>
        </w:rPr>
      </w:pPr>
    </w:p>
    <w:p>
      <w:pPr>
        <w:ind w:left="1940" w:hanging="636"/>
        <w:spacing w:after="0"/>
        <w:tabs>
          <w:tab w:leader="none" w:pos="19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Except with respect to Section 9.09, the terms and conditions of Section 9 are for the sole benefit of the Agents and</w:t>
      </w:r>
    </w:p>
    <w:p>
      <w:pPr>
        <w:spacing w:after="0"/>
        <w:rPr>
          <w:rFonts w:ascii="Arial" w:cs="Arial" w:eastAsia="Arial" w:hAnsi="Arial"/>
          <w:sz w:val="18"/>
          <w:szCs w:val="18"/>
          <w:color w:val="auto"/>
        </w:rPr>
      </w:pPr>
      <w:r>
        <w:rPr>
          <w:rFonts w:ascii="Arial" w:cs="Arial" w:eastAsia="Arial" w:hAnsi="Arial"/>
          <w:sz w:val="20"/>
          <w:szCs w:val="20"/>
          <w:color w:val="auto"/>
        </w:rPr>
        <w:t>Lenders.</w:t>
      </w:r>
    </w:p>
    <w:p>
      <w:pPr>
        <w:spacing w:after="0" w:line="159"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Usury</w:t>
      </w:r>
      <w:r>
        <w:rPr>
          <w:rFonts w:ascii="Arial" w:cs="Arial" w:eastAsia="Arial" w:hAnsi="Arial"/>
          <w:sz w:val="18"/>
          <w:szCs w:val="18"/>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 xml:space="preserve">10.09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each of which shall be deemed an original, but all of which together shall constitute one and the same instrument.</w:t>
      </w:r>
    </w:p>
    <w:p>
      <w:pPr>
        <w:spacing w:after="0" w:line="153" w:lineRule="exact"/>
        <w:rPr>
          <w:sz w:val="20"/>
          <w:szCs w:val="20"/>
          <w:color w:val="auto"/>
        </w:rPr>
      </w:pPr>
    </w:p>
    <w:p>
      <w:pPr>
        <w:ind w:left="1940" w:hanging="636"/>
        <w:spacing w:after="0"/>
        <w:tabs>
          <w:tab w:leader="none" w:pos="19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(x) this Agreement, (y) any other Loan Document and/or</w:t>
      </w:r>
    </w:p>
    <w:p>
      <w:pPr>
        <w:jc w:val="both"/>
        <w:ind w:firstLine="8"/>
        <w:spacing w:after="0" w:line="212" w:lineRule="auto"/>
        <w:tabs>
          <w:tab w:leader="none" w:pos="271"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any document, amendment, approval, consent, information, notice (including, for the avoidance of doubt, any notice delivered pursuant to Section 10.02),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05" w:right="339" w:bottom="1440" w:gutter="0" w:footer="0" w:header="0"/>
        </w:sectPr>
      </w:pPr>
    </w:p>
    <w:bookmarkStart w:id="247" w:name="page248"/>
    <w:bookmarkEnd w:id="247"/>
    <w:p>
      <w:pPr>
        <w:jc w:val="both"/>
        <w:spacing w:after="0" w:line="23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require the Administrative Agent to accept Electronic Signatures in any form or format without its prior consent and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w:t>
      </w:r>
    </w:p>
    <w:p>
      <w:pPr>
        <w:spacing w:after="0" w:line="155" w:lineRule="exact"/>
        <w:rPr>
          <w:sz w:val="20"/>
          <w:szCs w:val="20"/>
          <w:color w:val="auto"/>
        </w:rPr>
      </w:pPr>
    </w:p>
    <w:p>
      <w:pPr>
        <w:ind w:right="80" w:firstLine="1296"/>
        <w:spacing w:after="0" w:line="214"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u w:val="single" w:color="auto"/>
          <w:color w:val="auto"/>
        </w:rPr>
        <w:t>Integration</w:t>
      </w:r>
      <w:r>
        <w:rPr>
          <w:rFonts w:ascii="Arial" w:cs="Arial" w:eastAsia="Arial" w:hAnsi="Arial"/>
          <w:sz w:val="19"/>
          <w:szCs w:val="19"/>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158"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Nature of Lenders’ Obligations</w:t>
      </w:r>
      <w:r>
        <w:rPr>
          <w:rFonts w:ascii="Arial" w:cs="Arial" w:eastAsia="Arial" w:hAnsi="Arial"/>
          <w:sz w:val="19"/>
          <w:szCs w:val="19"/>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Indemnity by Borrower</w:t>
      </w:r>
      <w:r>
        <w:rPr>
          <w:rFonts w:ascii="Arial" w:cs="Arial" w:eastAsia="Arial" w:hAnsi="Arial"/>
          <w:sz w:val="18"/>
          <w:szCs w:val="18"/>
          <w:color w:val="auto"/>
        </w:rPr>
        <w:t>. Whether or not the transactions contemplated hereby are consummated, Borrower agrees to indemnify, save and hold harmless each Administrative Agent-Related Person, each other Agent, each Person identified on the cover page of this Agreement as a Joint Lead Arranger and Joint Bookrunner, each Issuing Lender and each Lender and their respective Affiliates and their and their Affiliates’ respective directors, officers, agents, attorneys and employees (collectively the “Indemnitees”) from and against: (i) any and all claims, demands, actions or causes of action that are asserted against any Indemnitee by any Person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clauses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05" w:right="339" w:bottom="1440" w:gutter="0" w:footer="0" w:header="0"/>
        </w:sectPr>
      </w:pPr>
    </w:p>
    <w:bookmarkStart w:id="248" w:name="page249"/>
    <w:bookmarkEnd w:id="248"/>
    <w:p>
      <w:pPr>
        <w:jc w:val="both"/>
        <w:spacing w:after="0" w:line="213" w:lineRule="auto"/>
        <w:rPr>
          <w:sz w:val="20"/>
          <w:szCs w:val="20"/>
          <w:color w:val="auto"/>
        </w:rPr>
      </w:pPr>
      <w:r>
        <w:rPr>
          <w:rFonts w:ascii="Arial" w:cs="Arial" w:eastAsia="Arial" w:hAnsi="Arial"/>
          <w:sz w:val="19"/>
          <w:szCs w:val="19"/>
          <w:color w:val="auto"/>
        </w:rPr>
        <w:t xml:space="preserve">cause of action or proceeding (all the foregoing, collectively, the “Indemnified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Indemnitee shall be entitled to indemnification for any Indemnified Liability to the extent (i) it is found by a final, non-appealable judgment of a court of competent jurisdiction to arise from (x) 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no event shall any Indemnitee be liable for any damages arising from the use by unauthorized Persons of information or other materials sent through electronic, 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 respect to taxes other than any taxes that represent losses, claims, damages, etc. arising from any non-tax claim. The agreements in this Section shall survive repayment of all Obligations.</w:t>
      </w:r>
    </w:p>
    <w:p>
      <w:pPr>
        <w:spacing w:after="0" w:line="15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 Borrower acknowledges and agrees that:</w:t>
      </w:r>
    </w:p>
    <w:p>
      <w:pPr>
        <w:spacing w:after="0" w:line="175" w:lineRule="exact"/>
        <w:rPr>
          <w:sz w:val="20"/>
          <w:szCs w:val="20"/>
          <w:color w:val="auto"/>
        </w:rPr>
      </w:pPr>
    </w:p>
    <w:p>
      <w:pPr>
        <w:jc w:val="both"/>
        <w:ind w:firstLine="1304"/>
        <w:spacing w:after="0" w:line="218" w:lineRule="auto"/>
        <w:tabs>
          <w:tab w:leader="none" w:pos="1934"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56" w:lineRule="exact"/>
        <w:rPr>
          <w:rFonts w:ascii="Arial" w:cs="Arial" w:eastAsia="Arial" w:hAnsi="Arial"/>
          <w:sz w:val="20"/>
          <w:szCs w:val="20"/>
          <w:color w:val="auto"/>
        </w:rPr>
      </w:pPr>
    </w:p>
    <w:p>
      <w:pPr>
        <w:jc w:val="both"/>
        <w:ind w:firstLine="1304"/>
        <w:spacing w:after="0" w:line="236" w:lineRule="auto"/>
        <w:tabs>
          <w:tab w:leader="none" w:pos="19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57" w:lineRule="exact"/>
        <w:rPr>
          <w:rFonts w:ascii="Arial" w:cs="Arial" w:eastAsia="Arial" w:hAnsi="Arial"/>
          <w:sz w:val="18"/>
          <w:szCs w:val="18"/>
          <w:color w:val="auto"/>
        </w:rPr>
      </w:pPr>
    </w:p>
    <w:p>
      <w:pPr>
        <w:jc w:val="both"/>
        <w:ind w:firstLine="1304"/>
        <w:spacing w:after="0" w:line="217" w:lineRule="auto"/>
        <w:tabs>
          <w:tab w:leader="none" w:pos="1934"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relationship between Borrower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56" w:lineRule="exact"/>
        <w:rPr>
          <w:rFonts w:ascii="Arial" w:cs="Arial" w:eastAsia="Arial" w:hAnsi="Arial"/>
          <w:sz w:val="19"/>
          <w:szCs w:val="19"/>
          <w:color w:val="auto"/>
        </w:rPr>
      </w:pPr>
    </w:p>
    <w:p>
      <w:pPr>
        <w:jc w:val="both"/>
        <w:ind w:firstLine="1304"/>
        <w:spacing w:after="0" w:line="213" w:lineRule="auto"/>
        <w:tabs>
          <w:tab w:leader="none" w:pos="1932" w:val="left"/>
        </w:tabs>
        <w:numPr>
          <w:ilvl w:val="0"/>
          <w:numId w:val="220"/>
        </w:numPr>
        <w:rPr>
          <w:rFonts w:ascii="Arial" w:cs="Arial" w:eastAsia="Arial" w:hAnsi="Arial"/>
          <w:sz w:val="20"/>
          <w:szCs w:val="20"/>
          <w:color w:val="auto"/>
        </w:rPr>
      </w:pPr>
      <w:r>
        <w:rPr>
          <w:rFonts w:ascii="Arial" w:cs="Arial" w:eastAsia="Arial" w:hAnsi="Arial"/>
          <w:sz w:val="20"/>
          <w:szCs w:val="20"/>
          <w:color w:val="auto"/>
        </w:rPr>
        <w:t>Neither Administrative Agent nor any Lender nor any Person identified on the cover page of this Agreement as a Joint Lead Arranger and Joint Bookrunner, Syndication Agent or Co-Documentation Agent shall be deemed to be in an advisory, fiduciary or agency relationship with Borrower and its Affiliates or have a fiduciary or other implied duty to Borrower and its Affiliates with respect to this Agreement and the transactions contemplated hereby;</w:t>
      </w:r>
    </w:p>
    <w:p>
      <w:pPr>
        <w:spacing w:after="0" w:line="155" w:lineRule="exact"/>
        <w:rPr>
          <w:rFonts w:ascii="Arial" w:cs="Arial" w:eastAsia="Arial" w:hAnsi="Arial"/>
          <w:sz w:val="20"/>
          <w:szCs w:val="20"/>
          <w:color w:val="auto"/>
        </w:rPr>
      </w:pPr>
    </w:p>
    <w:p>
      <w:pPr>
        <w:ind w:firstLine="1304"/>
        <w:spacing w:after="0" w:line="229" w:lineRule="auto"/>
        <w:tabs>
          <w:tab w:leader="none" w:pos="1934"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Administrative Agent and Lenders, and their Affiliates, may have economic interests that conflict with those of Borrower and its Affiliates; and</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9" w:val="left"/>
        </w:tabs>
        <w:numPr>
          <w:ilvl w:val="0"/>
          <w:numId w:val="220"/>
        </w:numPr>
        <w:rPr>
          <w:rFonts w:ascii="Arial" w:cs="Arial" w:eastAsia="Arial" w:hAnsi="Arial"/>
          <w:sz w:val="20"/>
          <w:szCs w:val="20"/>
          <w:color w:val="auto"/>
        </w:rPr>
      </w:pPr>
      <w:r>
        <w:rPr>
          <w:rFonts w:ascii="Arial" w:cs="Arial" w:eastAsia="Arial" w:hAnsi="Arial"/>
          <w:sz w:val="20"/>
          <w:szCs w:val="20"/>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56" w:lineRule="exact"/>
        <w:rPr>
          <w:sz w:val="20"/>
          <w:szCs w:val="20"/>
          <w:color w:val="auto"/>
        </w:rPr>
      </w:pPr>
    </w:p>
    <w:p>
      <w:pPr>
        <w:ind w:right="280" w:firstLine="1296"/>
        <w:spacing w:after="0" w:line="218"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No Third Parties Benefitted</w:t>
      </w:r>
      <w:r>
        <w:rPr>
          <w:rFonts w:ascii="Arial" w:cs="Arial" w:eastAsia="Arial" w:hAnsi="Arial"/>
          <w:sz w:val="20"/>
          <w:szCs w:val="20"/>
          <w:color w:val="auto"/>
        </w:rPr>
        <w:t>. This Agreement is made for the purpose of defining and setting forth certain obligations, rights and duties of Borrower, Administrative Agent and Lenders in connection with the Extensions of Credit, and is made for the sole benefit of Borrower,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05" w:right="339" w:bottom="1440" w:gutter="0" w:footer="0" w:header="0"/>
        </w:sectPr>
      </w:pPr>
    </w:p>
    <w:bookmarkStart w:id="249" w:name="page250"/>
    <w:bookmarkEnd w:id="249"/>
    <w:p>
      <w:pPr>
        <w:ind w:right="340"/>
        <w:spacing w:after="0" w:line="229" w:lineRule="auto"/>
        <w:rPr>
          <w:sz w:val="20"/>
          <w:szCs w:val="20"/>
          <w:color w:val="auto"/>
        </w:rPr>
      </w:pPr>
      <w:r>
        <w:rPr>
          <w:rFonts w:ascii="Arial" w:cs="Arial" w:eastAsia="Arial" w:hAnsi="Arial"/>
          <w:sz w:val="20"/>
          <w:szCs w:val="20"/>
          <w:color w:val="auto"/>
        </w:rPr>
        <w:t>Agent and Lenders, Administrative Agent’s and Lenders’ successors and permitted assigns. Except as provided in Section 10.04, no other Person shall have any rights of any nature hereunder or by reason hereof.</w:t>
      </w:r>
    </w:p>
    <w:p>
      <w:pPr>
        <w:spacing w:after="0" w:line="15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5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or the Existing Credit Agreements (collectively, “Confidential Information”) solely for the purpose of administering and enforcing the Loan Documents, and it will hold the Confidential Information in confidence and will not disclose, directly or indirectly, such information to any Person, except (a) to their affiliates or any of their or their affiliates’ directors, officers, employees, auditors, credit insurance companies,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foregoing recipient of such Confidential Information agrees to keep such Confidential Information confidential and limit the use of such Confidential Information as specified herein, (c) to any governmental agency or regulatory body (including self-regulatory bodies)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(w) pertains to this Agreement (but not any other information concerning Borrower) routinely provided by arrangers to data service providers, including league table providers, that serve the lending industry, (x) is in Administrative Agent’s or a Lender’s possession prior to its being provided by or on behalf of Borrower or any of its Subsidiaries or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source of such information was not known by Administrative Agent or such Lender to be bound by a confidentiality agreement or other legal or contractual obligation of confidentiality with respect to such information.</w:t>
      </w:r>
    </w:p>
    <w:p>
      <w:pPr>
        <w:spacing w:after="0" w:line="171"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 xml:space="preserve">10.18 </w:t>
      </w: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and the other Loan Documents are included for convenience of reference only and are not part of this Agreement or the other Loan Documents for any other purpose.</w:t>
      </w:r>
    </w:p>
    <w:p>
      <w:pPr>
        <w:spacing w:after="0" w:line="15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10.19</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05" w:right="339" w:bottom="1440" w:gutter="0" w:footer="0" w:header="0"/>
        </w:sectPr>
      </w:pPr>
    </w:p>
    <w:bookmarkStart w:id="250" w:name="page251"/>
    <w:bookmarkEnd w:id="250"/>
    <w:p>
      <w:pPr>
        <w:ind w:right="20" w:firstLine="1296"/>
        <w:spacing w:after="0" w:line="221"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Status of Lenders</w:t>
      </w:r>
      <w:r>
        <w:rPr>
          <w:rFonts w:ascii="Arial" w:cs="Arial" w:eastAsia="Arial" w:hAnsi="Arial"/>
          <w:sz w:val="18"/>
          <w:szCs w:val="18"/>
          <w:color w:val="auto"/>
        </w:rPr>
        <w:t xml:space="preserve">. (i) Each Lender that is a U.S. Person shall deliver to Borrower and Administrative Agent on or prior to the date on which such Lender becomes a party to this Agreement, and from time to time thereafter if requested in writing by Borrower or Administrative Agent (but only so long as such Lender remains lawfully able to do so), executed originals of IRS Form W-9, or any successor form prescribed by the IRS, certifying that such Lender is exempt from U.S. federal backup withholding tax; (ii)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shall provide Borrower and Administrative Agent with (x) IRS Form W-8BEN or W-8BEN-E, as appropriate, or any successor form prescribed by the IRS, certifying that such Lender is entitled to benefits under an income tax treaty to which the United States is a party which reduces the rate of withholding tax on payments of interest, IRS Form W-8ECI, or any successor form prescribed by the IRS, certifying that the income receivable pursuant to the Loan Documents is effectively connected with the conduct of a trade or business in the United States, or IRS Form W-8EXP, or any successor form prescribed by the IRS, (y) if such Lender is not a “bank” within the meaning of Section 881(c)(3)(A) of the Code and intends to claim an exemption from United States withholding tax under Section 871(h) or 881(c) of the Code with respect to payments of “portfolio interest,” IRS Form W-8BEN or W-8BEN-E, as applicable, or any successor form prescribed by the IRS, and a certificate substantially in the form of Exhibit F-1 representing that such Lender is not a bank for purposes of Section 881(c) of the Code, is not a ten-percent shareholder (within the meaning of Section 871(h)(3)(B) of the Code) of Borrower, and is not a “controlled foreign corporation” described in Section 881(c)(3)(C) (a “U.S. Tax Compliance Certificate”) or (z) to the extent such Lender is not the beneficial owner, executed originals of IRS Form W-8IMY, or any successor form prescribed by the IRS, accompanied by IRS Form W-8ECI, W-8BEN or W-8BEN-E, as applicable, a U.S. Tax Compliance Certificate substantially in the form of Exhibit F-2 or Exhibit F-3,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Thereafter and from time to time, each such Person shall (i)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(ii) promptly notify Administrative Agent of any change in circumstances 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158" w:lineRule="exact"/>
        <w:rPr>
          <w:sz w:val="20"/>
          <w:szCs w:val="20"/>
          <w:color w:val="auto"/>
        </w:rPr>
      </w:pPr>
    </w:p>
    <w:p>
      <w:pPr>
        <w:jc w:val="both"/>
        <w:ind w:firstLine="1304"/>
        <w:spacing w:after="0" w:line="231" w:lineRule="auto"/>
        <w:tabs>
          <w:tab w:leader="none" w:pos="193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05" w:right="339" w:bottom="1440" w:gutter="0" w:footer="0" w:header="0"/>
        </w:sectPr>
      </w:pPr>
    </w:p>
    <w:bookmarkStart w:id="251" w:name="page252"/>
    <w:bookmarkEnd w:id="251"/>
    <w:p>
      <w:pPr>
        <w:jc w:val="both"/>
        <w:spacing w:after="0" w:line="218" w:lineRule="auto"/>
        <w:rPr>
          <w:sz w:val="20"/>
          <w:szCs w:val="20"/>
          <w:color w:val="auto"/>
        </w:rPr>
      </w:pPr>
      <w:r>
        <w:rPr>
          <w:rFonts w:ascii="Arial" w:cs="Arial" w:eastAsia="Arial" w:hAnsi="Arial"/>
          <w:sz w:val="20"/>
          <w:szCs w:val="20"/>
          <w:color w:val="auto"/>
        </w:rPr>
        <w:t>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promptly update and deliver such form or certification to Borrower and Administrative Agent or promptly notify Borrower and Administrative Agent in writing of its legal ineligibility to do so.</w:t>
      </w:r>
    </w:p>
    <w:p>
      <w:pPr>
        <w:spacing w:after="0" w:line="15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16"/>
          <w:szCs w:val="16"/>
          <w:u w:val="single" w:color="auto"/>
          <w:color w:val="auto"/>
        </w:rPr>
        <w:t>Removal and Replacement of Lenders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20" w:lineRule="auto"/>
        <w:tabs>
          <w:tab w:leader="none" w:pos="193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In the event that any Lender (i) requests compensation under Section 3.01 or 3.04, (ii) becomes a Defaulting Lender or (iii) (x) does not consent to any proposed amendment, supplement, modification, consent or waiver of any provision of this Agreement or any other Loan Document that requires the consent of each of the Lenders or each of the Lenders (including, for the avoidance of doubt, any extension permitted by Section 2.01(e) with the consent of each Lender) affected thereby or (y) does not agree to make Loans in any proposed Alternative Currency (in the case of this clause (iii), so long as the consent of the Required Lenders to such amendment, supplement, modification, consent, waiver or proposed Alternative Currency has been obtained), Borrower may, upon notice to such Lender and Administrative Agent, remove or replace such Lender by (A) non-ratably terminating such Lender’s Revolving Commitment and/or (B) causing such Lender to assign its rights and obligations under this Agreement pursuant to Section 10.04(b) to one or more other Lenders or eligible assignees procured by Borrower and otherwise reasonably acceptable to Administrative Agent and Issuing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assigning Lender shall have received payment of an amount equal to 100% of the outstanding principal, interest and fees owed to such Lender from the assignee Lender or Borrower or such lesser amount as may be agreed with such Lender. Borrower shall, in the case of a termination of such Lender’s Revolving Commitment and prepayment of its Loans pursuant to clause (A) preceding, (x) pay in full all principal, interest, fees and other amounts owing to such Lender (other than with respect to any outstanding Competitive Loan held by it) through the date of termination and prepayment (including any amounts payable pursuant to Section 3), except as may otherwise be agreed with such Lender, (y) provide appropriate assurances and indemnities (which may include letters of credit) to such Lender and the Issuing Lender as each may reasonably require with respect to any continuing risk participation interest in any Letters of Credit then outstanding and</w:t>
      </w:r>
    </w:p>
    <w:p>
      <w:pPr>
        <w:spacing w:after="0" w:line="4" w:lineRule="exact"/>
        <w:rPr>
          <w:rFonts w:ascii="Arial" w:cs="Arial" w:eastAsia="Arial" w:hAnsi="Arial"/>
          <w:sz w:val="18"/>
          <w:szCs w:val="18"/>
          <w:color w:val="auto"/>
        </w:rPr>
      </w:pPr>
    </w:p>
    <w:p>
      <w:pPr>
        <w:jc w:val="both"/>
        <w:ind w:firstLine="8"/>
        <w:spacing w:after="0" w:line="259" w:lineRule="auto"/>
        <w:tabs>
          <w:tab w:leader="none" w:pos="27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release such Lender from its obligations under the Loan Documents from and after the date of termination. Borrower shall, in the case of an assignment pursuant to clause (B) preceding, cause to be paid the assignment fee payable to Administrative Agent pursuant to Section 10.04(c). Any such Lender whose Revolving Commitment is being assigned shall, upon payment of (i) all amounts owed to it pursuant to the proviso in clause (B) preceding and (ii) the assignment fee as described in the preceding sentence, be deemed to have executed and delivered an Assignment and Assumption covering such Lender’s Revolving Commitment. Administrative Agent shall distribute an amended Schedule 2.01, which shall be deemed incorporated into this Agreement, to reflect adjustments to the Lenders and their Revolving Commitments.</w:t>
      </w:r>
    </w:p>
    <w:p>
      <w:pPr>
        <w:spacing w:after="0" w:line="142" w:lineRule="exact"/>
        <w:rPr>
          <w:rFonts w:ascii="Arial" w:cs="Arial" w:eastAsia="Arial" w:hAnsi="Arial"/>
          <w:sz w:val="16"/>
          <w:szCs w:val="16"/>
          <w:color w:val="auto"/>
        </w:rPr>
      </w:pPr>
    </w:p>
    <w:p>
      <w:pPr>
        <w:jc w:val="both"/>
        <w:ind w:right="260" w:firstLine="1304"/>
        <w:spacing w:after="0" w:line="218" w:lineRule="auto"/>
        <w:tabs>
          <w:tab w:leader="none" w:pos="1932" w:val="left"/>
        </w:tabs>
        <w:numPr>
          <w:ilvl w:val="1"/>
          <w:numId w:val="223"/>
        </w:numPr>
        <w:rPr>
          <w:rFonts w:ascii="Arial" w:cs="Arial" w:eastAsia="Arial" w:hAnsi="Arial"/>
          <w:sz w:val="20"/>
          <w:szCs w:val="20"/>
          <w:color w:val="auto"/>
        </w:rPr>
      </w:pPr>
      <w:r>
        <w:rPr>
          <w:rFonts w:ascii="Arial" w:cs="Arial" w:eastAsia="Arial" w:hAnsi="Arial"/>
          <w:sz w:val="20"/>
          <w:szCs w:val="20"/>
          <w:color w:val="auto"/>
        </w:rPr>
        <w:t>If fees cease to accrue on the unfunded portion of the Revolving Commitments of a Defaulting Lender pursuant to Section 2.14(a), such fees shall not be paid to the non-Defaulting Lenders (or replacement Lenders in respect of any fees accruing prior to such replacement Lender becoming a Lender hereunder).</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1"/>
          <w:numId w:val="223"/>
        </w:numPr>
        <w:rPr>
          <w:rFonts w:ascii="Arial" w:cs="Arial" w:eastAsia="Arial" w:hAnsi="Arial"/>
          <w:sz w:val="20"/>
          <w:szCs w:val="20"/>
          <w:color w:val="auto"/>
        </w:rPr>
      </w:pPr>
      <w:r>
        <w:rPr>
          <w:rFonts w:ascii="Arial" w:cs="Arial" w:eastAsia="Arial" w:hAnsi="Arial"/>
          <w:sz w:val="20"/>
          <w:szCs w:val="20"/>
          <w:color w:val="auto"/>
        </w:rPr>
        <w:t>This Section shall supersede any provisions in Section 10.01 to the contrary.</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18"/>
          <w:szCs w:val="18"/>
          <w:u w:val="single" w:color="auto"/>
          <w:color w:val="auto"/>
        </w:rPr>
        <w:t>Governing Law; Submission to Jurisdiction; Waivers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THIS AGREEMENT AND THE RIGHTS AND OBLIGATIONS OF THE PARTIES UNDER THIS AGREEMENT SHALL BE GOVERNED BY, AND CONSTRUED AND INTERPRETED IN ACCORDANCE WITH, THE LAW OF THE STATE OF NEW YORK.</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Each party to this Agreement irrevocably and unconditionally: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05" w:right="339" w:bottom="1440" w:gutter="0" w:footer="0" w:header="0"/>
        </w:sectPr>
      </w:pPr>
    </w:p>
    <w:bookmarkStart w:id="252" w:name="page253"/>
    <w:bookmarkEnd w:id="252"/>
    <w:p>
      <w:pPr>
        <w:jc w:val="both"/>
        <w:ind w:firstLine="1304"/>
        <w:spacing w:after="0" w:line="213" w:lineRule="auto"/>
        <w:tabs>
          <w:tab w:leader="none" w:pos="157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submits for itself and its property in any legal action or proceeding relating to this Agreement and the other Loan Documents to which it is a party to the exclusive jurisdiction of the United States District Court for the Southern District of New York sitting in the Borough of Manhattan (or if such court lacks subject matter jurisdiction, the Supreme Court of the State of New York sitting in the Borough of Manhattan), and appellate courts from any thereof;</w:t>
      </w:r>
    </w:p>
    <w:p>
      <w:pPr>
        <w:spacing w:after="0" w:line="155" w:lineRule="exact"/>
        <w:rPr>
          <w:rFonts w:ascii="Arial" w:cs="Arial" w:eastAsia="Arial" w:hAnsi="Arial"/>
          <w:sz w:val="20"/>
          <w:szCs w:val="20"/>
          <w:color w:val="auto"/>
        </w:rPr>
      </w:pPr>
    </w:p>
    <w:p>
      <w:pPr>
        <w:ind w:firstLine="1304"/>
        <w:spacing w:after="0" w:line="229" w:lineRule="auto"/>
        <w:tabs>
          <w:tab w:leader="none" w:pos="1587" w:val="left"/>
        </w:tabs>
        <w:numPr>
          <w:ilvl w:val="0"/>
          <w:numId w:val="225"/>
        </w:numPr>
        <w:rPr>
          <w:rFonts w:ascii="Arial" w:cs="Arial" w:eastAsia="Arial" w:hAnsi="Arial"/>
          <w:sz w:val="20"/>
          <w:szCs w:val="20"/>
          <w:color w:val="auto"/>
        </w:rPr>
      </w:pPr>
      <w:r>
        <w:rPr>
          <w:rFonts w:ascii="Arial" w:cs="Arial" w:eastAsia="Arial" w:hAnsi="Arial"/>
          <w:sz w:val="20"/>
          <w:szCs w:val="20"/>
          <w:color w:val="auto"/>
        </w:rPr>
        <w:t>agrees that a final judgment in any such suit, action or proceeding brought in any such court may be enforced in any other court to whose jurisdiction the applicable party is or may be subject, by suit upon judgment;</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658" w:val="left"/>
        </w:tabs>
        <w:numPr>
          <w:ilvl w:val="0"/>
          <w:numId w:val="225"/>
        </w:numPr>
        <w:rPr>
          <w:rFonts w:ascii="Arial" w:cs="Arial" w:eastAsia="Arial" w:hAnsi="Arial"/>
          <w:sz w:val="20"/>
          <w:szCs w:val="20"/>
          <w:color w:val="auto"/>
        </w:rPr>
      </w:pPr>
      <w:r>
        <w:rPr>
          <w:rFonts w:ascii="Arial" w:cs="Arial" w:eastAsia="Arial" w:hAnsi="Arial"/>
          <w:sz w:val="20"/>
          <w:szCs w:val="20"/>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56" w:lineRule="exact"/>
        <w:rPr>
          <w:rFonts w:ascii="Arial" w:cs="Arial" w:eastAsia="Arial" w:hAnsi="Arial"/>
          <w:sz w:val="20"/>
          <w:szCs w:val="20"/>
          <w:color w:val="auto"/>
        </w:rPr>
      </w:pPr>
    </w:p>
    <w:p>
      <w:pPr>
        <w:ind w:right="20" w:firstLine="1304"/>
        <w:spacing w:after="0" w:line="269" w:lineRule="auto"/>
        <w:tabs>
          <w:tab w:leader="none" w:pos="16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30" w:lineRule="exact"/>
        <w:rPr>
          <w:rFonts w:ascii="Arial" w:cs="Arial" w:eastAsia="Arial" w:hAnsi="Arial"/>
          <w:sz w:val="18"/>
          <w:szCs w:val="18"/>
          <w:color w:val="auto"/>
        </w:rPr>
      </w:pPr>
    </w:p>
    <w:p>
      <w:pPr>
        <w:ind w:left="1580" w:hanging="276"/>
        <w:spacing w:after="0"/>
        <w:tabs>
          <w:tab w:leader="none" w:pos="15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198" w:lineRule="exact"/>
        <w:rPr>
          <w:rFonts w:ascii="Arial" w:cs="Arial" w:eastAsia="Arial" w:hAnsi="Arial"/>
          <w:sz w:val="18"/>
          <w:szCs w:val="18"/>
          <w:color w:val="auto"/>
        </w:rPr>
      </w:pPr>
    </w:p>
    <w:p>
      <w:pPr>
        <w:jc w:val="both"/>
        <w:ind w:firstLine="1304"/>
        <w:spacing w:after="0" w:line="218" w:lineRule="auto"/>
        <w:tabs>
          <w:tab w:leader="none" w:pos="1646" w:val="left"/>
        </w:tabs>
        <w:numPr>
          <w:ilvl w:val="0"/>
          <w:numId w:val="225"/>
        </w:numPr>
        <w:rPr>
          <w:rFonts w:ascii="Arial" w:cs="Arial" w:eastAsia="Arial" w:hAnsi="Arial"/>
          <w:sz w:val="20"/>
          <w:szCs w:val="20"/>
          <w:color w:val="auto"/>
        </w:rPr>
      </w:pPr>
      <w:r>
        <w:rPr>
          <w:rFonts w:ascii="Arial" w:cs="Arial" w:eastAsia="Arial" w:hAnsi="Arial"/>
          <w:sz w:val="20"/>
          <w:szCs w:val="20"/>
          <w:color w:val="auto"/>
        </w:rPr>
        <w:t xml:space="preserve">waives, to the maximum extent not prohibited by law, any right it may have to claim or recover in any legal action or proceeding referred to in this Section 10.22 any special, exemplary, punitive or consequential damages;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waiver set forth in this clause (vi) shall not affect any obligation of Borrower under Section 10.13.</w:t>
      </w:r>
    </w:p>
    <w:p>
      <w:pPr>
        <w:spacing w:after="0" w:line="156"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19"/>
          <w:szCs w:val="19"/>
          <w:color w:val="auto"/>
        </w:rPr>
        <w:t xml:space="preserve">10.23 </w:t>
      </w:r>
      <w:r>
        <w:rPr>
          <w:rFonts w:ascii="Arial" w:cs="Arial" w:eastAsia="Arial" w:hAnsi="Arial"/>
          <w:sz w:val="19"/>
          <w:szCs w:val="19"/>
          <w:u w:val="single" w:color="auto"/>
          <w:color w:val="auto"/>
        </w:rPr>
        <w:t>Waiver of Right to Trial by Jury</w:t>
      </w:r>
      <w:r>
        <w:rPr>
          <w:rFonts w:ascii="Arial" w:cs="Arial" w:eastAsia="Arial" w:hAnsi="Arial"/>
          <w:sz w:val="19"/>
          <w:szCs w:val="19"/>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 xml:space="preserve">10.24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hereby notifies Borrower that pursuant to the requirements of the USA PATRIOT Act (Title III of Pub. L. 107-56 (signed into law October 26, 2001)) (the “Act”), it is required to obtain, verify and record information that identifies Borrower and Guarantors, which information includes the name and address of Borrower and Guarantors and other information that will allow such Lender to identify Borrower and Guarantors in accordance with the Act.</w:t>
      </w:r>
    </w:p>
    <w:p>
      <w:pPr>
        <w:spacing w:after="0" w:line="15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10" w:lineRule="auto"/>
        <w:tabs>
          <w:tab w:leader="none" w:pos="1934" w:val="left"/>
        </w:tabs>
        <w:numPr>
          <w:ilvl w:val="0"/>
          <w:numId w:val="226"/>
        </w:numPr>
        <w:rPr>
          <w:rFonts w:ascii="Arial" w:cs="Arial" w:eastAsia="Arial" w:hAnsi="Arial"/>
          <w:sz w:val="20"/>
          <w:szCs w:val="20"/>
          <w:color w:val="auto"/>
        </w:rPr>
      </w:pPr>
      <w:r>
        <w:rPr>
          <w:rFonts w:ascii="Arial" w:cs="Arial" w:eastAsia="Arial" w:hAnsi="Arial"/>
          <w:sz w:val="20"/>
          <w:szCs w:val="20"/>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54"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 obligation of Borrower in respect of any sum due from it to any Lender or Agent hereunder shall, notwithstanding any judgment in a currency (the “Judgment Currency”) other than that in which such sum is denominated in accordance with the applicable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05" w:right="339" w:bottom="1440" w:gutter="0" w:footer="0" w:header="0"/>
        </w:sectPr>
      </w:pPr>
    </w:p>
    <w:bookmarkStart w:id="253" w:name="page254"/>
    <w:bookmarkEnd w:id="253"/>
    <w:p>
      <w:pPr>
        <w:jc w:val="both"/>
        <w:spacing w:after="0" w:line="207" w:lineRule="auto"/>
        <w:rPr>
          <w:sz w:val="20"/>
          <w:szCs w:val="20"/>
          <w:color w:val="auto"/>
        </w:rPr>
      </w:pPr>
      <w:r>
        <w:rPr>
          <w:rFonts w:ascii="Arial" w:cs="Arial" w:eastAsia="Arial" w:hAnsi="Arial"/>
          <w:sz w:val="20"/>
          <w:szCs w:val="20"/>
          <w:color w:val="auto"/>
        </w:rPr>
        <w:t>(the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 amount of Agreement Currency so purchased is less than the sum originally due to such Lender in the Agreement Currency, Borrower agrees notwithstanding any such judgment to indemnify such Lender against such loss, and if the amount of the Agreement Currency so purchased exceeds the sum originally due to any Lender, such Lender agrees to remit to Borrower such excess.</w:t>
      </w:r>
    </w:p>
    <w:p>
      <w:pPr>
        <w:spacing w:after="0" w:line="16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 xml:space="preserve">10.26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58" w:lineRule="exact"/>
        <w:rPr>
          <w:sz w:val="20"/>
          <w:szCs w:val="20"/>
          <w:color w:val="auto"/>
        </w:rPr>
      </w:pPr>
    </w:p>
    <w:p>
      <w:pPr>
        <w:ind w:firstLine="1304"/>
        <w:spacing w:after="0" w:line="229" w:lineRule="auto"/>
        <w:tabs>
          <w:tab w:leader="none" w:pos="1934"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75" w:lineRule="exact"/>
        <w:rPr>
          <w:rFonts w:ascii="Arial" w:cs="Arial" w:eastAsia="Arial" w:hAnsi="Arial"/>
          <w:sz w:val="20"/>
          <w:szCs w:val="20"/>
          <w:color w:val="auto"/>
        </w:rPr>
      </w:pPr>
    </w:p>
    <w:p>
      <w:pPr>
        <w:ind w:left="2540" w:hanging="588"/>
        <w:spacing w:after="0"/>
        <w:tabs>
          <w:tab w:leader="none" w:pos="254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75" w:lineRule="exact"/>
        <w:rPr>
          <w:rFonts w:ascii="Arial" w:cs="Arial" w:eastAsia="Arial" w:hAnsi="Arial"/>
          <w:sz w:val="20"/>
          <w:szCs w:val="20"/>
          <w:color w:val="auto"/>
        </w:rPr>
      </w:pPr>
    </w:p>
    <w:p>
      <w:pPr>
        <w:jc w:val="both"/>
        <w:ind w:left="1300" w:firstLine="652"/>
        <w:spacing w:after="0" w:line="213" w:lineRule="auto"/>
        <w:tabs>
          <w:tab w:leader="none" w:pos="2563" w:val="left"/>
        </w:tabs>
        <w:numPr>
          <w:ilvl w:val="1"/>
          <w:numId w:val="227"/>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5" w:lineRule="exact"/>
        <w:rPr>
          <w:rFonts w:ascii="Arial" w:cs="Arial" w:eastAsia="Arial" w:hAnsi="Arial"/>
          <w:sz w:val="20"/>
          <w:szCs w:val="20"/>
          <w:color w:val="auto"/>
        </w:rPr>
      </w:pPr>
    </w:p>
    <w:p>
      <w:pPr>
        <w:ind w:left="1300" w:firstLine="652"/>
        <w:spacing w:after="0" w:line="229" w:lineRule="auto"/>
        <w:tabs>
          <w:tab w:leader="none" w:pos="2537" w:val="left"/>
        </w:tabs>
        <w:numPr>
          <w:ilvl w:val="1"/>
          <w:numId w:val="227"/>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3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0"/>
          <w:szCs w:val="20"/>
          <w:color w:val="auto"/>
        </w:rPr>
        <w:t>10.27</w:t>
      </w:r>
      <w:r>
        <w:rPr>
          <w:sz w:val="20"/>
          <w:szCs w:val="20"/>
          <w:color w:val="auto"/>
        </w:rPr>
        <w:tab/>
      </w:r>
      <w:r>
        <w:rPr>
          <w:rFonts w:ascii="Arial" w:cs="Arial" w:eastAsia="Arial" w:hAnsi="Arial"/>
          <w:sz w:val="19"/>
          <w:szCs w:val="19"/>
          <w:u w:val="single" w:color="auto"/>
          <w:color w:val="auto"/>
        </w:rPr>
        <w:t>Acknowledgement Regarding Any Supported QFCs</w:t>
      </w:r>
      <w:r>
        <w:rPr>
          <w:rFonts w:ascii="Arial" w:cs="Arial" w:eastAsia="Arial" w:hAnsi="Arial"/>
          <w:sz w:val="17"/>
          <w:szCs w:val="17"/>
          <w:color w:val="auto"/>
        </w:rPr>
        <w:t>. To the extent that the Loan Documents provide support,</w:t>
      </w:r>
    </w:p>
    <w:p>
      <w:pPr>
        <w:spacing w:after="0" w:line="18"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1"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05" w:right="339" w:bottom="1440" w:gutter="0" w:footer="0" w:header="0"/>
        </w:sectPr>
      </w:pPr>
    </w:p>
    <w:bookmarkStart w:id="254" w:name="page255"/>
    <w:bookmarkEnd w:id="254"/>
    <w:p>
      <w:pPr>
        <w:spacing w:after="0" w:line="229" w:lineRule="auto"/>
        <w:rPr>
          <w:sz w:val="20"/>
          <w:szCs w:val="20"/>
          <w:color w:val="auto"/>
        </w:rPr>
      </w:pPr>
      <w:r>
        <w:rPr>
          <w:rFonts w:ascii="Arial" w:cs="Arial" w:eastAsia="Arial" w:hAnsi="Arial"/>
          <w:sz w:val="20"/>
          <w:szCs w:val="20"/>
          <w:color w:val="auto"/>
        </w:rPr>
        <w:t>with respect to a Defaulting Lender shall in no event affect the rights of any Covered Party with respect to a Supported QFC or any QFC Credit Support.</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[REMAINDER OF PAGE INTENTIONALLY BLANK.</w:t>
      </w: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20"/>
          </w:cols>
          <w:pgMar w:left="320" w:top="1405" w:right="359" w:bottom="1440" w:gutter="0" w:footer="0" w:header="0"/>
        </w:sectPr>
      </w:pPr>
    </w:p>
    <w:bookmarkStart w:id="255" w:name="page256"/>
    <w:bookmarkEnd w:id="255"/>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COMCAST SELECT</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DEFERRED COMPENSATION PLAN</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Amended and Restated, Effective October 12, 2021</w:t>
      </w:r>
    </w:p>
    <w:p>
      <w:pPr>
        <w:sectPr>
          <w:pgSz w:w="11900" w:h="16838" w:orient="portrait"/>
          <w:cols w:equalWidth="0" w:num="1">
            <w:col w:w="10120"/>
          </w:cols>
          <w:pgMar w:left="1440" w:top="98"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22"/>
          <w:szCs w:val="22"/>
          <w:b w:val="1"/>
          <w:bCs w:val="1"/>
          <w:color w:val="auto"/>
        </w:rPr>
        <w:t>COMCAST SELECT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Effective October 12, 2021)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 - </w:t>
      </w:r>
      <w:r>
        <w:rPr>
          <w:rFonts w:ascii="Arial" w:cs="Arial" w:eastAsia="Arial" w:hAnsi="Arial"/>
          <w:sz w:val="22"/>
          <w:szCs w:val="22"/>
          <w:b w:val="1"/>
          <w:bCs w:val="1"/>
          <w:u w:val="single" w:color="auto"/>
          <w:color w:val="auto"/>
        </w:rPr>
        <w:t>PURPOSE; EFFECTIVE 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w:t>
      </w:r>
    </w:p>
    <w:p>
      <w:pPr>
        <w:spacing w:after="0" w:line="212" w:lineRule="exact"/>
        <w:rPr>
          <w:sz w:val="20"/>
          <w:szCs w:val="20"/>
          <w:color w:val="auto"/>
        </w:rPr>
      </w:pPr>
    </w:p>
    <w:p>
      <w:pPr>
        <w:jc w:val="both"/>
        <w:ind w:left="780" w:hanging="383"/>
        <w:spacing w:after="0" w:line="244" w:lineRule="auto"/>
        <w:tabs>
          <w:tab w:leader="none" w:pos="775"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The purpose of this Comcast Select Deferred Compensation Plan (formerly known as the “NBCUniversal Deferred Compensation Plan,” hereinafter, the “Plan”) is to permit a select group of highly compensated employees of </w:t>
      </w:r>
      <w:r>
        <w:rPr>
          <w:rFonts w:ascii="Arial" w:cs="Arial" w:eastAsia="Arial" w:hAnsi="Arial"/>
          <w:sz w:val="19"/>
          <w:szCs w:val="19"/>
          <w:b w:val="1"/>
          <w:bCs w:val="1"/>
          <w:color w:val="auto"/>
        </w:rPr>
        <w:t xml:space="preserve">NBCUniversal Media, LLC, Universal City Development Partners, Ltd., </w:t>
      </w:r>
      <w:r>
        <w:rPr>
          <w:rFonts w:ascii="Arial" w:cs="Arial" w:eastAsia="Arial" w:hAnsi="Arial"/>
          <w:sz w:val="19"/>
          <w:szCs w:val="19"/>
          <w:color w:val="auto"/>
        </w:rPr>
        <w:t>and their selected subsidiaries and/or</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to defer the receipt of income which would otherwise become payable to them. The Plan, effective as of January 1, 2021, is an amendment and restatement of the NBCUniversal Deferred Compensation Plan (the “NBCU DCP”) and the Post-2004 Universal City Development Partners, Ltd. Variable Deferred Compensation Plan for Executives (the “UO DCP”) and reflects the merger of the UO DCP with and into the NBCU DCP, effective as of January 1, 2021. It is intended that this Plan, by providing these eligible individuals an opportunity to defer the receipt of income, will assist in retaining and attracting individuals of exceptional ability.</w:t>
      </w:r>
    </w:p>
    <w:p>
      <w:pPr>
        <w:spacing w:after="0" w:line="187" w:lineRule="exact"/>
        <w:rPr>
          <w:rFonts w:ascii="Arial" w:cs="Arial" w:eastAsia="Arial" w:hAnsi="Arial"/>
          <w:sz w:val="19"/>
          <w:szCs w:val="19"/>
          <w:color w:val="auto"/>
        </w:rPr>
      </w:pPr>
    </w:p>
    <w:p>
      <w:pPr>
        <w:jc w:val="both"/>
        <w:ind w:left="780" w:hanging="383"/>
        <w:spacing w:after="0" w:line="218" w:lineRule="auto"/>
        <w:tabs>
          <w:tab w:leader="none" w:pos="774"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Plan is amended and restated, effective October 12, 2021, to provide for Comcast Corporation to serve as the sponsor of the Plan for the benefit of eligible employees of its participating affiliates, as provided in the Plan. No other substantive changes from the Plan as previously in effect have been adopted as part of the amendment and restatement of the Plan effective October 12, 2021.</w:t>
      </w:r>
    </w:p>
    <w:p>
      <w:pPr>
        <w:spacing w:after="0" w:line="182" w:lineRule="exact"/>
        <w:rPr>
          <w:sz w:val="20"/>
          <w:szCs w:val="20"/>
          <w:color w:val="auto"/>
        </w:rPr>
      </w:pPr>
    </w:p>
    <w:p>
      <w:pPr>
        <w:jc w:val="both"/>
        <w:ind w:left="400" w:right="20" w:hanging="388"/>
        <w:spacing w:after="0" w:line="23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This Plan was originally effective on January 30, 2011. This amendment and restatement of the Plan is effective as of October 12, 2021.</w:t>
      </w:r>
    </w:p>
    <w:p>
      <w:pPr>
        <w:spacing w:after="0" w:line="180" w:lineRule="exact"/>
        <w:rPr>
          <w:sz w:val="20"/>
          <w:szCs w:val="20"/>
          <w:color w:val="auto"/>
        </w:rPr>
      </w:pPr>
    </w:p>
    <w:p>
      <w:pPr>
        <w:jc w:val="both"/>
        <w:ind w:left="400" w:hanging="388"/>
        <w:spacing w:after="0" w:line="217"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u w:val="single" w:color="auto"/>
          <w:color w:val="auto"/>
        </w:rPr>
        <w:t>Plan Type</w:t>
      </w:r>
      <w:r>
        <w:rPr>
          <w:rFonts w:ascii="Arial" w:cs="Arial" w:eastAsia="Arial" w:hAnsi="Arial"/>
          <w:sz w:val="22"/>
          <w:szCs w:val="22"/>
          <w:color w:val="auto"/>
        </w:rPr>
        <w:t>. For purposes of Section 409A, the portion of the amounts deferred by the Participants and benefits attributable thereto, shall be considered an elective account balance plan as defined in Treas. Reg. Section 1.409A -1(c)(2)(i)(A), or as otherwise provided by the Code; the portion of the amounts deferred as employer contributions and benefits attributable thereto, shall be considered a non-elective account balance plan as defined in Treas. Reg. Section 1.409A -1(c)(2)(i)(B), or as otherwise provided by the Code.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II - </w:t>
      </w: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jc w:val="both"/>
        <w:ind w:firstLine="349"/>
        <w:spacing w:after="0" w:line="232" w:lineRule="auto"/>
        <w:rPr>
          <w:sz w:val="20"/>
          <w:szCs w:val="20"/>
          <w:color w:val="auto"/>
        </w:rPr>
      </w:pPr>
      <w:r>
        <w:rPr>
          <w:rFonts w:ascii="Arial" w:cs="Arial" w:eastAsia="Arial" w:hAnsi="Arial"/>
          <w:sz w:val="22"/>
          <w:szCs w:val="22"/>
          <w:color w:val="auto"/>
        </w:rPr>
        <w:t>For the purpose of this Plan, the following terms shall have the meanings indicated, unless the context clearly indicates otherwise:</w:t>
      </w:r>
    </w:p>
    <w:p>
      <w:pPr>
        <w:spacing w:after="0" w:line="180" w:lineRule="exact"/>
        <w:rPr>
          <w:sz w:val="20"/>
          <w:szCs w:val="20"/>
          <w:color w:val="auto"/>
        </w:rPr>
      </w:pPr>
    </w:p>
    <w:p>
      <w:pPr>
        <w:jc w:val="both"/>
        <w:ind w:left="400" w:hanging="388"/>
        <w:spacing w:after="0" w:line="217"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u w:val="single" w:color="auto"/>
          <w:color w:val="auto"/>
        </w:rPr>
        <w:t>Account(s)</w:t>
      </w:r>
      <w:r>
        <w:rPr>
          <w:rFonts w:ascii="Arial" w:cs="Arial" w:eastAsia="Arial" w:hAnsi="Arial"/>
          <w:sz w:val="22"/>
          <w:szCs w:val="22"/>
          <w:color w:val="auto"/>
        </w:rPr>
        <w:t>. “Account(s)” means the account or accounts maintained on the books of the Participating Company used solely to calculate the amount payable to each Participant under this Plan and shall not constitute a separate fund of assets. Account(s) shall be deemed to exist from the time amounts are first credited to such Account(s) until such time that the entire Account Balance has been distributed in accordance with this Plan. The Accounts available for each Participant shall be identified as:</w:t>
      </w:r>
    </w:p>
    <w:p>
      <w:pPr>
        <w:spacing w:after="0" w:line="179" w:lineRule="exact"/>
        <w:rPr>
          <w:sz w:val="20"/>
          <w:szCs w:val="20"/>
          <w:color w:val="auto"/>
        </w:rPr>
      </w:pPr>
    </w:p>
    <w:p>
      <w:pPr>
        <w:ind w:left="780" w:hanging="383"/>
        <w:spacing w:after="0" w:line="235" w:lineRule="auto"/>
        <w:tabs>
          <w:tab w:leader="none" w:pos="775" w:val="left"/>
        </w:tabs>
        <w:numPr>
          <w:ilvl w:val="0"/>
          <w:numId w:val="2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Grandfathered Accounts</w:t>
      </w:r>
      <w:r>
        <w:rPr>
          <w:rFonts w:ascii="Arial" w:cs="Arial" w:eastAsia="Arial" w:hAnsi="Arial"/>
          <w:sz w:val="22"/>
          <w:szCs w:val="22"/>
          <w:color w:val="auto"/>
        </w:rPr>
        <w:t>” means the Retirement and In-Service Accounts carried forward from the Legacy Deferred Compensation Plans, as follows: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257" w:name="page258"/>
    <w:bookmarkEnd w:id="257"/>
    <w:p>
      <w:pPr>
        <w:spacing w:after="0" w:line="198" w:lineRule="exact"/>
        <w:rPr>
          <w:sz w:val="20"/>
          <w:szCs w:val="20"/>
          <w:color w:val="auto"/>
        </w:rPr>
      </w:pPr>
    </w:p>
    <w:p>
      <w:pPr>
        <w:jc w:val="both"/>
        <w:ind w:left="1040" w:hanging="254"/>
        <w:spacing w:after="0" w:line="225" w:lineRule="auto"/>
        <w:tabs>
          <w:tab w:leader="none" w:pos="1034" w:val="left"/>
        </w:tabs>
        <w:numPr>
          <w:ilvl w:val="1"/>
          <w:numId w:val="230"/>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Grandfathered Retirement Account</w:t>
      </w:r>
      <w:r>
        <w:rPr>
          <w:rFonts w:ascii="Arial" w:cs="Arial" w:eastAsia="Arial" w:hAnsi="Arial"/>
          <w:sz w:val="22"/>
          <w:szCs w:val="22"/>
          <w:color w:val="auto"/>
        </w:rPr>
        <w:t>,” to which are credited employee contributions directed to the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Account with respect to Compensation earned before January 1, 2021, and Interest attributable to such employee contributions.</w:t>
      </w:r>
    </w:p>
    <w:p>
      <w:pPr>
        <w:spacing w:after="0" w:line="179" w:lineRule="exact"/>
        <w:rPr>
          <w:rFonts w:ascii="Arial" w:cs="Arial" w:eastAsia="Arial" w:hAnsi="Arial"/>
          <w:sz w:val="22"/>
          <w:szCs w:val="22"/>
          <w:color w:val="auto"/>
        </w:rPr>
      </w:pPr>
    </w:p>
    <w:p>
      <w:pPr>
        <w:jc w:val="both"/>
        <w:ind w:left="1040" w:hanging="254"/>
        <w:spacing w:after="0" w:line="225" w:lineRule="auto"/>
        <w:tabs>
          <w:tab w:leader="none" w:pos="1040" w:val="left"/>
        </w:tabs>
        <w:numPr>
          <w:ilvl w:val="1"/>
          <w:numId w:val="2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Grandfathered In-Service Account – 1</w:t>
      </w:r>
      <w:r>
        <w:rPr>
          <w:rFonts w:ascii="Arial" w:cs="Arial" w:eastAsia="Arial" w:hAnsi="Arial"/>
          <w:sz w:val="22"/>
          <w:szCs w:val="22"/>
          <w:color w:val="auto"/>
        </w:rPr>
        <w:t>,” to which are credited employee contributions directed to the first of two In-Service Accounts with respect to Compensation earned before January 1, 2021, and Interest attributable to such employee contributions.</w:t>
      </w:r>
    </w:p>
    <w:p>
      <w:pPr>
        <w:spacing w:after="0" w:line="179" w:lineRule="exact"/>
        <w:rPr>
          <w:rFonts w:ascii="Arial" w:cs="Arial" w:eastAsia="Arial" w:hAnsi="Arial"/>
          <w:sz w:val="22"/>
          <w:szCs w:val="22"/>
          <w:color w:val="auto"/>
        </w:rPr>
      </w:pPr>
    </w:p>
    <w:p>
      <w:pPr>
        <w:jc w:val="both"/>
        <w:ind w:left="1040" w:hanging="254"/>
        <w:spacing w:after="0" w:line="225" w:lineRule="auto"/>
        <w:tabs>
          <w:tab w:leader="none" w:pos="1100" w:val="left"/>
        </w:tabs>
        <w:numPr>
          <w:ilvl w:val="1"/>
          <w:numId w:val="230"/>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Grandfathered In-Service Account – 2</w:t>
      </w:r>
      <w:r>
        <w:rPr>
          <w:rFonts w:ascii="Arial" w:cs="Arial" w:eastAsia="Arial" w:hAnsi="Arial"/>
          <w:sz w:val="22"/>
          <w:szCs w:val="22"/>
          <w:color w:val="auto"/>
        </w:rPr>
        <w:t>,” to which are credited employee contributions directed to the second of</w:t>
      </w:r>
      <w:r>
        <w:rPr>
          <w:rFonts w:ascii="Arial" w:cs="Arial" w:eastAsia="Arial" w:hAnsi="Arial"/>
          <w:sz w:val="22"/>
          <w:szCs w:val="22"/>
          <w:b w:val="1"/>
          <w:bCs w:val="1"/>
          <w:color w:val="auto"/>
        </w:rPr>
        <w:t xml:space="preserve"> </w:t>
      </w:r>
      <w:r>
        <w:rPr>
          <w:rFonts w:ascii="Arial" w:cs="Arial" w:eastAsia="Arial" w:hAnsi="Arial"/>
          <w:sz w:val="22"/>
          <w:szCs w:val="22"/>
          <w:color w:val="auto"/>
        </w:rPr>
        <w:t>two In-Service Accounts with respect to Compensation earned before January 1, 2021, and Interest attributable to such employee contributions.</w:t>
      </w:r>
    </w:p>
    <w:p>
      <w:pPr>
        <w:spacing w:after="0" w:line="179" w:lineRule="exact"/>
        <w:rPr>
          <w:rFonts w:ascii="Arial" w:cs="Arial" w:eastAsia="Arial" w:hAnsi="Arial"/>
          <w:sz w:val="22"/>
          <w:szCs w:val="22"/>
          <w:color w:val="auto"/>
        </w:rPr>
      </w:pPr>
    </w:p>
    <w:p>
      <w:pPr>
        <w:jc w:val="both"/>
        <w:ind w:left="780" w:hanging="383"/>
        <w:spacing w:after="0" w:line="217" w:lineRule="auto"/>
        <w:tabs>
          <w:tab w:leader="none" w:pos="774" w:val="left"/>
        </w:tabs>
        <w:numPr>
          <w:ilvl w:val="0"/>
          <w:numId w:val="2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New Plan Accounts</w:t>
      </w:r>
      <w:r>
        <w:rPr>
          <w:rFonts w:ascii="Arial" w:cs="Arial" w:eastAsia="Arial" w:hAnsi="Arial"/>
          <w:sz w:val="22"/>
          <w:szCs w:val="22"/>
          <w:color w:val="auto"/>
        </w:rPr>
        <w:t>” means the class-year accounts established under the Plan, to which are credited employee elective contributions and Discretionary Contributions and Restoration Contributions, and Interest attributable to such contributions, for periods beginning on and after January 1, 2021. With respect to each class-year New Plan Account, for each year, a Participant may elect a different time and form of distribution as part of the Participant’s Deferral Commitment.</w:t>
      </w:r>
    </w:p>
    <w:p>
      <w:pPr>
        <w:spacing w:after="0" w:line="179" w:lineRule="exact"/>
        <w:rPr>
          <w:rFonts w:ascii="Arial" w:cs="Arial" w:eastAsia="Arial" w:hAnsi="Arial"/>
          <w:sz w:val="22"/>
          <w:szCs w:val="22"/>
          <w:color w:val="auto"/>
        </w:rPr>
      </w:pPr>
    </w:p>
    <w:p>
      <w:pPr>
        <w:ind w:left="1040" w:right="20" w:hanging="254"/>
        <w:spacing w:after="0" w:line="235" w:lineRule="auto"/>
        <w:tabs>
          <w:tab w:leader="none" w:pos="1034" w:val="left"/>
        </w:tabs>
        <w:numPr>
          <w:ilvl w:val="1"/>
          <w:numId w:val="2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Base Salary Account</w:t>
      </w:r>
      <w:r>
        <w:rPr>
          <w:rFonts w:ascii="Arial" w:cs="Arial" w:eastAsia="Arial" w:hAnsi="Arial"/>
          <w:sz w:val="22"/>
          <w:szCs w:val="22"/>
          <w:color w:val="auto"/>
        </w:rPr>
        <w:t>,” to which are credited employee contributions credited with respect to base salary earned on and after January 1, 2021, and Interest attributable to such employee contributions.</w:t>
      </w:r>
    </w:p>
    <w:p>
      <w:pPr>
        <w:spacing w:after="0" w:line="179" w:lineRule="exact"/>
        <w:rPr>
          <w:rFonts w:ascii="Arial" w:cs="Arial" w:eastAsia="Arial" w:hAnsi="Arial"/>
          <w:sz w:val="22"/>
          <w:szCs w:val="22"/>
          <w:color w:val="auto"/>
        </w:rPr>
      </w:pPr>
    </w:p>
    <w:p>
      <w:pPr>
        <w:ind w:left="1040" w:hanging="254"/>
        <w:spacing w:after="0" w:line="235" w:lineRule="auto"/>
        <w:tabs>
          <w:tab w:leader="none" w:pos="1040" w:val="left"/>
        </w:tabs>
        <w:numPr>
          <w:ilvl w:val="1"/>
          <w:numId w:val="2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Bonus Account</w:t>
      </w:r>
      <w:r>
        <w:rPr>
          <w:rFonts w:ascii="Arial" w:cs="Arial" w:eastAsia="Arial" w:hAnsi="Arial"/>
          <w:sz w:val="22"/>
          <w:szCs w:val="22"/>
          <w:color w:val="auto"/>
        </w:rPr>
        <w:t>,” to which are credited employee contributions credited with respect to bonus earned on and after January 1, 2021, and Interest attributable to such employee contributions.</w:t>
      </w:r>
    </w:p>
    <w:p>
      <w:pPr>
        <w:spacing w:after="0" w:line="180" w:lineRule="exact"/>
        <w:rPr>
          <w:sz w:val="20"/>
          <w:szCs w:val="20"/>
          <w:color w:val="auto"/>
        </w:rPr>
      </w:pPr>
    </w:p>
    <w:p>
      <w:pPr>
        <w:ind w:left="1040" w:right="20" w:hanging="258"/>
        <w:spacing w:after="0" w:line="235" w:lineRule="auto"/>
        <w:rPr>
          <w:sz w:val="20"/>
          <w:szCs w:val="20"/>
          <w:color w:val="auto"/>
        </w:rPr>
      </w:pPr>
      <w:r>
        <w:rPr>
          <w:rFonts w:ascii="Arial" w:cs="Arial" w:eastAsia="Arial" w:hAnsi="Arial"/>
          <w:sz w:val="22"/>
          <w:szCs w:val="22"/>
          <w:color w:val="auto"/>
        </w:rPr>
        <w:t>iii)“</w:t>
      </w:r>
      <w:r>
        <w:rPr>
          <w:rFonts w:ascii="Arial" w:cs="Arial" w:eastAsia="Arial" w:hAnsi="Arial"/>
          <w:sz w:val="22"/>
          <w:szCs w:val="22"/>
          <w:b w:val="1"/>
          <w:bCs w:val="1"/>
          <w:u w:val="single" w:color="auto"/>
          <w:color w:val="auto"/>
        </w:rPr>
        <w:t>Company Contribution Account</w:t>
      </w:r>
      <w:r>
        <w:rPr>
          <w:rFonts w:ascii="Arial" w:cs="Arial" w:eastAsia="Arial" w:hAnsi="Arial"/>
          <w:sz w:val="22"/>
          <w:szCs w:val="22"/>
          <w:color w:val="auto"/>
        </w:rPr>
        <w:t>,” to which are credited employer contributions described in Section 4.4 on and after January 1, 2021, and Interest attributable to such employer contributions.</w:t>
      </w:r>
    </w:p>
    <w:p>
      <w:pPr>
        <w:spacing w:after="0" w:line="180" w:lineRule="exact"/>
        <w:rPr>
          <w:sz w:val="20"/>
          <w:szCs w:val="20"/>
          <w:color w:val="auto"/>
        </w:rPr>
      </w:pPr>
    </w:p>
    <w:p>
      <w:pPr>
        <w:jc w:val="both"/>
        <w:ind w:left="400" w:hanging="388"/>
        <w:spacing w:after="0" w:line="225"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u w:val="single" w:color="auto"/>
          <w:color w:val="auto"/>
        </w:rPr>
        <w:t>Actual Matching Contribution</w:t>
      </w:r>
      <w:r>
        <w:rPr>
          <w:rFonts w:ascii="Arial" w:cs="Arial" w:eastAsia="Arial" w:hAnsi="Arial"/>
          <w:sz w:val="22"/>
          <w:szCs w:val="22"/>
          <w:color w:val="auto"/>
        </w:rPr>
        <w:t>. “Actual Matching Contribution” means, for any calendar year, the employer matching contribution that is creditable to a Participant’s account under the 401(k) Plan in which such Participant is eligible to participate during such calendar year.</w:t>
      </w:r>
    </w:p>
    <w:p>
      <w:pPr>
        <w:spacing w:after="0" w:line="153" w:lineRule="exact"/>
        <w:rPr>
          <w:sz w:val="20"/>
          <w:szCs w:val="20"/>
          <w:color w:val="auto"/>
        </w:rPr>
      </w:pPr>
    </w:p>
    <w:p>
      <w:pPr>
        <w:jc w:val="both"/>
        <w:ind w:left="400" w:hanging="388"/>
        <w:spacing w:after="0" w:line="227"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b w:val="1"/>
          <w:bCs w:val="1"/>
          <w:u w:val="single" w:color="auto"/>
          <w:color w:val="auto"/>
        </w:rPr>
        <w:t>Affiliate</w:t>
      </w:r>
      <w:r>
        <w:rPr>
          <w:rFonts w:ascii="Arial" w:cs="Arial" w:eastAsia="Arial" w:hAnsi="Arial"/>
          <w:sz w:val="21"/>
          <w:szCs w:val="21"/>
          <w:color w:val="auto"/>
        </w:rPr>
        <w:t>.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54" w:lineRule="exact"/>
        <w:rPr>
          <w:sz w:val="20"/>
          <w:szCs w:val="20"/>
          <w:color w:val="auto"/>
        </w:rPr>
      </w:pPr>
    </w:p>
    <w:p>
      <w:pPr>
        <w:jc w:val="both"/>
        <w:ind w:left="400" w:hanging="388"/>
        <w:spacing w:after="0" w:line="271"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b w:val="1"/>
          <w:bCs w:val="1"/>
          <w:u w:val="single" w:color="auto"/>
          <w:color w:val="auto"/>
        </w:rPr>
        <w:t>Beneficiary</w:t>
      </w:r>
      <w:r>
        <w:rPr>
          <w:rFonts w:ascii="Arial" w:cs="Arial" w:eastAsia="Arial" w:hAnsi="Arial"/>
          <w:sz w:val="19"/>
          <w:szCs w:val="19"/>
          <w:color w:val="auto"/>
        </w:rPr>
        <w:t>. “Beneficiary” means the Person(s) designated by the Participant, entitled under Article VI to receive any Plan benefits payable after the Participant’s death. If the Participant has designated one or more Beneficiaries under a Legacy Deferred Compensation Plan, such designation shall continue in effect until superseded by a later designation.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“Board” means the Board of Directors of the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98" w:lineRule="exact"/>
        <w:rPr>
          <w:sz w:val="20"/>
          <w:szCs w:val="20"/>
          <w:color w:val="auto"/>
        </w:rPr>
      </w:pPr>
    </w:p>
    <w:p>
      <w:pPr>
        <w:jc w:val="both"/>
        <w:ind w:left="480" w:hanging="388"/>
        <w:spacing w:after="0" w:line="225"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b w:val="1"/>
          <w:bCs w:val="1"/>
          <w:u w:val="single" w:color="auto"/>
          <w:color w:val="auto"/>
        </w:rPr>
        <w:t>Change of Control</w:t>
      </w:r>
      <w:r>
        <w:rPr>
          <w:rFonts w:ascii="Arial" w:cs="Arial" w:eastAsia="Arial" w:hAnsi="Arial"/>
          <w:sz w:val="22"/>
          <w:szCs w:val="22"/>
          <w:color w:val="auto"/>
        </w:rPr>
        <w:t>.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80" w:lineRule="exact"/>
        <w:rPr>
          <w:sz w:val="20"/>
          <w:szCs w:val="20"/>
          <w:color w:val="auto"/>
        </w:rPr>
      </w:pPr>
    </w:p>
    <w:p>
      <w:pPr>
        <w:jc w:val="both"/>
        <w:ind w:left="480" w:right="20" w:hanging="388"/>
        <w:spacing w:after="0" w:line="235"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b w:val="1"/>
          <w:bCs w:val="1"/>
          <w:u w:val="single" w:color="auto"/>
          <w:color w:val="auto"/>
        </w:rPr>
        <w:t>Comcast DCP</w:t>
      </w:r>
      <w:r>
        <w:rPr>
          <w:rFonts w:ascii="Arial" w:cs="Arial" w:eastAsia="Arial" w:hAnsi="Arial"/>
          <w:sz w:val="22"/>
          <w:szCs w:val="22"/>
          <w:color w:val="auto"/>
        </w:rPr>
        <w:t>. “Comcast DCP” means the Comcast Corporation 2005 Deferred Compensation Plan as in effect from time to time.</w:t>
      </w:r>
    </w:p>
    <w:p>
      <w:pPr>
        <w:spacing w:after="0" w:line="180" w:lineRule="exact"/>
        <w:rPr>
          <w:sz w:val="20"/>
          <w:szCs w:val="20"/>
          <w:color w:val="auto"/>
        </w:rPr>
      </w:pPr>
    </w:p>
    <w:p>
      <w:pPr>
        <w:jc w:val="both"/>
        <w:ind w:left="480" w:hanging="388"/>
        <w:spacing w:after="0" w:line="235"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b w:val="1"/>
          <w:bCs w:val="1"/>
          <w:u w:val="single" w:color="auto"/>
          <w:color w:val="auto"/>
        </w:rPr>
        <w:t>Comcast DCP Eligible Employee</w:t>
      </w:r>
      <w:r>
        <w:rPr>
          <w:rFonts w:ascii="Arial" w:cs="Arial" w:eastAsia="Arial" w:hAnsi="Arial"/>
          <w:sz w:val="22"/>
          <w:szCs w:val="22"/>
          <w:color w:val="auto"/>
        </w:rPr>
        <w:t>. “Comcast DCP Eligible Employee” means an employee of a Participating Company who is an “Eligible Employee,” as such term is defined in the Comcast DCP.</w:t>
      </w:r>
    </w:p>
    <w:p>
      <w:pPr>
        <w:spacing w:after="0" w:line="180" w:lineRule="exact"/>
        <w:rPr>
          <w:sz w:val="20"/>
          <w:szCs w:val="20"/>
          <w:color w:val="auto"/>
        </w:rPr>
      </w:pPr>
    </w:p>
    <w:p>
      <w:pPr>
        <w:jc w:val="both"/>
        <w:ind w:left="480" w:hanging="388"/>
        <w:spacing w:after="0" w:line="220"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“Code” means the Internal Revenue Code of 1986, as may be amended from time to time. Any reference in this Plan to “applicable guidance,” “further guidance” or other similar term shall include any proposed, temporary or final regulations, or any other guidance, promulgated with respect to or in connection with Section 409A by the U.S. Department of Treasury or the Internal Revenue Service.</w:t>
      </w:r>
    </w:p>
    <w:p>
      <w:pPr>
        <w:spacing w:after="0" w:line="179" w:lineRule="exact"/>
        <w:rPr>
          <w:sz w:val="20"/>
          <w:szCs w:val="20"/>
          <w:color w:val="auto"/>
        </w:rPr>
      </w:pPr>
    </w:p>
    <w:p>
      <w:pPr>
        <w:jc w:val="both"/>
        <w:ind w:left="480" w:hanging="485"/>
        <w:spacing w:after="0" w:line="225"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b w:val="1"/>
          <w:bCs w:val="1"/>
          <w:u w:val="single" w:color="auto"/>
          <w:color w:val="auto"/>
        </w:rPr>
        <w:t>Committee</w:t>
      </w:r>
      <w:r>
        <w:rPr>
          <w:rFonts w:ascii="Arial" w:cs="Arial" w:eastAsia="Arial" w:hAnsi="Arial"/>
          <w:sz w:val="22"/>
          <w:szCs w:val="22"/>
          <w:color w:val="auto"/>
        </w:rPr>
        <w:t>. “Committee” means the Compensation Committee of the Board. The Committee may delegate its authority under the Plan, in whole or in part, to a person, persons or committee, and such delegate shall have the authority of the Committee to the extent of such delegation.</w:t>
      </w:r>
    </w:p>
    <w:p>
      <w:pPr>
        <w:spacing w:after="0" w:line="180" w:lineRule="exact"/>
        <w:rPr>
          <w:sz w:val="20"/>
          <w:szCs w:val="20"/>
          <w:color w:val="auto"/>
        </w:rPr>
      </w:pPr>
    </w:p>
    <w:p>
      <w:pPr>
        <w:jc w:val="both"/>
        <w:ind w:left="480" w:hanging="485"/>
        <w:spacing w:after="0" w:line="220"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“Company” means Comcast Corporation, a Pennsylvania corporation, including any successor thereto by merger, consolidation, acquisition of all or substantially all the assets thereof, or otherwise, including any successor thereto by merger, consolidation, acquisition of all or substantially all the assets thereof, or otherwise, and its subsidiaries that are Affiliates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 “Compensation” means:</w:t>
      </w:r>
    </w:p>
    <w:p>
      <w:pPr>
        <w:spacing w:after="0" w:line="212" w:lineRule="exact"/>
        <w:rPr>
          <w:sz w:val="20"/>
          <w:szCs w:val="20"/>
          <w:color w:val="auto"/>
        </w:rPr>
      </w:pPr>
    </w:p>
    <w:p>
      <w:pPr>
        <w:ind w:left="860" w:hanging="383"/>
        <w:spacing w:after="0" w:line="232" w:lineRule="auto"/>
        <w:tabs>
          <w:tab w:leader="none" w:pos="855" w:val="left"/>
        </w:tabs>
        <w:numPr>
          <w:ilvl w:val="0"/>
          <w:numId w:val="232"/>
        </w:numPr>
        <w:rPr>
          <w:rFonts w:ascii="Arial" w:cs="Arial" w:eastAsia="Arial" w:hAnsi="Arial"/>
          <w:sz w:val="22"/>
          <w:szCs w:val="22"/>
          <w:color w:val="auto"/>
        </w:rPr>
      </w:pPr>
      <w:r>
        <w:rPr>
          <w:rFonts w:ascii="Arial" w:cs="Arial" w:eastAsia="Arial" w:hAnsi="Arial"/>
          <w:sz w:val="22"/>
          <w:szCs w:val="22"/>
          <w:color w:val="auto"/>
        </w:rPr>
        <w:t>For Participants whose compensation is administered under NBCU’s common Payroll System, the Participant’s base salary plus target bonus plus incentive compensation plus commissions.</w:t>
      </w:r>
    </w:p>
    <w:p>
      <w:pPr>
        <w:spacing w:after="0" w:line="185" w:lineRule="exact"/>
        <w:rPr>
          <w:rFonts w:ascii="Arial" w:cs="Arial" w:eastAsia="Arial" w:hAnsi="Arial"/>
          <w:sz w:val="22"/>
          <w:szCs w:val="22"/>
          <w:color w:val="auto"/>
        </w:rPr>
      </w:pPr>
    </w:p>
    <w:p>
      <w:pPr>
        <w:ind w:left="860" w:hanging="383"/>
        <w:spacing w:after="0" w:line="232" w:lineRule="auto"/>
        <w:tabs>
          <w:tab w:leader="none" w:pos="854" w:val="left"/>
        </w:tabs>
        <w:numPr>
          <w:ilvl w:val="0"/>
          <w:numId w:val="232"/>
        </w:numPr>
        <w:rPr>
          <w:rFonts w:ascii="Arial" w:cs="Arial" w:eastAsia="Arial" w:hAnsi="Arial"/>
          <w:sz w:val="22"/>
          <w:szCs w:val="22"/>
          <w:color w:val="auto"/>
        </w:rPr>
      </w:pPr>
      <w:r>
        <w:rPr>
          <w:rFonts w:ascii="Arial" w:cs="Arial" w:eastAsia="Arial" w:hAnsi="Arial"/>
          <w:sz w:val="22"/>
          <w:szCs w:val="22"/>
          <w:color w:val="auto"/>
        </w:rPr>
        <w:t>For Participants whose compensation is administered under UO’s common Payroll System, the Participant’s base salary plus incentive compensation earned under UO’s Annual Incentive Plan.</w:t>
      </w:r>
    </w:p>
    <w:p>
      <w:pPr>
        <w:spacing w:after="0" w:line="186" w:lineRule="exact"/>
        <w:rPr>
          <w:sz w:val="20"/>
          <w:szCs w:val="20"/>
          <w:color w:val="auto"/>
        </w:rPr>
      </w:pPr>
    </w:p>
    <w:p>
      <w:pPr>
        <w:jc w:val="both"/>
        <w:ind w:left="500"/>
        <w:spacing w:after="0" w:line="226" w:lineRule="auto"/>
        <w:rPr>
          <w:sz w:val="20"/>
          <w:szCs w:val="20"/>
          <w:color w:val="auto"/>
        </w:rPr>
      </w:pPr>
      <w:r>
        <w:rPr>
          <w:rFonts w:ascii="Arial" w:cs="Arial" w:eastAsia="Arial" w:hAnsi="Arial"/>
          <w:sz w:val="21"/>
          <w:szCs w:val="21"/>
          <w:color w:val="auto"/>
        </w:rPr>
        <w:t>For purposes of this Plan only, Compensation shall be calculated before reduction for any amounts deferred by the Participant pursuant to the Participating Company’s tax qualified plans which may be maintained under Section 401(k) or Section 125 of the Code, or pursuant to this Plan or any other non-qualified plan which permits the voluntary deferral of compensation. Inclusion of any other forms of compensation is subject to Committee approval, made prior to the time that any Deferral Commitment is required to be filed under this Plan.</w:t>
      </w:r>
    </w:p>
    <w:p>
      <w:pPr>
        <w:spacing w:after="0" w:line="180" w:lineRule="exact"/>
        <w:rPr>
          <w:sz w:val="20"/>
          <w:szCs w:val="20"/>
          <w:color w:val="auto"/>
        </w:rPr>
      </w:pPr>
    </w:p>
    <w:p>
      <w:pPr>
        <w:jc w:val="both"/>
        <w:ind w:left="480" w:hanging="485"/>
        <w:spacing w:after="0" w:line="215"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b w:val="1"/>
          <w:bCs w:val="1"/>
          <w:u w:val="single" w:color="auto"/>
          <w:color w:val="auto"/>
        </w:rPr>
        <w:t>Deferral Commitment</w:t>
      </w:r>
      <w:r>
        <w:rPr>
          <w:rFonts w:ascii="Arial" w:cs="Arial" w:eastAsia="Arial" w:hAnsi="Arial"/>
          <w:sz w:val="22"/>
          <w:szCs w:val="22"/>
          <w:color w:val="auto"/>
        </w:rPr>
        <w:t>. “Deferral Commitment” means a commitment made by a Participant to defer a portion of Compensation as set forth in Article III, and as permitted by the Committee in its sole discretion. The Deferral Commitment shall apply to each payment of Compensation payable to a Participant, and the Committee is empowered to group the various types of Compensation together for purposes of effecting the election to defer. The Committee shall apply the election to defer “salary” to salary and any other regularly occurring form of compensation, which shall be credited to the Base Salary Account. The</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20"/>
          </w:cols>
          <w:pgMar w:left="240" w:top="1440" w:right="339" w:bottom="1440" w:gutter="0" w:footer="0" w:header="0"/>
        </w:sectPr>
      </w:pPr>
    </w:p>
    <w:bookmarkStart w:id="259" w:name="page260"/>
    <w:bookmarkEnd w:id="259"/>
    <w:p>
      <w:pPr>
        <w:jc w:val="both"/>
        <w:ind w:left="480"/>
        <w:spacing w:after="0" w:line="247" w:lineRule="auto"/>
        <w:rPr>
          <w:sz w:val="20"/>
          <w:szCs w:val="20"/>
          <w:color w:val="auto"/>
        </w:rPr>
      </w:pPr>
      <w:r>
        <w:rPr>
          <w:rFonts w:ascii="Arial" w:cs="Arial" w:eastAsia="Arial" w:hAnsi="Arial"/>
          <w:sz w:val="19"/>
          <w:szCs w:val="19"/>
          <w:color w:val="auto"/>
        </w:rPr>
        <w:t>Committee may apply the election to defer “bonus” to annual bonuses, short-term bonus, long-term bonus arrangements, commissions, and other forms of incentive based compensation, unless specifically identified, which shall be credited to the Bonus Account. Such designation shall be made in the form of whole percentages, as limited by Section 3.2(b) and (d) below. A Deferral Commitment with respect to any bonus or incentive compensation which is determined by the Committee to be Performance-Based Compensation within the meaning of Section 409A of the Code shall be made as provided by the Committee, but no later than six (6) months prior to the end of such performance period. Any Deferral Commitment shall be made in a form and at a time deemed acceptable to the Committee.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b w:val="1"/>
          <w:bCs w:val="1"/>
          <w:u w:val="single" w:color="auto"/>
          <w:color w:val="auto"/>
        </w:rPr>
        <w:t>Deferral Period</w:t>
      </w:r>
      <w:r>
        <w:rPr>
          <w:rFonts w:ascii="Arial" w:cs="Arial" w:eastAsia="Arial" w:hAnsi="Arial"/>
          <w:sz w:val="22"/>
          <w:szCs w:val="22"/>
          <w:color w:val="auto"/>
        </w:rPr>
        <w:t>. “Deferral Period” means each calendar year.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b w:val="1"/>
          <w:bCs w:val="1"/>
          <w:u w:val="single" w:color="auto"/>
          <w:color w:val="auto"/>
        </w:rPr>
        <w:t>Determination Date</w:t>
      </w:r>
      <w:r>
        <w:rPr>
          <w:rFonts w:ascii="Arial" w:cs="Arial" w:eastAsia="Arial" w:hAnsi="Arial"/>
          <w:sz w:val="22"/>
          <w:szCs w:val="22"/>
          <w:color w:val="auto"/>
        </w:rPr>
        <w:t>. “Determination Date” means each calendar day.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b w:val="1"/>
          <w:bCs w:val="1"/>
          <w:u w:val="single" w:color="auto"/>
          <w:color w:val="auto"/>
        </w:rPr>
        <w:t>Disability</w:t>
      </w:r>
      <w:r>
        <w:rPr>
          <w:rFonts w:ascii="Arial" w:cs="Arial" w:eastAsia="Arial" w:hAnsi="Arial"/>
          <w:sz w:val="22"/>
          <w:szCs w:val="22"/>
          <w:color w:val="auto"/>
        </w:rPr>
        <w:t>. “Disability” means:</w:t>
      </w:r>
    </w:p>
    <w:p>
      <w:pPr>
        <w:spacing w:after="0" w:line="212" w:lineRule="exact"/>
        <w:rPr>
          <w:sz w:val="20"/>
          <w:szCs w:val="20"/>
          <w:color w:val="auto"/>
        </w:rPr>
      </w:pPr>
    </w:p>
    <w:p>
      <w:pPr>
        <w:jc w:val="both"/>
        <w:ind w:left="860" w:hanging="383"/>
        <w:spacing w:after="0" w:line="223" w:lineRule="auto"/>
        <w:tabs>
          <w:tab w:leader="none" w:pos="919"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an individual’s inability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85" w:lineRule="exact"/>
        <w:rPr>
          <w:rFonts w:ascii="Arial" w:cs="Arial" w:eastAsia="Arial" w:hAnsi="Arial"/>
          <w:sz w:val="22"/>
          <w:szCs w:val="22"/>
          <w:color w:val="auto"/>
        </w:rPr>
      </w:pPr>
    </w:p>
    <w:p>
      <w:pPr>
        <w:jc w:val="both"/>
        <w:ind w:left="860" w:hanging="383"/>
        <w:spacing w:after="0" w:line="218" w:lineRule="auto"/>
        <w:tabs>
          <w:tab w:leader="none" w:pos="85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Circumstances under which, by reason of any medically determinable physical or mental impairment which can be expected to result in death or can be expected to last for a continuous period of not less than twelve (12) months, an individual is receiving income replacement benefits for a period of not less than three (3) months under an accident or health plan covering employees of the individual’s employer.</w:t>
      </w:r>
    </w:p>
    <w:p>
      <w:pPr>
        <w:spacing w:after="0" w:line="182" w:lineRule="exact"/>
        <w:rPr>
          <w:sz w:val="20"/>
          <w:szCs w:val="20"/>
          <w:color w:val="auto"/>
        </w:rPr>
      </w:pPr>
    </w:p>
    <w:p>
      <w:pPr>
        <w:jc w:val="both"/>
        <w:ind w:left="480" w:hanging="485"/>
        <w:spacing w:after="0" w:line="235" w:lineRule="auto"/>
        <w:rPr>
          <w:sz w:val="20"/>
          <w:szCs w:val="20"/>
          <w:color w:val="auto"/>
        </w:rPr>
      </w:pPr>
      <w:r>
        <w:rPr>
          <w:rFonts w:ascii="Arial" w:cs="Arial" w:eastAsia="Arial" w:hAnsi="Arial"/>
          <w:sz w:val="22"/>
          <w:szCs w:val="22"/>
          <w:color w:val="auto"/>
        </w:rPr>
        <w:t xml:space="preserve">2.17. </w:t>
      </w:r>
      <w:r>
        <w:rPr>
          <w:rFonts w:ascii="Arial" w:cs="Arial" w:eastAsia="Arial" w:hAnsi="Arial"/>
          <w:sz w:val="22"/>
          <w:szCs w:val="22"/>
          <w:b w:val="1"/>
          <w:bCs w:val="1"/>
          <w:u w:val="single" w:color="auto"/>
          <w:color w:val="auto"/>
        </w:rPr>
        <w:t>Discretionary Contribution</w:t>
      </w:r>
      <w:r>
        <w:rPr>
          <w:rFonts w:ascii="Arial" w:cs="Arial" w:eastAsia="Arial" w:hAnsi="Arial"/>
          <w:sz w:val="22"/>
          <w:szCs w:val="22"/>
          <w:color w:val="auto"/>
        </w:rPr>
        <w:t>. “Discretionary Contribution” means the employer contribution credited to a Participant’s Company Contribution Account under Section 4.4(a), below.</w:t>
      </w:r>
    </w:p>
    <w:p>
      <w:pPr>
        <w:spacing w:after="0" w:line="180" w:lineRule="exact"/>
        <w:rPr>
          <w:sz w:val="20"/>
          <w:szCs w:val="20"/>
          <w:color w:val="auto"/>
        </w:rPr>
      </w:pPr>
    </w:p>
    <w:p>
      <w:pPr>
        <w:jc w:val="both"/>
        <w:ind w:left="480" w:hanging="485"/>
        <w:spacing w:after="0" w:line="225"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b w:val="1"/>
          <w:bCs w:val="1"/>
          <w:u w:val="single" w:color="auto"/>
          <w:color w:val="auto"/>
        </w:rPr>
        <w:t>Distribution Election</w:t>
      </w:r>
      <w:r>
        <w:rPr>
          <w:rFonts w:ascii="Arial" w:cs="Arial" w:eastAsia="Arial" w:hAnsi="Arial"/>
          <w:sz w:val="22"/>
          <w:szCs w:val="22"/>
          <w:color w:val="auto"/>
        </w:rPr>
        <w:t>. “Distribution Election” means the form prescribed by the Committee and completed by the Participant, indicating the chosen time and form of payment for benefits payable from each Account under this Plan, as elected by the Participant as part of the Election.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2.19. </w:t>
      </w:r>
      <w:r>
        <w:rPr>
          <w:rFonts w:ascii="Arial" w:cs="Arial" w:eastAsia="Arial" w:hAnsi="Arial"/>
          <w:sz w:val="22"/>
          <w:szCs w:val="22"/>
          <w:b w:val="1"/>
          <w:bCs w:val="1"/>
          <w:u w:val="single" w:color="auto"/>
          <w:color w:val="auto"/>
        </w:rPr>
        <w:t>Election</w:t>
      </w:r>
      <w:r>
        <w:rPr>
          <w:rFonts w:ascii="Arial" w:cs="Arial" w:eastAsia="Arial" w:hAnsi="Arial"/>
          <w:sz w:val="22"/>
          <w:szCs w:val="22"/>
          <w:color w:val="auto"/>
        </w:rPr>
        <w:t>. “Election” means a Deferral Commitment or a Distribution Election.</w:t>
      </w:r>
    </w:p>
    <w:p>
      <w:pPr>
        <w:spacing w:after="0" w:line="206" w:lineRule="exact"/>
        <w:rPr>
          <w:sz w:val="20"/>
          <w:szCs w:val="20"/>
          <w:color w:val="auto"/>
        </w:rPr>
      </w:pPr>
    </w:p>
    <w:p>
      <w:pPr>
        <w:jc w:val="both"/>
        <w:ind w:left="480" w:hanging="485"/>
        <w:spacing w:after="0" w:line="220" w:lineRule="auto"/>
        <w:rPr>
          <w:sz w:val="20"/>
          <w:szCs w:val="20"/>
          <w:color w:val="auto"/>
        </w:rPr>
      </w:pPr>
      <w:r>
        <w:rPr>
          <w:rFonts w:ascii="Arial" w:cs="Arial" w:eastAsia="Arial" w:hAnsi="Arial"/>
          <w:sz w:val="22"/>
          <w:szCs w:val="22"/>
          <w:color w:val="auto"/>
        </w:rPr>
        <w:t xml:space="preserve">2.20. </w:t>
      </w:r>
      <w:r>
        <w:rPr>
          <w:rFonts w:ascii="Arial" w:cs="Arial" w:eastAsia="Arial" w:hAnsi="Arial"/>
          <w:sz w:val="22"/>
          <w:szCs w:val="22"/>
          <w:b w:val="1"/>
          <w:bCs w:val="1"/>
          <w:u w:val="single" w:color="auto"/>
          <w:color w:val="auto"/>
        </w:rPr>
        <w:t>Financial Hardship</w:t>
      </w:r>
      <w:r>
        <w:rPr>
          <w:rFonts w:ascii="Arial" w:cs="Arial" w:eastAsia="Arial" w:hAnsi="Arial"/>
          <w:sz w:val="22"/>
          <w:szCs w:val="22"/>
          <w:color w:val="auto"/>
        </w:rPr>
        <w:t>. “Financial Hardship” means a severe financial hardship to the Participant resulting from an illness or accident of the Participant, the Participant’s spouse, or a dependent (as defined in Section 152(a) of the Code) of the Participant, loss of the Participant’s property due to casualty, or other similar extraordinary and unforeseeable circumstances arising as a result of events beyond the control of the participant.</w:t>
      </w:r>
    </w:p>
    <w:p>
      <w:pPr>
        <w:spacing w:after="0" w:line="179" w:lineRule="exact"/>
        <w:rPr>
          <w:sz w:val="20"/>
          <w:szCs w:val="20"/>
          <w:color w:val="auto"/>
        </w:rPr>
      </w:pPr>
    </w:p>
    <w:p>
      <w:pPr>
        <w:jc w:val="both"/>
        <w:ind w:left="480" w:hanging="485"/>
        <w:spacing w:after="0" w:line="220" w:lineRule="auto"/>
        <w:rPr>
          <w:sz w:val="20"/>
          <w:szCs w:val="20"/>
          <w:color w:val="auto"/>
        </w:rPr>
      </w:pPr>
      <w:r>
        <w:rPr>
          <w:rFonts w:ascii="Arial" w:cs="Arial" w:eastAsia="Arial" w:hAnsi="Arial"/>
          <w:sz w:val="22"/>
          <w:szCs w:val="22"/>
          <w:color w:val="auto"/>
        </w:rPr>
        <w:t xml:space="preserve">2.21. </w:t>
      </w:r>
      <w:r>
        <w:rPr>
          <w:rFonts w:ascii="Arial" w:cs="Arial" w:eastAsia="Arial" w:hAnsi="Arial"/>
          <w:sz w:val="22"/>
          <w:szCs w:val="22"/>
          <w:b w:val="1"/>
          <w:bCs w:val="1"/>
          <w:u w:val="single" w:color="auto"/>
          <w:color w:val="auto"/>
        </w:rPr>
        <w:t>401(k) Plan</w:t>
      </w:r>
      <w:r>
        <w:rPr>
          <w:rFonts w:ascii="Arial" w:cs="Arial" w:eastAsia="Arial" w:hAnsi="Arial"/>
          <w:sz w:val="22"/>
          <w:szCs w:val="22"/>
          <w:color w:val="auto"/>
        </w:rPr>
        <w:t>. “401(k) Plan” means the Comcast Corporation Retirement-Investment Plan (the “Comcast RIP”), the NBCUniversal Capital Accumulation Plan (“CAP”), the Universal Orlando 401(k) Retirement Plan or any other successor defined contribution plan maintained for the benefit of employees of the Participating Company that qualifies under Section 401(a) of the Code and satisfies the requirements of Section 401(k) of the Code.</w:t>
      </w:r>
    </w:p>
    <w:p>
      <w:pPr>
        <w:spacing w:after="0" w:line="179" w:lineRule="exact"/>
        <w:rPr>
          <w:sz w:val="20"/>
          <w:szCs w:val="20"/>
          <w:color w:val="auto"/>
        </w:rPr>
      </w:pPr>
    </w:p>
    <w:p>
      <w:pPr>
        <w:jc w:val="both"/>
        <w:ind w:left="480" w:hanging="485"/>
        <w:spacing w:after="0" w:line="225"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b w:val="1"/>
          <w:bCs w:val="1"/>
          <w:u w:val="single" w:color="auto"/>
          <w:color w:val="auto"/>
        </w:rPr>
        <w:t>Hypothetical Matching Contribution</w:t>
      </w:r>
      <w:r>
        <w:rPr>
          <w:rFonts w:ascii="Arial" w:cs="Arial" w:eastAsia="Arial" w:hAnsi="Arial"/>
          <w:sz w:val="22"/>
          <w:szCs w:val="22"/>
          <w:color w:val="auto"/>
        </w:rPr>
        <w:t>. “Hypothetical Matching Contribution” means, for any calendar year, the employer matching contribution that would have been creditable to a Participant’s account under the 401(k) Plan in which such Participant is eligible to</w:t>
      </w: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20"/>
          </w:cols>
          <w:pgMar w:left="240" w:top="1401" w:right="339" w:bottom="1440" w:gutter="0" w:footer="0" w:header="0"/>
        </w:sectPr>
      </w:pPr>
    </w:p>
    <w:bookmarkStart w:id="260" w:name="page261"/>
    <w:bookmarkEnd w:id="260"/>
    <w:p>
      <w:pPr>
        <w:ind w:left="480"/>
        <w:spacing w:after="0"/>
        <w:rPr>
          <w:sz w:val="20"/>
          <w:szCs w:val="20"/>
          <w:color w:val="auto"/>
        </w:rPr>
      </w:pPr>
      <w:r>
        <w:rPr>
          <w:rFonts w:ascii="Arial" w:cs="Arial" w:eastAsia="Arial" w:hAnsi="Arial"/>
          <w:sz w:val="21"/>
          <w:szCs w:val="21"/>
          <w:color w:val="auto"/>
        </w:rPr>
        <w:t>participate during such calendar year if the Participant had not made a Deferral Commitment for such calendar year.</w:t>
      </w:r>
    </w:p>
    <w:p>
      <w:pPr>
        <w:spacing w:after="0" w:line="212" w:lineRule="exact"/>
        <w:rPr>
          <w:sz w:val="20"/>
          <w:szCs w:val="20"/>
          <w:color w:val="auto"/>
        </w:rPr>
      </w:pPr>
    </w:p>
    <w:p>
      <w:pPr>
        <w:jc w:val="both"/>
        <w:ind w:left="480" w:hanging="485"/>
        <w:spacing w:after="0" w:line="259" w:lineRule="auto"/>
        <w:rPr>
          <w:sz w:val="20"/>
          <w:szCs w:val="20"/>
          <w:color w:val="auto"/>
        </w:rPr>
      </w:pPr>
      <w:r>
        <w:rPr>
          <w:rFonts w:ascii="Arial" w:cs="Arial" w:eastAsia="Arial" w:hAnsi="Arial"/>
          <w:sz w:val="19"/>
          <w:szCs w:val="19"/>
          <w:color w:val="auto"/>
        </w:rPr>
        <w:t xml:space="preserve">2.23. </w:t>
      </w:r>
      <w:r>
        <w:rPr>
          <w:rFonts w:ascii="Arial" w:cs="Arial" w:eastAsia="Arial" w:hAnsi="Arial"/>
          <w:sz w:val="19"/>
          <w:szCs w:val="19"/>
          <w:b w:val="1"/>
          <w:bCs w:val="1"/>
          <w:u w:val="single" w:color="auto"/>
          <w:color w:val="auto"/>
        </w:rPr>
        <w:t>Interest</w:t>
      </w:r>
      <w:r>
        <w:rPr>
          <w:rFonts w:ascii="Arial" w:cs="Arial" w:eastAsia="Arial" w:hAnsi="Arial"/>
          <w:sz w:val="19"/>
          <w:szCs w:val="19"/>
          <w:color w:val="auto"/>
        </w:rPr>
        <w:t>. “Interest” means the amount credited to or charged against a Participant’s Account(s) on each Determination Date, which shall be based on the Valuation Funds chosen by the Participant as provided in Section 2.40, below and in a manner consistent with Section 4.3, below. Such credits or charges to a Participant’s Account may be either positive or negative to reflect the increase or decrease in value of the Account in accordance with the provisions of this Plan.</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2.24. </w:t>
      </w:r>
      <w:r>
        <w:rPr>
          <w:rFonts w:ascii="Arial" w:cs="Arial" w:eastAsia="Arial" w:hAnsi="Arial"/>
          <w:sz w:val="19"/>
          <w:szCs w:val="19"/>
          <w:b w:val="1"/>
          <w:bCs w:val="1"/>
          <w:u w:val="single" w:color="auto"/>
          <w:color w:val="auto"/>
        </w:rPr>
        <w:t>Legacy Deferred Compensation Plans</w:t>
      </w:r>
      <w:r>
        <w:rPr>
          <w:rFonts w:ascii="Arial" w:cs="Arial" w:eastAsia="Arial" w:hAnsi="Arial"/>
          <w:sz w:val="19"/>
          <w:szCs w:val="19"/>
          <w:color w:val="auto"/>
        </w:rPr>
        <w:t>. “Legacy Deferred Compensation Plans” means the NBCU DCP and the UO DCP.</w:t>
      </w:r>
    </w:p>
    <w:p>
      <w:pPr>
        <w:spacing w:after="0" w:line="241" w:lineRule="exact"/>
        <w:rPr>
          <w:sz w:val="20"/>
          <w:szCs w:val="20"/>
          <w:color w:val="auto"/>
        </w:rPr>
      </w:pPr>
    </w:p>
    <w:p>
      <w:pPr>
        <w:jc w:val="both"/>
        <w:ind w:left="480" w:hanging="485"/>
        <w:spacing w:after="0" w:line="220" w:lineRule="auto"/>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b w:val="1"/>
          <w:bCs w:val="1"/>
          <w:u w:val="single" w:color="auto"/>
          <w:color w:val="auto"/>
        </w:rPr>
        <w:t>NBCU</w:t>
      </w:r>
      <w:r>
        <w:rPr>
          <w:rFonts w:ascii="Arial" w:cs="Arial" w:eastAsia="Arial" w:hAnsi="Arial"/>
          <w:sz w:val="22"/>
          <w:szCs w:val="22"/>
          <w:color w:val="auto"/>
        </w:rPr>
        <w:t>. “NBCU” means NBCUniversal, LLC, a Delaware limited liability company, including any successor thereto by merger, consolidation, acquisition of all or substantially all the assets thereof, or otherwise, and its subsidiaries that are Affiliates of NBCU, provided that the term “NBCU” shall not include any entity that falls within the definition of the term “UO.”</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2.26. </w:t>
      </w:r>
      <w:r>
        <w:rPr>
          <w:rFonts w:ascii="Arial" w:cs="Arial" w:eastAsia="Arial" w:hAnsi="Arial"/>
          <w:sz w:val="19"/>
          <w:szCs w:val="19"/>
          <w:b w:val="1"/>
          <w:bCs w:val="1"/>
          <w:u w:val="single" w:color="auto"/>
          <w:color w:val="auto"/>
        </w:rPr>
        <w:t>NBCU DCP</w:t>
      </w:r>
      <w:r>
        <w:rPr>
          <w:rFonts w:ascii="Arial" w:cs="Arial" w:eastAsia="Arial" w:hAnsi="Arial"/>
          <w:sz w:val="19"/>
          <w:szCs w:val="19"/>
          <w:color w:val="auto"/>
        </w:rPr>
        <w:t>. “NBCU DCP” means the NBCUniversal Deferred Compensation, as in effect immediately before January 1,</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2021.</w:t>
      </w:r>
    </w:p>
    <w:p>
      <w:pPr>
        <w:spacing w:after="0" w:line="182" w:lineRule="exact"/>
        <w:rPr>
          <w:sz w:val="20"/>
          <w:szCs w:val="20"/>
          <w:color w:val="auto"/>
        </w:rPr>
      </w:pPr>
    </w:p>
    <w:p>
      <w:pPr>
        <w:jc w:val="both"/>
        <w:ind w:left="480" w:hanging="485"/>
        <w:spacing w:after="0" w:line="215" w:lineRule="auto"/>
        <w:rPr>
          <w:sz w:val="20"/>
          <w:szCs w:val="20"/>
          <w:color w:val="auto"/>
        </w:rPr>
      </w:pPr>
      <w:r>
        <w:rPr>
          <w:rFonts w:ascii="Arial" w:cs="Arial" w:eastAsia="Arial" w:hAnsi="Arial"/>
          <w:sz w:val="22"/>
          <w:szCs w:val="22"/>
          <w:color w:val="auto"/>
        </w:rPr>
        <w:t xml:space="preserve">2.27. </w:t>
      </w:r>
      <w:r>
        <w:rPr>
          <w:rFonts w:ascii="Arial" w:cs="Arial" w:eastAsia="Arial" w:hAnsi="Arial"/>
          <w:sz w:val="22"/>
          <w:szCs w:val="22"/>
          <w:b w:val="1"/>
          <w:bCs w:val="1"/>
          <w:u w:val="single" w:color="auto"/>
          <w:color w:val="auto"/>
        </w:rPr>
        <w:t>Participant</w:t>
      </w:r>
      <w:r>
        <w:rPr>
          <w:rFonts w:ascii="Arial" w:cs="Arial" w:eastAsia="Arial" w:hAnsi="Arial"/>
          <w:sz w:val="22"/>
          <w:szCs w:val="22"/>
          <w:color w:val="auto"/>
        </w:rPr>
        <w:t>. “Participant” means any individual who is eligible, pursuant to Section 3.1, below, to participate in this Plan, and who either, has elected to defer Compensation under this Plan in accordance with Article III, below, or who is determined by the Committee in their sole discretion as being eligible to receive a Discretionary Contribution, or for whom an Account Balance is maintained under this Plan. Such individual shall remain a Participant in this Plan for the period of deferral, or credit, and until such time as all benefits payable under this Plan have been paid in accordance with the provisions hereof.</w:t>
      </w:r>
    </w:p>
    <w:p>
      <w:pPr>
        <w:spacing w:after="0" w:line="179" w:lineRule="exact"/>
        <w:rPr>
          <w:sz w:val="20"/>
          <w:szCs w:val="20"/>
          <w:color w:val="auto"/>
        </w:rPr>
      </w:pPr>
    </w:p>
    <w:p>
      <w:pPr>
        <w:jc w:val="both"/>
        <w:ind w:left="480" w:hanging="485"/>
        <w:spacing w:after="0" w:line="235" w:lineRule="auto"/>
        <w:rPr>
          <w:sz w:val="20"/>
          <w:szCs w:val="20"/>
          <w:color w:val="auto"/>
        </w:rPr>
      </w:pPr>
      <w:r>
        <w:rPr>
          <w:rFonts w:ascii="Arial" w:cs="Arial" w:eastAsia="Arial" w:hAnsi="Arial"/>
          <w:sz w:val="22"/>
          <w:szCs w:val="22"/>
          <w:color w:val="auto"/>
        </w:rPr>
        <w:t xml:space="preserve">2.28. </w:t>
      </w:r>
      <w:r>
        <w:rPr>
          <w:rFonts w:ascii="Arial" w:cs="Arial" w:eastAsia="Arial" w:hAnsi="Arial"/>
          <w:sz w:val="22"/>
          <w:szCs w:val="22"/>
          <w:b w:val="1"/>
          <w:bCs w:val="1"/>
          <w:u w:val="single" w:color="auto"/>
          <w:color w:val="auto"/>
        </w:rPr>
        <w:t>Participating Company</w:t>
      </w:r>
      <w:r>
        <w:rPr>
          <w:rFonts w:ascii="Arial" w:cs="Arial" w:eastAsia="Arial" w:hAnsi="Arial"/>
          <w:sz w:val="22"/>
          <w:szCs w:val="22"/>
          <w:color w:val="auto"/>
        </w:rPr>
        <w:t>. “Participating Company” means the entities whose employees are Participants under this Plan, and except as otherwise provided by the Committee:</w:t>
      </w:r>
    </w:p>
    <w:p>
      <w:pPr>
        <w:spacing w:after="0" w:line="186" w:lineRule="exact"/>
        <w:rPr>
          <w:sz w:val="20"/>
          <w:szCs w:val="20"/>
          <w:color w:val="auto"/>
        </w:rPr>
      </w:pPr>
    </w:p>
    <w:p>
      <w:pPr>
        <w:ind w:left="860" w:hanging="383"/>
        <w:spacing w:after="0"/>
        <w:tabs>
          <w:tab w:leader="none" w:pos="86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Effective January 1, 2021, UO; and</w:t>
      </w:r>
    </w:p>
    <w:p>
      <w:pPr>
        <w:spacing w:after="0" w:line="206" w:lineRule="exact"/>
        <w:rPr>
          <w:rFonts w:ascii="Arial" w:cs="Arial" w:eastAsia="Arial" w:hAnsi="Arial"/>
          <w:sz w:val="22"/>
          <w:szCs w:val="22"/>
          <w:color w:val="auto"/>
        </w:rPr>
      </w:pPr>
    </w:p>
    <w:p>
      <w:pPr>
        <w:ind w:left="860" w:hanging="383"/>
        <w:spacing w:after="0"/>
        <w:tabs>
          <w:tab w:leader="none" w:pos="86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Effective January 1, 2021, NBCUniversal, LLC.</w:t>
      </w:r>
    </w:p>
    <w:p>
      <w:pPr>
        <w:spacing w:after="0" w:line="17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2.29. </w:t>
      </w:r>
      <w:r>
        <w:rPr>
          <w:rFonts w:ascii="Arial" w:cs="Arial" w:eastAsia="Arial" w:hAnsi="Arial"/>
          <w:sz w:val="22"/>
          <w:szCs w:val="22"/>
          <w:b w:val="1"/>
          <w:bCs w:val="1"/>
          <w:u w:val="single" w:color="auto"/>
          <w:color w:val="auto"/>
        </w:rPr>
        <w:t>Payroll System</w:t>
      </w:r>
      <w:r>
        <w:rPr>
          <w:rFonts w:ascii="Arial" w:cs="Arial" w:eastAsia="Arial" w:hAnsi="Arial"/>
          <w:sz w:val="22"/>
          <w:szCs w:val="22"/>
          <w:color w:val="auto"/>
        </w:rPr>
        <w:t>. “Payroll System” means:</w:t>
      </w:r>
    </w:p>
    <w:p>
      <w:pPr>
        <w:spacing w:after="0" w:line="212" w:lineRule="exact"/>
        <w:rPr>
          <w:sz w:val="20"/>
          <w:szCs w:val="20"/>
          <w:color w:val="auto"/>
        </w:rPr>
      </w:pPr>
    </w:p>
    <w:p>
      <w:pPr>
        <w:ind w:left="860" w:hanging="383"/>
        <w:spacing w:after="0" w:line="232" w:lineRule="auto"/>
        <w:tabs>
          <w:tab w:leader="none" w:pos="855" w:val="left"/>
        </w:tabs>
        <w:numPr>
          <w:ilvl w:val="0"/>
          <w:numId w:val="235"/>
        </w:numPr>
        <w:rPr>
          <w:rFonts w:ascii="Arial" w:cs="Arial" w:eastAsia="Arial" w:hAnsi="Arial"/>
          <w:sz w:val="22"/>
          <w:szCs w:val="22"/>
          <w:color w:val="auto"/>
        </w:rPr>
      </w:pPr>
      <w:r>
        <w:rPr>
          <w:rFonts w:ascii="Arial" w:cs="Arial" w:eastAsia="Arial" w:hAnsi="Arial"/>
          <w:sz w:val="22"/>
          <w:szCs w:val="22"/>
          <w:color w:val="auto"/>
        </w:rPr>
        <w:t>With respect to Participants who are employees of NBCUniversal, NBCU’s common payroll system other than payroll processed through SAP; and</w:t>
      </w:r>
    </w:p>
    <w:p>
      <w:pPr>
        <w:spacing w:after="0" w:line="185" w:lineRule="exact"/>
        <w:rPr>
          <w:rFonts w:ascii="Arial" w:cs="Arial" w:eastAsia="Arial" w:hAnsi="Arial"/>
          <w:sz w:val="22"/>
          <w:szCs w:val="22"/>
          <w:color w:val="auto"/>
        </w:rPr>
      </w:pPr>
    </w:p>
    <w:p>
      <w:pPr>
        <w:ind w:left="860" w:hanging="383"/>
        <w:spacing w:after="0"/>
        <w:tabs>
          <w:tab w:leader="none" w:pos="86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With respect to Participants who are employees of UO, UO’s common payroll system.</w:t>
      </w:r>
    </w:p>
    <w:p>
      <w:pPr>
        <w:spacing w:after="0" w:line="179" w:lineRule="exact"/>
        <w:rPr>
          <w:sz w:val="20"/>
          <w:szCs w:val="20"/>
          <w:color w:val="auto"/>
        </w:rPr>
      </w:pPr>
    </w:p>
    <w:p>
      <w:pPr>
        <w:ind w:left="500" w:right="20"/>
        <w:spacing w:after="0" w:line="232" w:lineRule="auto"/>
        <w:rPr>
          <w:sz w:val="20"/>
          <w:szCs w:val="20"/>
          <w:color w:val="auto"/>
        </w:rPr>
      </w:pPr>
      <w:r>
        <w:rPr>
          <w:rFonts w:ascii="Arial" w:cs="Arial" w:eastAsia="Arial" w:hAnsi="Arial"/>
          <w:sz w:val="22"/>
          <w:szCs w:val="22"/>
          <w:color w:val="auto"/>
        </w:rPr>
        <w:t>Whether a Participant’s compensation is administered under the Payroll System shall be determined by the Committee in its sole discretion.</w:t>
      </w:r>
    </w:p>
    <w:p>
      <w:pPr>
        <w:spacing w:after="0" w:line="180" w:lineRule="exact"/>
        <w:rPr>
          <w:sz w:val="20"/>
          <w:szCs w:val="20"/>
          <w:color w:val="auto"/>
        </w:rPr>
      </w:pPr>
    </w:p>
    <w:p>
      <w:pPr>
        <w:jc w:val="both"/>
        <w:ind w:left="480" w:hanging="485"/>
        <w:spacing w:after="0" w:line="225" w:lineRule="auto"/>
        <w:rPr>
          <w:sz w:val="20"/>
          <w:szCs w:val="20"/>
          <w:color w:val="auto"/>
        </w:rPr>
      </w:pPr>
      <w:r>
        <w:rPr>
          <w:rFonts w:ascii="Arial" w:cs="Arial" w:eastAsia="Arial" w:hAnsi="Arial"/>
          <w:sz w:val="22"/>
          <w:szCs w:val="22"/>
          <w:color w:val="auto"/>
        </w:rPr>
        <w:t xml:space="preserve">2.30. </w:t>
      </w:r>
      <w:r>
        <w:rPr>
          <w:rFonts w:ascii="Arial" w:cs="Arial" w:eastAsia="Arial" w:hAnsi="Arial"/>
          <w:sz w:val="22"/>
          <w:szCs w:val="22"/>
          <w:b w:val="1"/>
          <w:bCs w:val="1"/>
          <w:u w:val="single" w:color="auto"/>
          <w:color w:val="auto"/>
        </w:rPr>
        <w:t>Performance-Based Compensation</w:t>
      </w:r>
      <w:r>
        <w:rPr>
          <w:rFonts w:ascii="Arial" w:cs="Arial" w:eastAsia="Arial" w:hAnsi="Arial"/>
          <w:sz w:val="22"/>
          <w:szCs w:val="22"/>
          <w:color w:val="auto"/>
        </w:rPr>
        <w:t>. “Performance-Based Compensation” means the portion of Compensation determined by the Committee to satisfy the requirements set forth in Treas. Reg. §1.409A-1(e), and such Performance-Based Compensation may be determined on a fiscal or calendar year basis.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“Person” means an individual, a corporation, a partnership, an association, a trust or any other entity or organization.</w:t>
      </w: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20"/>
          </w:cols>
          <w:pgMar w:left="240" w:top="1401" w:right="339" w:bottom="1440" w:gutter="0" w:footer="0" w:header="0"/>
        </w:sectPr>
      </w:pPr>
    </w:p>
    <w:bookmarkStart w:id="261" w:name="page262"/>
    <w:bookmarkEnd w:id="261"/>
    <w:p>
      <w:pPr>
        <w:spacing w:after="0" w:line="198" w:lineRule="exact"/>
        <w:rPr>
          <w:sz w:val="20"/>
          <w:szCs w:val="20"/>
          <w:color w:val="auto"/>
        </w:rPr>
      </w:pPr>
    </w:p>
    <w:p>
      <w:pPr>
        <w:ind w:left="480" w:hanging="485"/>
        <w:spacing w:after="0" w:line="235" w:lineRule="auto"/>
        <w:rPr>
          <w:sz w:val="20"/>
          <w:szCs w:val="20"/>
          <w:color w:val="auto"/>
        </w:rPr>
      </w:pPr>
      <w:r>
        <w:rPr>
          <w:rFonts w:ascii="Arial" w:cs="Arial" w:eastAsia="Arial" w:hAnsi="Arial"/>
          <w:sz w:val="22"/>
          <w:szCs w:val="22"/>
          <w:color w:val="auto"/>
        </w:rPr>
        <w:t xml:space="preserve">2.32. </w:t>
      </w: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“Plan” means this Comcast Select Deferred Compensation Plan, as amended and restated effective January 1, 2021, and as amended thereafter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2.33. </w:t>
      </w:r>
      <w:r>
        <w:rPr>
          <w:rFonts w:ascii="Arial" w:cs="Arial" w:eastAsia="Arial" w:hAnsi="Arial"/>
          <w:sz w:val="22"/>
          <w:szCs w:val="22"/>
          <w:b w:val="1"/>
          <w:bCs w:val="1"/>
          <w:u w:val="single" w:color="auto"/>
          <w:color w:val="auto"/>
        </w:rPr>
        <w:t>Qualified Plan Matching Account</w:t>
      </w:r>
      <w:r>
        <w:rPr>
          <w:rFonts w:ascii="Arial" w:cs="Arial" w:eastAsia="Arial" w:hAnsi="Arial"/>
          <w:sz w:val="22"/>
          <w:szCs w:val="22"/>
          <w:color w:val="auto"/>
        </w:rPr>
        <w:t>. “Qualified Plan Matching Account” means:</w:t>
      </w:r>
    </w:p>
    <w:p>
      <w:pPr>
        <w:spacing w:after="0" w:line="212" w:lineRule="exact"/>
        <w:rPr>
          <w:sz w:val="20"/>
          <w:szCs w:val="20"/>
          <w:color w:val="auto"/>
        </w:rPr>
      </w:pPr>
    </w:p>
    <w:p>
      <w:pPr>
        <w:jc w:val="both"/>
        <w:ind w:left="860" w:hanging="383"/>
        <w:spacing w:after="0" w:line="223" w:lineRule="auto"/>
        <w:tabs>
          <w:tab w:leader="none" w:pos="855" w:val="left"/>
        </w:tabs>
        <w:numPr>
          <w:ilvl w:val="0"/>
          <w:numId w:val="236"/>
        </w:numPr>
        <w:rPr>
          <w:rFonts w:ascii="Arial" w:cs="Arial" w:eastAsia="Arial" w:hAnsi="Arial"/>
          <w:sz w:val="22"/>
          <w:szCs w:val="22"/>
          <w:color w:val="auto"/>
        </w:rPr>
      </w:pPr>
      <w:r>
        <w:rPr>
          <w:rFonts w:ascii="Arial" w:cs="Arial" w:eastAsia="Arial" w:hAnsi="Arial"/>
          <w:sz w:val="22"/>
          <w:szCs w:val="22"/>
          <w:color w:val="auto"/>
        </w:rPr>
        <w:t>For Participants who are employees of NBCU and who are eligible to participate in the Comcast Corporation Retirement-Investment Plan, the Participant’s matching contribution account under the Comcast Corporation Retirement-Investment Plan.</w:t>
      </w:r>
    </w:p>
    <w:p>
      <w:pPr>
        <w:spacing w:after="0" w:line="185" w:lineRule="exact"/>
        <w:rPr>
          <w:rFonts w:ascii="Arial" w:cs="Arial" w:eastAsia="Arial" w:hAnsi="Arial"/>
          <w:sz w:val="22"/>
          <w:szCs w:val="22"/>
          <w:color w:val="auto"/>
        </w:rPr>
      </w:pPr>
    </w:p>
    <w:p>
      <w:pPr>
        <w:ind w:left="860" w:hanging="383"/>
        <w:spacing w:after="0" w:line="232" w:lineRule="auto"/>
        <w:tabs>
          <w:tab w:leader="none" w:pos="854" w:val="left"/>
        </w:tabs>
        <w:numPr>
          <w:ilvl w:val="0"/>
          <w:numId w:val="236"/>
        </w:numPr>
        <w:rPr>
          <w:rFonts w:ascii="Arial" w:cs="Arial" w:eastAsia="Arial" w:hAnsi="Arial"/>
          <w:sz w:val="22"/>
          <w:szCs w:val="22"/>
          <w:color w:val="auto"/>
        </w:rPr>
      </w:pPr>
      <w:r>
        <w:rPr>
          <w:rFonts w:ascii="Arial" w:cs="Arial" w:eastAsia="Arial" w:hAnsi="Arial"/>
          <w:sz w:val="22"/>
          <w:szCs w:val="22"/>
          <w:color w:val="auto"/>
        </w:rPr>
        <w:t>For Participants who are employees of NBCU and are not eligible to participate in the Comcast Corporation Retirement-Investment Plan, the NBCUniversal Capital Accumulation Plan.</w:t>
      </w:r>
    </w:p>
    <w:p>
      <w:pPr>
        <w:spacing w:after="0" w:line="185" w:lineRule="exact"/>
        <w:rPr>
          <w:rFonts w:ascii="Arial" w:cs="Arial" w:eastAsia="Arial" w:hAnsi="Arial"/>
          <w:sz w:val="22"/>
          <w:szCs w:val="22"/>
          <w:color w:val="auto"/>
        </w:rPr>
      </w:pPr>
    </w:p>
    <w:p>
      <w:pPr>
        <w:ind w:left="860" w:hanging="383"/>
        <w:spacing w:after="0" w:line="232" w:lineRule="auto"/>
        <w:tabs>
          <w:tab w:leader="none" w:pos="855" w:val="left"/>
        </w:tabs>
        <w:numPr>
          <w:ilvl w:val="0"/>
          <w:numId w:val="236"/>
        </w:numPr>
        <w:rPr>
          <w:rFonts w:ascii="Arial" w:cs="Arial" w:eastAsia="Arial" w:hAnsi="Arial"/>
          <w:sz w:val="22"/>
          <w:szCs w:val="22"/>
          <w:color w:val="auto"/>
        </w:rPr>
      </w:pPr>
      <w:r>
        <w:rPr>
          <w:rFonts w:ascii="Arial" w:cs="Arial" w:eastAsia="Arial" w:hAnsi="Arial"/>
          <w:sz w:val="22"/>
          <w:szCs w:val="22"/>
          <w:color w:val="auto"/>
        </w:rPr>
        <w:t>For Participants who are employees of UO, the Participant’s matching contribution account under the Universal Orlando 401(k) Retirement Plan.</w:t>
      </w:r>
    </w:p>
    <w:p>
      <w:pPr>
        <w:spacing w:after="0" w:line="180" w:lineRule="exact"/>
        <w:rPr>
          <w:sz w:val="20"/>
          <w:szCs w:val="20"/>
          <w:color w:val="auto"/>
        </w:rPr>
      </w:pPr>
    </w:p>
    <w:p>
      <w:pPr>
        <w:jc w:val="both"/>
        <w:ind w:left="480" w:hanging="485"/>
        <w:spacing w:after="0" w:line="235" w:lineRule="auto"/>
        <w:rPr>
          <w:sz w:val="20"/>
          <w:szCs w:val="20"/>
          <w:color w:val="auto"/>
        </w:rPr>
      </w:pPr>
      <w:r>
        <w:rPr>
          <w:rFonts w:ascii="Arial" w:cs="Arial" w:eastAsia="Arial" w:hAnsi="Arial"/>
          <w:sz w:val="22"/>
          <w:szCs w:val="22"/>
          <w:color w:val="auto"/>
        </w:rPr>
        <w:t xml:space="preserve">2.34. </w:t>
      </w:r>
      <w:r>
        <w:rPr>
          <w:rFonts w:ascii="Arial" w:cs="Arial" w:eastAsia="Arial" w:hAnsi="Arial"/>
          <w:sz w:val="22"/>
          <w:szCs w:val="22"/>
          <w:b w:val="1"/>
          <w:bCs w:val="1"/>
          <w:u w:val="single" w:color="auto"/>
          <w:color w:val="auto"/>
        </w:rPr>
        <w:t>Restoration Contribution</w:t>
      </w:r>
      <w:r>
        <w:rPr>
          <w:rFonts w:ascii="Arial" w:cs="Arial" w:eastAsia="Arial" w:hAnsi="Arial"/>
          <w:sz w:val="22"/>
          <w:szCs w:val="22"/>
          <w:color w:val="auto"/>
        </w:rPr>
        <w:t>. “Restoration Contribution” means the employer contribution credited to a Participant’s Company Contribution Account under Section 4.4(c), below.</w:t>
      </w:r>
    </w:p>
    <w:p>
      <w:pPr>
        <w:spacing w:after="0" w:line="180" w:lineRule="exact"/>
        <w:rPr>
          <w:sz w:val="20"/>
          <w:szCs w:val="20"/>
          <w:color w:val="auto"/>
        </w:rPr>
      </w:pPr>
    </w:p>
    <w:p>
      <w:pPr>
        <w:jc w:val="both"/>
        <w:ind w:left="480" w:hanging="485"/>
        <w:spacing w:after="0" w:line="225" w:lineRule="auto"/>
        <w:rPr>
          <w:sz w:val="20"/>
          <w:szCs w:val="20"/>
          <w:color w:val="auto"/>
        </w:rPr>
      </w:pPr>
      <w:r>
        <w:rPr>
          <w:rFonts w:ascii="Arial" w:cs="Arial" w:eastAsia="Arial" w:hAnsi="Arial"/>
          <w:sz w:val="22"/>
          <w:szCs w:val="22"/>
          <w:color w:val="auto"/>
        </w:rPr>
        <w:t xml:space="preserve">2.35. </w:t>
      </w:r>
      <w:r>
        <w:rPr>
          <w:rFonts w:ascii="Arial" w:cs="Arial" w:eastAsia="Arial" w:hAnsi="Arial"/>
          <w:sz w:val="22"/>
          <w:szCs w:val="22"/>
          <w:b w:val="1"/>
          <w:bCs w:val="1"/>
          <w:u w:val="single" w:color="auto"/>
          <w:color w:val="auto"/>
        </w:rPr>
        <w:t>Retirement</w:t>
      </w:r>
      <w:r>
        <w:rPr>
          <w:rFonts w:ascii="Arial" w:cs="Arial" w:eastAsia="Arial" w:hAnsi="Arial"/>
          <w:sz w:val="22"/>
          <w:szCs w:val="22"/>
          <w:color w:val="auto"/>
        </w:rPr>
        <w:t>. “Retirement means the Termination of a Participant’s employment with a Participating Company for reasons other than death or Disability, on or after attainment of age sixty (60) with at least five (5) years of continuous service with a Participating Company.</w:t>
      </w:r>
    </w:p>
    <w:p>
      <w:pPr>
        <w:spacing w:after="0" w:line="180" w:lineRule="exact"/>
        <w:rPr>
          <w:sz w:val="20"/>
          <w:szCs w:val="20"/>
          <w:color w:val="auto"/>
        </w:rPr>
      </w:pPr>
    </w:p>
    <w:p>
      <w:pPr>
        <w:jc w:val="both"/>
        <w:ind w:left="480" w:hanging="485"/>
        <w:spacing w:after="0" w:line="235" w:lineRule="auto"/>
        <w:rPr>
          <w:sz w:val="20"/>
          <w:szCs w:val="20"/>
          <w:color w:val="auto"/>
        </w:rPr>
      </w:pPr>
      <w:r>
        <w:rPr>
          <w:rFonts w:ascii="Arial" w:cs="Arial" w:eastAsia="Arial" w:hAnsi="Arial"/>
          <w:sz w:val="22"/>
          <w:szCs w:val="22"/>
          <w:color w:val="auto"/>
        </w:rPr>
        <w:t xml:space="preserve">2.36. </w:t>
      </w: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 “Section 409A” means section 409A of the Internal Revenue Code of 1986, as amended (the “Code”), and the various Notices, Announcements, and Final Regulations issued thereunder.</w:t>
      </w:r>
    </w:p>
    <w:p>
      <w:pPr>
        <w:spacing w:after="0" w:line="180" w:lineRule="exact"/>
        <w:rPr>
          <w:sz w:val="20"/>
          <w:szCs w:val="20"/>
          <w:color w:val="auto"/>
        </w:rPr>
      </w:pPr>
    </w:p>
    <w:p>
      <w:pPr>
        <w:jc w:val="both"/>
        <w:ind w:left="480" w:hanging="485"/>
        <w:spacing w:after="0" w:line="259" w:lineRule="auto"/>
        <w:rPr>
          <w:sz w:val="20"/>
          <w:szCs w:val="20"/>
          <w:color w:val="auto"/>
        </w:rPr>
      </w:pPr>
      <w:r>
        <w:rPr>
          <w:rFonts w:ascii="Arial" w:cs="Arial" w:eastAsia="Arial" w:hAnsi="Arial"/>
          <w:sz w:val="19"/>
          <w:szCs w:val="19"/>
          <w:color w:val="auto"/>
        </w:rPr>
        <w:t xml:space="preserve">2.37. </w:t>
      </w:r>
      <w:r>
        <w:rPr>
          <w:rFonts w:ascii="Arial" w:cs="Arial" w:eastAsia="Arial" w:hAnsi="Arial"/>
          <w:sz w:val="19"/>
          <w:szCs w:val="19"/>
          <w:b w:val="1"/>
          <w:bCs w:val="1"/>
          <w:u w:val="single" w:color="auto"/>
          <w:color w:val="auto"/>
        </w:rPr>
        <w:t>Termination</w:t>
      </w:r>
      <w:r>
        <w:rPr>
          <w:rFonts w:ascii="Arial" w:cs="Arial" w:eastAsia="Arial" w:hAnsi="Arial"/>
          <w:sz w:val="19"/>
          <w:szCs w:val="19"/>
          <w:color w:val="auto"/>
        </w:rPr>
        <w:t>. “Termination”, “terminates employment” or any other similar such phrase means a Participant’s “separation from service” with a Participating Company, for any reason, within the meaning of Section 409A of the Code, and Treas. Reg. §1.409A-1(h) and other applicable guidance, including but not limited to circumstances under which a Participant is no longer providing active service to the Participating Company or an Affiliate of the Participating Company.</w:t>
      </w:r>
    </w:p>
    <w:p>
      <w:pPr>
        <w:spacing w:after="0" w:line="164" w:lineRule="exact"/>
        <w:rPr>
          <w:sz w:val="20"/>
          <w:szCs w:val="20"/>
          <w:color w:val="auto"/>
        </w:rPr>
      </w:pPr>
    </w:p>
    <w:p>
      <w:pPr>
        <w:jc w:val="both"/>
        <w:ind w:left="480" w:hanging="485"/>
        <w:spacing w:after="0" w:line="305" w:lineRule="auto"/>
        <w:rPr>
          <w:sz w:val="20"/>
          <w:szCs w:val="20"/>
          <w:color w:val="auto"/>
        </w:rPr>
      </w:pPr>
      <w:r>
        <w:rPr>
          <w:rFonts w:ascii="Arial" w:cs="Arial" w:eastAsia="Arial" w:hAnsi="Arial"/>
          <w:sz w:val="19"/>
          <w:szCs w:val="19"/>
          <w:color w:val="auto"/>
        </w:rPr>
        <w:t xml:space="preserve">2.38. </w:t>
      </w:r>
      <w:r>
        <w:rPr>
          <w:rFonts w:ascii="Arial" w:cs="Arial" w:eastAsia="Arial" w:hAnsi="Arial"/>
          <w:sz w:val="19"/>
          <w:szCs w:val="19"/>
          <w:b w:val="1"/>
          <w:bCs w:val="1"/>
          <w:u w:val="single" w:color="auto"/>
          <w:color w:val="auto"/>
        </w:rPr>
        <w:t>UO</w:t>
      </w:r>
      <w:r>
        <w:rPr>
          <w:rFonts w:ascii="Arial" w:cs="Arial" w:eastAsia="Arial" w:hAnsi="Arial"/>
          <w:sz w:val="19"/>
          <w:szCs w:val="19"/>
          <w:color w:val="auto"/>
        </w:rPr>
        <w:t>. “UO” means Universal City Development Partners, Ltd, including any successor thereto by merger, consolidation, acquisition of all or substantially all the assets thereof, or otherwise, and its subsidiaries that are Affiliates of UO.</w:t>
      </w:r>
    </w:p>
    <w:p>
      <w:pPr>
        <w:spacing w:after="0" w:line="120" w:lineRule="exact"/>
        <w:rPr>
          <w:sz w:val="20"/>
          <w:szCs w:val="20"/>
          <w:color w:val="auto"/>
        </w:rPr>
      </w:pPr>
    </w:p>
    <w:p>
      <w:pPr>
        <w:jc w:val="both"/>
        <w:ind w:left="480" w:hanging="485"/>
        <w:spacing w:after="0" w:line="235" w:lineRule="auto"/>
        <w:rPr>
          <w:sz w:val="20"/>
          <w:szCs w:val="20"/>
          <w:color w:val="auto"/>
        </w:rPr>
      </w:pPr>
      <w:r>
        <w:rPr>
          <w:rFonts w:ascii="Arial" w:cs="Arial" w:eastAsia="Arial" w:hAnsi="Arial"/>
          <w:sz w:val="22"/>
          <w:szCs w:val="22"/>
          <w:color w:val="auto"/>
        </w:rPr>
        <w:t xml:space="preserve">2.39. </w:t>
      </w:r>
      <w:r>
        <w:rPr>
          <w:rFonts w:ascii="Arial" w:cs="Arial" w:eastAsia="Arial" w:hAnsi="Arial"/>
          <w:sz w:val="22"/>
          <w:szCs w:val="22"/>
          <w:b w:val="1"/>
          <w:bCs w:val="1"/>
          <w:u w:val="single" w:color="auto"/>
          <w:color w:val="auto"/>
        </w:rPr>
        <w:t>UO DCP</w:t>
      </w:r>
      <w:r>
        <w:rPr>
          <w:rFonts w:ascii="Arial" w:cs="Arial" w:eastAsia="Arial" w:hAnsi="Arial"/>
          <w:sz w:val="22"/>
          <w:szCs w:val="22"/>
          <w:color w:val="auto"/>
        </w:rPr>
        <w:t>. “UO DCP” means the Post-2004 Universal City Development Partners, Ltd. Variable Deferred Compensation Plan for Executives, as in effect immediately before January 1, 2021.</w:t>
      </w:r>
    </w:p>
    <w:p>
      <w:pPr>
        <w:spacing w:after="0" w:line="180" w:lineRule="exact"/>
        <w:rPr>
          <w:sz w:val="20"/>
          <w:szCs w:val="20"/>
          <w:color w:val="auto"/>
        </w:rPr>
      </w:pPr>
    </w:p>
    <w:p>
      <w:pPr>
        <w:jc w:val="both"/>
        <w:ind w:left="480" w:hanging="485"/>
        <w:spacing w:after="0" w:line="248" w:lineRule="auto"/>
        <w:rPr>
          <w:sz w:val="20"/>
          <w:szCs w:val="20"/>
          <w:color w:val="auto"/>
        </w:rPr>
      </w:pPr>
      <w:r>
        <w:rPr>
          <w:rFonts w:ascii="Arial" w:cs="Arial" w:eastAsia="Arial" w:hAnsi="Arial"/>
          <w:sz w:val="19"/>
          <w:szCs w:val="19"/>
          <w:color w:val="auto"/>
        </w:rPr>
        <w:t xml:space="preserve">2.40. </w:t>
      </w:r>
      <w:r>
        <w:rPr>
          <w:rFonts w:ascii="Arial" w:cs="Arial" w:eastAsia="Arial" w:hAnsi="Arial"/>
          <w:sz w:val="19"/>
          <w:szCs w:val="19"/>
          <w:b w:val="1"/>
          <w:bCs w:val="1"/>
          <w:u w:val="single" w:color="auto"/>
          <w:color w:val="auto"/>
        </w:rPr>
        <w:t>Valuation Funds</w:t>
      </w:r>
      <w:r>
        <w:rPr>
          <w:rFonts w:ascii="Arial" w:cs="Arial" w:eastAsia="Arial" w:hAnsi="Arial"/>
          <w:sz w:val="19"/>
          <w:szCs w:val="19"/>
          <w:color w:val="auto"/>
        </w:rPr>
        <w:t>. “Valuation Funds” means one or more of the independently established funds or indices that are identified and listed by the Committee. These Valuation Funds are used solely to calculate the Interest that is credited to each Participant’s Account(s) in accordance with Article IV, below, and do not represent, nor should it be interpreted to convey any beneficial interest on the part of the Participant in any asset or other property of any Participating Company. The determination of the increase or decrease in the performance of each Valuation Fund shall be made by the Committee in its reasonable discretion. The Committee shall select the various Valuation Funds available to the Participants with respect to this Plan, which may be change from time to time in the discretion of the Committee.</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20"/>
          </w:cols>
          <w:pgMar w:left="240" w:top="1440" w:right="339" w:bottom="1440" w:gutter="0" w:footer="0" w:header="0"/>
        </w:sectPr>
      </w:pPr>
    </w:p>
    <w:bookmarkStart w:id="262" w:name="page263"/>
    <w:bookmarkEnd w:id="262"/>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III - </w:t>
      </w:r>
      <w:r>
        <w:rPr>
          <w:rFonts w:ascii="Arial" w:cs="Arial" w:eastAsia="Arial" w:hAnsi="Arial"/>
          <w:sz w:val="22"/>
          <w:szCs w:val="22"/>
          <w:b w:val="1"/>
          <w:bCs w:val="1"/>
          <w:u w:val="single" w:color="auto"/>
          <w:color w:val="auto"/>
        </w:rPr>
        <w:t>ELIGIBILITY AND PARTICIPATION</w:t>
      </w:r>
    </w:p>
    <w:p>
      <w:pPr>
        <w:spacing w:after="0" w:line="206" w:lineRule="exact"/>
        <w:rPr>
          <w:sz w:val="20"/>
          <w:szCs w:val="20"/>
          <w:color w:val="auto"/>
        </w:rPr>
      </w:pPr>
    </w:p>
    <w:p>
      <w:pPr>
        <w:ind w:left="400" w:hanging="388"/>
        <w:spacing w:after="0" w:line="235"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u w:val="single" w:color="auto"/>
          <w:color w:val="auto"/>
        </w:rPr>
        <w:t>Eligibility and Participation</w:t>
      </w:r>
      <w:r>
        <w:rPr>
          <w:rFonts w:ascii="Arial" w:cs="Arial" w:eastAsia="Arial" w:hAnsi="Arial"/>
          <w:sz w:val="22"/>
          <w:szCs w:val="22"/>
          <w:color w:val="auto"/>
        </w:rPr>
        <w:t>. The following rules relating to eligibility and participation apply with respect to Compensation earned on and after January 1, 2021.</w:t>
      </w:r>
    </w:p>
    <w:p>
      <w:pPr>
        <w:spacing w:after="0" w:line="180" w:lineRule="exact"/>
        <w:rPr>
          <w:sz w:val="20"/>
          <w:szCs w:val="20"/>
          <w:color w:val="auto"/>
        </w:rPr>
      </w:pPr>
    </w:p>
    <w:p>
      <w:pPr>
        <w:jc w:val="both"/>
        <w:ind w:left="780" w:hanging="383"/>
        <w:spacing w:after="0" w:line="271" w:lineRule="auto"/>
        <w:tabs>
          <w:tab w:leader="none" w:pos="775" w:val="left"/>
        </w:tabs>
        <w:numPr>
          <w:ilvl w:val="0"/>
          <w:numId w:val="237"/>
        </w:numPr>
        <w:rPr>
          <w:rFonts w:ascii="Arial" w:cs="Arial" w:eastAsia="Arial" w:hAnsi="Arial"/>
          <w:sz w:val="19"/>
          <w:szCs w:val="19"/>
          <w:color w:val="auto"/>
        </w:rPr>
      </w:pPr>
      <w:r>
        <w:rPr>
          <w:rFonts w:ascii="Arial" w:cs="Arial" w:eastAsia="Arial" w:hAnsi="Arial"/>
          <w:sz w:val="19"/>
          <w:szCs w:val="19"/>
          <w:b w:val="1"/>
          <w:bCs w:val="1"/>
          <w:u w:val="single" w:color="auto"/>
          <w:color w:val="auto"/>
        </w:rPr>
        <w:t>Eligibility</w:t>
      </w:r>
      <w:r>
        <w:rPr>
          <w:rFonts w:ascii="Arial" w:cs="Arial" w:eastAsia="Arial" w:hAnsi="Arial"/>
          <w:sz w:val="19"/>
          <w:szCs w:val="19"/>
          <w:color w:val="auto"/>
        </w:rPr>
        <w:t>. Eligibility to participate in the Plan shall be limited to those non-union, select key employees of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Participating Company, whose Compensation is administered under the applicable Payroll System, who are otherwise eligible for U.S. benefits, and who meet at least one of the following criteria (as determined by the Committee):</w:t>
      </w:r>
    </w:p>
    <w:p>
      <w:pPr>
        <w:spacing w:after="0" w:line="150" w:lineRule="exact"/>
        <w:rPr>
          <w:rFonts w:ascii="Arial" w:cs="Arial" w:eastAsia="Arial" w:hAnsi="Arial"/>
          <w:sz w:val="19"/>
          <w:szCs w:val="19"/>
          <w:color w:val="auto"/>
        </w:rPr>
      </w:pPr>
    </w:p>
    <w:p>
      <w:pPr>
        <w:jc w:val="both"/>
        <w:ind w:left="1300" w:hanging="320"/>
        <w:spacing w:after="0" w:line="225" w:lineRule="auto"/>
        <w:tabs>
          <w:tab w:leader="none" w:pos="1297" w:val="left"/>
        </w:tabs>
        <w:numPr>
          <w:ilvl w:val="1"/>
          <w:numId w:val="237"/>
        </w:numPr>
        <w:rPr>
          <w:rFonts w:ascii="Arial" w:cs="Arial" w:eastAsia="Arial" w:hAnsi="Arial"/>
          <w:sz w:val="20"/>
          <w:szCs w:val="20"/>
          <w:color w:val="auto"/>
        </w:rPr>
      </w:pPr>
      <w:r>
        <w:rPr>
          <w:rFonts w:ascii="Arial" w:cs="Arial" w:eastAsia="Arial" w:hAnsi="Arial"/>
          <w:sz w:val="20"/>
          <w:szCs w:val="20"/>
          <w:b w:val="1"/>
          <w:bCs w:val="1"/>
          <w:u w:val="single" w:color="auto"/>
          <w:color w:val="auto"/>
        </w:rPr>
        <w:t>NBCU</w:t>
      </w:r>
      <w:r>
        <w:rPr>
          <w:rFonts w:ascii="Arial" w:cs="Arial" w:eastAsia="Arial" w:hAnsi="Arial"/>
          <w:sz w:val="20"/>
          <w:szCs w:val="20"/>
          <w:color w:val="auto"/>
        </w:rPr>
        <w:t>. Effective January 1, 2021, and each January 1 thereafter, any employee of NBCUniversal who,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September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preceding the first day of the applicable calendar year, has annualized Compensation (including base salary plus target bonus plus incentive compensation plus commissions) in excess of the annual compensation limit set forth in Section 401(a)(17) of the Code determined by the Committee for the current calendar year, other than an employee of NBCU who is a Comcast DCP Eligible Employee.</w:t>
      </w:r>
    </w:p>
    <w:p>
      <w:pPr>
        <w:spacing w:after="0" w:line="180" w:lineRule="exact"/>
        <w:rPr>
          <w:rFonts w:ascii="Arial" w:cs="Arial" w:eastAsia="Arial" w:hAnsi="Arial"/>
          <w:sz w:val="20"/>
          <w:szCs w:val="20"/>
          <w:color w:val="auto"/>
        </w:rPr>
      </w:pPr>
    </w:p>
    <w:p>
      <w:pPr>
        <w:jc w:val="both"/>
        <w:ind w:left="1300" w:hanging="320"/>
        <w:spacing w:after="0" w:line="215" w:lineRule="auto"/>
        <w:tabs>
          <w:tab w:leader="none" w:pos="1289" w:val="left"/>
        </w:tabs>
        <w:numPr>
          <w:ilvl w:val="1"/>
          <w:numId w:val="237"/>
        </w:numPr>
        <w:rPr>
          <w:rFonts w:ascii="Arial" w:cs="Arial" w:eastAsia="Arial" w:hAnsi="Arial"/>
          <w:sz w:val="21"/>
          <w:szCs w:val="21"/>
          <w:color w:val="auto"/>
        </w:rPr>
      </w:pPr>
      <w:r>
        <w:rPr>
          <w:rFonts w:ascii="Arial" w:cs="Arial" w:eastAsia="Arial" w:hAnsi="Arial"/>
          <w:sz w:val="21"/>
          <w:szCs w:val="21"/>
          <w:b w:val="1"/>
          <w:bCs w:val="1"/>
          <w:u w:val="single" w:color="auto"/>
          <w:color w:val="auto"/>
        </w:rPr>
        <w:t>UO</w:t>
      </w:r>
      <w:r>
        <w:rPr>
          <w:rFonts w:ascii="Arial" w:cs="Arial" w:eastAsia="Arial" w:hAnsi="Arial"/>
          <w:sz w:val="21"/>
          <w:szCs w:val="21"/>
          <w:color w:val="auto"/>
        </w:rPr>
        <w:t>. Effective January 1, 2021, and each January 1 thereafter, (A) any full-time, non-seasonal employee of UO</w:t>
      </w:r>
      <w:r>
        <w:rPr>
          <w:rFonts w:ascii="Arial" w:cs="Arial" w:eastAsia="Arial" w:hAnsi="Arial"/>
          <w:sz w:val="21"/>
          <w:szCs w:val="21"/>
          <w:b w:val="1"/>
          <w:bCs w:val="1"/>
          <w:color w:val="auto"/>
        </w:rPr>
        <w:t xml:space="preserve"> </w:t>
      </w:r>
      <w:r>
        <w:rPr>
          <w:rFonts w:ascii="Arial" w:cs="Arial" w:eastAsia="Arial" w:hAnsi="Arial"/>
          <w:sz w:val="21"/>
          <w:szCs w:val="21"/>
          <w:color w:val="auto"/>
        </w:rPr>
        <w:t>who, as of the September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preceding the first day of the applicable calendar year, with annualized Compensation (including base salary plus target bonus) of $250,000 or more, and (B) any employee of UO who is a party to an agreement with UO that provides for participation in the Plan or the UO Plan.</w:t>
      </w:r>
    </w:p>
    <w:p>
      <w:pPr>
        <w:spacing w:after="0" w:line="185" w:lineRule="exact"/>
        <w:rPr>
          <w:rFonts w:ascii="Arial" w:cs="Arial" w:eastAsia="Arial" w:hAnsi="Arial"/>
          <w:sz w:val="21"/>
          <w:szCs w:val="21"/>
          <w:color w:val="auto"/>
        </w:rPr>
      </w:pPr>
    </w:p>
    <w:p>
      <w:pPr>
        <w:ind w:left="1300" w:hanging="320"/>
        <w:spacing w:after="0" w:line="232" w:lineRule="auto"/>
        <w:tabs>
          <w:tab w:leader="none" w:pos="1295" w:val="left"/>
        </w:tabs>
        <w:numPr>
          <w:ilvl w:val="1"/>
          <w:numId w:val="237"/>
        </w:numPr>
        <w:rPr>
          <w:rFonts w:ascii="Arial" w:cs="Arial" w:eastAsia="Arial" w:hAnsi="Arial"/>
          <w:sz w:val="22"/>
          <w:szCs w:val="22"/>
          <w:color w:val="auto"/>
        </w:rPr>
      </w:pPr>
      <w:r>
        <w:rPr>
          <w:rFonts w:ascii="Arial" w:cs="Arial" w:eastAsia="Arial" w:hAnsi="Arial"/>
          <w:sz w:val="22"/>
          <w:szCs w:val="22"/>
          <w:color w:val="auto"/>
        </w:rPr>
        <w:t>Any employee of a Participating Company designated by the Committee from time to time, and approved for participation in this Plan.</w:t>
      </w:r>
    </w:p>
    <w:p>
      <w:pPr>
        <w:spacing w:after="0" w:line="185" w:lineRule="exact"/>
        <w:rPr>
          <w:rFonts w:ascii="Arial" w:cs="Arial" w:eastAsia="Arial" w:hAnsi="Arial"/>
          <w:sz w:val="22"/>
          <w:szCs w:val="22"/>
          <w:color w:val="auto"/>
        </w:rPr>
      </w:pPr>
    </w:p>
    <w:p>
      <w:pPr>
        <w:jc w:val="both"/>
        <w:ind w:left="1300" w:hanging="320"/>
        <w:spacing w:after="0" w:line="222" w:lineRule="auto"/>
        <w:tabs>
          <w:tab w:leader="none" w:pos="1297" w:val="left"/>
        </w:tabs>
        <w:numPr>
          <w:ilvl w:val="1"/>
          <w:numId w:val="237"/>
        </w:numPr>
        <w:rPr>
          <w:rFonts w:ascii="Arial" w:cs="Arial" w:eastAsia="Arial" w:hAnsi="Arial"/>
          <w:sz w:val="21"/>
          <w:szCs w:val="21"/>
          <w:color w:val="auto"/>
        </w:rPr>
      </w:pPr>
      <w:r>
        <w:rPr>
          <w:rFonts w:ascii="Arial" w:cs="Arial" w:eastAsia="Arial" w:hAnsi="Arial"/>
          <w:sz w:val="21"/>
          <w:szCs w:val="21"/>
          <w:color w:val="auto"/>
        </w:rPr>
        <w:t>Employees of a Participating Company who have met the applicable eligibility requirements of Section 3.1(a)(i), 3.1(a)(ii), or 3.1(a)(iii) for a previous year, and who continue in service as a full-time employee of a Participating Company shall continue to be eligible to participate until they cease service as a full-time employee of a Participating Company, either because of a termination of employment or a change to part-time employment. Employees of a Participating Company who do not meet the applicable eligibility requirements of this Section 3.1(a) but who have an undistributed account balance based on credits to accounts from previous years shall be treated as Participants until their account is distributed in full.</w:t>
      </w:r>
    </w:p>
    <w:p>
      <w:pPr>
        <w:spacing w:after="0" w:line="158" w:lineRule="exact"/>
        <w:rPr>
          <w:rFonts w:ascii="Arial" w:cs="Arial" w:eastAsia="Arial" w:hAnsi="Arial"/>
          <w:sz w:val="21"/>
          <w:szCs w:val="21"/>
          <w:color w:val="auto"/>
        </w:rPr>
      </w:pPr>
    </w:p>
    <w:p>
      <w:pPr>
        <w:jc w:val="both"/>
        <w:ind w:left="780" w:hanging="383"/>
        <w:spacing w:after="0" w:line="230" w:lineRule="auto"/>
        <w:tabs>
          <w:tab w:leader="none" w:pos="774" w:val="left"/>
        </w:tabs>
        <w:numPr>
          <w:ilvl w:val="0"/>
          <w:numId w:val="237"/>
        </w:numPr>
        <w:rPr>
          <w:rFonts w:ascii="Arial" w:cs="Arial" w:eastAsia="Arial" w:hAnsi="Arial"/>
          <w:sz w:val="21"/>
          <w:szCs w:val="21"/>
          <w:color w:val="auto"/>
        </w:rPr>
      </w:pPr>
      <w:r>
        <w:rPr>
          <w:rFonts w:ascii="Arial" w:cs="Arial" w:eastAsia="Arial" w:hAnsi="Arial"/>
          <w:sz w:val="21"/>
          <w:szCs w:val="21"/>
          <w:b w:val="1"/>
          <w:bCs w:val="1"/>
          <w:u w:val="single" w:color="auto"/>
          <w:color w:val="auto"/>
        </w:rPr>
        <w:t>Participation</w:t>
      </w:r>
      <w:r>
        <w:rPr>
          <w:rFonts w:ascii="Arial" w:cs="Arial" w:eastAsia="Arial" w:hAnsi="Arial"/>
          <w:sz w:val="21"/>
          <w:szCs w:val="21"/>
          <w:color w:val="auto"/>
        </w:rPr>
        <w:t>. An individual’s participation in the Plan shall be effective upon the individual first becoming eligible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and the earlier of a contribution under this Plan being made on behalf of the Participant by the Participating Company or the completion and submission of a Deferral Commitment, a Distribution Election, and an Allocation Form to the Committee at a time and in a form determined by the Committee.</w:t>
      </w:r>
    </w:p>
    <w:p>
      <w:pPr>
        <w:spacing w:after="0" w:line="181" w:lineRule="exact"/>
        <w:rPr>
          <w:sz w:val="20"/>
          <w:szCs w:val="20"/>
          <w:color w:val="auto"/>
        </w:rPr>
      </w:pPr>
    </w:p>
    <w:p>
      <w:pPr>
        <w:jc w:val="both"/>
        <w:ind w:left="400" w:hanging="388"/>
        <w:spacing w:after="0" w:line="25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u w:val="single" w:color="auto"/>
          <w:color w:val="auto"/>
        </w:rPr>
        <w:t>Form of Deferral Commitment</w:t>
      </w:r>
      <w:r>
        <w:rPr>
          <w:rFonts w:ascii="Arial" w:cs="Arial" w:eastAsia="Arial" w:hAnsi="Arial"/>
          <w:sz w:val="19"/>
          <w:szCs w:val="19"/>
          <w:color w:val="auto"/>
        </w:rPr>
        <w:t>. A Participant may elect to make a Deferral Commitment at such other time and in such form as determined by the Committee, but in no event later than the date on which the election is required to become irrevocable as set forth in this Article or otherwise required by Section 409A of the Code and applicable guidance, and the latest election on file as of that time shall control. The Deferral Commitment shall specify the following: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263" w:name="page264"/>
    <w:bookmarkEnd w:id="263"/>
    <w:p>
      <w:pPr>
        <w:jc w:val="both"/>
        <w:ind w:left="780" w:hanging="383"/>
        <w:spacing w:after="0" w:line="246" w:lineRule="auto"/>
        <w:tabs>
          <w:tab w:leader="none" w:pos="775" w:val="left"/>
        </w:tabs>
        <w:numPr>
          <w:ilvl w:val="0"/>
          <w:numId w:val="238"/>
        </w:numPr>
        <w:rPr>
          <w:rFonts w:ascii="Arial" w:cs="Arial" w:eastAsia="Arial" w:hAnsi="Arial"/>
          <w:sz w:val="19"/>
          <w:szCs w:val="19"/>
          <w:color w:val="auto"/>
        </w:rPr>
      </w:pPr>
      <w:r>
        <w:rPr>
          <w:rFonts w:ascii="Arial" w:cs="Arial" w:eastAsia="Arial" w:hAnsi="Arial"/>
          <w:sz w:val="19"/>
          <w:szCs w:val="19"/>
          <w:b w:val="1"/>
          <w:bCs w:val="1"/>
          <w:u w:val="single" w:color="auto"/>
          <w:color w:val="auto"/>
        </w:rPr>
        <w:t>Timing of Deferral Election</w:t>
      </w:r>
      <w:r>
        <w:rPr>
          <w:rFonts w:ascii="Arial" w:cs="Arial" w:eastAsia="Arial" w:hAnsi="Arial"/>
          <w:sz w:val="19"/>
          <w:szCs w:val="19"/>
          <w:color w:val="auto"/>
        </w:rPr>
        <w:t>. The Participant shall make an election to defer Compensation by filing a Deferral</w:t>
      </w:r>
      <w:r>
        <w:rPr>
          <w:rFonts w:ascii="Arial" w:cs="Arial" w:eastAsia="Arial" w:hAnsi="Arial"/>
          <w:sz w:val="19"/>
          <w:szCs w:val="19"/>
          <w:b w:val="1"/>
          <w:bCs w:val="1"/>
          <w:color w:val="auto"/>
        </w:rPr>
        <w:t xml:space="preserve"> </w:t>
      </w:r>
      <w:r>
        <w:rPr>
          <w:rFonts w:ascii="Arial" w:cs="Arial" w:eastAsia="Arial" w:hAnsi="Arial"/>
          <w:sz w:val="19"/>
          <w:szCs w:val="19"/>
          <w:color w:val="auto"/>
        </w:rPr>
        <w:t>Commitment with the Committee during such enrollment period established by the Committee in its sole discretion, and such election shall become irrevocable no later than the last day of such enrollment period. In addition, notwithstanding anything to the contrary, a Deferral Commitment with respect to Performance-Based Compensation may be filed with the Committee and such election shall become irrevocable no later than six months before the end of the performance period on which such Performance-Based Compensation is based, provided such Participant has been continuously employed with the Participating Company from the later of the beginning of the performance period or the date on which the performance criteria for such Performance-Based Compensation was established.</w:t>
      </w:r>
    </w:p>
    <w:p>
      <w:pPr>
        <w:spacing w:after="0" w:line="179" w:lineRule="exact"/>
        <w:rPr>
          <w:rFonts w:ascii="Arial" w:cs="Arial" w:eastAsia="Arial" w:hAnsi="Arial"/>
          <w:sz w:val="19"/>
          <w:szCs w:val="19"/>
          <w:color w:val="auto"/>
        </w:rPr>
      </w:pPr>
    </w:p>
    <w:p>
      <w:pPr>
        <w:jc w:val="both"/>
        <w:ind w:left="780" w:hanging="383"/>
        <w:spacing w:after="0" w:line="248" w:lineRule="auto"/>
        <w:tabs>
          <w:tab w:leader="none" w:pos="774" w:val="left"/>
        </w:tabs>
        <w:numPr>
          <w:ilvl w:val="0"/>
          <w:numId w:val="238"/>
        </w:numPr>
        <w:rPr>
          <w:rFonts w:ascii="Arial" w:cs="Arial" w:eastAsia="Arial" w:hAnsi="Arial"/>
          <w:sz w:val="19"/>
          <w:szCs w:val="19"/>
          <w:color w:val="auto"/>
        </w:rPr>
      </w:pPr>
      <w:r>
        <w:rPr>
          <w:rFonts w:ascii="Arial" w:cs="Arial" w:eastAsia="Arial" w:hAnsi="Arial"/>
          <w:sz w:val="19"/>
          <w:szCs w:val="19"/>
          <w:b w:val="1"/>
          <w:bCs w:val="1"/>
          <w:u w:val="single" w:color="auto"/>
          <w:color w:val="auto"/>
        </w:rPr>
        <w:t>Deferral Amounts; Accounts</w:t>
      </w:r>
      <w:r>
        <w:rPr>
          <w:rFonts w:ascii="Arial" w:cs="Arial" w:eastAsia="Arial" w:hAnsi="Arial"/>
          <w:sz w:val="19"/>
          <w:szCs w:val="19"/>
          <w:color w:val="auto"/>
        </w:rPr>
        <w:t>. Grandfathered Accounts have been credited with contributions, income, gains, and</w:t>
      </w:r>
      <w:r>
        <w:rPr>
          <w:rFonts w:ascii="Arial" w:cs="Arial" w:eastAsia="Arial" w:hAnsi="Arial"/>
          <w:sz w:val="19"/>
          <w:szCs w:val="19"/>
          <w:b w:val="1"/>
          <w:bCs w:val="1"/>
          <w:color w:val="auto"/>
        </w:rPr>
        <w:t xml:space="preserve"> </w:t>
      </w:r>
      <w:r>
        <w:rPr>
          <w:rFonts w:ascii="Arial" w:cs="Arial" w:eastAsia="Arial" w:hAnsi="Arial"/>
          <w:sz w:val="19"/>
          <w:szCs w:val="19"/>
          <w:color w:val="auto"/>
        </w:rPr>
        <w:t>losses under the rules of the Legacy Plans, and shall be held for distribution in accordance with the rules of such Legacy Plans. Effective on and after January 1, 2021, a Deferral Commitment shall be made with respect to base salary payable by a Participating Company to a Participant during the Deferral Period, bonus earned by a Participant during the Deferral Period, and Discretionary Contributions and Restoration Contributions earned by a Participant during the Deferral Period, and shall designate the time and form of payment. The Participant shall set forth the amount to be deferred and the time and form that payment shall be made in the manner provided by the Committee, provided that:</w:t>
      </w:r>
    </w:p>
    <w:p>
      <w:pPr>
        <w:spacing w:after="0" w:line="180" w:lineRule="exact"/>
        <w:rPr>
          <w:rFonts w:ascii="Arial" w:cs="Arial" w:eastAsia="Arial" w:hAnsi="Arial"/>
          <w:sz w:val="19"/>
          <w:szCs w:val="19"/>
          <w:color w:val="auto"/>
        </w:rPr>
      </w:pPr>
    </w:p>
    <w:p>
      <w:pPr>
        <w:jc w:val="both"/>
        <w:ind w:left="1040" w:hanging="254"/>
        <w:spacing w:after="0" w:line="252" w:lineRule="auto"/>
        <w:tabs>
          <w:tab w:leader="none" w:pos="1034" w:val="left"/>
        </w:tabs>
        <w:numPr>
          <w:ilvl w:val="1"/>
          <w:numId w:val="238"/>
        </w:numPr>
        <w:rPr>
          <w:rFonts w:ascii="Arial" w:cs="Arial" w:eastAsia="Arial" w:hAnsi="Arial"/>
          <w:sz w:val="19"/>
          <w:szCs w:val="19"/>
          <w:color w:val="auto"/>
        </w:rPr>
      </w:pPr>
      <w:r>
        <w:rPr>
          <w:rFonts w:ascii="Arial" w:cs="Arial" w:eastAsia="Arial" w:hAnsi="Arial"/>
          <w:sz w:val="19"/>
          <w:szCs w:val="19"/>
          <w:u w:val="single" w:color="auto"/>
          <w:color w:val="auto"/>
        </w:rPr>
        <w:t>Base Salary Account</w:t>
      </w:r>
      <w:r>
        <w:rPr>
          <w:rFonts w:ascii="Arial" w:cs="Arial" w:eastAsia="Arial" w:hAnsi="Arial"/>
          <w:sz w:val="19"/>
          <w:szCs w:val="19"/>
          <w:color w:val="auto"/>
        </w:rPr>
        <w:t>. The earliest date on which a deferred amount credited to a Base Salary Account may be paid shall be in January of the second calendar year beginning after the calendar year in which the Compensation would be paid but for the Base Salary Account Deferral Commitment, and the latest date on which a deferred amount credited to a Base Salary Account may be paid shall be in January of the tenth calendar year beginning after the calendar year in which the Compensation would be paid but for the Base Salary Account Deferral Commitment.</w:t>
      </w:r>
    </w:p>
    <w:p>
      <w:pPr>
        <w:spacing w:after="0" w:line="175" w:lineRule="exact"/>
        <w:rPr>
          <w:rFonts w:ascii="Arial" w:cs="Arial" w:eastAsia="Arial" w:hAnsi="Arial"/>
          <w:sz w:val="19"/>
          <w:szCs w:val="19"/>
          <w:color w:val="auto"/>
        </w:rPr>
      </w:pPr>
    </w:p>
    <w:p>
      <w:pPr>
        <w:jc w:val="both"/>
        <w:ind w:left="1040" w:hanging="254"/>
        <w:spacing w:after="0" w:line="252" w:lineRule="auto"/>
        <w:tabs>
          <w:tab w:leader="none" w:pos="1040" w:val="left"/>
        </w:tabs>
        <w:numPr>
          <w:ilvl w:val="1"/>
          <w:numId w:val="238"/>
        </w:numPr>
        <w:rPr>
          <w:rFonts w:ascii="Arial" w:cs="Arial" w:eastAsia="Arial" w:hAnsi="Arial"/>
          <w:sz w:val="19"/>
          <w:szCs w:val="19"/>
          <w:color w:val="auto"/>
        </w:rPr>
      </w:pPr>
      <w:r>
        <w:rPr>
          <w:rFonts w:ascii="Arial" w:cs="Arial" w:eastAsia="Arial" w:hAnsi="Arial"/>
          <w:sz w:val="19"/>
          <w:szCs w:val="19"/>
          <w:u w:val="single" w:color="auto"/>
          <w:color w:val="auto"/>
        </w:rPr>
        <w:t>Bonus Account, Discretionary Contributions, and Restoration Contributions</w:t>
      </w:r>
      <w:r>
        <w:rPr>
          <w:rFonts w:ascii="Arial" w:cs="Arial" w:eastAsia="Arial" w:hAnsi="Arial"/>
          <w:sz w:val="19"/>
          <w:szCs w:val="19"/>
          <w:color w:val="auto"/>
        </w:rPr>
        <w:t>. The earliest date on which a deferred amount credited to a Bonus Account or a Company Contribution Account may be paid shall be in January of the third calendar year beginning after the calendar year to which the Deferral Commitment applies, and the latest date on which a deferred amount credited to a Bonus Account or a Company Contribution Account may be paid shall be in January of the eleventh calendar year beginning after the calendar year to which the Deferral Commitment applies.</w:t>
      </w:r>
    </w:p>
    <w:p>
      <w:pPr>
        <w:spacing w:after="0" w:line="142" w:lineRule="exact"/>
        <w:rPr>
          <w:rFonts w:ascii="Arial" w:cs="Arial" w:eastAsia="Arial" w:hAnsi="Arial"/>
          <w:sz w:val="19"/>
          <w:szCs w:val="19"/>
          <w:color w:val="auto"/>
        </w:rPr>
      </w:pPr>
    </w:p>
    <w:p>
      <w:pPr>
        <w:jc w:val="both"/>
        <w:ind w:left="780" w:hanging="383"/>
        <w:spacing w:after="0" w:line="225" w:lineRule="auto"/>
        <w:tabs>
          <w:tab w:leader="none" w:pos="775" w:val="left"/>
        </w:tabs>
        <w:numPr>
          <w:ilvl w:val="0"/>
          <w:numId w:val="238"/>
        </w:numPr>
        <w:rPr>
          <w:rFonts w:ascii="Arial" w:cs="Arial" w:eastAsia="Arial" w:hAnsi="Arial"/>
          <w:sz w:val="22"/>
          <w:szCs w:val="22"/>
          <w:color w:val="auto"/>
        </w:rPr>
      </w:pPr>
      <w:r>
        <w:rPr>
          <w:rFonts w:ascii="Arial" w:cs="Arial" w:eastAsia="Arial" w:hAnsi="Arial"/>
          <w:sz w:val="22"/>
          <w:szCs w:val="22"/>
          <w:b w:val="1"/>
          <w:bCs w:val="1"/>
          <w:u w:val="single" w:color="auto"/>
          <w:color w:val="auto"/>
        </w:rPr>
        <w:t>Allocation to Valuation Funds</w:t>
      </w:r>
      <w:r>
        <w:rPr>
          <w:rFonts w:ascii="Arial" w:cs="Arial" w:eastAsia="Arial" w:hAnsi="Arial"/>
          <w:sz w:val="22"/>
          <w:szCs w:val="22"/>
          <w:color w:val="auto"/>
        </w:rPr>
        <w:t>. The Participant shall specify in a separate form (known as the “Allocation Form”) filed</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Committee, the Participant’s initial allocation of the amounts deferred into each Account among the various available Valuation Funds.</w:t>
      </w:r>
    </w:p>
    <w:p>
      <w:pPr>
        <w:spacing w:after="0" w:line="179" w:lineRule="exact"/>
        <w:rPr>
          <w:rFonts w:ascii="Arial" w:cs="Arial" w:eastAsia="Arial" w:hAnsi="Arial"/>
          <w:sz w:val="22"/>
          <w:szCs w:val="22"/>
          <w:color w:val="auto"/>
        </w:rPr>
      </w:pPr>
    </w:p>
    <w:p>
      <w:pPr>
        <w:jc w:val="both"/>
        <w:ind w:left="780" w:hanging="383"/>
        <w:spacing w:after="0" w:line="217" w:lineRule="auto"/>
        <w:tabs>
          <w:tab w:leader="none" w:pos="841" w:val="left"/>
        </w:tabs>
        <w:numPr>
          <w:ilvl w:val="0"/>
          <w:numId w:val="238"/>
        </w:numPr>
        <w:rPr>
          <w:rFonts w:ascii="Arial" w:cs="Arial" w:eastAsia="Arial" w:hAnsi="Arial"/>
          <w:sz w:val="22"/>
          <w:szCs w:val="22"/>
          <w:color w:val="auto"/>
        </w:rPr>
      </w:pPr>
      <w:r>
        <w:rPr>
          <w:rFonts w:ascii="Arial" w:cs="Arial" w:eastAsia="Arial" w:hAnsi="Arial"/>
          <w:sz w:val="22"/>
          <w:szCs w:val="22"/>
          <w:b w:val="1"/>
          <w:bCs w:val="1"/>
          <w:u w:val="single" w:color="auto"/>
          <w:color w:val="auto"/>
        </w:rPr>
        <w:t>Maximum Deferral</w:t>
      </w:r>
      <w:r>
        <w:rPr>
          <w:rFonts w:ascii="Arial" w:cs="Arial" w:eastAsia="Arial" w:hAnsi="Arial"/>
          <w:sz w:val="22"/>
          <w:szCs w:val="22"/>
          <w:color w:val="auto"/>
        </w:rPr>
        <w:t>. The maximum amount of salary that may be deferred shall be seventy-five percent (75%); the</w:t>
      </w:r>
      <w:r>
        <w:rPr>
          <w:rFonts w:ascii="Arial" w:cs="Arial" w:eastAsia="Arial" w:hAnsi="Arial"/>
          <w:sz w:val="22"/>
          <w:szCs w:val="22"/>
          <w:b w:val="1"/>
          <w:bCs w:val="1"/>
          <w:color w:val="auto"/>
        </w:rPr>
        <w:t xml:space="preserve"> </w:t>
      </w:r>
      <w:r>
        <w:rPr>
          <w:rFonts w:ascii="Arial" w:cs="Arial" w:eastAsia="Arial" w:hAnsi="Arial"/>
          <w:sz w:val="22"/>
          <w:szCs w:val="22"/>
          <w:color w:val="auto"/>
        </w:rPr>
        <w:t>maximum amount of commissions, bonus or incentive compensation that may be deferred shall be eight-five percent (85%). Notwithstanding the foregoing, the maximum amount of base salary, bonus, or incentive compensation available for deferral shall be determined net of required withholdings and deductions as determined by the Committee in its sole discretion.</w:t>
      </w:r>
    </w:p>
    <w:p>
      <w:pPr>
        <w:spacing w:after="0" w:line="179" w:lineRule="exact"/>
        <w:rPr>
          <w:sz w:val="20"/>
          <w:szCs w:val="20"/>
          <w:color w:val="auto"/>
        </w:rPr>
      </w:pPr>
    </w:p>
    <w:p>
      <w:pPr>
        <w:ind w:left="400" w:hanging="388"/>
        <w:spacing w:after="0" w:line="235"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u w:val="single" w:color="auto"/>
          <w:color w:val="auto"/>
        </w:rPr>
        <w:t>Period of Commitment</w:t>
      </w:r>
      <w:r>
        <w:rPr>
          <w:rFonts w:ascii="Arial" w:cs="Arial" w:eastAsia="Arial" w:hAnsi="Arial"/>
          <w:sz w:val="22"/>
          <w:szCs w:val="22"/>
          <w:color w:val="auto"/>
        </w:rPr>
        <w:t>. A Deferral Commitment applicable to a Participant with respect to Compensation under a Legacy Deferred Compensation Plan for the 2020 Plan Year shall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264" w:name="page265"/>
    <w:bookmarkEnd w:id="264"/>
    <w:p>
      <w:pPr>
        <w:jc w:val="both"/>
        <w:ind w:left="400"/>
        <w:spacing w:after="0" w:line="247" w:lineRule="auto"/>
        <w:rPr>
          <w:sz w:val="20"/>
          <w:szCs w:val="20"/>
          <w:color w:val="auto"/>
        </w:rPr>
      </w:pPr>
      <w:r>
        <w:rPr>
          <w:rFonts w:ascii="Arial" w:cs="Arial" w:eastAsia="Arial" w:hAnsi="Arial"/>
          <w:sz w:val="19"/>
          <w:szCs w:val="19"/>
          <w:color w:val="auto"/>
        </w:rPr>
        <w:t>remain in effect under the Plan for the 2021 Plan Year unless revoked or amended in writing by the Participant. To participate for Plan Years beginning after 2021, a Participant must file a new Deferral Commitment and Distribution Election for each Plan Year. A Deferral Commitment and Distribution Election, revocation, or amendment of such Elections, as applicable, must be delivered to the Committee prior to the time determined by the Committee but in no event later than the date on which the election is required to become irrevocable as set forth in this Article or otherwise required by Section 409A of the Code and applicable guidance. Notwithstanding the foregoing, if a Participant suffers a Disability or Termination prior to the end of the Deferral Period, the Deferral Period shall end as of the date of Disability or Termination.</w:t>
      </w:r>
    </w:p>
    <w:p>
      <w:pPr>
        <w:spacing w:after="0" w:line="148" w:lineRule="exact"/>
        <w:rPr>
          <w:sz w:val="20"/>
          <w:szCs w:val="20"/>
          <w:color w:val="auto"/>
        </w:rPr>
      </w:pPr>
    </w:p>
    <w:p>
      <w:pPr>
        <w:jc w:val="both"/>
        <w:ind w:left="400" w:hanging="388"/>
        <w:spacing w:after="0" w:line="22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u w:val="single" w:color="auto"/>
          <w:color w:val="auto"/>
        </w:rPr>
        <w:t>Irrevocability of Deferral Commitment</w:t>
      </w:r>
      <w:r>
        <w:rPr>
          <w:rFonts w:ascii="Arial" w:cs="Arial" w:eastAsia="Arial" w:hAnsi="Arial"/>
          <w:sz w:val="22"/>
          <w:szCs w:val="22"/>
          <w:color w:val="auto"/>
        </w:rPr>
        <w:t>. Except as provided in Section 3.3, above, a Deferral Commitment and Distribution Election shall become irrevocable by the Participant as of the last day on which an election may be made under the terms of this Plan.</w:t>
      </w:r>
    </w:p>
    <w:p>
      <w:pPr>
        <w:spacing w:after="0" w:line="180" w:lineRule="exact"/>
        <w:rPr>
          <w:sz w:val="20"/>
          <w:szCs w:val="20"/>
          <w:color w:val="auto"/>
        </w:rPr>
      </w:pPr>
    </w:p>
    <w:p>
      <w:pPr>
        <w:jc w:val="both"/>
        <w:ind w:left="400" w:hanging="388"/>
        <w:spacing w:after="0" w:line="227"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b w:val="1"/>
          <w:bCs w:val="1"/>
          <w:u w:val="single" w:color="auto"/>
          <w:color w:val="auto"/>
        </w:rPr>
        <w:t>Change in Status</w:t>
      </w:r>
      <w:r>
        <w:rPr>
          <w:rFonts w:ascii="Arial" w:cs="Arial" w:eastAsia="Arial" w:hAnsi="Arial"/>
          <w:sz w:val="21"/>
          <w:szCs w:val="21"/>
          <w:color w:val="auto"/>
        </w:rPr>
        <w:t>. If the Committee determines that a Participant’s employment performance is no longer at a level that warrants reward through participation in this Plan, but does not terminate the Participant’s employment with the Participating Company, the Participant’s existing Deferral Commitment shall terminate at the end of the current Deferral Period, and no new Deferral Commitment may be made by such Participant after notice of such determination is given by the Committee, unless the Participant later satisfies the requirements of Section 3.1.</w:t>
      </w:r>
    </w:p>
    <w:p>
      <w:pPr>
        <w:spacing w:after="0" w:line="181" w:lineRule="exact"/>
        <w:rPr>
          <w:sz w:val="20"/>
          <w:szCs w:val="20"/>
          <w:color w:val="auto"/>
        </w:rPr>
      </w:pPr>
    </w:p>
    <w:p>
      <w:pPr>
        <w:jc w:val="both"/>
        <w:ind w:left="400" w:hanging="388"/>
        <w:spacing w:after="0" w:line="220"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b w:val="1"/>
          <w:bCs w:val="1"/>
          <w:u w:val="single" w:color="auto"/>
          <w:color w:val="auto"/>
        </w:rPr>
        <w:t>Defaults in Event of Incomplete or Inaccurate Deferral Documentation</w:t>
      </w:r>
      <w:r>
        <w:rPr>
          <w:rFonts w:ascii="Arial" w:cs="Arial" w:eastAsia="Arial" w:hAnsi="Arial"/>
          <w:sz w:val="22"/>
          <w:szCs w:val="22"/>
          <w:color w:val="auto"/>
        </w:rPr>
        <w:t>. The Committee shall be authorized to reject a Deferral Commitment, Allocation Form, or Distribution Election submitted by a Participant if in the sole discretion of the Committee, the Committee determines is missing, incomplete or inaccurate, and treat such forms as if they had not been submitted.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IV - </w:t>
      </w:r>
      <w:r>
        <w:rPr>
          <w:rFonts w:ascii="Arial" w:cs="Arial" w:eastAsia="Arial" w:hAnsi="Arial"/>
          <w:sz w:val="22"/>
          <w:szCs w:val="22"/>
          <w:b w:val="1"/>
          <w:bCs w:val="1"/>
          <w:u w:val="single" w:color="auto"/>
          <w:color w:val="auto"/>
        </w:rPr>
        <w:t>DEFERRED COMPENSATION ACCOUNTS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Accounts</w:t>
      </w:r>
      <w:r>
        <w:rPr>
          <w:rFonts w:ascii="Arial" w:cs="Arial" w:eastAsia="Arial" w:hAnsi="Arial"/>
          <w:sz w:val="22"/>
          <w:szCs w:val="22"/>
          <w:color w:val="auto"/>
        </w:rPr>
        <w:t>.</w:t>
      </w:r>
    </w:p>
    <w:p>
      <w:pPr>
        <w:spacing w:after="0" w:line="212" w:lineRule="exact"/>
        <w:rPr>
          <w:sz w:val="20"/>
          <w:szCs w:val="20"/>
          <w:color w:val="auto"/>
        </w:rPr>
      </w:pPr>
    </w:p>
    <w:p>
      <w:pPr>
        <w:jc w:val="both"/>
        <w:ind w:left="780" w:hanging="383"/>
        <w:spacing w:after="0" w:line="223" w:lineRule="auto"/>
        <w:tabs>
          <w:tab w:leader="none" w:pos="775"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Grandfathered Accounts</w:t>
      </w:r>
      <w:r>
        <w:rPr>
          <w:rFonts w:ascii="Arial" w:cs="Arial" w:eastAsia="Arial" w:hAnsi="Arial"/>
          <w:sz w:val="22"/>
          <w:szCs w:val="22"/>
          <w:color w:val="auto"/>
        </w:rPr>
        <w:t>. Amounts credited to Grandfathered Accounts as of January 1, 2021 shall continue to be credited with Interest on and after January 1, 2021 through the date of payment as determined under the applicable Legacy Deferred Compensation Plan.</w:t>
      </w:r>
    </w:p>
    <w:p>
      <w:pPr>
        <w:spacing w:after="0" w:line="185" w:lineRule="exact"/>
        <w:rPr>
          <w:rFonts w:ascii="Arial" w:cs="Arial" w:eastAsia="Arial" w:hAnsi="Arial"/>
          <w:sz w:val="22"/>
          <w:szCs w:val="22"/>
          <w:color w:val="auto"/>
        </w:rPr>
      </w:pPr>
    </w:p>
    <w:p>
      <w:pPr>
        <w:jc w:val="both"/>
        <w:ind w:left="780" w:hanging="383"/>
        <w:spacing w:after="0" w:line="247" w:lineRule="auto"/>
        <w:tabs>
          <w:tab w:leader="none" w:pos="774" w:val="left"/>
        </w:tabs>
        <w:numPr>
          <w:ilvl w:val="0"/>
          <w:numId w:val="239"/>
        </w:numPr>
        <w:rPr>
          <w:rFonts w:ascii="Arial" w:cs="Arial" w:eastAsia="Arial" w:hAnsi="Arial"/>
          <w:sz w:val="19"/>
          <w:szCs w:val="19"/>
          <w:color w:val="auto"/>
        </w:rPr>
      </w:pPr>
      <w:r>
        <w:rPr>
          <w:rFonts w:ascii="Arial" w:cs="Arial" w:eastAsia="Arial" w:hAnsi="Arial"/>
          <w:sz w:val="19"/>
          <w:szCs w:val="19"/>
          <w:u w:val="single" w:color="auto"/>
          <w:color w:val="auto"/>
        </w:rPr>
        <w:t>New Plan Accounts</w:t>
      </w:r>
      <w:r>
        <w:rPr>
          <w:rFonts w:ascii="Arial" w:cs="Arial" w:eastAsia="Arial" w:hAnsi="Arial"/>
          <w:sz w:val="19"/>
          <w:szCs w:val="19"/>
          <w:color w:val="auto"/>
        </w:rPr>
        <w:t>. Effective on and after January 1, 2021, the Compensation deferred by a Participant under the Plan, any Discretionary Contributions and Interest, and any Restoration Contributions and Interest shall be credited to the Participant’s Company Contribution Account as selected by the Participant, or as otherwise provided in this Article. Separate accounts may be maintained on the books of the Participating Company to reflect the different Accounts chosen by the Participant, and the Participant shall designate time and form of distribution of each deferral that will be credited to each Account as set forth in Section 3.2(b), above. These Accounts shall be used solely to calculate the amount payable to each Participant under this Plan and shall not constitute a separate fund of assets.</w:t>
      </w:r>
    </w:p>
    <w:p>
      <w:pPr>
        <w:spacing w:after="0" w:line="175" w:lineRule="exact"/>
        <w:rPr>
          <w:sz w:val="20"/>
          <w:szCs w:val="20"/>
          <w:color w:val="auto"/>
        </w:rPr>
      </w:pPr>
    </w:p>
    <w:p>
      <w:pPr>
        <w:jc w:val="both"/>
        <w:ind w:left="400" w:hanging="388"/>
        <w:spacing w:after="0" w:line="25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u w:val="single" w:color="auto"/>
          <w:color w:val="auto"/>
        </w:rPr>
        <w:t>Timing of Credits; Withholding</w:t>
      </w:r>
      <w:r>
        <w:rPr>
          <w:rFonts w:ascii="Arial" w:cs="Arial" w:eastAsia="Arial" w:hAnsi="Arial"/>
          <w:sz w:val="19"/>
          <w:szCs w:val="19"/>
          <w:color w:val="auto"/>
        </w:rPr>
        <w:t>. A Participant’s deferred Compensation shall be credited to each New Plan Account designated by the Participant as soon as reasonably practical after the date the Compensation deferred would have otherwise been payable to the Participant. Any Discretionary Contributions shall be credited to the appropriate Account(s) as provided by the Committee. Any withholding of taxes or other amounts with respect to deferred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65" w:name="page266"/>
    <w:bookmarkEnd w:id="265"/>
    <w:p>
      <w:pPr>
        <w:jc w:val="both"/>
        <w:ind w:left="400"/>
        <w:spacing w:after="0" w:line="268" w:lineRule="auto"/>
        <w:rPr>
          <w:sz w:val="20"/>
          <w:szCs w:val="20"/>
          <w:color w:val="auto"/>
        </w:rPr>
      </w:pPr>
      <w:r>
        <w:rPr>
          <w:rFonts w:ascii="Arial" w:cs="Arial" w:eastAsia="Arial" w:hAnsi="Arial"/>
          <w:sz w:val="19"/>
          <w:szCs w:val="19"/>
          <w:color w:val="auto"/>
        </w:rPr>
        <w:t>Compensation or other amounts credited under this Plan that is required by federal, state, or local law shall be withheld from the Participant’s corresponding non-deferred portion of the Compensation to the maximum extent possible, and any remaining amount shall reduce the amount credited to the Participant’s Account in a manner specified by the Committee.</w:t>
      </w:r>
    </w:p>
    <w:p>
      <w:pPr>
        <w:spacing w:after="0" w:line="153" w:lineRule="exact"/>
        <w:rPr>
          <w:sz w:val="20"/>
          <w:szCs w:val="20"/>
          <w:color w:val="auto"/>
        </w:rPr>
      </w:pPr>
    </w:p>
    <w:p>
      <w:pPr>
        <w:jc w:val="both"/>
        <w:ind w:left="420" w:hanging="404"/>
        <w:spacing w:after="0" w:line="24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u w:val="single" w:color="auto"/>
          <w:color w:val="auto"/>
        </w:rPr>
        <w:t>Valuation Funds</w:t>
      </w:r>
      <w:r>
        <w:rPr>
          <w:rFonts w:ascii="Arial" w:cs="Arial" w:eastAsia="Arial" w:hAnsi="Arial"/>
          <w:sz w:val="19"/>
          <w:szCs w:val="19"/>
          <w:color w:val="auto"/>
        </w:rPr>
        <w:t>. A Participant shall designate, at a time and in a manner acceptable to the Committee, one or more Valuation Funds for each Account for the sole purpose of determining the amount of Interest to be credited or debited to such Account. Such election shall designate the portion of each deferral of Compensation made into each Account that shall be allocated among the available Valuation Fund(s), and such election shall apply to each succeeding deferral of Compensation until such time as the Participant shall file a new election with the Committee. Upon notice to the Committee, the Participant shall also be permitted to reallocate the balance in each Valuation Fund among the other available Valuation Funds as determined by the Committee. The manner in which such elections shall be made, the frequency with which such elections may be changed, and the manner in which such elections shall become effective shall be determined in accordance with the procedures to be adopted by the Committee from time to time. Such elections may be made on a daily basis electronically, and such elections shall become effective on the date made or the next available Determination Date. The election of deemed investments among the options provided shall be the sole responsibility of each Participant. A Participating Company and Committee members are not authorized to make any recommendation to any Participant with respect to such election. Each Participant assumes all risk connected with any adjustment to the value of his or her Account. Neither the Committee nor any Participating Company in any way guarantees against loss or depreciation.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b w:val="1"/>
          <w:bCs w:val="1"/>
          <w:u w:val="single" w:color="auto"/>
          <w:color w:val="auto"/>
        </w:rPr>
        <w:t>Company Contributions</w:t>
      </w:r>
      <w:r>
        <w:rPr>
          <w:rFonts w:ascii="Arial" w:cs="Arial" w:eastAsia="Arial" w:hAnsi="Arial"/>
          <w:sz w:val="22"/>
          <w:szCs w:val="22"/>
          <w:color w:val="auto"/>
        </w:rPr>
        <w:t>.</w:t>
      </w:r>
    </w:p>
    <w:p>
      <w:pPr>
        <w:spacing w:after="0" w:line="212" w:lineRule="exact"/>
        <w:rPr>
          <w:sz w:val="20"/>
          <w:szCs w:val="20"/>
          <w:color w:val="auto"/>
        </w:rPr>
      </w:pPr>
    </w:p>
    <w:p>
      <w:pPr>
        <w:ind w:left="780" w:hanging="383"/>
        <w:spacing w:after="0" w:line="232" w:lineRule="auto"/>
        <w:tabs>
          <w:tab w:leader="none" w:pos="775"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Grandfathered Accounts</w:t>
      </w:r>
      <w:r>
        <w:rPr>
          <w:rFonts w:ascii="Arial" w:cs="Arial" w:eastAsia="Arial" w:hAnsi="Arial"/>
          <w:sz w:val="22"/>
          <w:szCs w:val="22"/>
          <w:color w:val="auto"/>
        </w:rPr>
        <w:t>. No contributions shall be made to a Grandfathered Account with respect to any period beginning on or after January 1, 2021.</w:t>
      </w:r>
    </w:p>
    <w:p>
      <w:pPr>
        <w:spacing w:after="0" w:line="185" w:lineRule="exact"/>
        <w:rPr>
          <w:rFonts w:ascii="Arial" w:cs="Arial" w:eastAsia="Arial" w:hAnsi="Arial"/>
          <w:sz w:val="22"/>
          <w:szCs w:val="22"/>
          <w:color w:val="auto"/>
        </w:rPr>
      </w:pPr>
    </w:p>
    <w:p>
      <w:pPr>
        <w:jc w:val="both"/>
        <w:ind w:left="780" w:hanging="383"/>
        <w:spacing w:after="0" w:line="234" w:lineRule="auto"/>
        <w:tabs>
          <w:tab w:leader="none" w:pos="774" w:val="left"/>
        </w:tabs>
        <w:numPr>
          <w:ilvl w:val="0"/>
          <w:numId w:val="240"/>
        </w:numPr>
        <w:rPr>
          <w:rFonts w:ascii="Arial" w:cs="Arial" w:eastAsia="Arial" w:hAnsi="Arial"/>
          <w:sz w:val="21"/>
          <w:szCs w:val="21"/>
          <w:color w:val="auto"/>
        </w:rPr>
      </w:pPr>
      <w:r>
        <w:rPr>
          <w:rFonts w:ascii="Arial" w:cs="Arial" w:eastAsia="Arial" w:hAnsi="Arial"/>
          <w:sz w:val="21"/>
          <w:szCs w:val="21"/>
          <w:u w:val="single" w:color="auto"/>
          <w:color w:val="auto"/>
        </w:rPr>
        <w:t>Discretionary Contributions</w:t>
      </w:r>
      <w:r>
        <w:rPr>
          <w:rFonts w:ascii="Arial" w:cs="Arial" w:eastAsia="Arial" w:hAnsi="Arial"/>
          <w:sz w:val="21"/>
          <w:szCs w:val="21"/>
          <w:color w:val="auto"/>
        </w:rPr>
        <w:t>. In its sole discretion, a Participating Company may make Discretionary Contributions to a Participant’s Company Contribution Account. Discretionary Contributions shall be credited at such times and in such amounts as approved by the Board or the Committee, in its sole discretion.</w:t>
      </w:r>
    </w:p>
    <w:p>
      <w:pPr>
        <w:spacing w:after="0" w:line="184" w:lineRule="exact"/>
        <w:rPr>
          <w:rFonts w:ascii="Arial" w:cs="Arial" w:eastAsia="Arial" w:hAnsi="Arial"/>
          <w:sz w:val="21"/>
          <w:szCs w:val="21"/>
          <w:color w:val="auto"/>
        </w:rPr>
      </w:pPr>
    </w:p>
    <w:p>
      <w:pPr>
        <w:jc w:val="both"/>
        <w:ind w:left="780" w:hanging="383"/>
        <w:spacing w:after="0" w:line="204" w:lineRule="auto"/>
        <w:tabs>
          <w:tab w:leader="none" w:pos="775"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Restoration Contributions</w:t>
      </w:r>
      <w:r>
        <w:rPr>
          <w:rFonts w:ascii="Arial" w:cs="Arial" w:eastAsia="Arial" w:hAnsi="Arial"/>
          <w:sz w:val="22"/>
          <w:szCs w:val="22"/>
          <w:color w:val="auto"/>
        </w:rPr>
        <w:t>. Each Participating Company shall make Restoration Contributions to Participants’ Company Contribution Accounts. Restoration Contributions shall be calculated as the excess, if any, of (i) a Participant’s Hypothetical Matching Contribution that would have been credited with respect to such Participant, over (ii) the Participant’s Actual Matching Contribution. Such Restoration Contribution shall be credited to the Participant’s Company Contribution Account as of March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calendar year next following the calendar year for which the Restoration Contribution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b w:val="1"/>
          <w:bCs w:val="1"/>
          <w:u w:val="single" w:color="auto"/>
          <w:color w:val="auto"/>
        </w:rPr>
        <w:t>Determination of Accounts</w:t>
      </w:r>
      <w:r>
        <w:rPr>
          <w:rFonts w:ascii="Arial" w:cs="Arial" w:eastAsia="Arial" w:hAnsi="Arial"/>
          <w:sz w:val="19"/>
          <w:szCs w:val="19"/>
          <w:color w:val="auto"/>
        </w:rPr>
        <w:t>. Each Participant’s Account as of each Determination Date shall consist of the balance of the</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Account as of the immediately preceding Determination Date, adjusted as follows:</w:t>
      </w:r>
    </w:p>
    <w:p>
      <w:pPr>
        <w:spacing w:after="0" w:line="182" w:lineRule="exact"/>
        <w:rPr>
          <w:sz w:val="20"/>
          <w:szCs w:val="20"/>
          <w:color w:val="auto"/>
        </w:rPr>
      </w:pPr>
    </w:p>
    <w:p>
      <w:pPr>
        <w:ind w:left="780" w:hanging="383"/>
        <w:spacing w:after="0" w:line="235" w:lineRule="auto"/>
        <w:tabs>
          <w:tab w:leader="none" w:pos="775"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New Deferrals</w:t>
      </w:r>
      <w:r>
        <w:rPr>
          <w:rFonts w:ascii="Arial" w:cs="Arial" w:eastAsia="Arial" w:hAnsi="Arial"/>
          <w:sz w:val="22"/>
          <w:szCs w:val="22"/>
          <w:color w:val="auto"/>
        </w:rPr>
        <w:t>. Each New Plan Account shall be increased by any deferred Compensation credited since such prior</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Date in the proportion chosen by the Participant.</w:t>
      </w:r>
    </w:p>
    <w:p>
      <w:pPr>
        <w:spacing w:after="0" w:line="179" w:lineRule="exact"/>
        <w:rPr>
          <w:rFonts w:ascii="Arial" w:cs="Arial" w:eastAsia="Arial" w:hAnsi="Arial"/>
          <w:sz w:val="22"/>
          <w:szCs w:val="22"/>
          <w:color w:val="auto"/>
        </w:rPr>
      </w:pPr>
    </w:p>
    <w:p>
      <w:pPr>
        <w:ind w:left="780" w:hanging="383"/>
        <w:spacing w:after="0" w:line="235" w:lineRule="auto"/>
        <w:tabs>
          <w:tab w:leader="none" w:pos="774"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 Contributions</w:t>
      </w:r>
      <w:r>
        <w:rPr>
          <w:rFonts w:ascii="Arial" w:cs="Arial" w:eastAsia="Arial" w:hAnsi="Arial"/>
          <w:sz w:val="22"/>
          <w:szCs w:val="22"/>
          <w:color w:val="auto"/>
        </w:rPr>
        <w:t>. Each New Plan Account shall be increased by any Discretionary Contributions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Restoration Contributions credited since such prior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66" w:name="page267"/>
    <w:bookmarkEnd w:id="266"/>
    <w:p>
      <w:pPr>
        <w:ind w:left="780"/>
        <w:spacing w:after="0"/>
        <w:rPr>
          <w:sz w:val="20"/>
          <w:szCs w:val="20"/>
          <w:color w:val="auto"/>
        </w:rPr>
      </w:pPr>
      <w:r>
        <w:rPr>
          <w:rFonts w:ascii="Arial" w:cs="Arial" w:eastAsia="Arial" w:hAnsi="Arial"/>
          <w:sz w:val="22"/>
          <w:szCs w:val="22"/>
          <w:color w:val="auto"/>
        </w:rPr>
        <w:t>Determination Date as set forth in Section 4.4, above, or as otherwise directed by the Committee.</w:t>
      </w:r>
    </w:p>
    <w:p>
      <w:pPr>
        <w:spacing w:after="0" w:line="200" w:lineRule="exact"/>
        <w:rPr>
          <w:sz w:val="20"/>
          <w:szCs w:val="20"/>
          <w:color w:val="auto"/>
        </w:rPr>
      </w:pPr>
    </w:p>
    <w:p>
      <w:pPr>
        <w:jc w:val="both"/>
        <w:ind w:left="780" w:hanging="383"/>
        <w:spacing w:after="0" w:line="222" w:lineRule="auto"/>
        <w:tabs>
          <w:tab w:leader="none" w:pos="775" w:val="left"/>
        </w:tabs>
        <w:numPr>
          <w:ilvl w:val="0"/>
          <w:numId w:val="242"/>
        </w:numPr>
        <w:rPr>
          <w:rFonts w:ascii="Arial" w:cs="Arial" w:eastAsia="Arial" w:hAnsi="Arial"/>
          <w:sz w:val="21"/>
          <w:szCs w:val="21"/>
          <w:color w:val="auto"/>
        </w:rPr>
      </w:pPr>
      <w:r>
        <w:rPr>
          <w:rFonts w:ascii="Arial" w:cs="Arial" w:eastAsia="Arial" w:hAnsi="Arial"/>
          <w:sz w:val="21"/>
          <w:szCs w:val="21"/>
          <w:b w:val="1"/>
          <w:bCs w:val="1"/>
          <w:u w:val="single" w:color="auto"/>
          <w:color w:val="auto"/>
        </w:rPr>
        <w:t>Distributions</w:t>
      </w:r>
      <w:r>
        <w:rPr>
          <w:rFonts w:ascii="Arial" w:cs="Arial" w:eastAsia="Arial" w:hAnsi="Arial"/>
          <w:sz w:val="21"/>
          <w:szCs w:val="21"/>
          <w:color w:val="auto"/>
        </w:rPr>
        <w:t>. Each Account shall be reduced by the amount of each benefit payment made from that Account since the</w:t>
      </w:r>
      <w:r>
        <w:rPr>
          <w:rFonts w:ascii="Arial" w:cs="Arial" w:eastAsia="Arial" w:hAnsi="Arial"/>
          <w:sz w:val="21"/>
          <w:szCs w:val="21"/>
          <w:b w:val="1"/>
          <w:bCs w:val="1"/>
          <w:color w:val="auto"/>
        </w:rPr>
        <w:t xml:space="preserve"> </w:t>
      </w:r>
      <w:r>
        <w:rPr>
          <w:rFonts w:ascii="Arial" w:cs="Arial" w:eastAsia="Arial" w:hAnsi="Arial"/>
          <w:sz w:val="21"/>
          <w:szCs w:val="21"/>
          <w:color w:val="auto"/>
        </w:rPr>
        <w:t>prior Determination Date, as determined on a class-year basis. Distributions shall be deemed to have been made proportionally from each of the Valuation Funds maintained with respect to the class-year allocation attributable to such Account based on the proportion that such Valuation Fund bears to the sum of all Valuation Funds maintained with respect to the class-year allocation attributable to such Account for that Participant as of the Determination Date immediately preceding the date the distribution request is transmitted to the Committee for payment and processing, provided that payment with respect to such distribution shall be made as soon as reasonably practicable following the date the distribution request is transmitted to the Committee.</w:t>
      </w:r>
    </w:p>
    <w:p>
      <w:pPr>
        <w:spacing w:after="0" w:line="157" w:lineRule="exact"/>
        <w:rPr>
          <w:rFonts w:ascii="Arial" w:cs="Arial" w:eastAsia="Arial" w:hAnsi="Arial"/>
          <w:sz w:val="21"/>
          <w:szCs w:val="21"/>
          <w:color w:val="auto"/>
        </w:rPr>
      </w:pPr>
    </w:p>
    <w:p>
      <w:pPr>
        <w:jc w:val="both"/>
        <w:ind w:left="780" w:hanging="383"/>
        <w:spacing w:after="0" w:line="225" w:lineRule="auto"/>
        <w:tabs>
          <w:tab w:leader="none" w:pos="774" w:val="left"/>
        </w:tabs>
        <w:numPr>
          <w:ilvl w:val="0"/>
          <w:numId w:val="242"/>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Interest</w:t>
      </w:r>
      <w:r>
        <w:rPr>
          <w:rFonts w:ascii="Arial" w:cs="Arial" w:eastAsia="Arial" w:hAnsi="Arial"/>
          <w:sz w:val="22"/>
          <w:szCs w:val="22"/>
          <w:color w:val="auto"/>
        </w:rPr>
        <w:t>. Each Account shall be increased or decreased by the Interest credited to such Account since such</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Date as though the balance of that Account as of the prior Determination Date had been invested in the applicable Valuation Funds chosen by the Participant.</w:t>
      </w:r>
    </w:p>
    <w:p>
      <w:pPr>
        <w:spacing w:after="0" w:line="180" w:lineRule="exact"/>
        <w:rPr>
          <w:sz w:val="20"/>
          <w:szCs w:val="20"/>
          <w:color w:val="auto"/>
        </w:rPr>
      </w:pPr>
    </w:p>
    <w:p>
      <w:pPr>
        <w:ind w:left="400" w:hanging="388"/>
        <w:spacing w:after="0" w:line="235"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u w:val="single" w:color="auto"/>
          <w:color w:val="auto"/>
        </w:rPr>
        <w:t>Vesting of Accounts</w:t>
      </w:r>
      <w:r>
        <w:rPr>
          <w:rFonts w:ascii="Arial" w:cs="Arial" w:eastAsia="Arial" w:hAnsi="Arial"/>
          <w:sz w:val="22"/>
          <w:szCs w:val="22"/>
          <w:color w:val="auto"/>
        </w:rPr>
        <w:t>. Each Participant shall be vested in the amounts credited to such Participant’s Account and Interest thereon as follows:</w:t>
      </w:r>
    </w:p>
    <w:p>
      <w:pPr>
        <w:spacing w:after="0" w:line="180" w:lineRule="exact"/>
        <w:rPr>
          <w:sz w:val="20"/>
          <w:szCs w:val="20"/>
          <w:color w:val="auto"/>
        </w:rPr>
      </w:pPr>
    </w:p>
    <w:p>
      <w:pPr>
        <w:jc w:val="both"/>
        <w:ind w:left="780" w:hanging="383"/>
        <w:spacing w:after="0" w:line="225" w:lineRule="auto"/>
        <w:tabs>
          <w:tab w:leader="none" w:pos="775"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Amounts Deferred</w:t>
      </w:r>
      <w:r>
        <w:rPr>
          <w:rFonts w:ascii="Arial" w:cs="Arial" w:eastAsia="Arial" w:hAnsi="Arial"/>
          <w:sz w:val="22"/>
          <w:szCs w:val="22"/>
          <w:color w:val="auto"/>
        </w:rPr>
        <w:t>. Unless otherwise expressly provided by the Committee, a Participant shall be one hundred percent</w:t>
      </w:r>
      <w:r>
        <w:rPr>
          <w:rFonts w:ascii="Arial" w:cs="Arial" w:eastAsia="Arial" w:hAnsi="Arial"/>
          <w:sz w:val="22"/>
          <w:szCs w:val="22"/>
          <w:b w:val="1"/>
          <w:bCs w:val="1"/>
          <w:color w:val="auto"/>
        </w:rPr>
        <w:t xml:space="preserve"> </w:t>
      </w:r>
      <w:r>
        <w:rPr>
          <w:rFonts w:ascii="Arial" w:cs="Arial" w:eastAsia="Arial" w:hAnsi="Arial"/>
          <w:sz w:val="22"/>
          <w:szCs w:val="22"/>
          <w:color w:val="auto"/>
        </w:rPr>
        <w:t>(100%) vested at all times in the amount of Compensation elected to be deferred under this Plan, including any Interest thereon.</w:t>
      </w:r>
    </w:p>
    <w:p>
      <w:pPr>
        <w:spacing w:after="0" w:line="179" w:lineRule="exact"/>
        <w:rPr>
          <w:rFonts w:ascii="Arial" w:cs="Arial" w:eastAsia="Arial" w:hAnsi="Arial"/>
          <w:sz w:val="22"/>
          <w:szCs w:val="22"/>
          <w:color w:val="auto"/>
        </w:rPr>
      </w:pPr>
    </w:p>
    <w:p>
      <w:pPr>
        <w:jc w:val="both"/>
        <w:ind w:left="780" w:hanging="383"/>
        <w:spacing w:after="0" w:line="217" w:lineRule="auto"/>
        <w:tabs>
          <w:tab w:leader="none" w:pos="774"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 Contributions</w:t>
      </w:r>
      <w:r>
        <w:rPr>
          <w:rFonts w:ascii="Arial" w:cs="Arial" w:eastAsia="Arial" w:hAnsi="Arial"/>
          <w:sz w:val="22"/>
          <w:szCs w:val="22"/>
          <w:color w:val="auto"/>
        </w:rPr>
        <w:t>. A Participant’s Discretionary Contributions, Restoration Contributions, and Interest thereon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vested to the same extent as the Participant’s Qualified Plan Matching Account, provided that a Participant’s Discretionary Contributions, Restoration Contributions, and Interest thereon shall become one hundred (100%) vested as of the Participant’s death or Disability, and provided further that a Participant’s vested interest shall not be reduced under any circumstances.</w:t>
      </w:r>
    </w:p>
    <w:p>
      <w:pPr>
        <w:spacing w:after="0" w:line="179" w:lineRule="exact"/>
        <w:rPr>
          <w:sz w:val="20"/>
          <w:szCs w:val="20"/>
          <w:color w:val="auto"/>
        </w:rPr>
      </w:pPr>
    </w:p>
    <w:p>
      <w:pPr>
        <w:jc w:val="both"/>
        <w:ind w:left="400" w:hanging="388"/>
        <w:spacing w:after="0" w:line="223"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b w:val="1"/>
          <w:bCs w:val="1"/>
          <w:u w:val="single" w:color="auto"/>
          <w:color w:val="auto"/>
        </w:rPr>
        <w:t>Statement of Accounts</w:t>
      </w: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To the extent that the Participating Company does not arrange for Account balances to be accessible online by the Participant, the Committee shall provide to each Participant a statement showing the balances in the Participant’s Account no less frequently than annually.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22"/>
          <w:szCs w:val="22"/>
          <w:b w:val="1"/>
          <w:bCs w:val="1"/>
          <w:color w:val="auto"/>
        </w:rPr>
        <w:t xml:space="preserve">ARTICLE V - </w:t>
      </w:r>
      <w:r>
        <w:rPr>
          <w:rFonts w:ascii="Arial" w:cs="Arial" w:eastAsia="Arial" w:hAnsi="Arial"/>
          <w:sz w:val="22"/>
          <w:szCs w:val="22"/>
          <w:b w:val="1"/>
          <w:bCs w:val="1"/>
          <w:u w:val="single" w:color="auto"/>
          <w:color w:val="auto"/>
        </w:rPr>
        <w:t>PLAN BENEFITS</w:t>
      </w:r>
    </w:p>
    <w:p>
      <w:pPr>
        <w:spacing w:after="0" w:line="206" w:lineRule="exact"/>
        <w:rPr>
          <w:sz w:val="20"/>
          <w:szCs w:val="20"/>
          <w:color w:val="auto"/>
        </w:rPr>
      </w:pPr>
    </w:p>
    <w:p>
      <w:pPr>
        <w:jc w:val="both"/>
        <w:ind w:left="400" w:hanging="388"/>
        <w:spacing w:after="0" w:line="25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u w:val="single" w:color="auto"/>
          <w:color w:val="auto"/>
        </w:rPr>
        <w:t>Required Suspension of Payment of Benefits</w:t>
      </w:r>
      <w:r>
        <w:rPr>
          <w:rFonts w:ascii="Arial" w:cs="Arial" w:eastAsia="Arial" w:hAnsi="Arial"/>
          <w:sz w:val="19"/>
          <w:szCs w:val="19"/>
          <w:color w:val="auto"/>
        </w:rPr>
        <w:t>. To the extent compliance with the requirements of Treasury Regulation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67" w:lineRule="exact"/>
        <w:rPr>
          <w:sz w:val="20"/>
          <w:szCs w:val="20"/>
          <w:color w:val="auto"/>
        </w:rPr>
      </w:pPr>
    </w:p>
    <w:p>
      <w:pPr>
        <w:jc w:val="both"/>
        <w:ind w:left="400" w:hanging="388"/>
        <w:spacing w:after="0" w:line="235"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u w:val="single" w:color="auto"/>
          <w:color w:val="auto"/>
        </w:rPr>
        <w:t>Grandfathered Account</w:t>
      </w:r>
      <w:r>
        <w:rPr>
          <w:rFonts w:ascii="Arial" w:cs="Arial" w:eastAsia="Arial" w:hAnsi="Arial"/>
          <w:sz w:val="22"/>
          <w:szCs w:val="22"/>
          <w:color w:val="auto"/>
        </w:rPr>
        <w:t>. The vested portion of a Participant’s Grandfathered Account shall be distributed in accordance with the rules of the applicable Legacy Plan.</w:t>
      </w:r>
    </w:p>
    <w:p>
      <w:pPr>
        <w:spacing w:after="0" w:line="153" w:lineRule="exact"/>
        <w:rPr>
          <w:sz w:val="20"/>
          <w:szCs w:val="20"/>
          <w:color w:val="auto"/>
        </w:rPr>
      </w:pPr>
    </w:p>
    <w:p>
      <w:pPr>
        <w:jc w:val="both"/>
        <w:ind w:left="400" w:hanging="388"/>
        <w:spacing w:after="0" w:line="244"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u w:val="single" w:color="auto"/>
          <w:color w:val="auto"/>
        </w:rPr>
        <w:t>New Plan Account</w:t>
      </w:r>
      <w:r>
        <w:rPr>
          <w:rFonts w:ascii="Arial" w:cs="Arial" w:eastAsia="Arial" w:hAnsi="Arial"/>
          <w:sz w:val="19"/>
          <w:szCs w:val="19"/>
          <w:color w:val="auto"/>
        </w:rPr>
        <w:t>. The vested portion of a Participant’s New Plan Account shall generally be distributed to the Participant upon the date specified by the Participant, as provided in this Section 5.3. If a Participation’s Deferral Commitment under a Legacy Deferred Compensation Plan applies to the 2021 Plan Year (as provided in Section 3.3) but the Participant does not timely deliver a Distribution Election with respect that Deferral Commitment, such Participant shall be treated as having timely filed a Distribution Election for the 2021 Plan Year which provides for payment in the form of a lump sum in January of the second Plan Year beginning after the Compensation subject to the Deferral Commitment would have been paid to the Participant but for such Deferral Commitment. (For avoidance of doubt, the default scheduled lump sum distribution date with respect to base salary earned in 2021 shall be January 2023, and the default scheduled lump sum distribution date with respect to other Compensation earned in 2021 but payable but for such Deferral Commitment in 2022 shall be January 2024. Such default scheduled lump sum distribution dates are subject to change pursuant to Section 5.4.)</w:t>
      </w:r>
    </w:p>
    <w:p>
      <w:pPr>
        <w:spacing w:after="0" w:line="182" w:lineRule="exact"/>
        <w:rPr>
          <w:sz w:val="20"/>
          <w:szCs w:val="20"/>
          <w:color w:val="auto"/>
        </w:rPr>
      </w:pPr>
    </w:p>
    <w:p>
      <w:pPr>
        <w:ind w:left="780" w:hanging="383"/>
        <w:spacing w:after="0"/>
        <w:tabs>
          <w:tab w:leader="none" w:pos="780" w:val="left"/>
        </w:tabs>
        <w:numPr>
          <w:ilvl w:val="0"/>
          <w:numId w:val="244"/>
        </w:numPr>
        <w:rPr>
          <w:rFonts w:ascii="Arial" w:cs="Arial" w:eastAsia="Arial" w:hAnsi="Arial"/>
          <w:sz w:val="22"/>
          <w:szCs w:val="22"/>
          <w:color w:val="auto"/>
        </w:rPr>
      </w:pPr>
      <w:r>
        <w:rPr>
          <w:rFonts w:ascii="Arial" w:cs="Arial" w:eastAsia="Arial" w:hAnsi="Arial"/>
          <w:sz w:val="22"/>
          <w:szCs w:val="22"/>
          <w:b w:val="1"/>
          <w:bCs w:val="1"/>
          <w:u w:val="single" w:color="auto"/>
          <w:color w:val="auto"/>
        </w:rPr>
        <w:t>Timing of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040" w:right="20" w:hanging="254"/>
        <w:spacing w:after="0" w:line="235" w:lineRule="auto"/>
        <w:tabs>
          <w:tab w:leader="none" w:pos="1034" w:val="left"/>
        </w:tabs>
        <w:numPr>
          <w:ilvl w:val="1"/>
          <w:numId w:val="244"/>
        </w:numPr>
        <w:rPr>
          <w:rFonts w:ascii="Arial" w:cs="Arial" w:eastAsia="Arial" w:hAnsi="Arial"/>
          <w:sz w:val="22"/>
          <w:szCs w:val="22"/>
          <w:color w:val="auto"/>
        </w:rPr>
      </w:pPr>
      <w:r>
        <w:rPr>
          <w:rFonts w:ascii="Arial" w:cs="Arial" w:eastAsia="Arial" w:hAnsi="Arial"/>
          <w:sz w:val="22"/>
          <w:szCs w:val="22"/>
          <w:b w:val="1"/>
          <w:bCs w:val="1"/>
          <w:u w:val="single" w:color="auto"/>
          <w:color w:val="auto"/>
        </w:rPr>
        <w:t>In General</w:t>
      </w:r>
      <w:r>
        <w:rPr>
          <w:rFonts w:ascii="Arial" w:cs="Arial" w:eastAsia="Arial" w:hAnsi="Arial"/>
          <w:sz w:val="22"/>
          <w:szCs w:val="22"/>
          <w:color w:val="auto"/>
        </w:rPr>
        <w:t>. Except as otherwise provided in this Article V, benefits payable from the New Plan Account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commence in January of the year specified in the Participant’s Election.</w:t>
      </w:r>
    </w:p>
    <w:p>
      <w:pPr>
        <w:spacing w:after="0" w:line="179" w:lineRule="exact"/>
        <w:rPr>
          <w:rFonts w:ascii="Arial" w:cs="Arial" w:eastAsia="Arial" w:hAnsi="Arial"/>
          <w:sz w:val="22"/>
          <w:szCs w:val="22"/>
          <w:color w:val="auto"/>
        </w:rPr>
      </w:pPr>
    </w:p>
    <w:p>
      <w:pPr>
        <w:ind w:left="1040" w:hanging="254"/>
        <w:spacing w:after="0" w:line="235" w:lineRule="auto"/>
        <w:tabs>
          <w:tab w:leader="none" w:pos="1040" w:val="left"/>
        </w:tabs>
        <w:numPr>
          <w:ilvl w:val="1"/>
          <w:numId w:val="24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If the Participant has a Termination other than because of death or Disability, the benefits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5.3(a) shall commence on the date specified in the Participant’s Distribution Election.</w:t>
      </w:r>
    </w:p>
    <w:p>
      <w:pPr>
        <w:spacing w:after="0" w:line="179" w:lineRule="exact"/>
        <w:rPr>
          <w:rFonts w:ascii="Arial" w:cs="Arial" w:eastAsia="Arial" w:hAnsi="Arial"/>
          <w:sz w:val="22"/>
          <w:szCs w:val="22"/>
          <w:color w:val="auto"/>
        </w:rPr>
      </w:pPr>
    </w:p>
    <w:p>
      <w:pPr>
        <w:jc w:val="both"/>
        <w:ind w:left="780" w:hanging="383"/>
        <w:spacing w:after="0" w:line="217" w:lineRule="auto"/>
        <w:tabs>
          <w:tab w:leader="none" w:pos="774" w:val="left"/>
        </w:tabs>
        <w:numPr>
          <w:ilvl w:val="0"/>
          <w:numId w:val="244"/>
        </w:numPr>
        <w:rPr>
          <w:rFonts w:ascii="Arial" w:cs="Arial" w:eastAsia="Arial" w:hAnsi="Arial"/>
          <w:sz w:val="22"/>
          <w:szCs w:val="22"/>
          <w:color w:val="auto"/>
        </w:rPr>
      </w:pPr>
      <w:r>
        <w:rPr>
          <w:rFonts w:ascii="Arial" w:cs="Arial" w:eastAsia="Arial" w:hAnsi="Arial"/>
          <w:sz w:val="22"/>
          <w:szCs w:val="22"/>
          <w:b w:val="1"/>
          <w:bCs w:val="1"/>
          <w:u w:val="single" w:color="auto"/>
          <w:color w:val="auto"/>
        </w:rPr>
        <w:t>Form of Payment</w:t>
      </w:r>
      <w:r>
        <w:rPr>
          <w:rFonts w:ascii="Arial" w:cs="Arial" w:eastAsia="Arial" w:hAnsi="Arial"/>
          <w:sz w:val="22"/>
          <w:szCs w:val="22"/>
          <w:color w:val="auto"/>
        </w:rPr>
        <w:t>. The form of benefit payment from the New Plan Account shall be that form selected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pursuant to Section 5.8, below, except that if the Participant terminates employment with a Participating Company prior to the year specified for benefit payment, then the New Plan Account shall be paid in a lump sum. If the form of payment selected provides for subsequent payments, subsequent payments shall be made on or about the anniversary of the initial payment.</w:t>
      </w:r>
    </w:p>
    <w:p>
      <w:pPr>
        <w:spacing w:after="0" w:line="179" w:lineRule="exact"/>
        <w:rPr>
          <w:sz w:val="20"/>
          <w:szCs w:val="20"/>
          <w:color w:val="auto"/>
        </w:rPr>
      </w:pPr>
    </w:p>
    <w:p>
      <w:pPr>
        <w:jc w:val="both"/>
        <w:ind w:left="400" w:hanging="388"/>
        <w:spacing w:after="0" w:line="250"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u w:val="single" w:color="auto"/>
          <w:color w:val="auto"/>
        </w:rPr>
        <w:t>Change of Time and/or Form of Payment</w:t>
      </w:r>
      <w:r>
        <w:rPr>
          <w:rFonts w:ascii="Arial" w:cs="Arial" w:eastAsia="Arial" w:hAnsi="Arial"/>
          <w:sz w:val="19"/>
          <w:szCs w:val="19"/>
          <w:color w:val="auto"/>
        </w:rPr>
        <w:t>. The Participant may amend the form of payment or the intended date of payment all or any part of a New Plan Account to a date later than that date of payment in force immediately prior to the filing of such request, by filing such amendment with the Committee no later than twelve (12) months prior to the current date of payment. The Participant may file this amendment, provided that each amendment must provide for a payout as otherwise permitted under this paragraph at a date no earlier than five (5) years after the date of payment in force immediately prior to the filing of such request, and the amendment may not take effect for twelve (12) months after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395" w:right="339" w:bottom="1440" w:gutter="0" w:footer="0" w:header="0"/>
        </w:sectPr>
      </w:pPr>
    </w:p>
    <w:bookmarkStart w:id="268" w:name="page269"/>
    <w:bookmarkEnd w:id="268"/>
    <w:p>
      <w:pPr>
        <w:jc w:val="both"/>
        <w:ind w:left="400"/>
        <w:spacing w:after="0" w:line="223" w:lineRule="auto"/>
        <w:rPr>
          <w:sz w:val="20"/>
          <w:szCs w:val="20"/>
          <w:color w:val="auto"/>
        </w:rPr>
      </w:pPr>
      <w:r>
        <w:rPr>
          <w:rFonts w:ascii="Arial" w:cs="Arial" w:eastAsia="Arial" w:hAnsi="Arial"/>
          <w:sz w:val="22"/>
          <w:szCs w:val="22"/>
          <w:color w:val="auto"/>
        </w:rPr>
        <w:t>the request is made. For purposes of this Article, a payment of amounts under this Plan, including the payment of annual installments over a number of years, shall be treated as a single payment, as provided in Treas. Reg. Section 1-409A-2(b)(2) (iii).</w:t>
      </w:r>
    </w:p>
    <w:p>
      <w:pPr>
        <w:spacing w:after="0" w:line="180" w:lineRule="exact"/>
        <w:rPr>
          <w:sz w:val="20"/>
          <w:szCs w:val="20"/>
          <w:color w:val="auto"/>
        </w:rPr>
      </w:pPr>
    </w:p>
    <w:p>
      <w:pPr>
        <w:jc w:val="both"/>
        <w:ind w:left="400" w:hanging="388"/>
        <w:spacing w:after="0" w:line="248"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b w:val="1"/>
          <w:bCs w:val="1"/>
          <w:u w:val="single" w:color="auto"/>
          <w:color w:val="auto"/>
        </w:rPr>
        <w:t>Death Benefit</w:t>
      </w:r>
      <w:r>
        <w:rPr>
          <w:rFonts w:ascii="Arial" w:cs="Arial" w:eastAsia="Arial" w:hAnsi="Arial"/>
          <w:sz w:val="19"/>
          <w:szCs w:val="19"/>
          <w:color w:val="auto"/>
        </w:rPr>
        <w:t>. Upon the death of a Participant prior to the commencement of benefits attributable to Grandfathered Accounts, distributions shall be made in accordance with the applicable Legacy Plan. Upon the death of a Participant prior to the commencement of benefits under this Plan from a New Plan Account, Company shall pay to the Participant’s Beneficiary an amount equal to the vested Account balance in that Account in the form of a lump sum payment in January of the calendar year beginning after the Participant’s death. In the event of the death of the Participant after the commencement of benefits under this Plan from any Account, the benefits from that Account shall be paid to the Participant’s designated Beneficiary from that Account in a lump sum payment in January of the calendar year beginning after the Participant’s death.</w:t>
      </w:r>
    </w:p>
    <w:p>
      <w:pPr>
        <w:spacing w:after="0" w:line="175" w:lineRule="exact"/>
        <w:rPr>
          <w:sz w:val="20"/>
          <w:szCs w:val="20"/>
          <w:color w:val="auto"/>
        </w:rPr>
      </w:pPr>
    </w:p>
    <w:p>
      <w:pPr>
        <w:jc w:val="both"/>
        <w:ind w:left="400" w:hanging="388"/>
        <w:spacing w:after="0" w:line="244"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u w:val="single" w:color="auto"/>
          <w:color w:val="auto"/>
        </w:rPr>
        <w:t>Hardship Distributions</w:t>
      </w:r>
      <w:r>
        <w:rPr>
          <w:rFonts w:ascii="Arial" w:cs="Arial" w:eastAsia="Arial" w:hAnsi="Arial"/>
          <w:sz w:val="19"/>
          <w:szCs w:val="19"/>
          <w:color w:val="auto"/>
        </w:rPr>
        <w:t>. Upon a finding that a Participant has suffered a Financial Hardship, the Committee may, in its sole discretion, terminate the existing Deferral Commitment, and/or make distributions from any or all of the Participant’s Accounts. The amount of such distribution shall be limited to the amount reasonably necessary to meet the Participant’s needs resulting from the Financial Hardship plus amounts necessary to pay taxes reasonably anticipated as a result of the distribution, after taking into account the extent to which such Financial Hardship is or may be relieved through the reimbursement or compensation by insurance, or otherwise or by liquidation of the Participant’s assets (to the extent that liquidation of such assets would not itself cause severe financial hardship). The amount of such distribution will not exceed the Participant’s vested Account balances. If payment is made due to Financial Hardship, the Participant’s deferrals under this Plan shall cease for the period of the Financial Hardship and for twelve (12) months thereafter. If the Participant is again eligible to participate, any resumption of the Participant’s deferrals under the Plan after such twelve (12) month period shall be made only at the election of the Participant in accordance with Article III herein.</w:t>
      </w:r>
    </w:p>
    <w:p>
      <w:pPr>
        <w:spacing w:after="0" w:line="176" w:lineRule="exact"/>
        <w:rPr>
          <w:sz w:val="20"/>
          <w:szCs w:val="20"/>
          <w:color w:val="auto"/>
        </w:rPr>
      </w:pPr>
    </w:p>
    <w:p>
      <w:pPr>
        <w:jc w:val="both"/>
        <w:ind w:left="400" w:hanging="388"/>
        <w:spacing w:after="0" w:line="211"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u w:val="single" w:color="auto"/>
          <w:color w:val="auto"/>
        </w:rPr>
        <w:t>Disability Distributions</w:t>
      </w:r>
      <w:r>
        <w:rPr>
          <w:rFonts w:ascii="Arial" w:cs="Arial" w:eastAsia="Arial" w:hAnsi="Arial"/>
          <w:sz w:val="22"/>
          <w:szCs w:val="22"/>
          <w:color w:val="auto"/>
        </w:rPr>
        <w:t>. With respect to a Participant’s Grandfathered Accounts, upon a finding that a Participant has suffered a disability, within the meaning of the applicable Legacy Plan, the Committee shall make a distribution of the Participant’s Grandfathered Accounts as provided in the applicable Legacy Plan. Upon a finding that a Participant has suffered a Disability prior to the commencement of benefits under this Plan from a New Plan Account, the Committee shall pay to the Participant an amount equal to the vested Account balance in that Account in the form of a lump sum payment in January of the calendar year beginning after the Participant’s Disability. In the event of the Disability of the Participant after the commencement of benefits under this Plan from any Account, the benefits from that Account shall be paid to the Participant from that Account in a lump sum payment in January of the calendar year beginning after the Participant’s disability.</w:t>
      </w:r>
    </w:p>
    <w:p>
      <w:pPr>
        <w:spacing w:after="0" w:line="185" w:lineRule="exact"/>
        <w:rPr>
          <w:sz w:val="20"/>
          <w:szCs w:val="20"/>
          <w:color w:val="auto"/>
        </w:rPr>
      </w:pPr>
    </w:p>
    <w:p>
      <w:pPr>
        <w:jc w:val="both"/>
        <w:ind w:left="400" w:hanging="388"/>
        <w:spacing w:after="0" w:line="235"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b w:val="1"/>
          <w:bCs w:val="1"/>
          <w:u w:val="single" w:color="auto"/>
          <w:color w:val="auto"/>
        </w:rPr>
        <w:t>Form of Payment</w:t>
      </w:r>
      <w:r>
        <w:rPr>
          <w:rFonts w:ascii="Arial" w:cs="Arial" w:eastAsia="Arial" w:hAnsi="Arial"/>
          <w:sz w:val="22"/>
          <w:szCs w:val="22"/>
          <w:color w:val="auto"/>
        </w:rPr>
        <w:t>. Grandfathered Accounts shall be distributed in the form provided in the applicable Legacy Plan. New Plan Accounts shall be distributed in the form provided in this Section 5.8.</w:t>
      </w:r>
    </w:p>
    <w:p>
      <w:pPr>
        <w:spacing w:after="0" w:line="186" w:lineRule="exact"/>
        <w:rPr>
          <w:sz w:val="20"/>
          <w:szCs w:val="20"/>
          <w:color w:val="auto"/>
        </w:rPr>
      </w:pPr>
    </w:p>
    <w:p>
      <w:pPr>
        <w:jc w:val="both"/>
        <w:ind w:left="780" w:hanging="383"/>
        <w:spacing w:after="0" w:line="268" w:lineRule="auto"/>
        <w:tabs>
          <w:tab w:leader="none" w:pos="775" w:val="left"/>
        </w:tabs>
        <w:numPr>
          <w:ilvl w:val="0"/>
          <w:numId w:val="245"/>
        </w:numPr>
        <w:rPr>
          <w:rFonts w:ascii="Arial" w:cs="Arial" w:eastAsia="Arial" w:hAnsi="Arial"/>
          <w:sz w:val="19"/>
          <w:szCs w:val="19"/>
          <w:color w:val="auto"/>
        </w:rPr>
      </w:pPr>
      <w:r>
        <w:rPr>
          <w:rFonts w:ascii="Arial" w:cs="Arial" w:eastAsia="Arial" w:hAnsi="Arial"/>
          <w:sz w:val="19"/>
          <w:szCs w:val="19"/>
          <w:color w:val="auto"/>
        </w:rPr>
        <w:t>Unless otherwise specified in this Article, the benefits payable from any Account under this Plan shall be paid in the form of benefit as provided in this Section 5.7, and specified by the Participant in the Distribution Election applicable to that Account at the time of the initial deferral or credit to that Account. The permitted forms of benefit payments are: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269" w:name="page270"/>
    <w:bookmarkEnd w:id="269"/>
    <w:p>
      <w:pPr>
        <w:ind w:left="780" w:hanging="383"/>
        <w:spacing w:after="0"/>
        <w:tabs>
          <w:tab w:leader="none" w:pos="78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A lump sum amount which is equal to the vested Account balance; and</w:t>
      </w:r>
    </w:p>
    <w:p>
      <w:pPr>
        <w:spacing w:after="0" w:line="206" w:lineRule="exact"/>
        <w:rPr>
          <w:rFonts w:ascii="Arial" w:cs="Arial" w:eastAsia="Arial" w:hAnsi="Arial"/>
          <w:sz w:val="22"/>
          <w:szCs w:val="22"/>
          <w:color w:val="auto"/>
        </w:rPr>
      </w:pPr>
    </w:p>
    <w:p>
      <w:pPr>
        <w:jc w:val="both"/>
        <w:ind w:left="780" w:hanging="383"/>
        <w:spacing w:after="0" w:line="247" w:lineRule="auto"/>
        <w:tabs>
          <w:tab w:leader="none" w:pos="775" w:val="left"/>
        </w:tabs>
        <w:numPr>
          <w:ilvl w:val="0"/>
          <w:numId w:val="246"/>
        </w:numPr>
        <w:rPr>
          <w:rFonts w:ascii="Arial" w:cs="Arial" w:eastAsia="Arial" w:hAnsi="Arial"/>
          <w:sz w:val="19"/>
          <w:szCs w:val="19"/>
          <w:color w:val="auto"/>
        </w:rPr>
      </w:pPr>
      <w:r>
        <w:rPr>
          <w:rFonts w:ascii="Arial" w:cs="Arial" w:eastAsia="Arial" w:hAnsi="Arial"/>
          <w:sz w:val="19"/>
          <w:szCs w:val="19"/>
          <w:color w:val="auto"/>
        </w:rPr>
        <w:t>Annual installments for a period of either five (5) years or ten (10) years where the annual payment shall be equal to the vested balance of the Account immediately prior to the payment, multiplied by a fraction, the numerator of which is one</w:t>
      </w:r>
    </w:p>
    <w:p>
      <w:pPr>
        <w:ind w:left="1100" w:hanging="314"/>
        <w:spacing w:after="0" w:line="237" w:lineRule="auto"/>
        <w:tabs>
          <w:tab w:leader="none" w:pos="1100" w:val="left"/>
        </w:tabs>
        <w:numPr>
          <w:ilvl w:val="1"/>
          <w:numId w:val="246"/>
        </w:numPr>
        <w:rPr>
          <w:rFonts w:ascii="Arial" w:cs="Arial" w:eastAsia="Arial" w:hAnsi="Arial"/>
          <w:sz w:val="19"/>
          <w:szCs w:val="19"/>
          <w:color w:val="auto"/>
        </w:rPr>
      </w:pPr>
      <w:r>
        <w:rPr>
          <w:rFonts w:ascii="Arial" w:cs="Arial" w:eastAsia="Arial" w:hAnsi="Arial"/>
          <w:sz w:val="19"/>
          <w:szCs w:val="19"/>
          <w:color w:val="auto"/>
        </w:rPr>
        <w:t>and the denominator of which commences at the number of annual payments initially chosen and is reduced by one</w:t>
      </w:r>
    </w:p>
    <w:p>
      <w:pPr>
        <w:ind w:left="780" w:firstLine="6"/>
        <w:spacing w:after="0" w:line="234" w:lineRule="auto"/>
        <w:tabs>
          <w:tab w:leader="none" w:pos="1118" w:val="left"/>
        </w:tabs>
        <w:numPr>
          <w:ilvl w:val="1"/>
          <w:numId w:val="247"/>
        </w:numPr>
        <w:rPr>
          <w:rFonts w:ascii="Arial" w:cs="Arial" w:eastAsia="Arial" w:hAnsi="Arial"/>
          <w:sz w:val="21"/>
          <w:szCs w:val="21"/>
          <w:color w:val="auto"/>
        </w:rPr>
      </w:pPr>
      <w:r>
        <w:rPr>
          <w:rFonts w:ascii="Arial" w:cs="Arial" w:eastAsia="Arial" w:hAnsi="Arial"/>
          <w:sz w:val="21"/>
          <w:szCs w:val="21"/>
          <w:color w:val="auto"/>
        </w:rPr>
        <w:t>in each succeeding year. Interest on the unpaid balance shall be based on the most recent allocation among the available Valuation Funds chosen by the Participant, made in accordance with Section 4.3, above.</w:t>
      </w:r>
    </w:p>
    <w:p>
      <w:pPr>
        <w:spacing w:after="0" w:line="180" w:lineRule="exact"/>
        <w:rPr>
          <w:sz w:val="20"/>
          <w:szCs w:val="20"/>
          <w:color w:val="auto"/>
        </w:rPr>
      </w:pPr>
    </w:p>
    <w:p>
      <w:pPr>
        <w:jc w:val="both"/>
        <w:ind w:left="400" w:hanging="388"/>
        <w:spacing w:after="0" w:line="271"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b w:val="1"/>
          <w:bCs w:val="1"/>
          <w:u w:val="single" w:color="auto"/>
          <w:color w:val="auto"/>
        </w:rPr>
        <w:t>Small Account</w:t>
      </w:r>
      <w:r>
        <w:rPr>
          <w:rFonts w:ascii="Arial" w:cs="Arial" w:eastAsia="Arial" w:hAnsi="Arial"/>
          <w:sz w:val="19"/>
          <w:szCs w:val="19"/>
          <w:color w:val="auto"/>
        </w:rPr>
        <w:t>. If the Participant’s vested, unpaid balance of any Account as of the time the payments are to commence from such Account is less than $25,000, then the Participating Company may cause the remaining unpaid, vested portion of such Account to be paid in a lump sum, notwithstanding any election by the Participant to the contrary.</w:t>
      </w:r>
    </w:p>
    <w:p>
      <w:pPr>
        <w:spacing w:after="0" w:line="151" w:lineRule="exact"/>
        <w:rPr>
          <w:sz w:val="20"/>
          <w:szCs w:val="20"/>
          <w:color w:val="auto"/>
        </w:rPr>
      </w:pPr>
    </w:p>
    <w:p>
      <w:pPr>
        <w:jc w:val="both"/>
        <w:ind w:left="400" w:hanging="485"/>
        <w:spacing w:after="0" w:line="225"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b w:val="1"/>
          <w:bCs w:val="1"/>
          <w:u w:val="single" w:color="auto"/>
          <w:color w:val="auto"/>
        </w:rPr>
        <w:t>Withholding; Payroll Taxes</w:t>
      </w:r>
      <w:r>
        <w:rPr>
          <w:rFonts w:ascii="Arial" w:cs="Arial" w:eastAsia="Arial" w:hAnsi="Arial"/>
          <w:sz w:val="22"/>
          <w:szCs w:val="22"/>
          <w:color w:val="auto"/>
        </w:rPr>
        <w:t>. The Participating Company shall withhold from any payment made pursuant to this Plan any taxes required to be withheld from such payments under federal, state, or local law, as determined by the Participating Company in its sole discretion.</w:t>
      </w:r>
    </w:p>
    <w:p>
      <w:pPr>
        <w:spacing w:after="0" w:line="180" w:lineRule="exact"/>
        <w:rPr>
          <w:sz w:val="20"/>
          <w:szCs w:val="20"/>
          <w:color w:val="auto"/>
        </w:rPr>
      </w:pPr>
    </w:p>
    <w:p>
      <w:pPr>
        <w:jc w:val="both"/>
        <w:ind w:left="400" w:hanging="485"/>
        <w:spacing w:after="0" w:line="250"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b w:val="1"/>
          <w:bCs w:val="1"/>
          <w:u w:val="single" w:color="auto"/>
          <w:color w:val="auto"/>
        </w:rPr>
        <w:t>Payments in Connection with a Domestic Relations Order</w:t>
      </w:r>
      <w:r>
        <w:rPr>
          <w:rFonts w:ascii="Arial" w:cs="Arial" w:eastAsia="Arial" w:hAnsi="Arial"/>
          <w:sz w:val="19"/>
          <w:szCs w:val="19"/>
          <w:color w:val="auto"/>
        </w:rPr>
        <w:t>. Notwithstanding anything to the contrary, a Participating Company may make distributions to someone other than the Participant if such payment is necessary to comply with a domestic relations order, as defined in Section 414(p)(1)(B) of the Code, involving the Participant. Where the domestic relations order permits discretion on the part of the non-Participant spouse and such discretion has not been exercised, the Participating Company shall distribute to the non-Participant spouse the amounts subject to the order as soon as administratively practicable following the date such order becomes final and non-appealable.</w:t>
      </w:r>
    </w:p>
    <w:p>
      <w:pPr>
        <w:spacing w:after="0" w:line="173" w:lineRule="exact"/>
        <w:rPr>
          <w:sz w:val="20"/>
          <w:szCs w:val="20"/>
          <w:color w:val="auto"/>
        </w:rPr>
      </w:pPr>
    </w:p>
    <w:p>
      <w:pPr>
        <w:jc w:val="both"/>
        <w:ind w:left="400" w:hanging="485"/>
        <w:spacing w:after="0" w:line="254"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b w:val="1"/>
          <w:bCs w:val="1"/>
          <w:u w:val="single" w:color="auto"/>
          <w:color w:val="auto"/>
        </w:rPr>
        <w:t>Payment to Guardian</w:t>
      </w:r>
      <w:r>
        <w:rPr>
          <w:rFonts w:ascii="Arial" w:cs="Arial" w:eastAsia="Arial" w:hAnsi="Arial"/>
          <w:sz w:val="19"/>
          <w:szCs w:val="19"/>
          <w:color w:val="auto"/>
        </w:rPr>
        <w:t>. If a Plan benefit is payable to a minor or a person declared incompetent or to a person incapable of handling the disposition of the property, the Committee shall direct payment to the guardian, legal representative or person having the care and custody of such minor, incompetent or person. The Committee shall require proof of incompetency, minority, incapacity or guardianship as it may deem appropriate prior to distribution. Such distribution shall completely discharge the Committee and Company or any Participating Company from all liability with respect to such benefit.</w:t>
      </w:r>
    </w:p>
    <w:p>
      <w:pPr>
        <w:spacing w:after="0" w:line="167" w:lineRule="exact"/>
        <w:rPr>
          <w:sz w:val="20"/>
          <w:szCs w:val="20"/>
          <w:color w:val="auto"/>
        </w:rPr>
      </w:pPr>
    </w:p>
    <w:p>
      <w:pPr>
        <w:jc w:val="both"/>
        <w:ind w:left="400" w:hanging="485"/>
        <w:spacing w:after="0" w:line="271"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b w:val="1"/>
          <w:bCs w:val="1"/>
          <w:u w:val="single" w:color="auto"/>
          <w:color w:val="auto"/>
        </w:rPr>
        <w:t>Effect of Payment</w:t>
      </w:r>
      <w:r>
        <w:rPr>
          <w:rFonts w:ascii="Arial" w:cs="Arial" w:eastAsia="Arial" w:hAnsi="Arial"/>
          <w:sz w:val="19"/>
          <w:szCs w:val="19"/>
          <w:color w:val="auto"/>
        </w:rPr>
        <w:t>. The full payment of the applicable benefit under this Article V shall completely discharge all obligations on the part of the Company or any Participating Company to the Participant (and the Participant’s Beneficiary) with respect to the operation of this Plan, and the Participant’s (and Participant’s Beneficiary’s) rights under this Plan shall terminate.</w:t>
      </w:r>
    </w:p>
    <w:p>
      <w:pPr>
        <w:spacing w:after="0" w:line="151" w:lineRule="exact"/>
        <w:rPr>
          <w:sz w:val="20"/>
          <w:szCs w:val="20"/>
          <w:color w:val="auto"/>
        </w:rPr>
      </w:pPr>
    </w:p>
    <w:p>
      <w:pPr>
        <w:jc w:val="both"/>
        <w:ind w:left="400" w:hanging="485"/>
        <w:spacing w:after="0" w:line="271"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b w:val="1"/>
          <w:bCs w:val="1"/>
          <w:u w:val="single" w:color="auto"/>
          <w:color w:val="auto"/>
        </w:rPr>
        <w:t>Permissible Acceleration of Payments</w:t>
      </w:r>
      <w:r>
        <w:rPr>
          <w:rFonts w:ascii="Arial" w:cs="Arial" w:eastAsia="Arial" w:hAnsi="Arial"/>
          <w:sz w:val="19"/>
          <w:szCs w:val="19"/>
          <w:color w:val="auto"/>
        </w:rPr>
        <w:t>. To the extent permitted by Section 409A of the Code, the Committee may, in its sole discretion, accelerate the time or schedule of a payment under the Plan as permitted and set forth in Treas. Reg. §1-409A-3(j)(4), or as may otherwise be provided by the Treasury or the Internal Revenue Service from time to time.</w:t>
      </w:r>
    </w:p>
    <w:p>
      <w:pPr>
        <w:spacing w:after="0" w:line="151" w:lineRule="exact"/>
        <w:rPr>
          <w:sz w:val="20"/>
          <w:szCs w:val="20"/>
          <w:color w:val="auto"/>
        </w:rPr>
      </w:pPr>
    </w:p>
    <w:p>
      <w:pPr>
        <w:jc w:val="both"/>
        <w:ind w:left="400" w:hanging="485"/>
        <w:spacing w:after="0" w:line="217" w:lineRule="auto"/>
        <w:rPr>
          <w:sz w:val="20"/>
          <w:szCs w:val="20"/>
          <w:color w:val="auto"/>
        </w:rPr>
      </w:pPr>
      <w:r>
        <w:rPr>
          <w:rFonts w:ascii="Arial" w:cs="Arial" w:eastAsia="Arial" w:hAnsi="Arial"/>
          <w:sz w:val="22"/>
          <w:szCs w:val="22"/>
          <w:color w:val="auto"/>
        </w:rPr>
        <w:t xml:space="preserve">5.15. </w:t>
      </w:r>
      <w:r>
        <w:rPr>
          <w:rFonts w:ascii="Arial" w:cs="Arial" w:eastAsia="Arial" w:hAnsi="Arial"/>
          <w:sz w:val="22"/>
          <w:szCs w:val="22"/>
          <w:b w:val="1"/>
          <w:bCs w:val="1"/>
          <w:u w:val="single" w:color="auto"/>
          <w:color w:val="auto"/>
        </w:rPr>
        <w:t>Discretion to Provide for Distribution in Full Upon or Following a Change of Control</w:t>
      </w:r>
      <w:r>
        <w:rPr>
          <w:rFonts w:ascii="Arial" w:cs="Arial" w:eastAsia="Arial" w:hAnsi="Arial"/>
          <w:sz w:val="22"/>
          <w:szCs w:val="22"/>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Election, distribute the Account balance of each Participant in full and thereby effect the revocation of any outstanding Election.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22"/>
          <w:szCs w:val="22"/>
          <w:b w:val="1"/>
          <w:bCs w:val="1"/>
          <w:color w:val="auto"/>
        </w:rPr>
        <w:t xml:space="preserve">ARTICLE VI - </w:t>
      </w:r>
      <w:r>
        <w:rPr>
          <w:rFonts w:ascii="Arial" w:cs="Arial" w:eastAsia="Arial" w:hAnsi="Arial"/>
          <w:sz w:val="22"/>
          <w:szCs w:val="22"/>
          <w:b w:val="1"/>
          <w:bCs w:val="1"/>
          <w:u w:val="single" w:color="auto"/>
          <w:color w:val="auto"/>
        </w:rPr>
        <w:t>BENEFICIARY DESIGNATION</w:t>
      </w:r>
    </w:p>
    <w:p>
      <w:pPr>
        <w:spacing w:after="0" w:line="179" w:lineRule="exact"/>
        <w:rPr>
          <w:sz w:val="20"/>
          <w:szCs w:val="20"/>
          <w:color w:val="auto"/>
        </w:rPr>
      </w:pPr>
    </w:p>
    <w:p>
      <w:pPr>
        <w:jc w:val="both"/>
        <w:ind w:left="400" w:hanging="388"/>
        <w:spacing w:after="0" w:line="217"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u w:val="single" w:color="auto"/>
          <w:color w:val="auto"/>
        </w:rPr>
        <w:t>Beneficiary Designation</w:t>
      </w:r>
      <w:r>
        <w:rPr>
          <w:rFonts w:ascii="Arial" w:cs="Arial" w:eastAsia="Arial" w:hAnsi="Arial"/>
          <w:sz w:val="22"/>
          <w:szCs w:val="22"/>
          <w:color w:val="auto"/>
        </w:rPr>
        <w:t>. Each Participant shall have the right, at any time, to designate one (1) or more persons or entity as Beneficiary (both primary as well as secondary) to who benefits under this Plan shall be paid in the event of Participant’s death prior to complete distribution of the Participant’s vested Account balance. Each Beneficiary designation shall be in a written form prescribed by the Committee and shall be effective only when filed with the Committee during the Participant’s lifetime.</w:t>
      </w:r>
    </w:p>
    <w:p>
      <w:pPr>
        <w:spacing w:after="0" w:line="179" w:lineRule="exact"/>
        <w:rPr>
          <w:sz w:val="20"/>
          <w:szCs w:val="20"/>
          <w:color w:val="auto"/>
        </w:rPr>
      </w:pPr>
    </w:p>
    <w:p>
      <w:pPr>
        <w:jc w:val="both"/>
        <w:ind w:left="400" w:hanging="388"/>
        <w:spacing w:after="0" w:line="235"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u w:val="single" w:color="auto"/>
          <w:color w:val="auto"/>
        </w:rPr>
        <w:t>Changing Beneficiary</w:t>
      </w:r>
      <w:r>
        <w:rPr>
          <w:rFonts w:ascii="Arial" w:cs="Arial" w:eastAsia="Arial" w:hAnsi="Arial"/>
          <w:sz w:val="22"/>
          <w:szCs w:val="22"/>
          <w:color w:val="auto"/>
        </w:rPr>
        <w:t>. Any Beneficiary designation may be changed by a Participant without the consent of the previously named Beneficiary by the filing of a new Beneficiary designation with the Committee.</w:t>
      </w:r>
    </w:p>
    <w:p>
      <w:pPr>
        <w:spacing w:after="0" w:line="180" w:lineRule="exact"/>
        <w:rPr>
          <w:sz w:val="20"/>
          <w:szCs w:val="20"/>
          <w:color w:val="auto"/>
        </w:rPr>
      </w:pPr>
    </w:p>
    <w:p>
      <w:pPr>
        <w:jc w:val="both"/>
        <w:ind w:left="400" w:hanging="388"/>
        <w:spacing w:after="0" w:line="22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u w:val="single" w:color="auto"/>
          <w:color w:val="auto"/>
        </w:rPr>
        <w:t>No Beneficiary Designation</w:t>
      </w:r>
      <w:r>
        <w:rPr>
          <w:rFonts w:ascii="Arial" w:cs="Arial" w:eastAsia="Arial" w:hAnsi="Arial"/>
          <w:sz w:val="22"/>
          <w:szCs w:val="22"/>
          <w:color w:val="auto"/>
        </w:rPr>
        <w:t>. If any Participant fails to designate a Beneficiary in the manner provided above, if the designation is void, or if the Beneficiary designated by a deceased Participant dies before the Participant or before complete distribution of the Participant’s benefits, the Participant’s Beneficiary shall be the person in the first of the following classes in which there is a survivor:</w:t>
      </w:r>
    </w:p>
    <w:p>
      <w:pPr>
        <w:spacing w:after="0" w:line="185" w:lineRule="exact"/>
        <w:rPr>
          <w:sz w:val="20"/>
          <w:szCs w:val="20"/>
          <w:color w:val="auto"/>
        </w:rPr>
      </w:pPr>
    </w:p>
    <w:p>
      <w:pPr>
        <w:ind w:left="780" w:hanging="383"/>
        <w:spacing w:after="0"/>
        <w:tabs>
          <w:tab w:leader="none" w:pos="78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Participant’s surviving spouse;</w:t>
      </w:r>
    </w:p>
    <w:p>
      <w:pPr>
        <w:spacing w:after="0" w:line="206" w:lineRule="exact"/>
        <w:rPr>
          <w:rFonts w:ascii="Arial" w:cs="Arial" w:eastAsia="Arial" w:hAnsi="Arial"/>
          <w:sz w:val="22"/>
          <w:szCs w:val="22"/>
          <w:color w:val="auto"/>
        </w:rPr>
      </w:pPr>
    </w:p>
    <w:p>
      <w:pPr>
        <w:jc w:val="both"/>
        <w:ind w:left="780" w:right="20" w:hanging="383"/>
        <w:spacing w:after="0" w:line="223" w:lineRule="auto"/>
        <w:tabs>
          <w:tab w:leader="none" w:pos="774"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Participant’s children in equal shares, except that if any of the children predeceases the Participant but leaves surviving issue, then such issue shall take by right of representation the share the deceased child would have taken if living, (divided in equal shares among such surviving issue);</w:t>
      </w:r>
    </w:p>
    <w:p>
      <w:pPr>
        <w:spacing w:after="0" w:line="185" w:lineRule="exact"/>
        <w:rPr>
          <w:rFonts w:ascii="Arial" w:cs="Arial" w:eastAsia="Arial" w:hAnsi="Arial"/>
          <w:sz w:val="22"/>
          <w:szCs w:val="22"/>
          <w:color w:val="auto"/>
        </w:rPr>
      </w:pPr>
    </w:p>
    <w:p>
      <w:pPr>
        <w:ind w:left="780" w:hanging="383"/>
        <w:spacing w:after="0"/>
        <w:tabs>
          <w:tab w:leader="none" w:pos="78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Participant’s estate.</w:t>
      </w:r>
    </w:p>
    <w:p>
      <w:pPr>
        <w:spacing w:after="0" w:line="200" w:lineRule="exact"/>
        <w:rPr>
          <w:sz w:val="20"/>
          <w:szCs w:val="20"/>
          <w:color w:val="auto"/>
        </w:rPr>
      </w:pPr>
    </w:p>
    <w:p>
      <w:pPr>
        <w:jc w:val="both"/>
        <w:ind w:left="400" w:right="20" w:hanging="388"/>
        <w:spacing w:after="0" w:line="235"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u w:val="single" w:color="auto"/>
          <w:color w:val="auto"/>
        </w:rPr>
        <w:t>Effect of Payment</w:t>
      </w:r>
      <w:r>
        <w:rPr>
          <w:rFonts w:ascii="Arial" w:cs="Arial" w:eastAsia="Arial" w:hAnsi="Arial"/>
          <w:sz w:val="22"/>
          <w:szCs w:val="22"/>
          <w:color w:val="auto"/>
        </w:rPr>
        <w:t>. Payment to the Beneficiary shall completely discharge the Company’s and each Participating Company’s obligations under this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VII - </w:t>
      </w:r>
      <w:r>
        <w:rPr>
          <w:rFonts w:ascii="Arial" w:cs="Arial" w:eastAsia="Arial" w:hAnsi="Arial"/>
          <w:sz w:val="22"/>
          <w:szCs w:val="22"/>
          <w:b w:val="1"/>
          <w:bCs w:val="1"/>
          <w:u w:val="single" w:color="auto"/>
          <w:color w:val="auto"/>
        </w:rPr>
        <w:t>ADMINISTRATION</w:t>
      </w:r>
    </w:p>
    <w:p>
      <w:pPr>
        <w:spacing w:after="0" w:line="206" w:lineRule="exact"/>
        <w:rPr>
          <w:sz w:val="20"/>
          <w:szCs w:val="20"/>
          <w:color w:val="auto"/>
        </w:rPr>
      </w:pPr>
    </w:p>
    <w:p>
      <w:pPr>
        <w:jc w:val="both"/>
        <w:ind w:left="400" w:hanging="388"/>
        <w:spacing w:after="0" w:line="27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u w:val="single" w:color="auto"/>
          <w:color w:val="auto"/>
        </w:rPr>
        <w:t>Committee; Duties</w:t>
      </w:r>
      <w:r>
        <w:rPr>
          <w:rFonts w:ascii="Arial" w:cs="Arial" w:eastAsia="Arial" w:hAnsi="Arial"/>
          <w:sz w:val="19"/>
          <w:szCs w:val="19"/>
          <w:color w:val="auto"/>
        </w:rPr>
        <w:t>. This Plan shall be administered by the Committee. The Committee shall have the authority to make, amend, interpret and enforce all appropriate rules and regulations for the administration of the Plan and decide or resolve any and all questions, including interpretations of the Plan, as they may arise in such administration.</w:t>
      </w:r>
    </w:p>
    <w:p>
      <w:pPr>
        <w:spacing w:after="0" w:line="151" w:lineRule="exact"/>
        <w:rPr>
          <w:sz w:val="20"/>
          <w:szCs w:val="20"/>
          <w:color w:val="auto"/>
        </w:rPr>
      </w:pPr>
    </w:p>
    <w:p>
      <w:pPr>
        <w:jc w:val="both"/>
        <w:ind w:left="400" w:hanging="388"/>
        <w:spacing w:after="0" w:line="220"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b w:val="1"/>
          <w:bCs w:val="1"/>
          <w:u w:val="single" w:color="auto"/>
          <w:color w:val="auto"/>
        </w:rPr>
        <w:t>Compliance with Section 409A of the Code</w:t>
      </w:r>
      <w:r>
        <w:rPr>
          <w:rFonts w:ascii="Arial" w:cs="Arial" w:eastAsia="Arial" w:hAnsi="Arial"/>
          <w:sz w:val="21"/>
          <w:szCs w:val="21"/>
          <w:color w:val="auto"/>
        </w:rPr>
        <w:t>. It is intended that the Plan comply with the provisions of Section 409A of the Code, so as to prevent the inclusion in gross income of any amounts deferred hereunder in a taxable year that is prior to the taxable year or years in which such amounts would otherwise actually be paid or made available to Participants or Beneficiaries. This Plan shall be construed, administered, and governed in a manner that effects such intent, and the Committee shall not take any action that would be inconsistent with such intent. Although the Committee shall use its best efforts to avoid the imposition of taxation, interest and penalties under Section 409A of the Code, the tax treatment of deferrals under this Plan is not warranted or guaranteed. Neither the Company, any Participating Company, the Board, any director, officer, employee and advisor, the Board nor the Committee (or any delegate thereof) shall be held liable for any taxes, interest, penalties or other monetary amounts owed by any Participant, Beneficiary or other taxpayer as a result of the Plan. For purposes of the Plan, the phrase “permitted by Section 409A of the Code,” or words or phrases of similar import, shall mean that the event or circumstance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95" w:right="339" w:bottom="1440" w:gutter="0" w:footer="0" w:header="0"/>
        </w:sectPr>
      </w:pPr>
    </w:p>
    <w:bookmarkStart w:id="271" w:name="page272"/>
    <w:bookmarkEnd w:id="271"/>
    <w:p>
      <w:pPr>
        <w:ind w:left="400" w:right="20"/>
        <w:spacing w:after="0" w:line="232" w:lineRule="auto"/>
        <w:rPr>
          <w:sz w:val="20"/>
          <w:szCs w:val="20"/>
          <w:color w:val="auto"/>
        </w:rPr>
      </w:pPr>
      <w:r>
        <w:rPr>
          <w:rFonts w:ascii="Arial" w:cs="Arial" w:eastAsia="Arial" w:hAnsi="Arial"/>
          <w:sz w:val="22"/>
          <w:szCs w:val="22"/>
          <w:color w:val="auto"/>
        </w:rPr>
        <w:t>shall only be permitted to the extent it would not cause an amount deferred or payable under the Plan to be includible in the gross income of a Participant or Beneficiary under Section 409A(a)(1) of the Code.</w:t>
      </w:r>
    </w:p>
    <w:p>
      <w:pPr>
        <w:spacing w:after="0" w:line="180" w:lineRule="exact"/>
        <w:rPr>
          <w:sz w:val="20"/>
          <w:szCs w:val="20"/>
          <w:color w:val="auto"/>
        </w:rPr>
      </w:pPr>
    </w:p>
    <w:p>
      <w:pPr>
        <w:jc w:val="both"/>
        <w:ind w:left="400" w:hanging="388"/>
        <w:spacing w:after="0" w:line="305"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b w:val="1"/>
          <w:bCs w:val="1"/>
          <w:u w:val="single" w:color="auto"/>
          <w:color w:val="auto"/>
        </w:rPr>
        <w:t>Agents</w:t>
      </w:r>
      <w:r>
        <w:rPr>
          <w:rFonts w:ascii="Arial" w:cs="Arial" w:eastAsia="Arial" w:hAnsi="Arial"/>
          <w:sz w:val="19"/>
          <w:szCs w:val="19"/>
          <w:color w:val="auto"/>
        </w:rPr>
        <w:t>. The Committee may, from time to time, employ agents and delegate to them such administrative duties as it sees fit, and may from time to time consult with counsel who may be counsel to the Company or a Participating Company.</w:t>
      </w:r>
    </w:p>
    <w:p>
      <w:pPr>
        <w:spacing w:after="0" w:line="120" w:lineRule="exact"/>
        <w:rPr>
          <w:sz w:val="20"/>
          <w:szCs w:val="20"/>
          <w:color w:val="auto"/>
        </w:rPr>
      </w:pPr>
    </w:p>
    <w:p>
      <w:pPr>
        <w:jc w:val="both"/>
        <w:ind w:left="400" w:hanging="388"/>
        <w:spacing w:after="0" w:line="236"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b w:val="1"/>
          <w:bCs w:val="1"/>
          <w:u w:val="single" w:color="auto"/>
          <w:color w:val="auto"/>
        </w:rPr>
        <w:t>Binding Effect of Decisions</w:t>
      </w:r>
      <w:r>
        <w:rPr>
          <w:rFonts w:ascii="Arial" w:cs="Arial" w:eastAsia="Arial" w:hAnsi="Arial"/>
          <w:sz w:val="21"/>
          <w:szCs w:val="21"/>
          <w:color w:val="auto"/>
        </w:rPr>
        <w:t>. The decision or action of the Committee with respect to any question arising out of or in connection with the administration, interpretation and application of the Plan and the rules and regulations promulgated hereunder shall be final, conclusive and binding upon all persons having any interest in the Plan.</w:t>
      </w:r>
    </w:p>
    <w:p>
      <w:pPr>
        <w:spacing w:after="0" w:line="179" w:lineRule="exact"/>
        <w:rPr>
          <w:sz w:val="20"/>
          <w:szCs w:val="20"/>
          <w:color w:val="auto"/>
        </w:rPr>
      </w:pPr>
    </w:p>
    <w:p>
      <w:pPr>
        <w:jc w:val="both"/>
        <w:ind w:left="400" w:hanging="388"/>
        <w:spacing w:after="0" w:line="271"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b w:val="1"/>
          <w:bCs w:val="1"/>
          <w:u w:val="single" w:color="auto"/>
          <w:color w:val="auto"/>
        </w:rPr>
        <w:t>Indemnity of Committee</w:t>
      </w:r>
      <w:r>
        <w:rPr>
          <w:rFonts w:ascii="Arial" w:cs="Arial" w:eastAsia="Arial" w:hAnsi="Arial"/>
          <w:sz w:val="19"/>
          <w:szCs w:val="19"/>
          <w:color w:val="auto"/>
        </w:rPr>
        <w:t>. The Company shall indemnify and hold harmless the members of the Committee against any and all claims, loss, damage, expense or liability arising from any action or failure to act with respect to this Plan on account of such member’s service on the Committee, except in the case of gross negligence or willful misconduct.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VIII - </w:t>
      </w:r>
      <w:r>
        <w:rPr>
          <w:rFonts w:ascii="Arial" w:cs="Arial" w:eastAsia="Arial" w:hAnsi="Arial"/>
          <w:sz w:val="22"/>
          <w:szCs w:val="22"/>
          <w:b w:val="1"/>
          <w:bCs w:val="1"/>
          <w:u w:val="single" w:color="auto"/>
          <w:color w:val="auto"/>
        </w:rPr>
        <w:t>CLAIMS PROCEDURE</w:t>
      </w:r>
    </w:p>
    <w:p>
      <w:pPr>
        <w:spacing w:after="0" w:line="206" w:lineRule="exact"/>
        <w:rPr>
          <w:sz w:val="20"/>
          <w:szCs w:val="20"/>
          <w:color w:val="auto"/>
        </w:rPr>
      </w:pPr>
    </w:p>
    <w:p>
      <w:pPr>
        <w:jc w:val="both"/>
        <w:ind w:left="400" w:hanging="388"/>
        <w:spacing w:after="0" w:line="259"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u w:val="single" w:color="auto"/>
          <w:color w:val="auto"/>
        </w:rPr>
        <w:t>Claim</w:t>
      </w:r>
      <w:r>
        <w:rPr>
          <w:rFonts w:ascii="Arial" w:cs="Arial" w:eastAsia="Arial" w:hAnsi="Arial"/>
          <w:sz w:val="19"/>
          <w:szCs w:val="19"/>
          <w:color w:val="auto"/>
        </w:rPr>
        <w:t>. Any person or entity claiming a benefit, requesting an interpretation or ruling under the Plan (hereinafter referred to as “Claimant”), or requesting information under the Plan shall present the request in writing to the Committee, which shall respond in writing as soon as practical, but in no event later than ninety (90) days after receiving the initial claim (or no later than forty-five (45) days after receiving the initial claim regarding a Disability under this Plan).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b w:val="1"/>
          <w:bCs w:val="1"/>
          <w:u w:val="single" w:color="auto"/>
          <w:color w:val="auto"/>
        </w:rPr>
        <w:t>Denial of Claim</w:t>
      </w:r>
      <w:r>
        <w:rPr>
          <w:rFonts w:ascii="Arial" w:cs="Arial" w:eastAsia="Arial" w:hAnsi="Arial"/>
          <w:sz w:val="22"/>
          <w:szCs w:val="22"/>
          <w:color w:val="auto"/>
        </w:rPr>
        <w:t>. If the claim or request is denied, the written notice of denial shall state:</w:t>
      </w:r>
    </w:p>
    <w:p>
      <w:pPr>
        <w:spacing w:after="0" w:line="212" w:lineRule="exact"/>
        <w:rPr>
          <w:sz w:val="20"/>
          <w:szCs w:val="20"/>
          <w:color w:val="auto"/>
        </w:rPr>
      </w:pPr>
    </w:p>
    <w:p>
      <w:pPr>
        <w:ind w:left="780" w:hanging="383"/>
        <w:spacing w:after="0"/>
        <w:tabs>
          <w:tab w:leader="none" w:pos="78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reasons for denial, with specific reference to the Plan provisions on which the denial is based;</w:t>
      </w:r>
    </w:p>
    <w:p>
      <w:pPr>
        <w:spacing w:after="0" w:line="206" w:lineRule="exact"/>
        <w:rPr>
          <w:rFonts w:ascii="Arial" w:cs="Arial" w:eastAsia="Arial" w:hAnsi="Arial"/>
          <w:sz w:val="22"/>
          <w:szCs w:val="22"/>
          <w:color w:val="auto"/>
        </w:rPr>
      </w:pPr>
    </w:p>
    <w:p>
      <w:pPr>
        <w:jc w:val="both"/>
        <w:ind w:left="780" w:hanging="383"/>
        <w:spacing w:after="0" w:line="223" w:lineRule="auto"/>
        <w:tabs>
          <w:tab w:leader="none" w:pos="774" w:val="left"/>
        </w:tabs>
        <w:numPr>
          <w:ilvl w:val="0"/>
          <w:numId w:val="249"/>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required and an explanation of why it is necessary, in which event the time frames listed in section 8.1 shall be one hundred and eighty (180) and seventy-five (75) days from the date of the initial claim respectively; and</w:t>
      </w:r>
    </w:p>
    <w:p>
      <w:pPr>
        <w:spacing w:after="0" w:line="185" w:lineRule="exact"/>
        <w:rPr>
          <w:rFonts w:ascii="Arial" w:cs="Arial" w:eastAsia="Arial" w:hAnsi="Arial"/>
          <w:sz w:val="22"/>
          <w:szCs w:val="22"/>
          <w:color w:val="auto"/>
        </w:rPr>
      </w:pPr>
    </w:p>
    <w:p>
      <w:pPr>
        <w:ind w:left="780" w:hanging="383"/>
        <w:spacing w:after="0"/>
        <w:tabs>
          <w:tab w:leader="none" w:pos="78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An explanation of the Plan’s claim review procedure.</w:t>
      </w:r>
    </w:p>
    <w:p>
      <w:pPr>
        <w:spacing w:after="0" w:line="200" w:lineRule="exact"/>
        <w:rPr>
          <w:sz w:val="20"/>
          <w:szCs w:val="20"/>
          <w:color w:val="auto"/>
        </w:rPr>
      </w:pPr>
    </w:p>
    <w:p>
      <w:pPr>
        <w:jc w:val="both"/>
        <w:ind w:left="400" w:hanging="388"/>
        <w:spacing w:after="0" w:line="246"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b w:val="1"/>
          <w:bCs w:val="1"/>
          <w:u w:val="single" w:color="auto"/>
          <w:color w:val="auto"/>
        </w:rPr>
        <w:t>Review of Claim</w:t>
      </w:r>
      <w:r>
        <w:rPr>
          <w:rFonts w:ascii="Arial" w:cs="Arial" w:eastAsia="Arial" w:hAnsi="Arial"/>
          <w:sz w:val="19"/>
          <w:szCs w:val="19"/>
          <w:color w:val="auto"/>
        </w:rPr>
        <w:t>. Any Claimant whose claim or request is denied or who has not received a response within ninety (90) days (or forty-five (45) days in the event of a claim regarding a Disability) may request a review by notice given in writing to the Committee. Such request must be made within sixty (60) days (or one hundred and eighty (180) days in the event of a claim regarding a Disability) after receipt by the Claimant of the written notice of denial, or in the event Claimant has not received a response sixty (60) days (or one hundred and eighty (180) days in the event of a claim regarding a Disability) after receipt by the Committee of Claimant’s claim or request. The claim or request shall be reviewed by the Committee which may, but shall not be required to, grant the Claimant a hearing. On review, the claimant may have representation, examine pertinent documents, and submit issues and comments in writing.</w:t>
      </w:r>
    </w:p>
    <w:p>
      <w:pPr>
        <w:spacing w:after="0" w:line="179" w:lineRule="exact"/>
        <w:rPr>
          <w:sz w:val="20"/>
          <w:szCs w:val="20"/>
          <w:color w:val="auto"/>
        </w:rPr>
      </w:pPr>
    </w:p>
    <w:p>
      <w:pPr>
        <w:jc w:val="both"/>
        <w:ind w:left="400" w:hanging="388"/>
        <w:spacing w:after="0" w:line="235"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u w:val="single" w:color="auto"/>
          <w:color w:val="auto"/>
        </w:rPr>
        <w:t>Final Decision</w:t>
      </w:r>
      <w:r>
        <w:rPr>
          <w:rFonts w:ascii="Arial" w:cs="Arial" w:eastAsia="Arial" w:hAnsi="Arial"/>
          <w:sz w:val="22"/>
          <w:szCs w:val="22"/>
          <w:color w:val="auto"/>
        </w:rPr>
        <w:t>. The decision on review shall normally be made within sixty (60) days (or forty-five (45) days in the event of a claim regarding a Disability) after the Committee’s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272" w:name="page273"/>
    <w:bookmarkEnd w:id="272"/>
    <w:p>
      <w:pPr>
        <w:jc w:val="both"/>
        <w:ind w:left="400"/>
        <w:spacing w:after="0" w:line="229" w:lineRule="auto"/>
        <w:rPr>
          <w:sz w:val="20"/>
          <w:szCs w:val="20"/>
          <w:color w:val="auto"/>
        </w:rPr>
      </w:pPr>
      <w:r>
        <w:rPr>
          <w:rFonts w:ascii="Arial" w:cs="Arial" w:eastAsia="Arial" w:hAnsi="Arial"/>
          <w:sz w:val="21"/>
          <w:szCs w:val="21"/>
          <w:color w:val="auto"/>
        </w:rPr>
        <w:t>receipt of claimant’s claim or request. If an extension of time is required for a hearing or other special circumstances arise, the Claimant shall be notified and the time limit shall be one hundred twenty (120) days (or ninety (90) days in the event of a claim regarding a Disability). The decision shall be in writing and shall state the reasons and the relevant Plan provisions. All decisions on review shall be final and bind all parties concerned.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IX - </w:t>
      </w:r>
      <w:r>
        <w:rPr>
          <w:rFonts w:ascii="Arial" w:cs="Arial" w:eastAsia="Arial" w:hAnsi="Arial"/>
          <w:sz w:val="22"/>
          <w:szCs w:val="22"/>
          <w:b w:val="1"/>
          <w:bCs w:val="1"/>
          <w:u w:val="single" w:color="auto"/>
          <w:color w:val="auto"/>
        </w:rPr>
        <w:t>AMENDMENT AND TERMINATION OF PLAN</w:t>
      </w:r>
    </w:p>
    <w:p>
      <w:pPr>
        <w:spacing w:after="0" w:line="206" w:lineRule="exact"/>
        <w:rPr>
          <w:sz w:val="20"/>
          <w:szCs w:val="20"/>
          <w:color w:val="auto"/>
        </w:rPr>
      </w:pPr>
    </w:p>
    <w:p>
      <w:pPr>
        <w:jc w:val="both"/>
        <w:ind w:left="400" w:hanging="388"/>
        <w:spacing w:after="0" w:line="244"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u w:val="single" w:color="auto"/>
          <w:color w:val="auto"/>
        </w:rPr>
        <w:t>Amendment</w:t>
      </w:r>
      <w:r>
        <w:rPr>
          <w:rFonts w:ascii="Arial" w:cs="Arial" w:eastAsia="Arial" w:hAnsi="Arial"/>
          <w:sz w:val="19"/>
          <w:szCs w:val="19"/>
          <w:color w:val="auto"/>
        </w:rPr>
        <w:t>. The Board or the Committee may at any time amend the Plan by written instrument, notice of which is given to all Participants and to Beneficiary receiving installment payments, provided however, that no amendment shall reduce the amount vested or accrued in any Account as of the date the amendment is adopted. Notwithstanding the foregoing or any provision of the Plan to the contrary, the Board or the Committee may at any time (in its sole discretion and without the consent of any Participant) modify, amend or terminate any or all of the provisions of this Plan or take any other action, to the extent necessary or advisable to conform the provisions of the Plan with Section 409A of the Code, the regulations issued thereunder or an exception thereto, regardless of whether such modification, amendment or termination of this Plan or other action shall adversely affect the rights of a Participant under the Plan. Termination of this Plan shall not be a distribution event under the Plan unless otherwise permitted under Section 409A. In addition, any amendment which adds a distribution event to the Plan shall not be effective with respect to Accounts already established as of the time of such amendment.</w:t>
      </w:r>
    </w:p>
    <w:p>
      <w:pPr>
        <w:spacing w:after="0" w:line="182" w:lineRule="exact"/>
        <w:rPr>
          <w:sz w:val="20"/>
          <w:szCs w:val="20"/>
          <w:color w:val="auto"/>
        </w:rPr>
      </w:pPr>
    </w:p>
    <w:p>
      <w:pPr>
        <w:jc w:val="both"/>
        <w:ind w:left="400" w:hanging="388"/>
        <w:spacing w:after="0" w:line="25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u w:val="single" w:color="auto"/>
          <w:color w:val="auto"/>
        </w:rPr>
        <w:t>Company’s Right to Terminate</w:t>
      </w:r>
      <w:r>
        <w:rPr>
          <w:rFonts w:ascii="Arial" w:cs="Arial" w:eastAsia="Arial" w:hAnsi="Arial"/>
          <w:sz w:val="19"/>
          <w:szCs w:val="19"/>
          <w:color w:val="auto"/>
        </w:rPr>
        <w:t>. The Board or the Committee may, in its sole discretion, terminate the entire Plan, or terminate a portion of the Plan that is identified as an elective account balance plan as defined in Treas. Reg. §1.409A -1(c)</w:t>
      </w:r>
    </w:p>
    <w:p>
      <w:pPr>
        <w:spacing w:after="0" w:line="1" w:lineRule="exact"/>
        <w:rPr>
          <w:sz w:val="20"/>
          <w:szCs w:val="20"/>
          <w:color w:val="auto"/>
        </w:rPr>
      </w:pPr>
    </w:p>
    <w:p>
      <w:pPr>
        <w:jc w:val="both"/>
        <w:ind w:left="400"/>
        <w:spacing w:after="0" w:line="217" w:lineRule="auto"/>
        <w:rPr>
          <w:sz w:val="20"/>
          <w:szCs w:val="20"/>
          <w:color w:val="auto"/>
        </w:rPr>
      </w:pPr>
      <w:r>
        <w:rPr>
          <w:rFonts w:ascii="Arial" w:cs="Arial" w:eastAsia="Arial" w:hAnsi="Arial"/>
          <w:sz w:val="22"/>
          <w:szCs w:val="22"/>
          <w:color w:val="auto"/>
        </w:rPr>
        <w:t>(2)(i)(A), or as a non-elective account balance plan as defined in Treas. Reg. §1.409A -1(c)(2)(i)(B), and require distribution of all benefits due under the Plan or portion thereof, in accordance with the applicable requirements of Treas. Reg. §1.409A-3(j)(4)(ix).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X - </w:t>
      </w:r>
      <w:r>
        <w:rPr>
          <w:rFonts w:ascii="Arial" w:cs="Arial" w:eastAsia="Arial" w:hAnsi="Arial"/>
          <w:sz w:val="22"/>
          <w:szCs w:val="22"/>
          <w:b w:val="1"/>
          <w:bCs w:val="1"/>
          <w:u w:val="single" w:color="auto"/>
          <w:color w:val="auto"/>
        </w:rPr>
        <w:t>MISCELLANEOUS</w:t>
      </w:r>
    </w:p>
    <w:p>
      <w:pPr>
        <w:spacing w:after="0" w:line="206" w:lineRule="exact"/>
        <w:rPr>
          <w:sz w:val="20"/>
          <w:szCs w:val="20"/>
          <w:color w:val="auto"/>
        </w:rPr>
      </w:pPr>
    </w:p>
    <w:p>
      <w:pPr>
        <w:jc w:val="both"/>
        <w:ind w:left="400" w:hanging="485"/>
        <w:spacing w:after="0" w:line="220"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u w:val="single" w:color="auto"/>
          <w:color w:val="auto"/>
        </w:rPr>
        <w:t>Unfunded Plan</w:t>
      </w:r>
      <w:r>
        <w:rPr>
          <w:rFonts w:ascii="Arial" w:cs="Arial" w:eastAsia="Arial" w:hAnsi="Arial"/>
          <w:sz w:val="22"/>
          <w:szCs w:val="22"/>
          <w:color w:val="auto"/>
        </w:rPr>
        <w:t>. This plan is an unfunded plan maintained primarily to provide deferred compensation benefits for a select group of “management or highly-compensated employees” within the meaning of Sections 201, 301, and 401 of the Employee Retirement Income Security Act of 1974, as amended (“ERISA”), and therefore is exempt from the provisions of Parts 2, 3 and 4 of Title I of ERISA.</w:t>
      </w:r>
    </w:p>
    <w:p>
      <w:pPr>
        <w:spacing w:after="0" w:line="179" w:lineRule="exact"/>
        <w:rPr>
          <w:sz w:val="20"/>
          <w:szCs w:val="20"/>
          <w:color w:val="auto"/>
        </w:rPr>
      </w:pPr>
    </w:p>
    <w:p>
      <w:pPr>
        <w:jc w:val="both"/>
        <w:ind w:left="400" w:hanging="485"/>
        <w:spacing w:after="0" w:line="227"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b w:val="1"/>
          <w:bCs w:val="1"/>
          <w:u w:val="single" w:color="auto"/>
          <w:color w:val="auto"/>
        </w:rPr>
        <w:t>Unsecured General Creditor</w:t>
      </w:r>
      <w:r>
        <w:rPr>
          <w:rFonts w:ascii="Arial" w:cs="Arial" w:eastAsia="Arial" w:hAnsi="Arial"/>
          <w:sz w:val="21"/>
          <w:szCs w:val="21"/>
          <w:color w:val="auto"/>
        </w:rPr>
        <w:t>. Notwithstanding any other provision of this Plan, Participants and Participants’ Beneficiaries shall be unsecured general creditors, with no secured or preferential rights to any assets of Company or any other party for payment of benefits under this Plan. Any property held by Company for the purpose of generating the cash flow for benefit payments shall remain its general, unpledged and unrestricted assets. Company’s obligation under the Plan shall be an unfunded and unsecured promise to pay money in the future.</w:t>
      </w:r>
    </w:p>
    <w:p>
      <w:pPr>
        <w:spacing w:after="0" w:line="181" w:lineRule="exact"/>
        <w:rPr>
          <w:sz w:val="20"/>
          <w:szCs w:val="20"/>
          <w:color w:val="auto"/>
        </w:rPr>
      </w:pPr>
    </w:p>
    <w:p>
      <w:pPr>
        <w:jc w:val="both"/>
        <w:ind w:left="400" w:hanging="485"/>
        <w:spacing w:after="0" w:line="217"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b w:val="1"/>
          <w:bCs w:val="1"/>
          <w:u w:val="single" w:color="auto"/>
          <w:color w:val="auto"/>
        </w:rPr>
        <w:t>Trust Fund</w:t>
      </w:r>
      <w:r>
        <w:rPr>
          <w:rFonts w:ascii="Arial" w:cs="Arial" w:eastAsia="Arial" w:hAnsi="Arial"/>
          <w:sz w:val="22"/>
          <w:szCs w:val="22"/>
          <w:color w:val="auto"/>
        </w:rPr>
        <w:t>. Each Participating Company shall be responsible for the payment of benefits provided under the Plan. At its discretion, the Participating Company may establish one (1) or more trusts, with such trustees as the Committee may approve, for the purpose of assisting in the payment of such benefits. The assets of any such trust shall be held for payment of all of the Participating Company’s general creditors in the event of insolvency. To the extent any benefits provided under the Plan are paid from any such trust,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273" w:name="page274"/>
    <w:bookmarkEnd w:id="273"/>
    <w:p>
      <w:pPr>
        <w:ind w:left="400" w:right="20"/>
        <w:spacing w:after="0" w:line="232" w:lineRule="auto"/>
        <w:rPr>
          <w:sz w:val="20"/>
          <w:szCs w:val="20"/>
          <w:color w:val="auto"/>
        </w:rPr>
      </w:pPr>
      <w:r>
        <w:rPr>
          <w:rFonts w:ascii="Arial" w:cs="Arial" w:eastAsia="Arial" w:hAnsi="Arial"/>
          <w:sz w:val="22"/>
          <w:szCs w:val="22"/>
          <w:color w:val="auto"/>
        </w:rPr>
        <w:t>Participating Company shall have no further obligation to pay them. If not paid from the trust, such benefits shall remain the obligation of the Participating Company.</w:t>
      </w:r>
    </w:p>
    <w:p>
      <w:pPr>
        <w:spacing w:after="0" w:line="180" w:lineRule="exact"/>
        <w:rPr>
          <w:sz w:val="20"/>
          <w:szCs w:val="20"/>
          <w:color w:val="auto"/>
        </w:rPr>
      </w:pPr>
    </w:p>
    <w:p>
      <w:pPr>
        <w:jc w:val="both"/>
        <w:ind w:left="400" w:hanging="485"/>
        <w:spacing w:after="0" w:line="25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b w:val="1"/>
          <w:bCs w:val="1"/>
          <w:u w:val="single" w:color="auto"/>
          <w:color w:val="auto"/>
        </w:rPr>
        <w:t>Nonassignability</w:t>
      </w:r>
      <w:r>
        <w:rPr>
          <w:rFonts w:ascii="Arial" w:cs="Arial" w:eastAsia="Arial" w:hAnsi="Arial"/>
          <w:sz w:val="19"/>
          <w:szCs w:val="19"/>
          <w:color w:val="auto"/>
        </w:rPr>
        <w:t>. 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73" w:lineRule="exact"/>
        <w:rPr>
          <w:sz w:val="20"/>
          <w:szCs w:val="20"/>
          <w:color w:val="auto"/>
        </w:rPr>
      </w:pPr>
    </w:p>
    <w:p>
      <w:pPr>
        <w:jc w:val="both"/>
        <w:ind w:left="400" w:hanging="485"/>
        <w:spacing w:after="0" w:line="220"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b w:val="1"/>
          <w:bCs w:val="1"/>
          <w:u w:val="single" w:color="auto"/>
          <w:color w:val="auto"/>
        </w:rPr>
        <w:t>Not a Contract of Employment</w:t>
      </w:r>
      <w:r>
        <w:rPr>
          <w:rFonts w:ascii="Arial" w:cs="Arial" w:eastAsia="Arial" w:hAnsi="Arial"/>
          <w:sz w:val="22"/>
          <w:szCs w:val="22"/>
          <w:color w:val="auto"/>
        </w:rPr>
        <w:t>. This Plan shall not constitute a contract of employment between Company or any Participating Company and the Participant. Nothing in this Plan shall give a Participant the right to be retained in the service of Company or any Participating Company or to interfere with the right of the Company or any Participating Company to discipline or discharge a Participant at any time.</w:t>
      </w:r>
    </w:p>
    <w:p>
      <w:pPr>
        <w:spacing w:after="0" w:line="179" w:lineRule="exact"/>
        <w:rPr>
          <w:sz w:val="20"/>
          <w:szCs w:val="20"/>
          <w:color w:val="auto"/>
        </w:rPr>
      </w:pPr>
    </w:p>
    <w:p>
      <w:pPr>
        <w:jc w:val="both"/>
        <w:ind w:left="400" w:hanging="485"/>
        <w:spacing w:after="0" w:line="220"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b w:val="1"/>
          <w:bCs w:val="1"/>
          <w:u w:val="single" w:color="auto"/>
          <w:color w:val="auto"/>
        </w:rPr>
        <w:t>Protective Provisions</w:t>
      </w:r>
      <w:r>
        <w:rPr>
          <w:rFonts w:ascii="Arial" w:cs="Arial" w:eastAsia="Arial" w:hAnsi="Arial"/>
          <w:sz w:val="22"/>
          <w:szCs w:val="22"/>
          <w:color w:val="auto"/>
        </w:rPr>
        <w:t>. A Participant will cooperate with the Participating Company by furnishing any and all information requested by the Participating Company, in order to facilitate the payment of benefits hereunder, and by taking such physical examinations as Company may deem necessary and taking such other action as may be requested by the Participating Company.</w:t>
      </w:r>
    </w:p>
    <w:p>
      <w:pPr>
        <w:spacing w:after="0" w:line="179" w:lineRule="exact"/>
        <w:rPr>
          <w:sz w:val="20"/>
          <w:szCs w:val="20"/>
          <w:color w:val="auto"/>
        </w:rPr>
      </w:pPr>
    </w:p>
    <w:p>
      <w:pPr>
        <w:jc w:val="both"/>
        <w:ind w:left="400" w:hanging="485"/>
        <w:spacing w:after="0" w:line="235"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provisions of this Plan shall be construed and interpreted according to the laws of the Commonwealth of Pennsylvania, except as preempted by federal law.</w:t>
      </w:r>
    </w:p>
    <w:p>
      <w:pPr>
        <w:spacing w:after="0" w:line="180" w:lineRule="exact"/>
        <w:rPr>
          <w:sz w:val="20"/>
          <w:szCs w:val="20"/>
          <w:color w:val="auto"/>
        </w:rPr>
      </w:pPr>
    </w:p>
    <w:p>
      <w:pPr>
        <w:jc w:val="both"/>
        <w:ind w:left="400" w:hanging="485"/>
        <w:spacing w:after="0" w:line="225"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b w:val="1"/>
          <w:bCs w:val="1"/>
          <w:u w:val="single" w:color="auto"/>
          <w:color w:val="auto"/>
        </w:rPr>
        <w:t>Validity</w:t>
      </w:r>
      <w:r>
        <w:rPr>
          <w:rFonts w:ascii="Arial" w:cs="Arial" w:eastAsia="Arial" w:hAnsi="Arial"/>
          <w:sz w:val="22"/>
          <w:szCs w:val="22"/>
          <w:color w:val="auto"/>
        </w:rPr>
        <w:t>. If any provision of this Plan shall be held illegal or invalid for any reason, said illegality or invalidity shall not affect the remaining parts hereof, but this Plan shall be construed and enforced as if such illegal and invalid provision had never been inserted herein.</w:t>
      </w:r>
    </w:p>
    <w:p>
      <w:pPr>
        <w:spacing w:after="0" w:line="180" w:lineRule="exact"/>
        <w:rPr>
          <w:sz w:val="20"/>
          <w:szCs w:val="20"/>
          <w:color w:val="auto"/>
        </w:rPr>
      </w:pPr>
    </w:p>
    <w:p>
      <w:pPr>
        <w:jc w:val="both"/>
        <w:ind w:left="400" w:hanging="485"/>
        <w:spacing w:after="0" w:line="220"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Any notice required or permitted under the Plan shall be sufficient if in writing and hand delivered or sent by registered or certified mail. Such notice shall be deemed given as of the date of delivery or, if delivery is made by mail, as of the date shown on the postmark on the receipt for registration or certification. Mailed notice to the Committee shall be directed to the following address: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Comcast Corporation</w:t>
      </w:r>
    </w:p>
    <w:p>
      <w:pPr>
        <w:ind w:left="420"/>
        <w:spacing w:after="0" w:line="204" w:lineRule="auto"/>
        <w:rPr>
          <w:sz w:val="20"/>
          <w:szCs w:val="20"/>
          <w:color w:val="auto"/>
        </w:rPr>
      </w:pPr>
      <w:r>
        <w:rPr>
          <w:rFonts w:ascii="Arial" w:cs="Arial" w:eastAsia="Arial" w:hAnsi="Arial"/>
          <w:sz w:val="22"/>
          <w:szCs w:val="22"/>
          <w:color w:val="auto"/>
        </w:rPr>
        <w:t>One Comcast Center</w:t>
      </w:r>
    </w:p>
    <w:p>
      <w:pPr>
        <w:ind w:left="420"/>
        <w:spacing w:after="0" w:line="205" w:lineRule="auto"/>
        <w:rPr>
          <w:sz w:val="20"/>
          <w:szCs w:val="20"/>
          <w:color w:val="auto"/>
        </w:rPr>
      </w:pPr>
      <w:r>
        <w:rPr>
          <w:rFonts w:ascii="Arial" w:cs="Arial" w:eastAsia="Arial" w:hAnsi="Arial"/>
          <w:sz w:val="22"/>
          <w:szCs w:val="22"/>
          <w:color w:val="auto"/>
        </w:rPr>
        <w:t>1701 John F. Kennedy Boulevard</w:t>
      </w:r>
    </w:p>
    <w:p>
      <w:pPr>
        <w:ind w:left="420"/>
        <w:spacing w:after="0" w:line="205" w:lineRule="auto"/>
        <w:rPr>
          <w:sz w:val="20"/>
          <w:szCs w:val="20"/>
          <w:color w:val="auto"/>
        </w:rPr>
      </w:pPr>
      <w:r>
        <w:rPr>
          <w:rFonts w:ascii="Arial" w:cs="Arial" w:eastAsia="Arial" w:hAnsi="Arial"/>
          <w:sz w:val="22"/>
          <w:szCs w:val="22"/>
          <w:color w:val="auto"/>
        </w:rPr>
        <w:t>Philadelphia, PA 19103</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Mailed notice to a Participant or Beneficiary shall be directed to the individual’s last known address in Company’s records.</w:t>
      </w:r>
    </w:p>
    <w:p>
      <w:pPr>
        <w:spacing w:after="0" w:line="235" w:lineRule="exact"/>
        <w:rPr>
          <w:sz w:val="20"/>
          <w:szCs w:val="20"/>
          <w:color w:val="auto"/>
        </w:rPr>
      </w:pPr>
    </w:p>
    <w:p>
      <w:pPr>
        <w:jc w:val="both"/>
        <w:ind w:left="400" w:hanging="485"/>
        <w:spacing w:after="0" w:line="271"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9"/>
          <w:szCs w:val="19"/>
          <w:b w:val="1"/>
          <w:bCs w:val="1"/>
          <w:u w:val="single" w:color="auto"/>
          <w:color w:val="auto"/>
        </w:rPr>
        <w:t>Successors</w:t>
      </w:r>
      <w:r>
        <w:rPr>
          <w:rFonts w:ascii="Arial" w:cs="Arial" w:eastAsia="Arial" w:hAnsi="Arial"/>
          <w:sz w:val="19"/>
          <w:szCs w:val="19"/>
          <w:color w:val="auto"/>
        </w:rPr>
        <w:t>. The provisions of this Plan shall bind and inure to the benefit of the Company, the Participating Companies, and</w:t>
      </w:r>
      <w:r>
        <w:rPr>
          <w:rFonts w:ascii="Arial" w:cs="Arial" w:eastAsia="Arial" w:hAnsi="Arial"/>
          <w:sz w:val="16"/>
          <w:szCs w:val="16"/>
          <w:color w:val="auto"/>
        </w:rPr>
        <w:t xml:space="preserve"> </w:t>
      </w:r>
      <w:r>
        <w:rPr>
          <w:rFonts w:ascii="Arial" w:cs="Arial" w:eastAsia="Arial" w:hAnsi="Arial"/>
          <w:sz w:val="19"/>
          <w:szCs w:val="19"/>
          <w:color w:val="auto"/>
        </w:rPr>
        <w:t>their successors and assigns. The term successors as used herein shall include any corporate or other business entity which shall, whether by merger, consolidation, purchase or otherwise acquire all or substantially all of the business and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274" w:name="page275"/>
    <w:bookmarkEnd w:id="274"/>
    <w:p>
      <w:pPr>
        <w:ind w:right="339" w:firstLine="389"/>
        <w:spacing w:after="0" w:line="421" w:lineRule="auto"/>
        <w:rPr>
          <w:sz w:val="20"/>
          <w:szCs w:val="20"/>
          <w:color w:val="auto"/>
        </w:rPr>
      </w:pPr>
      <w:r>
        <w:rPr>
          <w:rFonts w:ascii="Arial" w:cs="Arial" w:eastAsia="Arial" w:hAnsi="Arial"/>
          <w:sz w:val="22"/>
          <w:szCs w:val="22"/>
          <w:color w:val="auto"/>
        </w:rPr>
        <w:t>of the Company or a Participating Company, and successors of any such corporation or other business entity. Executed on the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October, 2021</w:t>
      </w:r>
    </w:p>
    <w:p>
      <w:pPr>
        <w:spacing w:after="0" w:line="9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COMCAST CORPORATION</w:t>
      </w:r>
    </w:p>
    <w:p>
      <w:pPr>
        <w:spacing w:after="0" w:line="3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Cavanagh</w:t>
      </w:r>
    </w:p>
    <w:p>
      <w:pPr>
        <w:ind w:left="4540"/>
        <w:spacing w:after="0" w:line="204" w:lineRule="auto"/>
        <w:rPr>
          <w:sz w:val="20"/>
          <w:szCs w:val="20"/>
          <w:color w:val="auto"/>
        </w:rPr>
      </w:pPr>
      <w:r>
        <w:rPr>
          <w:rFonts w:ascii="Arial" w:cs="Arial" w:eastAsia="Arial" w:hAnsi="Arial"/>
          <w:sz w:val="22"/>
          <w:szCs w:val="22"/>
          <w:color w:val="auto"/>
        </w:rPr>
        <w:t>Michael Cavanagh</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139"/>
          </w:cols>
          <w:pgMar w:left="320" w:top="1401" w:right="1440" w:bottom="1440" w:gutter="0" w:footer="0" w:header="0"/>
        </w:sectPr>
      </w:pPr>
    </w:p>
    <w:bookmarkStart w:id="275" w:name="page276"/>
    <w:bookmarkEnd w:id="275"/>
    <w:p>
      <w:pPr>
        <w:ind w:left="10120"/>
        <w:spacing w:after="0"/>
        <w:rPr>
          <w:sz w:val="20"/>
          <w:szCs w:val="20"/>
          <w:color w:val="auto"/>
        </w:rPr>
      </w:pPr>
      <w:r>
        <w:rPr>
          <w:rFonts w:ascii="Arial" w:cs="Arial" w:eastAsia="Arial" w:hAnsi="Arial"/>
          <w:sz w:val="19"/>
          <w:szCs w:val="19"/>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jc w:val="center"/>
        <w:spacing w:after="0"/>
        <w:rPr>
          <w:sz w:val="20"/>
          <w:szCs w:val="20"/>
          <w:color w:val="auto"/>
        </w:rPr>
      </w:pPr>
      <w:r>
        <w:rPr>
          <w:rFonts w:ascii="Arial" w:cs="Arial" w:eastAsia="Arial" w:hAnsi="Arial"/>
          <w:sz w:val="22"/>
          <w:szCs w:val="22"/>
          <w:b w:val="1"/>
          <w:bCs w:val="1"/>
          <w:color w:val="auto"/>
        </w:rPr>
        <w:t>2005 DEFERRED COMPENSATION PLAN</w:t>
      </w:r>
    </w:p>
    <w:p>
      <w:pPr>
        <w:spacing w:after="0" w:line="155" w:lineRule="exact"/>
        <w:rPr>
          <w:sz w:val="20"/>
          <w:szCs w:val="20"/>
          <w:color w:val="auto"/>
        </w:rPr>
      </w:pPr>
    </w:p>
    <w:p>
      <w:pPr>
        <w:ind w:left="1300" w:right="2680" w:firstLine="1393"/>
        <w:spacing w:after="0" w:line="412" w:lineRule="auto"/>
        <w:rPr>
          <w:sz w:val="20"/>
          <w:szCs w:val="20"/>
          <w:color w:val="auto"/>
        </w:rPr>
      </w:pPr>
      <w:r>
        <w:rPr>
          <w:rFonts w:ascii="Arial" w:cs="Arial" w:eastAsia="Arial" w:hAnsi="Arial"/>
          <w:sz w:val="22"/>
          <w:szCs w:val="22"/>
          <w:b w:val="1"/>
          <w:bCs w:val="1"/>
          <w:color w:val="auto"/>
        </w:rPr>
        <w:t xml:space="preserve">ARTICLE 1 </w:t>
      </w:r>
      <w:r>
        <w:rPr>
          <w:rFonts w:ascii="Arial" w:cs="Arial" w:eastAsia="Arial" w:hAnsi="Arial"/>
          <w:sz w:val="22"/>
          <w:szCs w:val="22"/>
          <w:color w:val="auto"/>
        </w:rPr>
        <w:t>–</w:t>
      </w:r>
      <w:r>
        <w:rPr>
          <w:rFonts w:ascii="Arial" w:cs="Arial" w:eastAsia="Arial" w:hAnsi="Arial"/>
          <w:sz w:val="22"/>
          <w:szCs w:val="22"/>
          <w:b w:val="1"/>
          <w:bCs w:val="1"/>
          <w:color w:val="auto"/>
        </w:rPr>
        <w:t xml:space="preserve"> BACKGROUND AND COVERAGE OF PLAN </w:t>
      </w:r>
      <w:r>
        <w:rPr>
          <w:rFonts w:ascii="Arial" w:cs="Arial" w:eastAsia="Arial" w:hAnsi="Arial"/>
          <w:sz w:val="22"/>
          <w:szCs w:val="22"/>
          <w:color w:val="auto"/>
        </w:rPr>
        <w:t xml:space="preserve">1.1. </w:t>
      </w:r>
      <w:r>
        <w:rPr>
          <w:rFonts w:ascii="Arial" w:cs="Arial" w:eastAsia="Arial" w:hAnsi="Arial"/>
          <w:sz w:val="22"/>
          <w:szCs w:val="22"/>
          <w:u w:val="single" w:color="auto"/>
          <w:color w:val="auto"/>
        </w:rPr>
        <w:t>Background and Adoption of Plan</w:t>
      </w:r>
      <w:r>
        <w:rPr>
          <w:rFonts w:ascii="Arial" w:cs="Arial" w:eastAsia="Arial" w:hAnsi="Arial"/>
          <w:sz w:val="22"/>
          <w:szCs w:val="22"/>
          <w:color w:val="auto"/>
        </w:rPr>
        <w:t>.</w:t>
      </w:r>
    </w:p>
    <w:p>
      <w:pPr>
        <w:spacing w:after="0" w:line="1" w:lineRule="exact"/>
        <w:rPr>
          <w:sz w:val="20"/>
          <w:szCs w:val="20"/>
          <w:color w:val="auto"/>
        </w:rPr>
      </w:pPr>
    </w:p>
    <w:p>
      <w:pPr>
        <w:jc w:val="both"/>
        <w:ind w:firstLine="1944"/>
        <w:spacing w:after="0" w:line="221"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Amendment and Restatement of the Plan</w:t>
      </w:r>
      <w:r>
        <w:rPr>
          <w:rFonts w:ascii="Arial" w:cs="Arial" w:eastAsia="Arial" w:hAnsi="Arial"/>
          <w:sz w:val="21"/>
          <w:szCs w:val="21"/>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July 13, 2021.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65" w:lineRule="exact"/>
        <w:rPr>
          <w:sz w:val="20"/>
          <w:szCs w:val="20"/>
          <w:color w:val="auto"/>
        </w:rPr>
      </w:pPr>
    </w:p>
    <w:p>
      <w:pPr>
        <w:jc w:val="both"/>
        <w:ind w:firstLine="1944"/>
        <w:spacing w:after="0" w:line="214"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Prior Plan</w:t>
      </w:r>
      <w:r>
        <w:rPr>
          <w:rFonts w:ascii="Arial" w:cs="Arial" w:eastAsia="Arial" w:hAnsi="Arial"/>
          <w:sz w:val="22"/>
          <w:szCs w:val="22"/>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Reservation of Right to Amend to Comply with Section 409A</w:t>
      </w:r>
      <w:r>
        <w:rPr>
          <w:rFonts w:ascii="Arial" w:cs="Arial" w:eastAsia="Arial" w:hAnsi="Arial"/>
          <w:sz w:val="22"/>
          <w:szCs w:val="22"/>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Plan Unfunded and Limited to Outside Directors, Directors Emeriti and Select Group of Management or</w:t>
      </w:r>
      <w:r>
        <w:rPr>
          <w:rFonts w:ascii="Arial" w:cs="Arial" w:eastAsia="Arial" w:hAnsi="Arial"/>
          <w:sz w:val="22"/>
          <w:szCs w:val="22"/>
          <w:color w:val="auto"/>
        </w:rPr>
        <w:t xml:space="preserve"> </w:t>
      </w:r>
      <w:r>
        <w:rPr>
          <w:rFonts w:ascii="Arial" w:cs="Arial" w:eastAsia="Arial" w:hAnsi="Arial"/>
          <w:sz w:val="22"/>
          <w:szCs w:val="22"/>
          <w:u w:val="single" w:color="auto"/>
          <w:color w:val="auto"/>
        </w:rPr>
        <w:t>Highly Compensated Employees</w:t>
      </w:r>
      <w:r>
        <w:rPr>
          <w:rFonts w:ascii="Arial" w:cs="Arial" w:eastAsia="Arial" w:hAnsi="Arial"/>
          <w:sz w:val="22"/>
          <w:szCs w:val="22"/>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Administrator.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 – DEFINITIONS</w:t>
      </w:r>
    </w:p>
    <w:p>
      <w:pPr>
        <w:spacing w:after="0" w:line="18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2.1. “</w:t>
      </w:r>
      <w:r>
        <w:rPr>
          <w:rFonts w:ascii="Arial" w:cs="Arial" w:eastAsia="Arial" w:hAnsi="Arial"/>
          <w:sz w:val="21"/>
          <w:szCs w:val="21"/>
          <w:u w:val="single" w:color="auto"/>
          <w:color w:val="auto"/>
        </w:rPr>
        <w:t>Account</w:t>
      </w:r>
      <w:r>
        <w:rPr>
          <w:rFonts w:ascii="Arial" w:cs="Arial" w:eastAsia="Arial" w:hAnsi="Arial"/>
          <w:sz w:val="21"/>
          <w:szCs w:val="21"/>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ectPr>
          <w:pgSz w:w="11900" w:h="16838" w:orient="portrait"/>
          <w:cols w:equalWidth="0" w:num="1">
            <w:col w:w="11240"/>
          </w:cols>
          <w:pgMar w:left="320" w:top="98" w:right="339" w:bottom="1440" w:gutter="0" w:footer="0" w:header="0"/>
        </w:sectPr>
      </w:pPr>
    </w:p>
    <w:bookmarkStart w:id="276" w:name="page277"/>
    <w:bookmarkEnd w:id="276"/>
    <w:p>
      <w:pPr>
        <w:ind w:left="1300"/>
        <w:spacing w:after="0"/>
        <w:tabs>
          <w:tab w:leader="none" w:pos="18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Active Participant</w:t>
      </w:r>
      <w:r>
        <w:rPr>
          <w:rFonts w:ascii="Arial" w:cs="Arial" w:eastAsia="Arial" w:hAnsi="Arial"/>
          <w:sz w:val="19"/>
          <w:szCs w:val="19"/>
          <w:color w:val="auto"/>
        </w:rPr>
        <w:t>” means:</w:t>
      </w:r>
    </w:p>
    <w:p>
      <w:pPr>
        <w:spacing w:after="0" w:line="179" w:lineRule="exact"/>
        <w:rPr>
          <w:sz w:val="20"/>
          <w:szCs w:val="20"/>
          <w:color w:val="auto"/>
        </w:rPr>
      </w:pPr>
    </w:p>
    <w:p>
      <w:pPr>
        <w:ind w:left="2600" w:hanging="648"/>
        <w:spacing w:after="0"/>
        <w:tabs>
          <w:tab w:leader="none" w:pos="260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Each Participant who is in active service as an Outside Director or a Director Emeritus; and</w:t>
      </w:r>
    </w:p>
    <w:p>
      <w:pPr>
        <w:spacing w:after="0" w:line="190" w:lineRule="exact"/>
        <w:rPr>
          <w:rFonts w:ascii="Arial" w:cs="Arial" w:eastAsia="Arial" w:hAnsi="Arial"/>
          <w:sz w:val="21"/>
          <w:szCs w:val="21"/>
          <w:color w:val="auto"/>
        </w:rPr>
      </w:pPr>
    </w:p>
    <w:p>
      <w:pPr>
        <w:ind w:left="1300" w:right="260" w:firstLine="652"/>
        <w:spacing w:after="0" w:line="409" w:lineRule="auto"/>
        <w:tabs>
          <w:tab w:leader="none" w:pos="2591" w:val="left"/>
        </w:tabs>
        <w:numPr>
          <w:ilvl w:val="0"/>
          <w:numId w:val="250"/>
        </w:numPr>
        <w:rPr>
          <w:rFonts w:ascii="Arial" w:cs="Arial" w:eastAsia="Arial" w:hAnsi="Arial"/>
          <w:sz w:val="22"/>
          <w:szCs w:val="22"/>
          <w:color w:val="auto"/>
        </w:rPr>
      </w:pPr>
      <w:r>
        <w:rPr>
          <w:rFonts w:ascii="Arial" w:cs="Arial" w:eastAsia="Arial" w:hAnsi="Arial"/>
          <w:sz w:val="22"/>
          <w:szCs w:val="22"/>
          <w:color w:val="auto"/>
        </w:rPr>
        <w:t>Each Participant who is actively employed by a Participating Company as an Eligible Employee. 2.3. “</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Committee or its delegate.</w:t>
      </w:r>
    </w:p>
    <w:p>
      <w:pPr>
        <w:spacing w:after="0" w:line="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Annual Rate of Pay</w:t>
      </w:r>
      <w:r>
        <w:rPr>
          <w:rFonts w:ascii="Arial" w:cs="Arial" w:eastAsia="Arial" w:hAnsi="Arial"/>
          <w:sz w:val="22"/>
          <w:szCs w:val="22"/>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Applicable Interest Rate</w:t>
      </w:r>
      <w:r>
        <w:rPr>
          <w:rFonts w:ascii="Arial" w:cs="Arial" w:eastAsia="Arial" w:hAnsi="Arial"/>
          <w:sz w:val="19"/>
          <w:szCs w:val="19"/>
          <w:color w:val="auto"/>
        </w:rPr>
        <w:t>.”</w:t>
      </w:r>
    </w:p>
    <w:p>
      <w:pPr>
        <w:spacing w:after="0" w:line="179" w:lineRule="exact"/>
        <w:rPr>
          <w:sz w:val="20"/>
          <w:szCs w:val="20"/>
          <w:color w:val="auto"/>
        </w:rPr>
      </w:pPr>
    </w:p>
    <w:p>
      <w:pPr>
        <w:ind w:left="2600" w:hanging="648"/>
        <w:spacing w:after="0"/>
        <w:tabs>
          <w:tab w:leader="none" w:pos="2600" w:val="left"/>
        </w:tabs>
        <w:numPr>
          <w:ilvl w:val="0"/>
          <w:numId w:val="251"/>
        </w:numPr>
        <w:rPr>
          <w:rFonts w:ascii="Arial" w:cs="Arial" w:eastAsia="Arial" w:hAnsi="Arial"/>
          <w:sz w:val="22"/>
          <w:szCs w:val="22"/>
          <w:color w:val="auto"/>
        </w:rPr>
      </w:pPr>
      <w:r>
        <w:rPr>
          <w:rFonts w:ascii="Arial" w:cs="Arial" w:eastAsia="Arial" w:hAnsi="Arial"/>
          <w:sz w:val="22"/>
          <w:szCs w:val="22"/>
          <w:u w:val="single" w:color="auto"/>
          <w:color w:val="auto"/>
        </w:rPr>
        <w:t>Active Participants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2600"/>
        <w:spacing w:after="0" w:line="218" w:lineRule="auto"/>
        <w:tabs>
          <w:tab w:leader="none" w:pos="3228" w:val="left"/>
        </w:tabs>
        <w:numPr>
          <w:ilvl w:val="1"/>
          <w:numId w:val="251"/>
        </w:numPr>
        <w:rPr>
          <w:rFonts w:ascii="Arial" w:cs="Arial" w:eastAsia="Arial" w:hAnsi="Arial"/>
          <w:sz w:val="22"/>
          <w:szCs w:val="22"/>
          <w:color w:val="auto"/>
        </w:rPr>
      </w:pPr>
      <w:r>
        <w:rPr>
          <w:rFonts w:ascii="Arial" w:cs="Arial" w:eastAsia="Arial" w:hAnsi="Arial"/>
          <w:sz w:val="22"/>
          <w:szCs w:val="22"/>
          <w:u w:val="single" w:color="auto"/>
          <w:color w:val="auto"/>
        </w:rPr>
        <w:t>Protected Account Balances</w:t>
      </w:r>
      <w:r>
        <w:rPr>
          <w:rFonts w:ascii="Arial" w:cs="Arial" w:eastAsia="Arial" w:hAnsi="Arial"/>
          <w:sz w:val="22"/>
          <w:szCs w:val="22"/>
          <w:color w:val="auto"/>
        </w:rPr>
        <w:t>. Except as otherwise provided in Section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60" w:lineRule="exact"/>
        <w:rPr>
          <w:rFonts w:ascii="Arial" w:cs="Arial" w:eastAsia="Arial" w:hAnsi="Arial"/>
          <w:sz w:val="22"/>
          <w:szCs w:val="22"/>
          <w:color w:val="auto"/>
        </w:rPr>
      </w:pPr>
    </w:p>
    <w:p>
      <w:pPr>
        <w:jc w:val="both"/>
        <w:ind w:firstLine="2600"/>
        <w:spacing w:after="0" w:line="216" w:lineRule="auto"/>
        <w:tabs>
          <w:tab w:leader="none" w:pos="3234" w:val="left"/>
        </w:tabs>
        <w:numPr>
          <w:ilvl w:val="1"/>
          <w:numId w:val="251"/>
        </w:numPr>
        <w:rPr>
          <w:rFonts w:ascii="Arial" w:cs="Arial" w:eastAsia="Arial" w:hAnsi="Arial"/>
          <w:sz w:val="22"/>
          <w:szCs w:val="22"/>
          <w:color w:val="auto"/>
        </w:rPr>
      </w:pPr>
      <w:r>
        <w:rPr>
          <w:rFonts w:ascii="Arial" w:cs="Arial" w:eastAsia="Arial" w:hAnsi="Arial"/>
          <w:sz w:val="22"/>
          <w:szCs w:val="22"/>
          <w:u w:val="single" w:color="auto"/>
          <w:color w:val="auto"/>
        </w:rPr>
        <w:t>Crediting Rate</w:t>
      </w:r>
      <w:r>
        <w:rPr>
          <w:rFonts w:ascii="Arial" w:cs="Arial" w:eastAsia="Arial" w:hAnsi="Arial"/>
          <w:sz w:val="22"/>
          <w:szCs w:val="22"/>
          <w:color w:val="auto"/>
        </w:rPr>
        <w:t>. Except as otherwise provided in Section 2.6(b), for amounts (other than Protected Account Balances) credited with respect to Initial Elections or pursuant to Section 3.8, and for amounts credited pursuant to Subsequent Elections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57" w:lineRule="exact"/>
        <w:rPr>
          <w:rFonts w:ascii="Arial" w:cs="Arial" w:eastAsia="Arial" w:hAnsi="Arial"/>
          <w:sz w:val="22"/>
          <w:szCs w:val="22"/>
          <w:color w:val="auto"/>
        </w:rPr>
      </w:pPr>
    </w:p>
    <w:p>
      <w:pPr>
        <w:jc w:val="both"/>
        <w:ind w:firstLine="1952"/>
        <w:spacing w:after="0" w:line="221" w:lineRule="auto"/>
        <w:tabs>
          <w:tab w:leader="none" w:pos="2587"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Termination or Transition of Service</w:t>
      </w:r>
      <w:r>
        <w:rPr>
          <w:rFonts w:ascii="Arial" w:cs="Arial" w:eastAsia="Arial" w:hAnsi="Arial"/>
          <w:sz w:val="21"/>
          <w:szCs w:val="21"/>
          <w:color w:val="auto"/>
        </w:rPr>
        <w:t>. Effective for the period beginning as soon as administratively practicable following (i) a significant reduction in a Participant’s compensation and services to the Company, as determined by the Administrator in its sole discretion, and (ii) a Participant’s employment termination date, in each case, to the date the Participant’s Account is distributed in full, the Administrator, in its sole discretion, may designate the term “Applicable Interest Rate” for such Participant’s Account to mean the lesser of (x) the rate in effect under Section 2.6(a) or (y)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77" w:name="page278"/>
    <w:bookmarkEnd w:id="277"/>
    <w:p>
      <w:pPr>
        <w:jc w:val="both"/>
        <w:spacing w:after="0" w:line="232" w:lineRule="auto"/>
        <w:rPr>
          <w:sz w:val="20"/>
          <w:szCs w:val="20"/>
          <w:color w:val="auto"/>
        </w:rPr>
      </w:pPr>
      <w:r>
        <w:rPr>
          <w:rFonts w:ascii="Arial" w:cs="Arial" w:eastAsia="Arial" w:hAnsi="Arial"/>
          <w:sz w:val="22"/>
          <w:szCs w:val="22"/>
          <w:color w:val="auto"/>
        </w:rPr>
        <w:t>Administrator may delegate its authority to determine the Applicable Interest Rate under this Section 2.6(b) to an officer of the Company or committee of two or more officers of the Company.</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2.7. “</w:t>
      </w:r>
      <w:r>
        <w:rPr>
          <w:rFonts w:ascii="Arial" w:cs="Arial" w:eastAsia="Arial" w:hAnsi="Arial"/>
          <w:sz w:val="21"/>
          <w:szCs w:val="21"/>
          <w:u w:val="single" w:color="auto"/>
          <w:color w:val="auto"/>
        </w:rPr>
        <w:t>Beneficiary</w:t>
      </w:r>
      <w:r>
        <w:rPr>
          <w:rFonts w:ascii="Arial" w:cs="Arial" w:eastAsia="Arial" w:hAnsi="Arial"/>
          <w:sz w:val="21"/>
          <w:szCs w:val="21"/>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64"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2.11.  “</w:t>
      </w:r>
      <w:r>
        <w:rPr>
          <w:rFonts w:ascii="Arial" w:cs="Arial" w:eastAsia="Arial" w:hAnsi="Arial"/>
          <w:sz w:val="22"/>
          <w:szCs w:val="22"/>
          <w:u w:val="single" w:color="auto"/>
          <w:color w:val="auto"/>
        </w:rPr>
        <w:t>Comcast Spectacor</w:t>
      </w:r>
      <w:r>
        <w:rPr>
          <w:rFonts w:ascii="Arial" w:cs="Arial" w:eastAsia="Arial" w:hAnsi="Arial"/>
          <w:sz w:val="22"/>
          <w:szCs w:val="22"/>
          <w:color w:val="auto"/>
        </w:rPr>
        <w:t>” means Comcast Spectacor, L.P.</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2.12.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of Directors of the Company.</w:t>
      </w:r>
    </w:p>
    <w:p>
      <w:pPr>
        <w:spacing w:after="0" w:line="17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Company Stock</w:t>
      </w:r>
      <w:r>
        <w:rPr>
          <w:rFonts w:ascii="Arial" w:cs="Arial" w:eastAsia="Arial" w:hAnsi="Arial"/>
          <w:sz w:val="19"/>
          <w:szCs w:val="19"/>
          <w:color w:val="auto"/>
        </w:rPr>
        <w:t>” means with respect to amounts credited to the Company Stock Fund pursuant to (i) deferral elections by Outside Directors or Directors Emeriti made pursuant to Section 3.1(a), or (ii) deemed transfers pursuant to Article 5, Comcast Corporation Class A Common Stock, par value $0.01, and such other securities issued by the Company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The number of hypothetical shares of Company Stock credited to a Participant’s Account shall be rounded down to the next lower share, and the value of fractional shares that otherwise have been credited to the Company Stock Fund shall be credited to the Income Fund. Any reference to the term “Company Stock” in the Plan shall be a reference to the appropriate number and class of shares of stock as adjusted pursuant to this Section 2.14. The Committee’s adjustment shall be effective and binding for all purposes of the Plan.</w:t>
      </w:r>
    </w:p>
    <w:p>
      <w:pPr>
        <w:spacing w:after="0" w:line="164"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u w:val="single" w:color="auto"/>
          <w:color w:val="auto"/>
        </w:rPr>
        <w:t>Company Stock Fund</w:t>
      </w:r>
      <w:r>
        <w:rPr>
          <w:rFonts w:ascii="Arial" w:cs="Arial" w:eastAsia="Arial" w:hAnsi="Arial"/>
          <w:sz w:val="22"/>
          <w:szCs w:val="22"/>
          <w:color w:val="auto"/>
        </w:rPr>
        <w:t>” means a hypothetical investment fund pursuant to which income, gains and losses are credited to a Participant’s Account as if the Account, to the extent deemed invested in the Company Stock Fund, were invested in hypothetical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78" w:name="page279"/>
    <w:bookmarkEnd w:id="278"/>
    <w:p>
      <w:pPr>
        <w:jc w:val="both"/>
        <w:spacing w:after="0" w:line="244" w:lineRule="auto"/>
        <w:rPr>
          <w:sz w:val="20"/>
          <w:szCs w:val="20"/>
          <w:color w:val="auto"/>
        </w:rPr>
      </w:pPr>
      <w:r>
        <w:rPr>
          <w:rFonts w:ascii="Arial" w:cs="Arial" w:eastAsia="Arial" w:hAnsi="Arial"/>
          <w:sz w:val="19"/>
          <w:szCs w:val="19"/>
          <w:color w:val="auto"/>
        </w:rPr>
        <w:t xml:space="preserve">Company Stock, and, except as otherwise provided in Section 2.14 with respect to fractional shares, all dividends and other distributions paid with respect to Company Stock shall be credited to an Other Investment Fund as a hypothetical purchase on the applicable dividend or distribution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with respect to Company Stock credited to the Accounts of Outside Directors, dividends and other distributions shall be credited to the Company Stock Fund as a hypothetical purchase of Company Stock at Fair Market Value on the applicable dividend or distribution payment date and (b) with respect to Company Stock credited to the Accounts of Covered Participants, dividends and other distributions paid after February 28, 2021 shall be credited to one or more Other Investment Funds as a hypothetical purchase on the applicable dividend or distribution payment date.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2.16.  “</w:t>
      </w:r>
      <w:r>
        <w:rPr>
          <w:rFonts w:ascii="Arial" w:cs="Arial" w:eastAsia="Arial" w:hAnsi="Arial"/>
          <w:sz w:val="22"/>
          <w:szCs w:val="22"/>
          <w:u w:val="single" w:color="auto"/>
          <w:color w:val="auto"/>
        </w:rPr>
        <w:t>Compensation</w:t>
      </w:r>
      <w:r>
        <w:rPr>
          <w:rFonts w:ascii="Arial" w:cs="Arial" w:eastAsia="Arial" w:hAnsi="Arial"/>
          <w:sz w:val="22"/>
          <w:szCs w:val="22"/>
          <w:color w:val="auto"/>
        </w:rPr>
        <w:t>” means:</w:t>
      </w:r>
    </w:p>
    <w:p>
      <w:pPr>
        <w:spacing w:after="0" w:line="179" w:lineRule="exact"/>
        <w:rPr>
          <w:sz w:val="20"/>
          <w:szCs w:val="20"/>
          <w:color w:val="auto"/>
        </w:rPr>
      </w:pPr>
    </w:p>
    <w:p>
      <w:pPr>
        <w:jc w:val="both"/>
        <w:ind w:firstLine="1952"/>
        <w:spacing w:after="0" w:line="218" w:lineRule="auto"/>
        <w:tabs>
          <w:tab w:leader="none" w:pos="2589" w:val="left"/>
        </w:tabs>
        <w:numPr>
          <w:ilvl w:val="0"/>
          <w:numId w:val="252"/>
        </w:numPr>
        <w:rPr>
          <w:rFonts w:ascii="Arial" w:cs="Arial" w:eastAsia="Arial" w:hAnsi="Arial"/>
          <w:sz w:val="22"/>
          <w:szCs w:val="22"/>
          <w:color w:val="auto"/>
        </w:rPr>
      </w:pPr>
      <w:r>
        <w:rPr>
          <w:rFonts w:ascii="Arial" w:cs="Arial" w:eastAsia="Arial" w:hAnsi="Arial"/>
          <w:sz w:val="22"/>
          <w:szCs w:val="22"/>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60" w:lineRule="exact"/>
        <w:rPr>
          <w:rFonts w:ascii="Arial" w:cs="Arial" w:eastAsia="Arial" w:hAnsi="Arial"/>
          <w:sz w:val="22"/>
          <w:szCs w:val="22"/>
          <w:color w:val="auto"/>
        </w:rPr>
      </w:pPr>
    </w:p>
    <w:p>
      <w:pPr>
        <w:jc w:val="both"/>
        <w:ind w:firstLine="1952"/>
        <w:spacing w:after="0" w:line="212" w:lineRule="auto"/>
        <w:tabs>
          <w:tab w:leader="none" w:pos="2587" w:val="left"/>
        </w:tabs>
        <w:numPr>
          <w:ilvl w:val="0"/>
          <w:numId w:val="252"/>
        </w:numPr>
        <w:rPr>
          <w:rFonts w:ascii="Arial" w:cs="Arial" w:eastAsia="Arial" w:hAnsi="Arial"/>
          <w:sz w:val="22"/>
          <w:szCs w:val="22"/>
          <w:color w:val="auto"/>
        </w:rPr>
      </w:pPr>
      <w:r>
        <w:rPr>
          <w:rFonts w:ascii="Arial" w:cs="Arial" w:eastAsia="Arial" w:hAnsi="Arial"/>
          <w:sz w:val="22"/>
          <w:szCs w:val="22"/>
          <w:color w:val="auto"/>
        </w:rPr>
        <w:t>In the case of an Eligible Employee, the total cash remuneration for services payable by a Participating Company, excluding (i) Severance Pay, (ii) sales commissions or other similar payments or awards other than cash bonus arrangements described in Section 2.16(c), (iii) bonuses earned under any program designated by the Company’s Programming Division as a “long-term incentive plan” and (iv) cash bonuses earned under any long-term incentive plan for employees of NBCUniversal, provided that for Plan Years beginning after 2021, the term “Compensation” shall not include cash remuneration for services payable by a Participating Company for services performed outside of the United States or the United Kingdom.</w:t>
      </w:r>
    </w:p>
    <w:p>
      <w:pPr>
        <w:spacing w:after="0" w:line="163" w:lineRule="exact"/>
        <w:rPr>
          <w:rFonts w:ascii="Arial" w:cs="Arial" w:eastAsia="Arial" w:hAnsi="Arial"/>
          <w:sz w:val="22"/>
          <w:szCs w:val="22"/>
          <w:color w:val="auto"/>
        </w:rPr>
      </w:pPr>
    </w:p>
    <w:p>
      <w:pPr>
        <w:jc w:val="both"/>
        <w:ind w:firstLine="1952"/>
        <w:spacing w:after="0" w:line="247" w:lineRule="auto"/>
        <w:tabs>
          <w:tab w:leader="none" w:pos="2653" w:val="left"/>
        </w:tabs>
        <w:numPr>
          <w:ilvl w:val="0"/>
          <w:numId w:val="252"/>
        </w:numPr>
        <w:rPr>
          <w:rFonts w:ascii="Arial" w:cs="Arial" w:eastAsia="Arial" w:hAnsi="Arial"/>
          <w:sz w:val="19"/>
          <w:szCs w:val="19"/>
          <w:color w:val="auto"/>
        </w:rPr>
      </w:pPr>
      <w:r>
        <w:rPr>
          <w:rFonts w:ascii="Arial" w:cs="Arial" w:eastAsia="Arial" w:hAnsi="Arial"/>
          <w:sz w:val="19"/>
          <w:szCs w:val="19"/>
          <w:color w:val="auto"/>
        </w:rPr>
        <w:t>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 and provided further that for cash bonuses earned in Plan Years beginning after 2021, such cash bonus is attributable to services performed by an Eligible Employee in the United States or the United Kingdom.</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2.17.  “</w:t>
      </w:r>
      <w:r>
        <w:rPr>
          <w:rFonts w:ascii="Arial" w:cs="Arial" w:eastAsia="Arial" w:hAnsi="Arial"/>
          <w:sz w:val="22"/>
          <w:szCs w:val="22"/>
          <w:u w:val="single" w:color="auto"/>
          <w:color w:val="auto"/>
        </w:rPr>
        <w:t>Contribution Limit</w:t>
      </w:r>
      <w:r>
        <w:rPr>
          <w:rFonts w:ascii="Arial" w:cs="Arial" w:eastAsia="Arial" w:hAnsi="Arial"/>
          <w:sz w:val="22"/>
          <w:szCs w:val="22"/>
          <w:color w:val="auto"/>
        </w:rPr>
        <w:t>” means:</w:t>
      </w:r>
    </w:p>
    <w:p>
      <w:pPr>
        <w:spacing w:after="0" w:line="179" w:lineRule="exact"/>
        <w:rPr>
          <w:sz w:val="20"/>
          <w:szCs w:val="20"/>
          <w:color w:val="auto"/>
        </w:rPr>
      </w:pPr>
    </w:p>
    <w:p>
      <w:pPr>
        <w:ind w:left="2660" w:hanging="708"/>
        <w:spacing w:after="0"/>
        <w:tabs>
          <w:tab w:leader="none" w:pos="266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For Plan Years beginning on and after January 1, 2022, the product of (i) five (5) times (ii) Total</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Compensation.</w:t>
      </w:r>
    </w:p>
    <w:p>
      <w:pPr>
        <w:spacing w:after="0" w:line="161" w:lineRule="exact"/>
        <w:rPr>
          <w:sz w:val="20"/>
          <w:szCs w:val="20"/>
          <w:color w:val="auto"/>
        </w:rPr>
      </w:pPr>
    </w:p>
    <w:p>
      <w:pPr>
        <w:ind w:left="2660" w:hanging="708"/>
        <w:spacing w:after="0"/>
        <w:tabs>
          <w:tab w:leader="none" w:pos="266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For Plan Years beginning before December 31, 2021, the product of (i) seven (7) times (ii) Total</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79" w:name="page280"/>
    <w:bookmarkEnd w:id="279"/>
    <w:p>
      <w:pPr>
        <w:jc w:val="both"/>
        <w:ind w:firstLine="1296"/>
        <w:spacing w:after="0" w:line="268"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Covered Participant</w:t>
      </w:r>
      <w:r>
        <w:rPr>
          <w:rFonts w:ascii="Arial" w:cs="Arial" w:eastAsia="Arial" w:hAnsi="Arial"/>
          <w:sz w:val="19"/>
          <w:szCs w:val="19"/>
          <w:color w:val="auto"/>
        </w:rPr>
        <w:t>” means, as of any relevant date of determination, (i) any Section 16 Officer for whom disclosure was required pursuant to Item 402 of SEC Regulation S-K in the Company’s most recent filing with the SEC under the Securities Exchange Act of 1934, as amended, and (ii) any individual, as determined by the Committee in its discretion.</w:t>
      </w:r>
    </w:p>
    <w:p>
      <w:pPr>
        <w:spacing w:after="0" w:line="13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2.19. “</w:t>
      </w:r>
      <w:r>
        <w:rPr>
          <w:rFonts w:ascii="Arial" w:cs="Arial" w:eastAsia="Arial" w:hAnsi="Arial"/>
          <w:sz w:val="19"/>
          <w:szCs w:val="19"/>
          <w:u w:val="single" w:color="auto"/>
          <w:color w:val="auto"/>
        </w:rPr>
        <w:t>Death Tax Clearance Date</w:t>
      </w:r>
      <w:r>
        <w:rPr>
          <w:rFonts w:ascii="Arial" w:cs="Arial" w:eastAsia="Arial" w:hAnsi="Arial"/>
          <w:sz w:val="19"/>
          <w:szCs w:val="19"/>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4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Death Taxes</w:t>
      </w:r>
      <w:r>
        <w:rPr>
          <w:rFonts w:ascii="Arial" w:cs="Arial" w:eastAsia="Arial" w:hAnsi="Arial"/>
          <w:sz w:val="22"/>
          <w:szCs w:val="22"/>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Deceased Participant</w:t>
      </w:r>
      <w:r>
        <w:rPr>
          <w:rFonts w:ascii="Arial" w:cs="Arial" w:eastAsia="Arial" w:hAnsi="Arial"/>
          <w:sz w:val="22"/>
          <w:szCs w:val="22"/>
          <w:color w:val="auto"/>
        </w:rPr>
        <w:t>” means a Participant whose employment, or, in the case of a Participant who was an Outside Director or Director Emeritus, a Participant whose service as an Outside Director or Director Emeritus, is terminated by death.</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2.23.  “</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179" w:lineRule="exact"/>
        <w:rPr>
          <w:sz w:val="20"/>
          <w:szCs w:val="20"/>
          <w:color w:val="auto"/>
        </w:rPr>
      </w:pPr>
    </w:p>
    <w:p>
      <w:pPr>
        <w:jc w:val="both"/>
        <w:ind w:firstLine="1952"/>
        <w:spacing w:after="0" w:line="223" w:lineRule="auto"/>
        <w:tabs>
          <w:tab w:leader="none" w:pos="2589" w:val="left"/>
        </w:tabs>
        <w:numPr>
          <w:ilvl w:val="0"/>
          <w:numId w:val="255"/>
        </w:numPr>
        <w:rPr>
          <w:rFonts w:ascii="Arial" w:cs="Arial" w:eastAsia="Arial" w:hAnsi="Arial"/>
          <w:sz w:val="22"/>
          <w:szCs w:val="22"/>
          <w:color w:val="auto"/>
        </w:rPr>
      </w:pPr>
      <w:r>
        <w:rPr>
          <w:rFonts w:ascii="Arial" w:cs="Arial" w:eastAsia="Arial" w:hAnsi="Arial"/>
          <w:sz w:val="22"/>
          <w:szCs w:val="22"/>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587" w:val="left"/>
        </w:tabs>
        <w:numPr>
          <w:ilvl w:val="0"/>
          <w:numId w:val="255"/>
        </w:numPr>
        <w:rPr>
          <w:rFonts w:ascii="Arial" w:cs="Arial" w:eastAsia="Arial" w:hAnsi="Arial"/>
          <w:sz w:val="22"/>
          <w:szCs w:val="22"/>
          <w:color w:val="auto"/>
        </w:rPr>
      </w:pPr>
      <w:r>
        <w:rPr>
          <w:rFonts w:ascii="Arial" w:cs="Arial" w:eastAsia="Arial" w:hAnsi="Arial"/>
          <w:sz w:val="22"/>
          <w:szCs w:val="22"/>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Disabled Participant</w:t>
      </w:r>
      <w:r>
        <w:rPr>
          <w:rFonts w:ascii="Arial" w:cs="Arial" w:eastAsia="Arial" w:hAnsi="Arial"/>
          <w:sz w:val="22"/>
          <w:szCs w:val="22"/>
          <w:color w:val="auto"/>
        </w:rPr>
        <w:t>” means:</w:t>
      </w:r>
    </w:p>
    <w:p>
      <w:pPr>
        <w:spacing w:after="0" w:line="179" w:lineRule="exact"/>
        <w:rPr>
          <w:sz w:val="20"/>
          <w:szCs w:val="20"/>
          <w:color w:val="auto"/>
        </w:rPr>
      </w:pPr>
    </w:p>
    <w:p>
      <w:pPr>
        <w:jc w:val="both"/>
        <w:ind w:right="20" w:firstLine="1952"/>
        <w:spacing w:after="0" w:line="298" w:lineRule="auto"/>
        <w:tabs>
          <w:tab w:leader="none" w:pos="2589" w:val="left"/>
        </w:tabs>
        <w:numPr>
          <w:ilvl w:val="0"/>
          <w:numId w:val="256"/>
        </w:numPr>
        <w:rPr>
          <w:rFonts w:ascii="Arial" w:cs="Arial" w:eastAsia="Arial" w:hAnsi="Arial"/>
          <w:sz w:val="19"/>
          <w:szCs w:val="19"/>
          <w:color w:val="auto"/>
        </w:rPr>
      </w:pPr>
      <w:r>
        <w:rPr>
          <w:rFonts w:ascii="Arial" w:cs="Arial" w:eastAsia="Arial" w:hAnsi="Arial"/>
          <w:sz w:val="19"/>
          <w:szCs w:val="19"/>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05" w:lineRule="exact"/>
        <w:rPr>
          <w:rFonts w:ascii="Arial" w:cs="Arial" w:eastAsia="Arial" w:hAnsi="Arial"/>
          <w:sz w:val="19"/>
          <w:szCs w:val="19"/>
          <w:color w:val="auto"/>
        </w:rPr>
      </w:pPr>
    </w:p>
    <w:p>
      <w:pPr>
        <w:ind w:left="2600" w:hanging="648"/>
        <w:spacing w:after="0"/>
        <w:tabs>
          <w:tab w:leader="none" w:pos="260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The duly-appointed legal guardian of an individual described in Section 2.24(a) acting on behalf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individual.</w:t>
      </w:r>
    </w:p>
    <w:p>
      <w:pPr>
        <w:spacing w:after="0" w:line="161"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2.25. “</w:t>
      </w:r>
      <w:r>
        <w:rPr>
          <w:rFonts w:ascii="Arial" w:cs="Arial" w:eastAsia="Arial" w:hAnsi="Arial"/>
          <w:sz w:val="22"/>
          <w:szCs w:val="22"/>
          <w:u w:val="single" w:color="auto"/>
          <w:color w:val="auto"/>
        </w:rPr>
        <w:t>Domestic Relations Order</w:t>
      </w:r>
      <w:r>
        <w:rPr>
          <w:rFonts w:ascii="Arial" w:cs="Arial" w:eastAsia="Arial" w:hAnsi="Arial"/>
          <w:sz w:val="22"/>
          <w:szCs w:val="22"/>
          <w:color w:val="auto"/>
        </w:rPr>
        <w:t>” means any judgment, decree or order (including approval of a property settlement agreement)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80" w:name="page281"/>
    <w:bookmarkEnd w:id="280"/>
    <w:p>
      <w:pPr>
        <w:ind w:firstLine="1952"/>
        <w:spacing w:after="0" w:line="232" w:lineRule="auto"/>
        <w:tabs>
          <w:tab w:leader="none" w:pos="2654" w:val="left"/>
        </w:tabs>
        <w:numPr>
          <w:ilvl w:val="0"/>
          <w:numId w:val="257"/>
        </w:numPr>
        <w:rPr>
          <w:rFonts w:ascii="Arial" w:cs="Arial" w:eastAsia="Arial" w:hAnsi="Arial"/>
          <w:sz w:val="22"/>
          <w:szCs w:val="22"/>
          <w:color w:val="auto"/>
        </w:rPr>
      </w:pPr>
      <w:r>
        <w:rPr>
          <w:rFonts w:ascii="Arial" w:cs="Arial" w:eastAsia="Arial" w:hAnsi="Arial"/>
          <w:sz w:val="22"/>
          <w:szCs w:val="22"/>
          <w:color w:val="auto"/>
        </w:rPr>
        <w:t>Relates to the provision of child support, alimony payments or marital property rights to a spouse or former spouse of a Participant; and</w:t>
      </w:r>
    </w:p>
    <w:p>
      <w:pPr>
        <w:spacing w:after="0" w:line="158" w:lineRule="exact"/>
        <w:rPr>
          <w:rFonts w:ascii="Arial" w:cs="Arial" w:eastAsia="Arial" w:hAnsi="Arial"/>
          <w:sz w:val="22"/>
          <w:szCs w:val="22"/>
          <w:color w:val="auto"/>
        </w:rPr>
      </w:pPr>
    </w:p>
    <w:p>
      <w:pPr>
        <w:ind w:left="2640" w:hanging="688"/>
        <w:spacing w:after="0"/>
        <w:tabs>
          <w:tab w:leader="none" w:pos="264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Is made pursuant to a State domestic relations law (including a community property law).</w:t>
      </w:r>
    </w:p>
    <w:p>
      <w:pPr>
        <w:spacing w:after="0" w:line="19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Eligible Comcast Employee</w:t>
      </w:r>
      <w:r>
        <w:rPr>
          <w:rFonts w:ascii="Arial" w:cs="Arial" w:eastAsia="Arial" w:hAnsi="Arial"/>
          <w:sz w:val="22"/>
          <w:szCs w:val="22"/>
          <w:color w:val="auto"/>
        </w:rPr>
        <w:t>” means an employee of a Participating Company described in Section 2.26(a) through 2.26(e), provided that except as otherwise designated by the Administrator, in the case of an employee of the Company or a subsidiary of the Company (other than NBCUniversal), such individual’s Compensation is administered under the Company’s common payroll system, and in the case of an employee of NBCUniversal, such individual’s Compensation is administered under NBCUniversal’s common payroll system:</w:t>
      </w:r>
    </w:p>
    <w:p>
      <w:pPr>
        <w:spacing w:after="0" w:line="158" w:lineRule="exact"/>
        <w:rPr>
          <w:sz w:val="20"/>
          <w:szCs w:val="20"/>
          <w:color w:val="auto"/>
        </w:rPr>
      </w:pPr>
    </w:p>
    <w:p>
      <w:pPr>
        <w:jc w:val="both"/>
        <w:ind w:firstLine="1952"/>
        <w:spacing w:after="0" w:line="223" w:lineRule="auto"/>
        <w:tabs>
          <w:tab w:leader="none" w:pos="2644" w:val="left"/>
        </w:tabs>
        <w:numPr>
          <w:ilvl w:val="0"/>
          <w:numId w:val="258"/>
        </w:numPr>
        <w:rPr>
          <w:rFonts w:ascii="Arial" w:cs="Arial" w:eastAsia="Arial" w:hAnsi="Arial"/>
          <w:sz w:val="22"/>
          <w:szCs w:val="22"/>
          <w:color w:val="auto"/>
        </w:rPr>
      </w:pPr>
      <w:r>
        <w:rPr>
          <w:rFonts w:ascii="Arial" w:cs="Arial" w:eastAsia="Arial" w:hAnsi="Arial"/>
          <w:sz w:val="22"/>
          <w:szCs w:val="22"/>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158" w:lineRule="exact"/>
        <w:rPr>
          <w:rFonts w:ascii="Arial" w:cs="Arial" w:eastAsia="Arial" w:hAnsi="Arial"/>
          <w:sz w:val="22"/>
          <w:szCs w:val="22"/>
          <w:color w:val="auto"/>
        </w:rPr>
      </w:pPr>
    </w:p>
    <w:p>
      <w:pPr>
        <w:jc w:val="both"/>
        <w:ind w:firstLine="1952"/>
        <w:spacing w:after="0" w:line="218" w:lineRule="auto"/>
        <w:tabs>
          <w:tab w:leader="none" w:pos="2658" w:val="left"/>
        </w:tabs>
        <w:numPr>
          <w:ilvl w:val="0"/>
          <w:numId w:val="258"/>
        </w:numPr>
        <w:rPr>
          <w:rFonts w:ascii="Arial" w:cs="Arial" w:eastAsia="Arial" w:hAnsi="Arial"/>
          <w:sz w:val="22"/>
          <w:szCs w:val="22"/>
          <w:color w:val="auto"/>
        </w:rPr>
      </w:pPr>
      <w:r>
        <w:rPr>
          <w:rFonts w:ascii="Arial" w:cs="Arial" w:eastAsia="Arial" w:hAnsi="Arial"/>
          <w:sz w:val="22"/>
          <w:szCs w:val="22"/>
          <w:color w:val="auto"/>
        </w:rPr>
        <w:t>For the 2013 Plan Year, (i) each employee of a Participating Company other than NBCUniversal and (ii) each employee of NBCUniversal described in Section 2.26(a), provided that in each case, such employee has an Annual Rate of Pay of $200,000 or more as of both (iii) the date on which an Initial Election is filed with the Administrator for the 2013 Plan Year and (iv) January 1, 2013.</w:t>
      </w:r>
    </w:p>
    <w:p>
      <w:pPr>
        <w:spacing w:after="0" w:line="160" w:lineRule="exact"/>
        <w:rPr>
          <w:rFonts w:ascii="Arial" w:cs="Arial" w:eastAsia="Arial" w:hAnsi="Arial"/>
          <w:sz w:val="22"/>
          <w:szCs w:val="22"/>
          <w:color w:val="auto"/>
        </w:rPr>
      </w:pPr>
    </w:p>
    <w:p>
      <w:pPr>
        <w:jc w:val="both"/>
        <w:ind w:firstLine="1952"/>
        <w:spacing w:after="0" w:line="252" w:lineRule="auto"/>
        <w:tabs>
          <w:tab w:leader="none" w:pos="2645" w:val="left"/>
        </w:tabs>
        <w:numPr>
          <w:ilvl w:val="0"/>
          <w:numId w:val="258"/>
        </w:numPr>
        <w:rPr>
          <w:rFonts w:ascii="Arial" w:cs="Arial" w:eastAsia="Arial" w:hAnsi="Arial"/>
          <w:sz w:val="19"/>
          <w:szCs w:val="19"/>
          <w:color w:val="auto"/>
        </w:rPr>
      </w:pPr>
      <w:r>
        <w:rPr>
          <w:rFonts w:ascii="Arial" w:cs="Arial" w:eastAsia="Arial" w:hAnsi="Arial"/>
          <w:sz w:val="19"/>
          <w:szCs w:val="19"/>
          <w:color w:val="auto"/>
        </w:rPr>
        <w:t>For the period extending from January 1, 2014 through December 31, 2018, (i) each employee of a Participating Company other than NBCUniversal and (ii) each employee of NBCUniversal described in Section 2.26(a) whose Compensation was administered under NBCUniversal’s common payroll system as of December 31, 2013, provided that in each case, such employee has an Annual Rate of Pay of $250,000 or more as of both the date on which an Initial Election is filed with the Administrator and the first day of the calendar year in which such Initial Election is filed.</w:t>
      </w:r>
    </w:p>
    <w:p>
      <w:pPr>
        <w:spacing w:after="0" w:line="148" w:lineRule="exact"/>
        <w:rPr>
          <w:rFonts w:ascii="Arial" w:cs="Arial" w:eastAsia="Arial" w:hAnsi="Arial"/>
          <w:sz w:val="19"/>
          <w:szCs w:val="19"/>
          <w:color w:val="auto"/>
        </w:rPr>
      </w:pPr>
    </w:p>
    <w:p>
      <w:pPr>
        <w:jc w:val="both"/>
        <w:ind w:firstLine="1952"/>
        <w:spacing w:after="0" w:line="223" w:lineRule="auto"/>
        <w:tabs>
          <w:tab w:leader="none" w:pos="2676" w:val="left"/>
        </w:tabs>
        <w:numPr>
          <w:ilvl w:val="0"/>
          <w:numId w:val="258"/>
        </w:numPr>
        <w:rPr>
          <w:rFonts w:ascii="Arial" w:cs="Arial" w:eastAsia="Arial" w:hAnsi="Arial"/>
          <w:sz w:val="22"/>
          <w:szCs w:val="22"/>
          <w:color w:val="auto"/>
        </w:rPr>
      </w:pPr>
      <w:r>
        <w:rPr>
          <w:rFonts w:ascii="Arial" w:cs="Arial" w:eastAsia="Arial" w:hAnsi="Arial"/>
          <w:sz w:val="22"/>
          <w:szCs w:val="22"/>
          <w:color w:val="auto"/>
        </w:rPr>
        <w:t>Effective on and after January 1, 2019, each employee of a Participating Company other than NBCUniversal, provided that such employee has an Annual Rate of Pay of $350,000 or more as of the date on which an Initial Election is filed with the Administrator.</w:t>
      </w:r>
    </w:p>
    <w:p>
      <w:pPr>
        <w:spacing w:after="0" w:line="151" w:lineRule="exact"/>
        <w:rPr>
          <w:rFonts w:ascii="Arial" w:cs="Arial" w:eastAsia="Arial" w:hAnsi="Arial"/>
          <w:sz w:val="22"/>
          <w:szCs w:val="22"/>
          <w:color w:val="auto"/>
        </w:rPr>
      </w:pPr>
    </w:p>
    <w:p>
      <w:pPr>
        <w:ind w:left="2720" w:hanging="768"/>
        <w:spacing w:after="0"/>
        <w:tabs>
          <w:tab w:leader="none" w:pos="272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Each Grandfathered Employee who is an employee of a Participating Company other than</w:t>
      </w:r>
    </w:p>
    <w:p>
      <w:pPr>
        <w:spacing w:after="0"/>
        <w:rPr>
          <w:rFonts w:ascii="Arial" w:cs="Arial" w:eastAsia="Arial" w:hAnsi="Arial"/>
          <w:sz w:val="21"/>
          <w:szCs w:val="21"/>
          <w:color w:val="auto"/>
        </w:rPr>
      </w:pPr>
      <w:r>
        <w:rPr>
          <w:rFonts w:ascii="Arial" w:cs="Arial" w:eastAsia="Arial" w:hAnsi="Arial"/>
          <w:sz w:val="22"/>
          <w:szCs w:val="22"/>
          <w:color w:val="auto"/>
        </w:rPr>
        <w:t>NBCUniversal.</w:t>
      </w:r>
    </w:p>
    <w:p>
      <w:pPr>
        <w:spacing w:after="0" w:line="161" w:lineRule="exact"/>
        <w:rPr>
          <w:rFonts w:ascii="Arial" w:cs="Arial" w:eastAsia="Arial" w:hAnsi="Arial"/>
          <w:sz w:val="21"/>
          <w:szCs w:val="21"/>
          <w:color w:val="auto"/>
        </w:rPr>
      </w:pPr>
    </w:p>
    <w:p>
      <w:pPr>
        <w:ind w:left="2740" w:hanging="788"/>
        <w:spacing w:after="0"/>
        <w:tabs>
          <w:tab w:leader="none" w:pos="274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Each  New  Key  Employee  who  is  an  employee  of  a  Participating  Company  other  than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NBCUniversal.</w:t>
      </w:r>
    </w:p>
    <w:p>
      <w:pPr>
        <w:spacing w:after="0" w:line="161" w:lineRule="exact"/>
        <w:rPr>
          <w:rFonts w:ascii="Arial" w:cs="Arial" w:eastAsia="Arial" w:hAnsi="Arial"/>
          <w:sz w:val="19"/>
          <w:szCs w:val="19"/>
          <w:color w:val="auto"/>
        </w:rPr>
      </w:pPr>
    </w:p>
    <w:p>
      <w:pPr>
        <w:ind w:left="2640" w:hanging="688"/>
        <w:spacing w:after="0"/>
        <w:tabs>
          <w:tab w:leader="none" w:pos="264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Each Eligible Comcast Spectacor Employee.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2.27.  “</w:t>
      </w:r>
      <w:r>
        <w:rPr>
          <w:rFonts w:ascii="Arial" w:cs="Arial" w:eastAsia="Arial" w:hAnsi="Arial"/>
          <w:sz w:val="22"/>
          <w:szCs w:val="22"/>
          <w:u w:val="single" w:color="auto"/>
          <w:color w:val="auto"/>
        </w:rPr>
        <w:t>Eligible Comcast Spectacor Employee</w:t>
      </w:r>
      <w:r>
        <w:rPr>
          <w:rFonts w:ascii="Arial" w:cs="Arial" w:eastAsia="Arial" w:hAnsi="Arial"/>
          <w:sz w:val="22"/>
          <w:szCs w:val="22"/>
          <w:color w:val="auto"/>
        </w:rPr>
        <w:t>” means:</w:t>
      </w:r>
    </w:p>
    <w:p>
      <w:pPr>
        <w:spacing w:after="0" w:line="179" w:lineRule="exact"/>
        <w:rPr>
          <w:sz w:val="20"/>
          <w:szCs w:val="20"/>
          <w:color w:val="auto"/>
        </w:rPr>
      </w:pPr>
    </w:p>
    <w:p>
      <w:pPr>
        <w:ind w:firstLine="1952"/>
        <w:spacing w:after="0" w:line="232" w:lineRule="auto"/>
        <w:tabs>
          <w:tab w:leader="none" w:pos="2702" w:val="left"/>
        </w:tabs>
        <w:numPr>
          <w:ilvl w:val="0"/>
          <w:numId w:val="259"/>
        </w:numPr>
        <w:rPr>
          <w:rFonts w:ascii="Arial" w:cs="Arial" w:eastAsia="Arial" w:hAnsi="Arial"/>
          <w:sz w:val="22"/>
          <w:szCs w:val="22"/>
          <w:color w:val="auto"/>
        </w:rPr>
      </w:pPr>
      <w:r>
        <w:rPr>
          <w:rFonts w:ascii="Arial" w:cs="Arial" w:eastAsia="Arial" w:hAnsi="Arial"/>
          <w:sz w:val="22"/>
          <w:szCs w:val="22"/>
          <w:color w:val="auto"/>
        </w:rPr>
        <w:t>Each Eligible Comcast Employee who is providing services to Comcast Spectacor under a secondment arrangement between the Company and Comcast Spectacor.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281" w:name="page282"/>
    <w:bookmarkEnd w:id="281"/>
    <w:p>
      <w:pPr>
        <w:jc w:val="both"/>
        <w:ind w:firstLine="1952"/>
        <w:spacing w:after="0" w:line="218" w:lineRule="auto"/>
        <w:tabs>
          <w:tab w:leader="none" w:pos="2654" w:val="left"/>
        </w:tabs>
        <w:numPr>
          <w:ilvl w:val="0"/>
          <w:numId w:val="260"/>
        </w:numPr>
        <w:rPr>
          <w:rFonts w:ascii="Arial" w:cs="Arial" w:eastAsia="Arial" w:hAnsi="Arial"/>
          <w:sz w:val="22"/>
          <w:szCs w:val="22"/>
          <w:color w:val="auto"/>
        </w:rPr>
      </w:pPr>
      <w:r>
        <w:rPr>
          <w:rFonts w:ascii="Arial" w:cs="Arial" w:eastAsia="Arial" w:hAnsi="Arial"/>
          <w:sz w:val="22"/>
          <w:szCs w:val="22"/>
          <w:color w:val="auto"/>
        </w:rPr>
        <w:t>Each employee of Comcast Spectacor, provided that such employee (i) has been designated as an Eligible Comcast Spectacor Employee by the Administrator or its delegate and (ii) has an Annual Rate of Pay of $350,000 or more as of both (x) the date on which an Initial Election is filed with the Administrator and (y) the first day of the calendar year in which such Initial Election is filed.</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w:t>
      </w:r>
    </w:p>
    <w:p>
      <w:pPr>
        <w:spacing w:after="0" w:line="179" w:lineRule="exact"/>
        <w:rPr>
          <w:sz w:val="20"/>
          <w:szCs w:val="20"/>
          <w:color w:val="auto"/>
        </w:rPr>
      </w:pPr>
    </w:p>
    <w:p>
      <w:pPr>
        <w:ind w:left="2660" w:hanging="708"/>
        <w:spacing w:after="0"/>
        <w:tabs>
          <w:tab w:leader="none" w:pos="266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Each Eligible Comcast Employee;</w:t>
      </w:r>
    </w:p>
    <w:p>
      <w:pPr>
        <w:spacing w:after="0" w:line="179" w:lineRule="exact"/>
        <w:rPr>
          <w:rFonts w:ascii="Arial" w:cs="Arial" w:eastAsia="Arial" w:hAnsi="Arial"/>
          <w:sz w:val="22"/>
          <w:szCs w:val="22"/>
          <w:color w:val="auto"/>
        </w:rPr>
      </w:pPr>
    </w:p>
    <w:p>
      <w:pPr>
        <w:ind w:left="2640" w:hanging="688"/>
        <w:spacing w:after="0"/>
        <w:tabs>
          <w:tab w:leader="none" w:pos="264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Each Eligible NBCU Employee; and</w:t>
      </w:r>
    </w:p>
    <w:p>
      <w:pPr>
        <w:spacing w:after="0" w:line="179" w:lineRule="exact"/>
        <w:rPr>
          <w:rFonts w:ascii="Arial" w:cs="Arial" w:eastAsia="Arial" w:hAnsi="Arial"/>
          <w:sz w:val="22"/>
          <w:szCs w:val="22"/>
          <w:color w:val="auto"/>
        </w:rPr>
      </w:pPr>
    </w:p>
    <w:p>
      <w:pPr>
        <w:ind w:right="20" w:firstLine="1952"/>
        <w:spacing w:after="0" w:line="232" w:lineRule="auto"/>
        <w:tabs>
          <w:tab w:leader="none" w:pos="2665" w:val="left"/>
        </w:tabs>
        <w:numPr>
          <w:ilvl w:val="0"/>
          <w:numId w:val="261"/>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Administrator, in its discretion, as an Eligible Employee.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2.29.  “</w:t>
      </w:r>
      <w:r>
        <w:rPr>
          <w:rFonts w:ascii="Arial" w:cs="Arial" w:eastAsia="Arial" w:hAnsi="Arial"/>
          <w:sz w:val="22"/>
          <w:szCs w:val="22"/>
          <w:u w:val="single" w:color="auto"/>
          <w:color w:val="auto"/>
        </w:rPr>
        <w:t>Eligible NBCU Employee</w:t>
      </w:r>
      <w:r>
        <w:rPr>
          <w:rFonts w:ascii="Arial" w:cs="Arial" w:eastAsia="Arial" w:hAnsi="Arial"/>
          <w:sz w:val="22"/>
          <w:szCs w:val="22"/>
          <w:color w:val="auto"/>
        </w:rPr>
        <w:t>” means:</w:t>
      </w:r>
    </w:p>
    <w:p>
      <w:pPr>
        <w:spacing w:after="0" w:line="179" w:lineRule="exact"/>
        <w:rPr>
          <w:sz w:val="20"/>
          <w:szCs w:val="20"/>
          <w:color w:val="auto"/>
        </w:rPr>
      </w:pPr>
    </w:p>
    <w:p>
      <w:pPr>
        <w:jc w:val="both"/>
        <w:ind w:firstLine="1952"/>
        <w:spacing w:after="0" w:line="268" w:lineRule="auto"/>
        <w:tabs>
          <w:tab w:leader="none" w:pos="2648" w:val="left"/>
        </w:tabs>
        <w:numPr>
          <w:ilvl w:val="0"/>
          <w:numId w:val="262"/>
        </w:numPr>
        <w:rPr>
          <w:rFonts w:ascii="Arial" w:cs="Arial" w:eastAsia="Arial" w:hAnsi="Arial"/>
          <w:sz w:val="19"/>
          <w:szCs w:val="19"/>
          <w:color w:val="auto"/>
        </w:rPr>
      </w:pPr>
      <w:r>
        <w:rPr>
          <w:rFonts w:ascii="Arial" w:cs="Arial" w:eastAsia="Arial" w:hAnsi="Arial"/>
          <w:sz w:val="19"/>
          <w:szCs w:val="19"/>
          <w:color w:val="auto"/>
        </w:rPr>
        <w:t>Effective for the period extending from January 1, 2013 through December 31, 2018, an employee of NBCUniversal described in Section 2.29(a)(i) through 2.29(a)(v), provided that, in each case, except as otherwise designated by the Administrator, such individual’s Compensation is administered under NBCUniversal’s common payroll system.</w:t>
      </w:r>
    </w:p>
    <w:p>
      <w:pPr>
        <w:spacing w:after="0" w:line="132" w:lineRule="exact"/>
        <w:rPr>
          <w:rFonts w:ascii="Arial" w:cs="Arial" w:eastAsia="Arial" w:hAnsi="Arial"/>
          <w:sz w:val="19"/>
          <w:szCs w:val="19"/>
          <w:color w:val="auto"/>
        </w:rPr>
      </w:pPr>
    </w:p>
    <w:p>
      <w:pPr>
        <w:jc w:val="both"/>
        <w:ind w:firstLine="2600"/>
        <w:spacing w:after="0" w:line="234" w:lineRule="auto"/>
        <w:tabs>
          <w:tab w:leader="none" w:pos="3228" w:val="left"/>
        </w:tabs>
        <w:numPr>
          <w:ilvl w:val="1"/>
          <w:numId w:val="262"/>
        </w:numPr>
        <w:rPr>
          <w:rFonts w:ascii="Arial" w:cs="Arial" w:eastAsia="Arial" w:hAnsi="Arial"/>
          <w:sz w:val="21"/>
          <w:szCs w:val="21"/>
          <w:color w:val="auto"/>
        </w:rPr>
      </w:pPr>
      <w:r>
        <w:rPr>
          <w:rFonts w:ascii="Arial" w:cs="Arial" w:eastAsia="Arial" w:hAnsi="Arial"/>
          <w:sz w:val="21"/>
          <w:szCs w:val="21"/>
          <w:color w:val="auto"/>
        </w:rPr>
        <w:t>Each employee of NBCUniversal who has been designated as a member of NBCUniversal’s Executive Committee, Management Committee or Operating Committee by the Chief Executive Officer of NBCUniversal and approved by the Administrator, other than an employee who is described in Section 2.26.</w:t>
      </w:r>
    </w:p>
    <w:p>
      <w:pPr>
        <w:spacing w:after="0" w:line="157" w:lineRule="exact"/>
        <w:rPr>
          <w:rFonts w:ascii="Arial" w:cs="Arial" w:eastAsia="Arial" w:hAnsi="Arial"/>
          <w:sz w:val="21"/>
          <w:szCs w:val="21"/>
          <w:color w:val="auto"/>
        </w:rPr>
      </w:pPr>
    </w:p>
    <w:p>
      <w:pPr>
        <w:ind w:left="3240" w:hanging="640"/>
        <w:spacing w:after="0"/>
        <w:tabs>
          <w:tab w:leader="none" w:pos="3240" w:val="left"/>
        </w:tabs>
        <w:numPr>
          <w:ilvl w:val="1"/>
          <w:numId w:val="262"/>
        </w:numPr>
        <w:rPr>
          <w:rFonts w:ascii="Arial" w:cs="Arial" w:eastAsia="Arial" w:hAnsi="Arial"/>
          <w:sz w:val="19"/>
          <w:szCs w:val="19"/>
          <w:color w:val="auto"/>
        </w:rPr>
      </w:pPr>
      <w:r>
        <w:rPr>
          <w:rFonts w:ascii="Arial" w:cs="Arial" w:eastAsia="Arial" w:hAnsi="Arial"/>
          <w:sz w:val="19"/>
          <w:szCs w:val="19"/>
          <w:color w:val="auto"/>
        </w:rPr>
        <w:t>Each employee of NBCUniversal, other than an employee who is described in Section 2.26,</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who, for the 2013 Plan Year:</w:t>
      </w:r>
    </w:p>
    <w:p>
      <w:pPr>
        <w:spacing w:after="0" w:line="153" w:lineRule="exact"/>
        <w:rPr>
          <w:rFonts w:ascii="Arial" w:cs="Arial" w:eastAsia="Arial" w:hAnsi="Arial"/>
          <w:sz w:val="19"/>
          <w:szCs w:val="19"/>
          <w:color w:val="auto"/>
        </w:rPr>
      </w:pPr>
    </w:p>
    <w:p>
      <w:pPr>
        <w:ind w:left="4540" w:hanging="644"/>
        <w:spacing w:after="0"/>
        <w:tabs>
          <w:tab w:leader="none" w:pos="4540" w:val="left"/>
        </w:tabs>
        <w:numPr>
          <w:ilvl w:val="2"/>
          <w:numId w:val="262"/>
        </w:numPr>
        <w:rPr>
          <w:rFonts w:ascii="Arial" w:cs="Arial" w:eastAsia="Arial" w:hAnsi="Arial"/>
          <w:sz w:val="21"/>
          <w:szCs w:val="21"/>
          <w:color w:val="auto"/>
        </w:rPr>
      </w:pPr>
      <w:r>
        <w:rPr>
          <w:rFonts w:ascii="Arial" w:cs="Arial" w:eastAsia="Arial" w:hAnsi="Arial"/>
          <w:sz w:val="21"/>
          <w:szCs w:val="21"/>
          <w:color w:val="auto"/>
        </w:rPr>
        <w:t>Is not a member of NBCUniversal’s Executive Committee, Management</w:t>
      </w:r>
    </w:p>
    <w:p>
      <w:pPr>
        <w:spacing w:after="0"/>
        <w:rPr>
          <w:rFonts w:ascii="Arial" w:cs="Arial" w:eastAsia="Arial" w:hAnsi="Arial"/>
          <w:sz w:val="21"/>
          <w:szCs w:val="21"/>
          <w:color w:val="auto"/>
        </w:rPr>
      </w:pPr>
      <w:r>
        <w:rPr>
          <w:rFonts w:ascii="Arial" w:cs="Arial" w:eastAsia="Arial" w:hAnsi="Arial"/>
          <w:sz w:val="22"/>
          <w:szCs w:val="22"/>
          <w:color w:val="auto"/>
        </w:rPr>
        <w:t>Committee or Operating Committee;</w:t>
      </w:r>
    </w:p>
    <w:p>
      <w:pPr>
        <w:spacing w:after="0" w:line="153" w:lineRule="exact"/>
        <w:rPr>
          <w:rFonts w:ascii="Arial" w:cs="Arial" w:eastAsia="Arial" w:hAnsi="Arial"/>
          <w:sz w:val="21"/>
          <w:szCs w:val="21"/>
          <w:color w:val="auto"/>
        </w:rPr>
      </w:pPr>
    </w:p>
    <w:p>
      <w:pPr>
        <w:ind w:left="4540" w:hanging="644"/>
        <w:spacing w:after="0"/>
        <w:tabs>
          <w:tab w:leader="none" w:pos="4540" w:val="left"/>
        </w:tabs>
        <w:numPr>
          <w:ilvl w:val="2"/>
          <w:numId w:val="262"/>
        </w:numPr>
        <w:rPr>
          <w:rFonts w:ascii="Arial" w:cs="Arial" w:eastAsia="Arial" w:hAnsi="Arial"/>
          <w:sz w:val="21"/>
          <w:szCs w:val="21"/>
          <w:color w:val="auto"/>
        </w:rPr>
      </w:pPr>
      <w:r>
        <w:rPr>
          <w:rFonts w:ascii="Arial" w:cs="Arial" w:eastAsia="Arial" w:hAnsi="Arial"/>
          <w:sz w:val="21"/>
          <w:szCs w:val="21"/>
          <w:color w:val="auto"/>
        </w:rPr>
        <w:t>Transferred employment directly from the Company to NBCUniversal in</w:t>
      </w:r>
    </w:p>
    <w:p>
      <w:pPr>
        <w:spacing w:after="0"/>
        <w:rPr>
          <w:rFonts w:ascii="Arial" w:cs="Arial" w:eastAsia="Arial" w:hAnsi="Arial"/>
          <w:sz w:val="21"/>
          <w:szCs w:val="21"/>
          <w:color w:val="auto"/>
        </w:rPr>
      </w:pPr>
      <w:r>
        <w:rPr>
          <w:rFonts w:ascii="Arial" w:cs="Arial" w:eastAsia="Arial" w:hAnsi="Arial"/>
          <w:sz w:val="22"/>
          <w:szCs w:val="22"/>
          <w:color w:val="auto"/>
        </w:rPr>
        <w:t>2011 or 2012;</w:t>
      </w:r>
    </w:p>
    <w:p>
      <w:pPr>
        <w:spacing w:after="0" w:line="161" w:lineRule="exact"/>
        <w:rPr>
          <w:rFonts w:ascii="Arial" w:cs="Arial" w:eastAsia="Arial" w:hAnsi="Arial"/>
          <w:sz w:val="21"/>
          <w:szCs w:val="21"/>
          <w:color w:val="auto"/>
        </w:rPr>
      </w:pPr>
    </w:p>
    <w:p>
      <w:pPr>
        <w:ind w:left="4540" w:hanging="644"/>
        <w:spacing w:after="0"/>
        <w:tabs>
          <w:tab w:leader="none" w:pos="4540" w:val="left"/>
        </w:tabs>
        <w:numPr>
          <w:ilvl w:val="2"/>
          <w:numId w:val="262"/>
        </w:numPr>
        <w:rPr>
          <w:rFonts w:ascii="Arial" w:cs="Arial" w:eastAsia="Arial" w:hAnsi="Arial"/>
          <w:sz w:val="19"/>
          <w:szCs w:val="19"/>
          <w:color w:val="auto"/>
        </w:rPr>
      </w:pPr>
      <w:r>
        <w:rPr>
          <w:rFonts w:ascii="Arial" w:cs="Arial" w:eastAsia="Arial" w:hAnsi="Arial"/>
          <w:sz w:val="19"/>
          <w:szCs w:val="19"/>
          <w:color w:val="auto"/>
        </w:rPr>
        <w:t>Was  an  Eligible  Employee  under  the  rules  of  the  Plan  as  in  effect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immediately before transferring employment from the Company to NBCUniversal;</w:t>
      </w:r>
    </w:p>
    <w:p>
      <w:pPr>
        <w:spacing w:after="0" w:line="153" w:lineRule="exact"/>
        <w:rPr>
          <w:rFonts w:ascii="Arial" w:cs="Arial" w:eastAsia="Arial" w:hAnsi="Arial"/>
          <w:sz w:val="19"/>
          <w:szCs w:val="19"/>
          <w:color w:val="auto"/>
        </w:rPr>
      </w:pPr>
    </w:p>
    <w:p>
      <w:pPr>
        <w:ind w:left="4540" w:hanging="644"/>
        <w:spacing w:after="0"/>
        <w:tabs>
          <w:tab w:leader="none" w:pos="4540" w:val="left"/>
        </w:tabs>
        <w:numPr>
          <w:ilvl w:val="2"/>
          <w:numId w:val="262"/>
        </w:numPr>
        <w:rPr>
          <w:rFonts w:ascii="Arial" w:cs="Arial" w:eastAsia="Arial" w:hAnsi="Arial"/>
          <w:sz w:val="21"/>
          <w:szCs w:val="21"/>
          <w:color w:val="auto"/>
        </w:rPr>
      </w:pPr>
      <w:r>
        <w:rPr>
          <w:rFonts w:ascii="Arial" w:cs="Arial" w:eastAsia="Arial" w:hAnsi="Arial"/>
          <w:sz w:val="21"/>
          <w:szCs w:val="21"/>
          <w:color w:val="auto"/>
        </w:rPr>
        <w:t>Elected to waive the opportunity to continue to be an Eligible Employee</w:t>
      </w:r>
    </w:p>
    <w:p>
      <w:pPr>
        <w:spacing w:after="0"/>
        <w:rPr>
          <w:rFonts w:ascii="Arial" w:cs="Arial" w:eastAsia="Arial" w:hAnsi="Arial"/>
          <w:sz w:val="21"/>
          <w:szCs w:val="21"/>
          <w:color w:val="auto"/>
        </w:rPr>
      </w:pPr>
      <w:r>
        <w:rPr>
          <w:rFonts w:ascii="Arial" w:cs="Arial" w:eastAsia="Arial" w:hAnsi="Arial"/>
          <w:sz w:val="22"/>
          <w:szCs w:val="22"/>
          <w:color w:val="auto"/>
        </w:rPr>
        <w:t>following the transfer of employment directly from the Company to NBCUniversal;</w:t>
      </w:r>
    </w:p>
    <w:p>
      <w:pPr>
        <w:spacing w:after="0" w:line="161" w:lineRule="exact"/>
        <w:rPr>
          <w:rFonts w:ascii="Arial" w:cs="Arial" w:eastAsia="Arial" w:hAnsi="Arial"/>
          <w:sz w:val="21"/>
          <w:szCs w:val="21"/>
          <w:color w:val="auto"/>
        </w:rPr>
      </w:pPr>
    </w:p>
    <w:p>
      <w:pPr>
        <w:ind w:left="4540" w:hanging="644"/>
        <w:spacing w:after="0"/>
        <w:tabs>
          <w:tab w:leader="none" w:pos="4540" w:val="left"/>
        </w:tabs>
        <w:numPr>
          <w:ilvl w:val="2"/>
          <w:numId w:val="262"/>
        </w:numPr>
        <w:rPr>
          <w:rFonts w:ascii="Arial" w:cs="Arial" w:eastAsia="Arial" w:hAnsi="Arial"/>
          <w:sz w:val="19"/>
          <w:szCs w:val="19"/>
          <w:color w:val="auto"/>
        </w:rPr>
      </w:pPr>
      <w:r>
        <w:rPr>
          <w:rFonts w:ascii="Arial" w:cs="Arial" w:eastAsia="Arial" w:hAnsi="Arial"/>
          <w:sz w:val="19"/>
          <w:szCs w:val="19"/>
          <w:color w:val="auto"/>
        </w:rPr>
        <w:t>Has an Annual Rate of Pay of $200,000 or more as of both (iii) the date 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161" w:lineRule="exact"/>
        <w:rPr>
          <w:rFonts w:ascii="Arial" w:cs="Arial" w:eastAsia="Arial" w:hAnsi="Arial"/>
          <w:sz w:val="19"/>
          <w:szCs w:val="19"/>
          <w:color w:val="auto"/>
        </w:rPr>
      </w:pPr>
    </w:p>
    <w:p>
      <w:pPr>
        <w:ind w:left="4540" w:hanging="644"/>
        <w:spacing w:after="0"/>
        <w:tabs>
          <w:tab w:leader="none" w:pos="4540" w:val="left"/>
        </w:tabs>
        <w:numPr>
          <w:ilvl w:val="2"/>
          <w:numId w:val="262"/>
        </w:numPr>
        <w:rPr>
          <w:rFonts w:ascii="Arial" w:cs="Arial" w:eastAsia="Arial" w:hAnsi="Arial"/>
          <w:sz w:val="22"/>
          <w:szCs w:val="22"/>
          <w:color w:val="auto"/>
        </w:rPr>
      </w:pPr>
      <w:r>
        <w:rPr>
          <w:rFonts w:ascii="Arial" w:cs="Arial" w:eastAsia="Arial" w:hAnsi="Arial"/>
          <w:sz w:val="22"/>
          <w:szCs w:val="22"/>
          <w:color w:val="auto"/>
        </w:rPr>
        <w:t>Files an Initial Election with the Administrator for the 2013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282" w:name="page283"/>
    <w:bookmarkEnd w:id="282"/>
    <w:p>
      <w:pPr>
        <w:ind w:left="3240" w:hanging="640"/>
        <w:spacing w:after="0"/>
        <w:tabs>
          <w:tab w:leader="none" w:pos="32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Each employee of NBCUniversal, other than an employee who is described in Section 2.26,</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who, for the 2013 Plan Year:</w:t>
      </w:r>
    </w:p>
    <w:p>
      <w:pPr>
        <w:spacing w:after="0" w:line="15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Is not a member of NBCUniversal’s Executive Committee, Management</w:t>
      </w:r>
    </w:p>
    <w:p>
      <w:pPr>
        <w:spacing w:after="0"/>
        <w:rPr>
          <w:sz w:val="20"/>
          <w:szCs w:val="20"/>
          <w:color w:val="auto"/>
        </w:rPr>
      </w:pPr>
      <w:r>
        <w:rPr>
          <w:rFonts w:ascii="Arial" w:cs="Arial" w:eastAsia="Arial" w:hAnsi="Arial"/>
          <w:sz w:val="22"/>
          <w:szCs w:val="22"/>
          <w:color w:val="auto"/>
        </w:rPr>
        <w:t>Committee or Operating Committee;</w:t>
      </w:r>
    </w:p>
    <w:p>
      <w:pPr>
        <w:spacing w:after="0" w:line="161" w:lineRule="exact"/>
        <w:rPr>
          <w:sz w:val="20"/>
          <w:szCs w:val="20"/>
          <w:color w:val="auto"/>
        </w:rPr>
      </w:pPr>
    </w:p>
    <w:p>
      <w:pPr>
        <w:ind w:firstLine="3896"/>
        <w:spacing w:after="0" w:line="232" w:lineRule="auto"/>
        <w:tabs>
          <w:tab w:leader="none" w:pos="4527" w:val="left"/>
        </w:tabs>
        <w:numPr>
          <w:ilvl w:val="2"/>
          <w:numId w:val="264"/>
        </w:numPr>
        <w:rPr>
          <w:rFonts w:ascii="Arial" w:cs="Arial" w:eastAsia="Arial" w:hAnsi="Arial"/>
          <w:sz w:val="22"/>
          <w:szCs w:val="22"/>
          <w:color w:val="auto"/>
        </w:rPr>
      </w:pPr>
      <w:r>
        <w:rPr>
          <w:rFonts w:ascii="Arial" w:cs="Arial" w:eastAsia="Arial" w:hAnsi="Arial"/>
          <w:sz w:val="22"/>
          <w:szCs w:val="22"/>
          <w:color w:val="auto"/>
        </w:rPr>
        <w:t>Has been a participant in the NBCUniversal Supplementary Pension Plan for the period extending from January 29, 2011 through December 31, 2012;</w:t>
      </w:r>
    </w:p>
    <w:p>
      <w:pPr>
        <w:spacing w:after="0" w:line="158" w:lineRule="exact"/>
        <w:rPr>
          <w:rFonts w:ascii="Arial" w:cs="Arial" w:eastAsia="Arial" w:hAnsi="Arial"/>
          <w:sz w:val="22"/>
          <w:szCs w:val="22"/>
          <w:color w:val="auto"/>
        </w:rPr>
      </w:pPr>
    </w:p>
    <w:p>
      <w:pPr>
        <w:ind w:left="4540" w:hanging="644"/>
        <w:spacing w:after="0"/>
        <w:tabs>
          <w:tab w:leader="none" w:pos="4540" w:val="left"/>
        </w:tabs>
        <w:numPr>
          <w:ilvl w:val="2"/>
          <w:numId w:val="264"/>
        </w:numPr>
        <w:rPr>
          <w:rFonts w:ascii="Arial" w:cs="Arial" w:eastAsia="Arial" w:hAnsi="Arial"/>
          <w:sz w:val="19"/>
          <w:szCs w:val="19"/>
          <w:color w:val="auto"/>
        </w:rPr>
      </w:pPr>
      <w:r>
        <w:rPr>
          <w:rFonts w:ascii="Arial" w:cs="Arial" w:eastAsia="Arial" w:hAnsi="Arial"/>
          <w:sz w:val="19"/>
          <w:szCs w:val="19"/>
          <w:color w:val="auto"/>
        </w:rPr>
        <w:t>Has an Annual Rate of Pay is $200,000 or more as of both (iii) the date 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161" w:lineRule="exact"/>
        <w:rPr>
          <w:rFonts w:ascii="Arial" w:cs="Arial" w:eastAsia="Arial" w:hAnsi="Arial"/>
          <w:sz w:val="19"/>
          <w:szCs w:val="19"/>
          <w:color w:val="auto"/>
        </w:rPr>
      </w:pPr>
    </w:p>
    <w:p>
      <w:pPr>
        <w:ind w:left="4540" w:hanging="644"/>
        <w:spacing w:after="0"/>
        <w:tabs>
          <w:tab w:leader="none" w:pos="4540" w:val="left"/>
        </w:tabs>
        <w:numPr>
          <w:ilvl w:val="2"/>
          <w:numId w:val="264"/>
        </w:numPr>
        <w:rPr>
          <w:rFonts w:ascii="Arial" w:cs="Arial" w:eastAsia="Arial" w:hAnsi="Arial"/>
          <w:sz w:val="22"/>
          <w:szCs w:val="22"/>
          <w:color w:val="auto"/>
        </w:rPr>
      </w:pPr>
      <w:r>
        <w:rPr>
          <w:rFonts w:ascii="Arial" w:cs="Arial" w:eastAsia="Arial" w:hAnsi="Arial"/>
          <w:sz w:val="22"/>
          <w:szCs w:val="22"/>
          <w:color w:val="auto"/>
        </w:rPr>
        <w:t>Files an Initial Election with the Administrator for the 2013 Plan Year.</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179" w:lineRule="exact"/>
        <w:rPr>
          <w:rFonts w:ascii="Arial" w:cs="Arial" w:eastAsia="Arial" w:hAnsi="Arial"/>
          <w:sz w:val="22"/>
          <w:szCs w:val="22"/>
          <w:color w:val="auto"/>
        </w:rPr>
      </w:pPr>
    </w:p>
    <w:p>
      <w:pPr>
        <w:jc w:val="both"/>
        <w:ind w:firstLine="1952"/>
        <w:spacing w:after="0" w:line="223" w:lineRule="auto"/>
        <w:tabs>
          <w:tab w:leader="none" w:pos="2992" w:val="left"/>
        </w:tabs>
        <w:numPr>
          <w:ilvl w:val="0"/>
          <w:numId w:val="266"/>
        </w:numPr>
        <w:rPr>
          <w:rFonts w:ascii="Arial" w:cs="Arial" w:eastAsia="Arial" w:hAnsi="Arial"/>
          <w:sz w:val="22"/>
          <w:szCs w:val="22"/>
          <w:color w:val="auto"/>
        </w:rPr>
      </w:pPr>
      <w:r>
        <w:rPr>
          <w:rFonts w:ascii="Arial" w:cs="Arial" w:eastAsia="Arial" w:hAnsi="Arial"/>
          <w:sz w:val="22"/>
          <w:szCs w:val="22"/>
          <w:color w:val="auto"/>
        </w:rPr>
        <w:t>Effective on and after January 1, 2019, an employee of NBCUniversal described in Section 2.29(b)(i) through 2.29(b)(iii), provided that, in each case, except as otherwise designated by the Administrator, such individual’s Compensation is administered under NBCUniversal’s common payroll system.</w:t>
      </w:r>
    </w:p>
    <w:p>
      <w:pPr>
        <w:spacing w:after="0" w:line="158" w:lineRule="exact"/>
        <w:rPr>
          <w:rFonts w:ascii="Arial" w:cs="Arial" w:eastAsia="Arial" w:hAnsi="Arial"/>
          <w:sz w:val="22"/>
          <w:szCs w:val="22"/>
          <w:color w:val="auto"/>
        </w:rPr>
      </w:pPr>
    </w:p>
    <w:p>
      <w:pPr>
        <w:jc w:val="both"/>
        <w:ind w:firstLine="2600"/>
        <w:spacing w:after="0" w:line="223" w:lineRule="auto"/>
        <w:tabs>
          <w:tab w:leader="none" w:pos="3228" w:val="left"/>
        </w:tabs>
        <w:numPr>
          <w:ilvl w:val="1"/>
          <w:numId w:val="266"/>
        </w:numPr>
        <w:rPr>
          <w:rFonts w:ascii="Arial" w:cs="Arial" w:eastAsia="Arial" w:hAnsi="Arial"/>
          <w:sz w:val="22"/>
          <w:szCs w:val="22"/>
          <w:color w:val="auto"/>
        </w:rPr>
      </w:pPr>
      <w:r>
        <w:rPr>
          <w:rFonts w:ascii="Arial" w:cs="Arial" w:eastAsia="Arial" w:hAnsi="Arial"/>
          <w:sz w:val="22"/>
          <w:szCs w:val="22"/>
          <w:color w:val="auto"/>
        </w:rPr>
        <w:t>Each employee of NBCUniversal who has been designated as a member of NBCUniversal’s Executive Committee or Management Committee by the Chief Executive Officer of NBCUniversal and approved by the Administrator, other than an employee who is described in Section 2.26.</w:t>
      </w:r>
    </w:p>
    <w:p>
      <w:pPr>
        <w:spacing w:after="0" w:line="158" w:lineRule="exact"/>
        <w:rPr>
          <w:rFonts w:ascii="Arial" w:cs="Arial" w:eastAsia="Arial" w:hAnsi="Arial"/>
          <w:sz w:val="22"/>
          <w:szCs w:val="22"/>
          <w:color w:val="auto"/>
        </w:rPr>
      </w:pPr>
    </w:p>
    <w:p>
      <w:pPr>
        <w:ind w:left="3240" w:hanging="640"/>
        <w:spacing w:after="0"/>
        <w:tabs>
          <w:tab w:leader="none" w:pos="324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2.30.  “</w:t>
      </w:r>
      <w:r>
        <w:rPr>
          <w:rFonts w:ascii="Arial" w:cs="Arial" w:eastAsia="Arial" w:hAnsi="Arial"/>
          <w:sz w:val="22"/>
          <w:szCs w:val="22"/>
          <w:u w:val="single" w:color="auto"/>
          <w:color w:val="auto"/>
        </w:rPr>
        <w:t>Fair Market Value</w:t>
      </w:r>
      <w:r>
        <w:rPr>
          <w:rFonts w:ascii="Arial" w:cs="Arial" w:eastAsia="Arial" w:hAnsi="Arial"/>
          <w:sz w:val="22"/>
          <w:szCs w:val="22"/>
          <w:color w:val="auto"/>
        </w:rPr>
        <w:t>”</w:t>
      </w:r>
    </w:p>
    <w:p>
      <w:pPr>
        <w:spacing w:after="0" w:line="179" w:lineRule="exact"/>
        <w:rPr>
          <w:sz w:val="20"/>
          <w:szCs w:val="20"/>
          <w:color w:val="auto"/>
        </w:rPr>
      </w:pPr>
    </w:p>
    <w:p>
      <w:pPr>
        <w:jc w:val="both"/>
        <w:ind w:firstLine="1952"/>
        <w:spacing w:after="0" w:line="223" w:lineRule="auto"/>
        <w:tabs>
          <w:tab w:leader="none" w:pos="2589"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If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58" w:lineRule="exact"/>
        <w:rPr>
          <w:rFonts w:ascii="Arial" w:cs="Arial" w:eastAsia="Arial" w:hAnsi="Arial"/>
          <w:sz w:val="22"/>
          <w:szCs w:val="22"/>
          <w:color w:val="auto"/>
        </w:rPr>
      </w:pPr>
    </w:p>
    <w:p>
      <w:pPr>
        <w:jc w:val="both"/>
        <w:ind w:firstLine="1952"/>
        <w:spacing w:after="0" w:line="234" w:lineRule="auto"/>
        <w:tabs>
          <w:tab w:leader="none" w:pos="2587" w:val="left"/>
        </w:tabs>
        <w:numPr>
          <w:ilvl w:val="0"/>
          <w:numId w:val="267"/>
        </w:numPr>
        <w:rPr>
          <w:rFonts w:ascii="Arial" w:cs="Arial" w:eastAsia="Arial" w:hAnsi="Arial"/>
          <w:sz w:val="21"/>
          <w:szCs w:val="21"/>
          <w:color w:val="auto"/>
        </w:rPr>
      </w:pPr>
      <w:r>
        <w:rPr>
          <w:rFonts w:ascii="Arial" w:cs="Arial" w:eastAsia="Arial" w:hAnsi="Arial"/>
          <w:sz w:val="21"/>
          <w:szCs w:val="21"/>
          <w:color w:val="auto"/>
        </w:rPr>
        <w:t>If shares of any Other Investment Fund are not so listed, but trades of shares are reported on a quotation system, Fair Market Value shall be determined based on the last quoted sale price of a share on the quotation system on the date of determination, or if such date is not a trading day, the next trading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283" w:name="page284"/>
    <w:bookmarkEnd w:id="283"/>
    <w:p>
      <w:pPr>
        <w:ind w:firstLine="1952"/>
        <w:spacing w:after="0" w:line="232" w:lineRule="auto"/>
        <w:tabs>
          <w:tab w:leader="none" w:pos="2589" w:val="left"/>
        </w:tabs>
        <w:numPr>
          <w:ilvl w:val="0"/>
          <w:numId w:val="268"/>
        </w:numPr>
        <w:rPr>
          <w:rFonts w:ascii="Arial" w:cs="Arial" w:eastAsia="Arial" w:hAnsi="Arial"/>
          <w:sz w:val="22"/>
          <w:szCs w:val="22"/>
          <w:color w:val="auto"/>
        </w:rPr>
      </w:pPr>
      <w:r>
        <w:rPr>
          <w:rFonts w:ascii="Arial" w:cs="Arial" w:eastAsia="Arial" w:hAnsi="Arial"/>
          <w:sz w:val="22"/>
          <w:szCs w:val="22"/>
          <w:color w:val="auto"/>
        </w:rPr>
        <w:t>If shares of any Other Investment Fund are not so listed nor trades of shares so reported, Fair Market Value shall be determined by the Committee in good faith.</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2.31.  “</w:t>
      </w:r>
      <w:r>
        <w:rPr>
          <w:rFonts w:ascii="Arial" w:cs="Arial" w:eastAsia="Arial" w:hAnsi="Arial"/>
          <w:sz w:val="22"/>
          <w:szCs w:val="22"/>
          <w:u w:val="single" w:color="auto"/>
          <w:color w:val="auto"/>
        </w:rPr>
        <w:t>Grandfathered Employee</w:t>
      </w:r>
      <w:r>
        <w:rPr>
          <w:rFonts w:ascii="Arial" w:cs="Arial" w:eastAsia="Arial" w:hAnsi="Arial"/>
          <w:sz w:val="22"/>
          <w:szCs w:val="22"/>
          <w:color w:val="auto"/>
        </w:rPr>
        <w:t>” means:</w:t>
      </w:r>
    </w:p>
    <w:p>
      <w:pPr>
        <w:spacing w:after="0" w:line="179" w:lineRule="exact"/>
        <w:rPr>
          <w:sz w:val="20"/>
          <w:szCs w:val="20"/>
          <w:color w:val="auto"/>
        </w:rPr>
      </w:pPr>
    </w:p>
    <w:p>
      <w:pPr>
        <w:ind w:left="2600" w:hanging="648"/>
        <w:spacing w:after="0"/>
        <w:tabs>
          <w:tab w:leader="none" w:pos="260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Effective before January 1, 2014:</w:t>
      </w:r>
    </w:p>
    <w:p>
      <w:pPr>
        <w:spacing w:after="0" w:line="179" w:lineRule="exact"/>
        <w:rPr>
          <w:rFonts w:ascii="Arial" w:cs="Arial" w:eastAsia="Arial" w:hAnsi="Arial"/>
          <w:sz w:val="22"/>
          <w:szCs w:val="22"/>
          <w:color w:val="auto"/>
        </w:rPr>
      </w:pPr>
    </w:p>
    <w:p>
      <w:pPr>
        <w:jc w:val="both"/>
        <w:ind w:firstLine="2600"/>
        <w:spacing w:after="0" w:line="223" w:lineRule="auto"/>
        <w:tabs>
          <w:tab w:leader="none" w:pos="3228" w:val="left"/>
        </w:tabs>
        <w:numPr>
          <w:ilvl w:val="2"/>
          <w:numId w:val="269"/>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158" w:lineRule="exact"/>
        <w:rPr>
          <w:rFonts w:ascii="Arial" w:cs="Arial" w:eastAsia="Arial" w:hAnsi="Arial"/>
          <w:sz w:val="22"/>
          <w:szCs w:val="22"/>
          <w:color w:val="auto"/>
        </w:rPr>
      </w:pPr>
    </w:p>
    <w:p>
      <w:pPr>
        <w:jc w:val="both"/>
        <w:ind w:firstLine="2600"/>
        <w:spacing w:after="0" w:line="247" w:lineRule="auto"/>
        <w:tabs>
          <w:tab w:leader="none" w:pos="3234" w:val="left"/>
        </w:tabs>
        <w:numPr>
          <w:ilvl w:val="2"/>
          <w:numId w:val="269"/>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was, at any time before January 1, 1995, eligible to participate in the Prior Plan and whose Annual Rate of Pay was $90,000 or more as of both</w:t>
      </w:r>
    </w:p>
    <w:p>
      <w:pPr>
        <w:ind w:firstLine="8"/>
        <w:spacing w:after="0" w:line="224" w:lineRule="auto"/>
        <w:tabs>
          <w:tab w:leader="none" w:pos="354"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date on which an Initial Election is filed with the Administrator and (B) the first day of each calendar year beginning after December 31, 1994.</w:t>
      </w:r>
    </w:p>
    <w:p>
      <w:pPr>
        <w:spacing w:after="0" w:line="157" w:lineRule="exact"/>
        <w:rPr>
          <w:rFonts w:ascii="Arial" w:cs="Arial" w:eastAsia="Arial" w:hAnsi="Arial"/>
          <w:sz w:val="22"/>
          <w:szCs w:val="22"/>
          <w:color w:val="auto"/>
        </w:rPr>
      </w:pPr>
    </w:p>
    <w:p>
      <w:pPr>
        <w:jc w:val="both"/>
        <w:ind w:firstLine="2600"/>
        <w:spacing w:after="0" w:line="218" w:lineRule="auto"/>
        <w:tabs>
          <w:tab w:leader="none" w:pos="3240" w:val="left"/>
        </w:tabs>
        <w:numPr>
          <w:ilvl w:val="2"/>
          <w:numId w:val="270"/>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160" w:lineRule="exact"/>
        <w:rPr>
          <w:rFonts w:ascii="Arial" w:cs="Arial" w:eastAsia="Arial" w:hAnsi="Arial"/>
          <w:sz w:val="22"/>
          <w:szCs w:val="22"/>
          <w:color w:val="auto"/>
        </w:rPr>
      </w:pPr>
    </w:p>
    <w:p>
      <w:pPr>
        <w:jc w:val="both"/>
        <w:ind w:firstLine="2600"/>
        <w:spacing w:after="0" w:line="216" w:lineRule="auto"/>
        <w:tabs>
          <w:tab w:leader="none" w:pos="3228" w:val="left"/>
        </w:tabs>
        <w:numPr>
          <w:ilvl w:val="2"/>
          <w:numId w:val="270"/>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57" w:lineRule="exact"/>
        <w:rPr>
          <w:rFonts w:ascii="Arial" w:cs="Arial" w:eastAsia="Arial" w:hAnsi="Arial"/>
          <w:sz w:val="22"/>
          <w:szCs w:val="22"/>
          <w:color w:val="auto"/>
        </w:rPr>
      </w:pPr>
    </w:p>
    <w:p>
      <w:pPr>
        <w:ind w:left="2640" w:hanging="688"/>
        <w:spacing w:after="0"/>
        <w:tabs>
          <w:tab w:leader="none" w:pos="264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2"/>
          <w:numId w:val="271"/>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is described in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2.31(a)(i)-(iv).</w:t>
      </w:r>
    </w:p>
    <w:p>
      <w:pPr>
        <w:spacing w:after="0" w:line="161" w:lineRule="exact"/>
        <w:rPr>
          <w:rFonts w:ascii="Arial" w:cs="Arial" w:eastAsia="Arial" w:hAnsi="Arial"/>
          <w:sz w:val="19"/>
          <w:szCs w:val="19"/>
          <w:color w:val="auto"/>
        </w:rPr>
      </w:pPr>
    </w:p>
    <w:p>
      <w:pPr>
        <w:jc w:val="both"/>
        <w:ind w:firstLine="2600"/>
        <w:spacing w:after="0" w:line="268" w:lineRule="auto"/>
        <w:tabs>
          <w:tab w:leader="none" w:pos="3299" w:val="left"/>
        </w:tabs>
        <w:numPr>
          <w:ilvl w:val="2"/>
          <w:numId w:val="271"/>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32" w:lineRule="exact"/>
        <w:rPr>
          <w:rFonts w:ascii="Arial" w:cs="Arial" w:eastAsia="Arial" w:hAnsi="Arial"/>
          <w:sz w:val="19"/>
          <w:szCs w:val="19"/>
          <w:color w:val="auto"/>
        </w:rPr>
      </w:pPr>
    </w:p>
    <w:p>
      <w:pPr>
        <w:jc w:val="both"/>
        <w:ind w:firstLine="2600"/>
        <w:spacing w:after="0" w:line="268" w:lineRule="auto"/>
        <w:tabs>
          <w:tab w:leader="none" w:pos="3240" w:val="left"/>
        </w:tabs>
        <w:numPr>
          <w:ilvl w:val="2"/>
          <w:numId w:val="271"/>
        </w:numPr>
        <w:rPr>
          <w:rFonts w:ascii="Arial" w:cs="Arial" w:eastAsia="Arial" w:hAnsi="Arial"/>
          <w:sz w:val="19"/>
          <w:szCs w:val="19"/>
          <w:color w:val="auto"/>
        </w:rPr>
      </w:pPr>
      <w:r>
        <w:rPr>
          <w:rFonts w:ascii="Arial" w:cs="Arial" w:eastAsia="Arial" w:hAnsi="Arial"/>
          <w:sz w:val="19"/>
          <w:szCs w:val="19"/>
          <w:color w:val="auto"/>
        </w:rPr>
        <w:t>Each employee of NBCUniversal described in Section 2.29(a)(ii) or 2.29(a)(iii)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32" w:lineRule="exact"/>
        <w:rPr>
          <w:rFonts w:ascii="Arial" w:cs="Arial" w:eastAsia="Arial" w:hAnsi="Arial"/>
          <w:sz w:val="19"/>
          <w:szCs w:val="19"/>
          <w:color w:val="auto"/>
        </w:rPr>
      </w:pPr>
    </w:p>
    <w:p>
      <w:pPr>
        <w:jc w:val="both"/>
        <w:ind w:firstLine="1952"/>
        <w:spacing w:after="0" w:line="223" w:lineRule="auto"/>
        <w:tabs>
          <w:tab w:leader="none" w:pos="3016" w:val="left"/>
        </w:tabs>
        <w:numPr>
          <w:ilvl w:val="1"/>
          <w:numId w:val="272"/>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2019 through December 31, 2020, each employee of a Participating Company who either has a balance credited to his Account as of December 31, 2018, or has filed an Initial Election to defer bonus earned for the 2018 Plan Year and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84" w:name="page285"/>
    <w:bookmarkEnd w:id="284"/>
    <w:p>
      <w:pPr>
        <w:jc w:val="both"/>
        <w:ind w:firstLine="2600"/>
        <w:spacing w:after="0" w:line="218" w:lineRule="auto"/>
        <w:tabs>
          <w:tab w:leader="none" w:pos="3228" w:val="left"/>
        </w:tabs>
        <w:numPr>
          <w:ilvl w:val="0"/>
          <w:numId w:val="273"/>
        </w:numPr>
        <w:rPr>
          <w:rFonts w:ascii="Arial" w:cs="Arial" w:eastAsia="Arial" w:hAnsi="Arial"/>
          <w:sz w:val="22"/>
          <w:szCs w:val="22"/>
          <w:color w:val="auto"/>
        </w:rPr>
      </w:pPr>
      <w:r>
        <w:rPr>
          <w:rFonts w:ascii="Arial" w:cs="Arial" w:eastAsia="Arial" w:hAnsi="Arial"/>
          <w:sz w:val="22"/>
          <w:szCs w:val="22"/>
          <w:color w:val="auto"/>
        </w:rPr>
        <w:t>is an employee of NBCUniversal described in Section 2.26(a) whose Compensation was administered under NBCUniversal’s common payroll system as of December 31, 2013, has an Annual Rate of Pay of $250,000 or more as of both the date on which an Initial Election is filed with the Administrator and the first day of the calendar year in which such Initial Election is filed;</w:t>
      </w:r>
    </w:p>
    <w:p>
      <w:pPr>
        <w:spacing w:after="0" w:line="160" w:lineRule="exact"/>
        <w:rPr>
          <w:rFonts w:ascii="Arial" w:cs="Arial" w:eastAsia="Arial" w:hAnsi="Arial"/>
          <w:sz w:val="22"/>
          <w:szCs w:val="22"/>
          <w:color w:val="auto"/>
        </w:rPr>
      </w:pPr>
    </w:p>
    <w:p>
      <w:pPr>
        <w:ind w:firstLine="2600"/>
        <w:spacing w:after="0" w:line="232" w:lineRule="auto"/>
        <w:tabs>
          <w:tab w:leader="none" w:pos="3234" w:val="left"/>
        </w:tabs>
        <w:numPr>
          <w:ilvl w:val="0"/>
          <w:numId w:val="273"/>
        </w:numPr>
        <w:rPr>
          <w:rFonts w:ascii="Arial" w:cs="Arial" w:eastAsia="Arial" w:hAnsi="Arial"/>
          <w:sz w:val="22"/>
          <w:szCs w:val="22"/>
          <w:color w:val="auto"/>
        </w:rPr>
      </w:pPr>
      <w:r>
        <w:rPr>
          <w:rFonts w:ascii="Arial" w:cs="Arial" w:eastAsia="Arial" w:hAnsi="Arial"/>
          <w:sz w:val="22"/>
          <w:szCs w:val="22"/>
          <w:color w:val="auto"/>
        </w:rPr>
        <w:t>is described in Section 2.29(a)(i), and who is a member of NBCUniversal’s Operating Committee (but not NBCUniversal’s Executive Committee or Management Committee); or</w:t>
      </w:r>
    </w:p>
    <w:p>
      <w:pPr>
        <w:spacing w:after="0" w:line="158" w:lineRule="exact"/>
        <w:rPr>
          <w:rFonts w:ascii="Arial" w:cs="Arial" w:eastAsia="Arial" w:hAnsi="Arial"/>
          <w:sz w:val="22"/>
          <w:szCs w:val="22"/>
          <w:color w:val="auto"/>
        </w:rPr>
      </w:pPr>
    </w:p>
    <w:p>
      <w:pPr>
        <w:ind w:left="3240" w:hanging="640"/>
        <w:spacing w:after="0"/>
        <w:tabs>
          <w:tab w:leader="none" w:pos="3240" w:val="left"/>
        </w:tabs>
        <w:numPr>
          <w:ilvl w:val="0"/>
          <w:numId w:val="273"/>
        </w:numPr>
        <w:rPr>
          <w:rFonts w:ascii="Arial" w:cs="Arial" w:eastAsia="Arial" w:hAnsi="Arial"/>
          <w:sz w:val="22"/>
          <w:szCs w:val="22"/>
          <w:color w:val="auto"/>
        </w:rPr>
      </w:pPr>
      <w:r>
        <w:rPr>
          <w:rFonts w:ascii="Arial" w:cs="Arial" w:eastAsia="Arial" w:hAnsi="Arial"/>
          <w:sz w:val="22"/>
          <w:szCs w:val="22"/>
          <w:color w:val="auto"/>
        </w:rPr>
        <w:t>is described in Section 2.31(b).</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2.32. “</w:t>
      </w:r>
      <w:r>
        <w:rPr>
          <w:rFonts w:ascii="Arial" w:cs="Arial" w:eastAsia="Arial" w:hAnsi="Arial"/>
          <w:sz w:val="19"/>
          <w:szCs w:val="19"/>
          <w:u w:val="single" w:color="auto"/>
          <w:color w:val="auto"/>
        </w:rPr>
        <w:t>Hardship</w:t>
      </w:r>
      <w:r>
        <w:rPr>
          <w:rFonts w:ascii="Arial" w:cs="Arial" w:eastAsia="Arial" w:hAnsi="Arial"/>
          <w:sz w:val="19"/>
          <w:szCs w:val="19"/>
          <w:color w:val="auto"/>
        </w:rPr>
        <w:t>” means an “unforeseeable emergency,” as defined in Section 409A. The Committee shall determine whether the circumstances of the Participant constitute an unforeseeable emergency and thus a Hardship within the meaning of this Section 2.32.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2.32 for all Participants in similar circumstances.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2.33.  “</w:t>
      </w:r>
      <w:r>
        <w:rPr>
          <w:rFonts w:ascii="Arial" w:cs="Arial" w:eastAsia="Arial" w:hAnsi="Arial"/>
          <w:sz w:val="22"/>
          <w:szCs w:val="22"/>
          <w:u w:val="single" w:color="auto"/>
          <w:color w:val="auto"/>
        </w:rPr>
        <w:t>High Balance Participant</w:t>
      </w:r>
      <w:r>
        <w:rPr>
          <w:rFonts w:ascii="Arial" w:cs="Arial" w:eastAsia="Arial" w:hAnsi="Arial"/>
          <w:sz w:val="22"/>
          <w:szCs w:val="22"/>
          <w:color w:val="auto"/>
        </w:rPr>
        <w:t>” means:</w:t>
      </w:r>
    </w:p>
    <w:p>
      <w:pPr>
        <w:spacing w:after="0" w:line="179" w:lineRule="exact"/>
        <w:rPr>
          <w:sz w:val="20"/>
          <w:szCs w:val="20"/>
          <w:color w:val="auto"/>
        </w:rPr>
      </w:pPr>
    </w:p>
    <w:p>
      <w:pPr>
        <w:ind w:firstLine="1952"/>
        <w:spacing w:after="0" w:line="232" w:lineRule="auto"/>
        <w:tabs>
          <w:tab w:leader="none" w:pos="2664" w:val="left"/>
        </w:tabs>
        <w:numPr>
          <w:ilvl w:val="0"/>
          <w:numId w:val="274"/>
        </w:numPr>
        <w:rPr>
          <w:rFonts w:ascii="Arial" w:cs="Arial" w:eastAsia="Arial" w:hAnsi="Arial"/>
          <w:sz w:val="22"/>
          <w:szCs w:val="22"/>
          <w:color w:val="auto"/>
        </w:rPr>
      </w:pPr>
      <w:r>
        <w:rPr>
          <w:rFonts w:ascii="Arial" w:cs="Arial" w:eastAsia="Arial" w:hAnsi="Arial"/>
          <w:sz w:val="22"/>
          <w:szCs w:val="22"/>
          <w:color w:val="auto"/>
        </w:rPr>
        <w:t>a Participant the value of whose Account that is deemed invested in the Income Fund is greater than or equal to the Income Fund Limit, as determined by the Administrator;</w:t>
      </w:r>
    </w:p>
    <w:p>
      <w:pPr>
        <w:spacing w:after="0" w:line="158" w:lineRule="exact"/>
        <w:rPr>
          <w:rFonts w:ascii="Arial" w:cs="Arial" w:eastAsia="Arial" w:hAnsi="Arial"/>
          <w:sz w:val="22"/>
          <w:szCs w:val="22"/>
          <w:color w:val="auto"/>
        </w:rPr>
      </w:pPr>
    </w:p>
    <w:p>
      <w:pPr>
        <w:ind w:left="2660" w:hanging="708"/>
        <w:spacing w:after="0"/>
        <w:tabs>
          <w:tab w:leader="none" w:pos="266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effective July 31, 2020, a Participant who is, as of any relevant date of determination, an Outside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Director; and</w:t>
      </w:r>
    </w:p>
    <w:p>
      <w:pPr>
        <w:spacing w:after="0" w:line="153" w:lineRule="exact"/>
        <w:rPr>
          <w:rFonts w:ascii="Arial" w:cs="Arial" w:eastAsia="Arial" w:hAnsi="Arial"/>
          <w:sz w:val="19"/>
          <w:szCs w:val="19"/>
          <w:color w:val="auto"/>
        </w:rPr>
      </w:pPr>
    </w:p>
    <w:p>
      <w:pPr>
        <w:ind w:left="2680" w:hanging="728"/>
        <w:spacing w:after="0"/>
        <w:tabs>
          <w:tab w:leader="none" w:pos="2680" w:val="left"/>
        </w:tabs>
        <w:numPr>
          <w:ilvl w:val="0"/>
          <w:numId w:val="274"/>
        </w:numPr>
        <w:rPr>
          <w:rFonts w:ascii="Arial" w:cs="Arial" w:eastAsia="Arial" w:hAnsi="Arial"/>
          <w:sz w:val="21"/>
          <w:szCs w:val="21"/>
          <w:color w:val="auto"/>
        </w:rPr>
      </w:pPr>
      <w:r>
        <w:rPr>
          <w:rFonts w:ascii="Arial" w:cs="Arial" w:eastAsia="Arial" w:hAnsi="Arial"/>
          <w:sz w:val="21"/>
          <w:szCs w:val="21"/>
          <w:color w:val="auto"/>
        </w:rPr>
        <w:t>Effective February 28, 2021, a Participant who is, as of any relevant date of determination, a</w:t>
      </w:r>
    </w:p>
    <w:p>
      <w:pPr>
        <w:spacing w:after="0"/>
        <w:rPr>
          <w:rFonts w:ascii="Arial" w:cs="Arial" w:eastAsia="Arial" w:hAnsi="Arial"/>
          <w:sz w:val="21"/>
          <w:szCs w:val="21"/>
          <w:color w:val="auto"/>
        </w:rPr>
      </w:pPr>
      <w:r>
        <w:rPr>
          <w:rFonts w:ascii="Arial" w:cs="Arial" w:eastAsia="Arial" w:hAnsi="Arial"/>
          <w:sz w:val="22"/>
          <w:szCs w:val="22"/>
          <w:color w:val="auto"/>
        </w:rPr>
        <w:t>Covered Participant.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2.34.  “</w:t>
      </w:r>
      <w:r>
        <w:rPr>
          <w:rFonts w:ascii="Arial" w:cs="Arial" w:eastAsia="Arial" w:hAnsi="Arial"/>
          <w:sz w:val="22"/>
          <w:szCs w:val="22"/>
          <w:u w:val="single" w:color="auto"/>
          <w:color w:val="auto"/>
        </w:rPr>
        <w:t>High-Water Mark</w:t>
      </w:r>
      <w:r>
        <w:rPr>
          <w:rFonts w:ascii="Arial" w:cs="Arial" w:eastAsia="Arial" w:hAnsi="Arial"/>
          <w:sz w:val="22"/>
          <w:szCs w:val="22"/>
          <w:color w:val="auto"/>
        </w:rPr>
        <w:t>” means:</w:t>
      </w:r>
    </w:p>
    <w:p>
      <w:pPr>
        <w:spacing w:after="0" w:line="179" w:lineRule="exact"/>
        <w:rPr>
          <w:sz w:val="20"/>
          <w:szCs w:val="20"/>
          <w:color w:val="auto"/>
        </w:rPr>
      </w:pPr>
    </w:p>
    <w:p>
      <w:pPr>
        <w:jc w:val="both"/>
        <w:ind w:firstLine="1952"/>
        <w:spacing w:after="0" w:line="268" w:lineRule="auto"/>
        <w:tabs>
          <w:tab w:leader="none" w:pos="2649" w:val="left"/>
        </w:tabs>
        <w:numPr>
          <w:ilvl w:val="0"/>
          <w:numId w:val="275"/>
        </w:numPr>
        <w:rPr>
          <w:rFonts w:ascii="Arial" w:cs="Arial" w:eastAsia="Arial" w:hAnsi="Arial"/>
          <w:sz w:val="19"/>
          <w:szCs w:val="19"/>
          <w:color w:val="auto"/>
        </w:rPr>
      </w:pPr>
      <w:r>
        <w:rPr>
          <w:rFonts w:ascii="Arial" w:cs="Arial" w:eastAsia="Arial" w:hAnsi="Arial"/>
          <w:sz w:val="19"/>
          <w:szCs w:val="19"/>
          <w:color w:val="auto"/>
        </w:rPr>
        <w:t>With respect to amounts credited to the Income Fund pursuant to an Eligible Comcast Employee’s Initial Elections on account of Compensation earned in 2014, the highest of the sum of the amounts described in Section 2.34(a) (i), (ii) and (iii) as of the last day of any calendar quarter beginning after December 31, 2008 and before October 1, 2013:</w:t>
      </w:r>
    </w:p>
    <w:p>
      <w:pPr>
        <w:spacing w:after="0" w:line="124" w:lineRule="exact"/>
        <w:rPr>
          <w:rFonts w:ascii="Arial" w:cs="Arial" w:eastAsia="Arial" w:hAnsi="Arial"/>
          <w:sz w:val="19"/>
          <w:szCs w:val="19"/>
          <w:color w:val="auto"/>
        </w:rPr>
      </w:pPr>
    </w:p>
    <w:p>
      <w:pPr>
        <w:ind w:left="3240" w:hanging="640"/>
        <w:spacing w:after="0"/>
        <w:tabs>
          <w:tab w:leader="none" w:pos="3240" w:val="left"/>
        </w:tabs>
        <w:numPr>
          <w:ilvl w:val="1"/>
          <w:numId w:val="275"/>
        </w:numPr>
        <w:rPr>
          <w:rFonts w:ascii="Arial" w:cs="Arial" w:eastAsia="Arial" w:hAnsi="Arial"/>
          <w:sz w:val="21"/>
          <w:szCs w:val="21"/>
          <w:color w:val="auto"/>
        </w:rPr>
      </w:pPr>
      <w:r>
        <w:rPr>
          <w:rFonts w:ascii="Arial" w:cs="Arial" w:eastAsia="Arial" w:hAnsi="Arial"/>
          <w:sz w:val="21"/>
          <w:szCs w:val="21"/>
          <w:color w:val="auto"/>
        </w:rPr>
        <w:t>An Eligible Comcast Employee’s Account to the extent such Account is credited to the</w:t>
      </w:r>
    </w:p>
    <w:p>
      <w:pPr>
        <w:spacing w:after="0"/>
        <w:rPr>
          <w:rFonts w:ascii="Arial" w:cs="Arial" w:eastAsia="Arial" w:hAnsi="Arial"/>
          <w:sz w:val="21"/>
          <w:szCs w:val="21"/>
          <w:color w:val="auto"/>
        </w:rPr>
      </w:pPr>
      <w:r>
        <w:rPr>
          <w:rFonts w:ascii="Arial" w:cs="Arial" w:eastAsia="Arial" w:hAnsi="Arial"/>
          <w:sz w:val="22"/>
          <w:szCs w:val="22"/>
          <w:color w:val="auto"/>
        </w:rPr>
        <w:t>Income Fund; plus</w:t>
      </w:r>
    </w:p>
    <w:p>
      <w:pPr>
        <w:spacing w:after="0" w:line="161" w:lineRule="exact"/>
        <w:rPr>
          <w:rFonts w:ascii="Arial" w:cs="Arial" w:eastAsia="Arial" w:hAnsi="Arial"/>
          <w:sz w:val="21"/>
          <w:szCs w:val="21"/>
          <w:color w:val="auto"/>
        </w:rPr>
      </w:pPr>
    </w:p>
    <w:p>
      <w:pPr>
        <w:ind w:left="3240" w:hanging="640"/>
        <w:spacing w:after="0"/>
        <w:tabs>
          <w:tab w:leader="none" w:pos="3240" w:val="left"/>
        </w:tabs>
        <w:numPr>
          <w:ilvl w:val="1"/>
          <w:numId w:val="275"/>
        </w:numPr>
        <w:rPr>
          <w:rFonts w:ascii="Arial" w:cs="Arial" w:eastAsia="Arial" w:hAnsi="Arial"/>
          <w:sz w:val="19"/>
          <w:szCs w:val="19"/>
          <w:color w:val="auto"/>
        </w:rPr>
      </w:pPr>
      <w:r>
        <w:rPr>
          <w:rFonts w:ascii="Arial" w:cs="Arial" w:eastAsia="Arial" w:hAnsi="Arial"/>
          <w:sz w:val="19"/>
          <w:szCs w:val="19"/>
          <w:color w:val="auto"/>
        </w:rPr>
        <w:t>Such Eligible Comcast Employee’s Account in the Prior Plan to the extent such Account is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credited to the Income Fund; plus</w:t>
      </w:r>
    </w:p>
    <w:p>
      <w:pPr>
        <w:spacing w:after="0" w:line="161" w:lineRule="exact"/>
        <w:rPr>
          <w:rFonts w:ascii="Arial" w:cs="Arial" w:eastAsia="Arial" w:hAnsi="Arial"/>
          <w:sz w:val="19"/>
          <w:szCs w:val="19"/>
          <w:color w:val="auto"/>
        </w:rPr>
      </w:pPr>
    </w:p>
    <w:p>
      <w:pPr>
        <w:ind w:firstLine="2600"/>
        <w:spacing w:after="0" w:line="232" w:lineRule="auto"/>
        <w:tabs>
          <w:tab w:leader="none" w:pos="3240" w:val="left"/>
        </w:tabs>
        <w:numPr>
          <w:ilvl w:val="1"/>
          <w:numId w:val="275"/>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85" w:name="page286"/>
    <w:bookmarkEnd w:id="285"/>
    <w:p>
      <w:pPr>
        <w:jc w:val="both"/>
        <w:ind w:firstLine="1952"/>
        <w:spacing w:after="0" w:line="243" w:lineRule="auto"/>
        <w:tabs>
          <w:tab w:leader="none" w:pos="264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With respect to amounts credited to the Income Fund pursuant to an Eligible Comcast Employee’s Initial Elections on account of Compensation earned after 2014, the sum of (x) plus (y) where (x) equals the highest of the sum of the amounts described in Section 2.34(a)(i), (ii) and (iii) as of the last day of any calendar quarter beginning after December 31,</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2008 and before January 1, 2014, and (y) equals the sum of:</w:t>
      </w:r>
    </w:p>
    <w:p>
      <w:pPr>
        <w:spacing w:after="0" w:line="161" w:lineRule="exact"/>
        <w:rPr>
          <w:rFonts w:ascii="Arial" w:cs="Arial" w:eastAsia="Arial" w:hAnsi="Arial"/>
          <w:sz w:val="19"/>
          <w:szCs w:val="19"/>
          <w:color w:val="auto"/>
        </w:rPr>
      </w:pPr>
    </w:p>
    <w:p>
      <w:pPr>
        <w:jc w:val="both"/>
        <w:ind w:firstLine="2600"/>
        <w:spacing w:after="0" w:line="223" w:lineRule="auto"/>
        <w:tabs>
          <w:tab w:leader="none" w:pos="3228" w:val="left"/>
        </w:tabs>
        <w:numPr>
          <w:ilvl w:val="1"/>
          <w:numId w:val="276"/>
        </w:numPr>
        <w:rPr>
          <w:rFonts w:ascii="Arial" w:cs="Arial" w:eastAsia="Arial" w:hAnsi="Arial"/>
          <w:sz w:val="22"/>
          <w:szCs w:val="22"/>
          <w:color w:val="auto"/>
        </w:rPr>
      </w:pPr>
      <w:r>
        <w:rPr>
          <w:rFonts w:ascii="Arial" w:cs="Arial" w:eastAsia="Arial" w:hAnsi="Arial"/>
          <w:sz w:val="22"/>
          <w:szCs w:val="22"/>
          <w:color w:val="auto"/>
        </w:rPr>
        <w:t>The amount credited to the Income Fund with respect to an Eligible Comcast Employee’s Account pursuant to Section 3.8 after December 31, 2013 and on or before September 30, 2014 that is contractually committed pursuant to an employment agreement entered into on or before December 31, 2013; plus</w:t>
      </w:r>
    </w:p>
    <w:p>
      <w:pPr>
        <w:spacing w:after="0" w:line="158" w:lineRule="exact"/>
        <w:rPr>
          <w:rFonts w:ascii="Arial" w:cs="Arial" w:eastAsia="Arial" w:hAnsi="Arial"/>
          <w:sz w:val="22"/>
          <w:szCs w:val="22"/>
          <w:color w:val="auto"/>
        </w:rPr>
      </w:pPr>
    </w:p>
    <w:p>
      <w:pPr>
        <w:jc w:val="both"/>
        <w:ind w:firstLine="2600"/>
        <w:spacing w:after="0" w:line="223" w:lineRule="auto"/>
        <w:tabs>
          <w:tab w:leader="none" w:pos="3234" w:val="left"/>
        </w:tabs>
        <w:numPr>
          <w:ilvl w:val="1"/>
          <w:numId w:val="276"/>
        </w:numPr>
        <w:rPr>
          <w:rFonts w:ascii="Arial" w:cs="Arial" w:eastAsia="Arial" w:hAnsi="Arial"/>
          <w:sz w:val="22"/>
          <w:szCs w:val="22"/>
          <w:color w:val="auto"/>
        </w:rPr>
      </w:pPr>
      <w:r>
        <w:rPr>
          <w:rFonts w:ascii="Arial" w:cs="Arial" w:eastAsia="Arial" w:hAnsi="Arial"/>
          <w:sz w:val="22"/>
          <w:szCs w:val="22"/>
          <w:color w:val="auto"/>
        </w:rPr>
        <w:t>The deferred portion of an Eligible Comcast Employee’s cash bonus award earned for 2013 to the extent credited to the Income Fund and payable, but for the Eligible Comcast Employee’s Initial Election, after December 31, 2013 and on or before September 30, 2014; plus</w:t>
      </w:r>
    </w:p>
    <w:p>
      <w:pPr>
        <w:spacing w:after="0" w:line="158" w:lineRule="exact"/>
        <w:rPr>
          <w:rFonts w:ascii="Arial" w:cs="Arial" w:eastAsia="Arial" w:hAnsi="Arial"/>
          <w:sz w:val="22"/>
          <w:szCs w:val="22"/>
          <w:color w:val="auto"/>
        </w:rPr>
      </w:pPr>
    </w:p>
    <w:p>
      <w:pPr>
        <w:jc w:val="both"/>
        <w:ind w:firstLine="2600"/>
        <w:spacing w:after="0" w:line="218" w:lineRule="auto"/>
        <w:tabs>
          <w:tab w:leader="none" w:pos="3240" w:val="left"/>
        </w:tabs>
        <w:numPr>
          <w:ilvl w:val="1"/>
          <w:numId w:val="276"/>
        </w:numPr>
        <w:rPr>
          <w:rFonts w:ascii="Arial" w:cs="Arial" w:eastAsia="Arial" w:hAnsi="Arial"/>
          <w:sz w:val="22"/>
          <w:szCs w:val="22"/>
          <w:color w:val="auto"/>
        </w:rPr>
      </w:pPr>
      <w:r>
        <w:rPr>
          <w:rFonts w:ascii="Arial" w:cs="Arial" w:eastAsia="Arial" w:hAnsi="Arial"/>
          <w:sz w:val="22"/>
          <w:szCs w:val="22"/>
          <w:color w:val="auto"/>
        </w:rPr>
        <w:t>The amount credited to the Eligible Comcast Employee’s “Income Fund” under the Restricted Stock Plan pursuant to a “Diversification Election” made by an Eligible Comcast Employee before January 1, 2014 with respect to restricted stock units that vest under the Restricted Stock Plan after December 31, 2013 and on or before September 30, 2014.</w:t>
      </w:r>
    </w:p>
    <w:p>
      <w:pPr>
        <w:spacing w:after="0" w:line="161"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2.35. “</w:t>
      </w:r>
      <w:r>
        <w:rPr>
          <w:rFonts w:ascii="Arial" w:cs="Arial" w:eastAsia="Arial" w:hAnsi="Arial"/>
          <w:sz w:val="22"/>
          <w:szCs w:val="22"/>
          <w:u w:val="single" w:color="auto"/>
          <w:color w:val="auto"/>
        </w:rPr>
        <w:t>Inactive Participant</w:t>
      </w:r>
      <w:r>
        <w:rPr>
          <w:rFonts w:ascii="Arial" w:cs="Arial" w:eastAsia="Arial" w:hAnsi="Arial"/>
          <w:sz w:val="22"/>
          <w:szCs w:val="22"/>
          <w:color w:val="auto"/>
        </w:rPr>
        <w:t>” means each Participant (other than an Outside Director or Section 16 Officer described in Section 3.5(a), Retired Participant, Deceased Participant or Disabled Participant) who is not in active service as an Outside Director or Director Emeritus and is not actively employed by a Participating Company.</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2.36. “</w:t>
      </w:r>
      <w:r>
        <w:rPr>
          <w:rFonts w:ascii="Arial" w:cs="Arial" w:eastAsia="Arial" w:hAnsi="Arial"/>
          <w:sz w:val="21"/>
          <w:szCs w:val="21"/>
          <w:u w:val="single" w:color="auto"/>
          <w:color w:val="auto"/>
        </w:rPr>
        <w:t>Income Fund</w:t>
      </w:r>
      <w:r>
        <w:rPr>
          <w:rFonts w:ascii="Arial" w:cs="Arial" w:eastAsia="Arial" w:hAnsi="Arial"/>
          <w:sz w:val="21"/>
          <w:szCs w:val="21"/>
          <w:color w:val="auto"/>
        </w:rPr>
        <w:t>” means a hypothetical investment fund pursuant to which income, gains and losses are credited to a Participant’s Account as if the Account, to the extent deemed invested in the Income Fund, were credited with interest at the Applicable Interest Rate. The “</w:t>
      </w:r>
      <w:r>
        <w:rPr>
          <w:rFonts w:ascii="Arial" w:cs="Arial" w:eastAsia="Arial" w:hAnsi="Arial"/>
          <w:sz w:val="21"/>
          <w:szCs w:val="21"/>
          <w:u w:val="single" w:color="auto"/>
          <w:color w:val="auto"/>
        </w:rPr>
        <w:t>9% Fund</w:t>
      </w:r>
      <w:r>
        <w:rPr>
          <w:rFonts w:ascii="Arial" w:cs="Arial" w:eastAsia="Arial" w:hAnsi="Arial"/>
          <w:sz w:val="21"/>
          <w:szCs w:val="21"/>
          <w:color w:val="auto"/>
        </w:rPr>
        <w:t>” means that portion of the Income Fund with respect to which the Applicable Interest Rate is 9%. The “</w:t>
      </w:r>
      <w:r>
        <w:rPr>
          <w:rFonts w:ascii="Arial" w:cs="Arial" w:eastAsia="Arial" w:hAnsi="Arial"/>
          <w:sz w:val="21"/>
          <w:szCs w:val="21"/>
          <w:u w:val="single" w:color="auto"/>
          <w:color w:val="auto"/>
        </w:rPr>
        <w:t>12% Fund</w:t>
      </w:r>
      <w:r>
        <w:rPr>
          <w:rFonts w:ascii="Arial" w:cs="Arial" w:eastAsia="Arial" w:hAnsi="Arial"/>
          <w:sz w:val="21"/>
          <w:szCs w:val="21"/>
          <w:color w:val="auto"/>
        </w:rPr>
        <w:t>” means that portion of the Income Fund with respect to which the Applicable Interest Rate is 12%. The “</w:t>
      </w:r>
      <w:r>
        <w:rPr>
          <w:rFonts w:ascii="Arial" w:cs="Arial" w:eastAsia="Arial" w:hAnsi="Arial"/>
          <w:sz w:val="21"/>
          <w:szCs w:val="21"/>
          <w:u w:val="single" w:color="auto"/>
          <w:color w:val="auto"/>
        </w:rPr>
        <w:t>Prime Plus One Fund</w:t>
      </w:r>
      <w:r>
        <w:rPr>
          <w:rFonts w:ascii="Arial" w:cs="Arial" w:eastAsia="Arial" w:hAnsi="Arial"/>
          <w:sz w:val="21"/>
          <w:szCs w:val="21"/>
          <w:color w:val="auto"/>
        </w:rPr>
        <w:t>” means that portion of the Income Fund with respect to which the Applicable Interest Rate is described in Section 2.6(b). For purposes of this Section 2.36, the Income Fund shall include amounts credited to the Income Fund under the Prior Plan and the Restricted Stock Plan.</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2.37.  “</w:t>
      </w:r>
      <w:r>
        <w:rPr>
          <w:rFonts w:ascii="Arial" w:cs="Arial" w:eastAsia="Arial" w:hAnsi="Arial"/>
          <w:sz w:val="22"/>
          <w:szCs w:val="22"/>
          <w:u w:val="single" w:color="auto"/>
          <w:color w:val="auto"/>
        </w:rPr>
        <w:t>Income Fund Limit</w:t>
      </w:r>
      <w:r>
        <w:rPr>
          <w:rFonts w:ascii="Arial" w:cs="Arial" w:eastAsia="Arial" w:hAnsi="Arial"/>
          <w:sz w:val="22"/>
          <w:szCs w:val="22"/>
          <w:color w:val="auto"/>
        </w:rPr>
        <w:t>” means:</w:t>
      </w:r>
    </w:p>
    <w:p>
      <w:pPr>
        <w:spacing w:after="0" w:line="179" w:lineRule="exact"/>
        <w:rPr>
          <w:sz w:val="20"/>
          <w:szCs w:val="20"/>
          <w:color w:val="auto"/>
        </w:rPr>
      </w:pPr>
    </w:p>
    <w:p>
      <w:pPr>
        <w:jc w:val="both"/>
        <w:ind w:firstLine="1952"/>
        <w:spacing w:after="0" w:line="226" w:lineRule="auto"/>
        <w:tabs>
          <w:tab w:leader="none" w:pos="266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With respect to Participants other than Participants described in Section 2.37(b), Section 2.37(c), or Section 2.37(d), $100 million, provided that if the amount credited to a Participant’s Income Fund is greater than $100 million as of December 31, 2019, the Income Fund Limit applicable to such Participant for any applicable Plan Year shall be equal to the amount credited to a Participant’s Income Fund as of the December 31 immediately preceding such applicable Plan Year until such balance is equal to or less than $100 million.</w:t>
      </w:r>
    </w:p>
    <w:p>
      <w:pPr>
        <w:spacing w:after="0" w:line="159" w:lineRule="exact"/>
        <w:rPr>
          <w:rFonts w:ascii="Arial" w:cs="Arial" w:eastAsia="Arial" w:hAnsi="Arial"/>
          <w:sz w:val="21"/>
          <w:szCs w:val="21"/>
          <w:color w:val="auto"/>
        </w:rPr>
      </w:pPr>
    </w:p>
    <w:p>
      <w:pPr>
        <w:ind w:left="2680" w:hanging="728"/>
        <w:spacing w:after="0"/>
        <w:tabs>
          <w:tab w:leader="none" w:pos="268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Effective as of July 31, 2020, with respect to Participants who are Outside Directors, $0 (zero</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dollars).</w:t>
      </w:r>
    </w:p>
    <w:p>
      <w:pPr>
        <w:spacing w:after="0" w:line="161" w:lineRule="exact"/>
        <w:rPr>
          <w:rFonts w:ascii="Arial" w:cs="Arial" w:eastAsia="Arial" w:hAnsi="Arial"/>
          <w:sz w:val="19"/>
          <w:szCs w:val="19"/>
          <w:color w:val="auto"/>
        </w:rPr>
      </w:pPr>
    </w:p>
    <w:p>
      <w:pPr>
        <w:ind w:left="2660" w:hanging="708"/>
        <w:spacing w:after="0"/>
        <w:tabs>
          <w:tab w:leader="none" w:pos="266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Effective as of February 28, 2021, with respect to Participants who are Covered Participants as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date, $0 (zero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86" w:name="page287"/>
    <w:bookmarkEnd w:id="286"/>
    <w:p>
      <w:pPr>
        <w:jc w:val="both"/>
        <w:ind w:firstLine="1952"/>
        <w:spacing w:after="0" w:line="223" w:lineRule="auto"/>
        <w:tabs>
          <w:tab w:leader="none" w:pos="2656" w:val="left"/>
        </w:tabs>
        <w:numPr>
          <w:ilvl w:val="0"/>
          <w:numId w:val="278"/>
        </w:numPr>
        <w:rPr>
          <w:rFonts w:ascii="Arial" w:cs="Arial" w:eastAsia="Arial" w:hAnsi="Arial"/>
          <w:sz w:val="22"/>
          <w:szCs w:val="22"/>
          <w:color w:val="auto"/>
        </w:rPr>
      </w:pPr>
      <w:r>
        <w:rPr>
          <w:rFonts w:ascii="Arial" w:cs="Arial" w:eastAsia="Arial" w:hAnsi="Arial"/>
          <w:sz w:val="22"/>
          <w:szCs w:val="22"/>
          <w:color w:val="auto"/>
        </w:rPr>
        <w:t>Following July 31, 2020 (in the case of Outside Directors) and February 28, 2021 (in the case of Covered Participants), effective as of the last day of the month following the date a Participant first becomes an Outside Director or a Covered Participant, $0 (zero dollars).</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Administrator may waive or modify downward the Income Fund Limit applicable to one or more High Balance Participants in its discretion. For purposes of this Section 2.37, the Income Fund shall include amounts credited to the Income Fund under the Prior Plan and the Restricted Stock Plan.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2.38.  “</w:t>
      </w:r>
      <w:r>
        <w:rPr>
          <w:rFonts w:ascii="Arial" w:cs="Arial" w:eastAsia="Arial" w:hAnsi="Arial"/>
          <w:sz w:val="22"/>
          <w:szCs w:val="22"/>
          <w:u w:val="single" w:color="auto"/>
          <w:color w:val="auto"/>
        </w:rPr>
        <w:t>Initial Election</w:t>
      </w:r>
      <w:r>
        <w:rPr>
          <w:rFonts w:ascii="Arial" w:cs="Arial" w:eastAsia="Arial" w:hAnsi="Arial"/>
          <w:sz w:val="22"/>
          <w:szCs w:val="22"/>
          <w:color w:val="auto"/>
        </w:rPr>
        <w:t>.”</w:t>
      </w:r>
    </w:p>
    <w:p>
      <w:pPr>
        <w:spacing w:after="0" w:line="179" w:lineRule="exact"/>
        <w:rPr>
          <w:sz w:val="20"/>
          <w:szCs w:val="20"/>
          <w:color w:val="auto"/>
        </w:rPr>
      </w:pPr>
    </w:p>
    <w:p>
      <w:pPr>
        <w:jc w:val="both"/>
        <w:ind w:firstLine="1952"/>
        <w:spacing w:after="0" w:line="234" w:lineRule="auto"/>
        <w:tabs>
          <w:tab w:leader="none" w:pos="2643" w:val="left"/>
        </w:tabs>
        <w:numPr>
          <w:ilvl w:val="0"/>
          <w:numId w:val="279"/>
        </w:numPr>
        <w:rPr>
          <w:rFonts w:ascii="Arial" w:cs="Arial" w:eastAsia="Arial" w:hAnsi="Arial"/>
          <w:sz w:val="21"/>
          <w:szCs w:val="21"/>
          <w:color w:val="auto"/>
        </w:rPr>
      </w:pPr>
      <w:r>
        <w:rPr>
          <w:rFonts w:ascii="Arial" w:cs="Arial" w:eastAsia="Arial" w:hAnsi="Arial"/>
          <w:sz w:val="21"/>
          <w:szCs w:val="21"/>
          <w:u w:val="single" w:color="auto"/>
          <w:color w:val="auto"/>
        </w:rPr>
        <w:t>Outside Directors and Directors Emeriti</w:t>
      </w:r>
      <w:r>
        <w:rPr>
          <w:rFonts w:ascii="Arial" w:cs="Arial" w:eastAsia="Arial" w:hAnsi="Arial"/>
          <w:sz w:val="21"/>
          <w:szCs w:val="21"/>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57" w:lineRule="exact"/>
        <w:rPr>
          <w:rFonts w:ascii="Arial" w:cs="Arial" w:eastAsia="Arial" w:hAnsi="Arial"/>
          <w:sz w:val="21"/>
          <w:szCs w:val="21"/>
          <w:color w:val="auto"/>
        </w:rPr>
      </w:pPr>
    </w:p>
    <w:p>
      <w:pPr>
        <w:jc w:val="both"/>
        <w:ind w:firstLine="2600"/>
        <w:spacing w:after="0" w:line="223" w:lineRule="auto"/>
        <w:tabs>
          <w:tab w:leader="none" w:pos="3228" w:val="left"/>
        </w:tabs>
        <w:numPr>
          <w:ilvl w:val="1"/>
          <w:numId w:val="279"/>
        </w:numPr>
        <w:rPr>
          <w:rFonts w:ascii="Arial" w:cs="Arial" w:eastAsia="Arial" w:hAnsi="Arial"/>
          <w:sz w:val="22"/>
          <w:szCs w:val="22"/>
          <w:color w:val="auto"/>
        </w:rPr>
      </w:pPr>
      <w:r>
        <w:rPr>
          <w:rFonts w:ascii="Arial" w:cs="Arial" w:eastAsia="Arial" w:hAnsi="Arial"/>
          <w:sz w:val="22"/>
          <w:szCs w:val="22"/>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58" w:lineRule="exact"/>
        <w:rPr>
          <w:rFonts w:ascii="Arial" w:cs="Arial" w:eastAsia="Arial" w:hAnsi="Arial"/>
          <w:sz w:val="22"/>
          <w:szCs w:val="22"/>
          <w:color w:val="auto"/>
        </w:rPr>
      </w:pPr>
    </w:p>
    <w:p>
      <w:pPr>
        <w:ind w:left="3240" w:hanging="640"/>
        <w:spacing w:after="0"/>
        <w:tabs>
          <w:tab w:leader="none" w:pos="3240" w:val="left"/>
        </w:tabs>
        <w:numPr>
          <w:ilvl w:val="1"/>
          <w:numId w:val="279"/>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 Initial</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Election relates.</w:t>
      </w:r>
    </w:p>
    <w:p>
      <w:pPr>
        <w:spacing w:after="0" w:line="161" w:lineRule="exact"/>
        <w:rPr>
          <w:rFonts w:ascii="Arial" w:cs="Arial" w:eastAsia="Arial" w:hAnsi="Arial"/>
          <w:sz w:val="19"/>
          <w:szCs w:val="19"/>
          <w:color w:val="auto"/>
        </w:rPr>
      </w:pPr>
    </w:p>
    <w:p>
      <w:pPr>
        <w:ind w:firstLine="1952"/>
        <w:spacing w:after="0" w:line="298" w:lineRule="auto"/>
        <w:tabs>
          <w:tab w:leader="none" w:pos="2641"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Eligible Employees</w:t>
      </w:r>
      <w:r>
        <w:rPr>
          <w:rFonts w:ascii="Arial" w:cs="Arial" w:eastAsia="Arial" w:hAnsi="Arial"/>
          <w:sz w:val="19"/>
          <w:szCs w:val="19"/>
          <w:color w:val="auto"/>
        </w:rPr>
        <w:t>. The term “Initial Election” means one or more written elections provided by the Administrator and filed with the Administrator in accordance with Article 3 pursuant to which an Eligible Employee may:</w:t>
      </w:r>
    </w:p>
    <w:p>
      <w:pPr>
        <w:spacing w:after="0" w:line="105" w:lineRule="exact"/>
        <w:rPr>
          <w:rFonts w:ascii="Arial" w:cs="Arial" w:eastAsia="Arial" w:hAnsi="Arial"/>
          <w:sz w:val="19"/>
          <w:szCs w:val="19"/>
          <w:color w:val="auto"/>
        </w:rPr>
      </w:pPr>
    </w:p>
    <w:p>
      <w:pPr>
        <w:ind w:firstLine="2600"/>
        <w:spacing w:after="0" w:line="247" w:lineRule="auto"/>
        <w:tabs>
          <w:tab w:leader="none" w:pos="3228" w:val="left"/>
        </w:tabs>
        <w:numPr>
          <w:ilvl w:val="1"/>
          <w:numId w:val="279"/>
        </w:numPr>
        <w:rPr>
          <w:rFonts w:ascii="Arial" w:cs="Arial" w:eastAsia="Arial" w:hAnsi="Arial"/>
          <w:sz w:val="21"/>
          <w:szCs w:val="21"/>
          <w:color w:val="auto"/>
        </w:rPr>
      </w:pPr>
      <w:r>
        <w:rPr>
          <w:rFonts w:ascii="Arial" w:cs="Arial" w:eastAsia="Arial" w:hAnsi="Arial"/>
          <w:sz w:val="21"/>
          <w:szCs w:val="21"/>
          <w:color w:val="auto"/>
        </w:rPr>
        <w:t>Subject to the limitations described in Section 2.38(b)(iii), elect to defer Compensation payable for the performance of services as an Eligible Employee following the time that such election is filed; and</w:t>
      </w:r>
    </w:p>
    <w:p>
      <w:pPr>
        <w:spacing w:after="0" w:line="150" w:lineRule="exact"/>
        <w:rPr>
          <w:rFonts w:ascii="Arial" w:cs="Arial" w:eastAsia="Arial" w:hAnsi="Arial"/>
          <w:sz w:val="21"/>
          <w:szCs w:val="21"/>
          <w:color w:val="auto"/>
        </w:rPr>
      </w:pPr>
    </w:p>
    <w:p>
      <w:pPr>
        <w:ind w:left="3240" w:hanging="640"/>
        <w:spacing w:after="0"/>
        <w:tabs>
          <w:tab w:leader="none" w:pos="3240" w:val="left"/>
        </w:tabs>
        <w:numPr>
          <w:ilvl w:val="1"/>
          <w:numId w:val="279"/>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 Initial</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Election relates.</w:t>
      </w:r>
    </w:p>
    <w:p>
      <w:pPr>
        <w:spacing w:after="0" w:line="161" w:lineRule="exact"/>
        <w:rPr>
          <w:rFonts w:ascii="Arial" w:cs="Arial" w:eastAsia="Arial" w:hAnsi="Arial"/>
          <w:sz w:val="19"/>
          <w:szCs w:val="19"/>
          <w:color w:val="auto"/>
        </w:rPr>
      </w:pPr>
    </w:p>
    <w:p>
      <w:pPr>
        <w:ind w:left="3240" w:hanging="640"/>
        <w:spacing w:after="0"/>
        <w:tabs>
          <w:tab w:leader="none" w:pos="3240" w:val="left"/>
        </w:tabs>
        <w:numPr>
          <w:ilvl w:val="1"/>
          <w:numId w:val="279"/>
        </w:numPr>
        <w:rPr>
          <w:rFonts w:ascii="Arial" w:cs="Arial" w:eastAsia="Arial" w:hAnsi="Arial"/>
          <w:sz w:val="22"/>
          <w:szCs w:val="22"/>
          <w:color w:val="auto"/>
        </w:rPr>
      </w:pPr>
      <w:r>
        <w:rPr>
          <w:rFonts w:ascii="Arial" w:cs="Arial" w:eastAsia="Arial" w:hAnsi="Arial"/>
          <w:sz w:val="22"/>
          <w:szCs w:val="22"/>
          <w:color w:val="auto"/>
        </w:rPr>
        <w:t>The following rules shall apply to Initial Elections:</w:t>
      </w:r>
    </w:p>
    <w:p>
      <w:pPr>
        <w:spacing w:after="0" w:line="171" w:lineRule="exact"/>
        <w:rPr>
          <w:rFonts w:ascii="Arial" w:cs="Arial" w:eastAsia="Arial" w:hAnsi="Arial"/>
          <w:sz w:val="22"/>
          <w:szCs w:val="22"/>
          <w:color w:val="auto"/>
        </w:rPr>
      </w:pPr>
    </w:p>
    <w:p>
      <w:pPr>
        <w:ind w:left="4540" w:hanging="644"/>
        <w:spacing w:after="0"/>
        <w:tabs>
          <w:tab w:leader="none" w:pos="4540" w:val="left"/>
        </w:tabs>
        <w:numPr>
          <w:ilvl w:val="2"/>
          <w:numId w:val="279"/>
        </w:numPr>
        <w:rPr>
          <w:rFonts w:ascii="Arial" w:cs="Arial" w:eastAsia="Arial" w:hAnsi="Arial"/>
          <w:sz w:val="21"/>
          <w:szCs w:val="21"/>
          <w:color w:val="auto"/>
        </w:rPr>
      </w:pPr>
      <w:r>
        <w:rPr>
          <w:rFonts w:ascii="Arial" w:cs="Arial" w:eastAsia="Arial" w:hAnsi="Arial"/>
          <w:sz w:val="21"/>
          <w:szCs w:val="21"/>
          <w:color w:val="auto"/>
        </w:rPr>
        <w:t>Subject to the limits on deferrals of Compensation described in Section</w:t>
      </w:r>
    </w:p>
    <w:p>
      <w:pPr>
        <w:spacing w:after="0"/>
        <w:rPr>
          <w:rFonts w:ascii="Arial" w:cs="Arial" w:eastAsia="Arial" w:hAnsi="Arial"/>
          <w:sz w:val="21"/>
          <w:szCs w:val="21"/>
          <w:color w:val="auto"/>
        </w:rPr>
      </w:pPr>
      <w:r>
        <w:rPr>
          <w:rFonts w:ascii="Arial" w:cs="Arial" w:eastAsia="Arial" w:hAnsi="Arial"/>
          <w:sz w:val="22"/>
          <w:szCs w:val="22"/>
          <w:color w:val="auto"/>
        </w:rPr>
        <w:t>2.38(b)(iii)(B) and Section 2.38(b)(iii)(C):</w:t>
      </w:r>
    </w:p>
    <w:p>
      <w:pPr>
        <w:spacing w:after="0" w:line="161" w:lineRule="exact"/>
        <w:rPr>
          <w:rFonts w:ascii="Arial" w:cs="Arial" w:eastAsia="Arial" w:hAnsi="Arial"/>
          <w:sz w:val="21"/>
          <w:szCs w:val="21"/>
          <w:color w:val="auto"/>
        </w:rPr>
      </w:pPr>
    </w:p>
    <w:p>
      <w:pPr>
        <w:jc w:val="both"/>
        <w:ind w:firstLine="4544"/>
        <w:spacing w:after="0" w:line="223" w:lineRule="auto"/>
        <w:tabs>
          <w:tab w:leader="none" w:pos="5179" w:val="left"/>
        </w:tabs>
        <w:numPr>
          <w:ilvl w:val="3"/>
          <w:numId w:val="279"/>
        </w:numPr>
        <w:rPr>
          <w:rFonts w:ascii="Arial" w:cs="Arial" w:eastAsia="Arial" w:hAnsi="Arial"/>
          <w:sz w:val="22"/>
          <w:szCs w:val="22"/>
          <w:color w:val="auto"/>
        </w:rPr>
      </w:pPr>
      <w:r>
        <w:rPr>
          <w:rFonts w:ascii="Arial" w:cs="Arial" w:eastAsia="Arial" w:hAnsi="Arial"/>
          <w:sz w:val="22"/>
          <w:szCs w:val="22"/>
          <w:color w:val="auto"/>
        </w:rPr>
        <w:t>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58" w:lineRule="exact"/>
        <w:rPr>
          <w:rFonts w:ascii="Arial" w:cs="Arial" w:eastAsia="Arial" w:hAnsi="Arial"/>
          <w:sz w:val="22"/>
          <w:szCs w:val="22"/>
          <w:color w:val="auto"/>
        </w:rPr>
      </w:pPr>
    </w:p>
    <w:p>
      <w:pPr>
        <w:jc w:val="both"/>
        <w:ind w:firstLine="4544"/>
        <w:spacing w:after="0" w:line="223" w:lineRule="auto"/>
        <w:tabs>
          <w:tab w:leader="none" w:pos="5179" w:val="left"/>
        </w:tabs>
        <w:numPr>
          <w:ilvl w:val="3"/>
          <w:numId w:val="279"/>
        </w:numPr>
        <w:rPr>
          <w:rFonts w:ascii="Arial" w:cs="Arial" w:eastAsia="Arial" w:hAnsi="Arial"/>
          <w:sz w:val="22"/>
          <w:szCs w:val="22"/>
          <w:color w:val="auto"/>
        </w:rPr>
      </w:pPr>
      <w:r>
        <w:rPr>
          <w:rFonts w:ascii="Arial" w:cs="Arial" w:eastAsia="Arial" w:hAnsi="Arial"/>
          <w:sz w:val="22"/>
          <w:szCs w:val="22"/>
          <w:color w:val="auto"/>
        </w:rPr>
        <w:t>the maximum amount of a Signing Bonus available for deferral pursuant to an Initial Election shall not exceed 50%, except as otherwise determined by the Administrator or its delegate in its discretion on an exceptions basis for Participants who are not Section 16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287" w:name="page288"/>
    <w:bookmarkEnd w:id="287"/>
    <w:p>
      <w:pPr>
        <w:jc w:val="both"/>
        <w:ind w:firstLine="3896"/>
        <w:spacing w:after="0" w:line="223" w:lineRule="auto"/>
        <w:tabs>
          <w:tab w:leader="none" w:pos="4527"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The maximum amount subject to Initial Elections for any Plan Year shall not exceed 35% of Total Compensation, except as otherwise determined by the Administrator or its delegate in its discretion on an exceptions basis for Participants who are not Section 16 Officers.</w:t>
      </w:r>
    </w:p>
    <w:p>
      <w:pPr>
        <w:spacing w:after="0" w:line="158" w:lineRule="exact"/>
        <w:rPr>
          <w:rFonts w:ascii="Arial" w:cs="Arial" w:eastAsia="Arial" w:hAnsi="Arial"/>
          <w:sz w:val="22"/>
          <w:szCs w:val="22"/>
          <w:color w:val="auto"/>
        </w:rPr>
      </w:pPr>
    </w:p>
    <w:p>
      <w:pPr>
        <w:jc w:val="both"/>
        <w:ind w:firstLine="3896"/>
        <w:spacing w:after="0" w:line="229" w:lineRule="auto"/>
        <w:tabs>
          <w:tab w:leader="none" w:pos="4527" w:val="left"/>
        </w:tabs>
        <w:numPr>
          <w:ilvl w:val="0"/>
          <w:numId w:val="280"/>
        </w:numPr>
        <w:rPr>
          <w:rFonts w:ascii="Arial" w:cs="Arial" w:eastAsia="Arial" w:hAnsi="Arial"/>
          <w:sz w:val="21"/>
          <w:szCs w:val="21"/>
          <w:color w:val="auto"/>
        </w:rPr>
      </w:pPr>
      <w:r>
        <w:rPr>
          <w:rFonts w:ascii="Arial" w:cs="Arial" w:eastAsia="Arial" w:hAnsi="Arial"/>
          <w:sz w:val="21"/>
          <w:szCs w:val="21"/>
          <w:color w:val="auto"/>
        </w:rPr>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Restricted Stock Plan to the extent such Account is credited to the “Income Fund” thereunder, exceeds the Contribution Limit with respect to such Plan Year, determined as of September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immediately preceding such Plan Year.</w:t>
      </w:r>
    </w:p>
    <w:p>
      <w:pPr>
        <w:spacing w:after="0" w:line="7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color w:val="auto"/>
        </w:rPr>
        <w:t>[RESERVED]</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NBCUniversal</w:t>
      </w:r>
      <w:r>
        <w:rPr>
          <w:rFonts w:ascii="Arial" w:cs="Arial" w:eastAsia="Arial" w:hAnsi="Arial"/>
          <w:sz w:val="19"/>
          <w:szCs w:val="19"/>
          <w:color w:val="auto"/>
        </w:rPr>
        <w:t>” means NBCUniversal, LLC and its subsidiaries.</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New Key Employee</w:t>
      </w:r>
      <w:r>
        <w:rPr>
          <w:rFonts w:ascii="Arial" w:cs="Arial" w:eastAsia="Arial" w:hAnsi="Arial"/>
          <w:sz w:val="19"/>
          <w:szCs w:val="19"/>
          <w:color w:val="auto"/>
        </w:rPr>
        <w:t>” means:</w:t>
      </w:r>
    </w:p>
    <w:p>
      <w:pPr>
        <w:spacing w:after="0" w:line="179" w:lineRule="exact"/>
        <w:rPr>
          <w:sz w:val="20"/>
          <w:szCs w:val="20"/>
          <w:color w:val="auto"/>
        </w:rPr>
      </w:pPr>
    </w:p>
    <w:p>
      <w:pPr>
        <w:ind w:left="2660" w:hanging="708"/>
        <w:spacing w:after="0"/>
        <w:tabs>
          <w:tab w:leader="none" w:pos="2660" w:val="left"/>
        </w:tabs>
        <w:numPr>
          <w:ilvl w:val="1"/>
          <w:numId w:val="281"/>
        </w:numPr>
        <w:rPr>
          <w:rFonts w:ascii="Arial" w:cs="Arial" w:eastAsia="Arial" w:hAnsi="Arial"/>
          <w:sz w:val="22"/>
          <w:szCs w:val="22"/>
          <w:color w:val="auto"/>
        </w:rPr>
      </w:pPr>
      <w:r>
        <w:rPr>
          <w:rFonts w:ascii="Arial" w:cs="Arial" w:eastAsia="Arial" w:hAnsi="Arial"/>
          <w:sz w:val="22"/>
          <w:szCs w:val="22"/>
          <w:u w:val="single" w:color="auto"/>
          <w:color w:val="auto"/>
        </w:rPr>
        <w:t>Employees of Comcast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2600"/>
        <w:spacing w:after="0" w:line="223" w:lineRule="auto"/>
        <w:tabs>
          <w:tab w:leader="none" w:pos="3228" w:val="left"/>
        </w:tabs>
        <w:numPr>
          <w:ilvl w:val="2"/>
          <w:numId w:val="281"/>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 and except as provided in Section 2.41(d), each employee of a Participating Company other than NBCUniversal and Comcast Spectacor:</w:t>
      </w:r>
    </w:p>
    <w:p>
      <w:pPr>
        <w:spacing w:after="0" w:line="158" w:lineRule="exact"/>
        <w:rPr>
          <w:rFonts w:ascii="Arial" w:cs="Arial" w:eastAsia="Arial" w:hAnsi="Arial"/>
          <w:sz w:val="22"/>
          <w:szCs w:val="22"/>
          <w:color w:val="auto"/>
        </w:rPr>
      </w:pPr>
    </w:p>
    <w:p>
      <w:pPr>
        <w:ind w:left="4540" w:hanging="644"/>
        <w:spacing w:after="0"/>
        <w:tabs>
          <w:tab w:leader="none" w:pos="4540" w:val="left"/>
        </w:tabs>
        <w:numPr>
          <w:ilvl w:val="3"/>
          <w:numId w:val="281"/>
        </w:numPr>
        <w:rPr>
          <w:rFonts w:ascii="Arial" w:cs="Arial" w:eastAsia="Arial" w:hAnsi="Arial"/>
          <w:sz w:val="19"/>
          <w:szCs w:val="19"/>
          <w:color w:val="auto"/>
        </w:rPr>
      </w:pPr>
      <w:r>
        <w:rPr>
          <w:rFonts w:ascii="Arial" w:cs="Arial" w:eastAsia="Arial" w:hAnsi="Arial"/>
          <w:sz w:val="19"/>
          <w:szCs w:val="19"/>
          <w:color w:val="auto"/>
        </w:rPr>
        <w:t>who (x) becomes an employee of a Participating Company and (y) has 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Rate of Pay of $250,000 or more as of his employment commencement date, or</w:t>
      </w:r>
    </w:p>
    <w:p>
      <w:pPr>
        <w:spacing w:after="0" w:line="161" w:lineRule="exact"/>
        <w:rPr>
          <w:rFonts w:ascii="Arial" w:cs="Arial" w:eastAsia="Arial" w:hAnsi="Arial"/>
          <w:sz w:val="19"/>
          <w:szCs w:val="19"/>
          <w:color w:val="auto"/>
        </w:rPr>
      </w:pPr>
    </w:p>
    <w:p>
      <w:pPr>
        <w:ind w:left="4540" w:hanging="644"/>
        <w:spacing w:after="0"/>
        <w:tabs>
          <w:tab w:leader="none" w:pos="4540" w:val="left"/>
        </w:tabs>
        <w:numPr>
          <w:ilvl w:val="3"/>
          <w:numId w:val="281"/>
        </w:numPr>
        <w:rPr>
          <w:rFonts w:ascii="Arial" w:cs="Arial" w:eastAsia="Arial" w:hAnsi="Arial"/>
          <w:sz w:val="19"/>
          <w:szCs w:val="19"/>
          <w:color w:val="auto"/>
        </w:rPr>
      </w:pPr>
      <w:r>
        <w:rPr>
          <w:rFonts w:ascii="Arial" w:cs="Arial" w:eastAsia="Arial" w:hAnsi="Arial"/>
          <w:sz w:val="19"/>
          <w:szCs w:val="19"/>
          <w:color w:val="auto"/>
        </w:rPr>
        <w:t>who (x) has an Annual Rate of Pay that is increased to $250,000 or more and</w:t>
      </w:r>
    </w:p>
    <w:p>
      <w:pPr>
        <w:spacing w:after="0" w:line="15" w:lineRule="exact"/>
        <w:rPr>
          <w:rFonts w:ascii="Arial" w:cs="Arial" w:eastAsia="Arial" w:hAnsi="Arial"/>
          <w:sz w:val="19"/>
          <w:szCs w:val="19"/>
          <w:color w:val="auto"/>
        </w:rPr>
      </w:pPr>
    </w:p>
    <w:p>
      <w:pPr>
        <w:ind w:left="320" w:hanging="312"/>
        <w:spacing w:after="0"/>
        <w:tabs>
          <w:tab w:leader="none" w:pos="32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immediately preceding such increase, was not an Eligible Employee.</w:t>
      </w:r>
    </w:p>
    <w:p>
      <w:pPr>
        <w:spacing w:after="0" w:line="161" w:lineRule="exact"/>
        <w:rPr>
          <w:rFonts w:ascii="Arial" w:cs="Arial" w:eastAsia="Arial" w:hAnsi="Arial"/>
          <w:sz w:val="22"/>
          <w:szCs w:val="22"/>
          <w:color w:val="auto"/>
        </w:rPr>
      </w:pPr>
    </w:p>
    <w:p>
      <w:pPr>
        <w:ind w:firstLine="2600"/>
        <w:spacing w:after="0" w:line="232" w:lineRule="auto"/>
        <w:tabs>
          <w:tab w:leader="none" w:pos="3234" w:val="left"/>
        </w:tabs>
        <w:numPr>
          <w:ilvl w:val="2"/>
          <w:numId w:val="282"/>
        </w:numPr>
        <w:rPr>
          <w:rFonts w:ascii="Arial" w:cs="Arial" w:eastAsia="Arial" w:hAnsi="Arial"/>
          <w:sz w:val="22"/>
          <w:szCs w:val="22"/>
          <w:color w:val="auto"/>
        </w:rPr>
      </w:pPr>
      <w:r>
        <w:rPr>
          <w:rFonts w:ascii="Arial" w:cs="Arial" w:eastAsia="Arial" w:hAnsi="Arial"/>
          <w:sz w:val="22"/>
          <w:szCs w:val="22"/>
          <w:color w:val="auto"/>
        </w:rPr>
        <w:t>Effective on and after January 1, 2019, and except as provided in Section 2.41(d), each employee of a Participating Company other than NBCUniversal and Comcast Spectacor:</w:t>
      </w:r>
    </w:p>
    <w:p>
      <w:pPr>
        <w:spacing w:after="0" w:line="158" w:lineRule="exact"/>
        <w:rPr>
          <w:rFonts w:ascii="Arial" w:cs="Arial" w:eastAsia="Arial" w:hAnsi="Arial"/>
          <w:sz w:val="22"/>
          <w:szCs w:val="22"/>
          <w:color w:val="auto"/>
        </w:rPr>
      </w:pPr>
    </w:p>
    <w:p>
      <w:pPr>
        <w:ind w:left="4540" w:hanging="644"/>
        <w:spacing w:after="0"/>
        <w:tabs>
          <w:tab w:leader="none" w:pos="4540" w:val="left"/>
        </w:tabs>
        <w:numPr>
          <w:ilvl w:val="3"/>
          <w:numId w:val="282"/>
        </w:numPr>
        <w:rPr>
          <w:rFonts w:ascii="Arial" w:cs="Arial" w:eastAsia="Arial" w:hAnsi="Arial"/>
          <w:sz w:val="19"/>
          <w:szCs w:val="19"/>
          <w:color w:val="auto"/>
        </w:rPr>
      </w:pPr>
      <w:r>
        <w:rPr>
          <w:rFonts w:ascii="Arial" w:cs="Arial" w:eastAsia="Arial" w:hAnsi="Arial"/>
          <w:sz w:val="19"/>
          <w:szCs w:val="19"/>
          <w:color w:val="auto"/>
        </w:rPr>
        <w:t>who (x) becomes an employee of a Participating Company and (y) has an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Rate of Pay of $350,000 or more as of his employment commencement date, or</w:t>
      </w:r>
    </w:p>
    <w:p>
      <w:pPr>
        <w:spacing w:after="0" w:line="161" w:lineRule="exact"/>
        <w:rPr>
          <w:rFonts w:ascii="Arial" w:cs="Arial" w:eastAsia="Arial" w:hAnsi="Arial"/>
          <w:sz w:val="19"/>
          <w:szCs w:val="19"/>
          <w:color w:val="auto"/>
        </w:rPr>
      </w:pPr>
    </w:p>
    <w:p>
      <w:pPr>
        <w:ind w:left="4540" w:hanging="644"/>
        <w:spacing w:after="0"/>
        <w:tabs>
          <w:tab w:leader="none" w:pos="4540" w:val="left"/>
        </w:tabs>
        <w:numPr>
          <w:ilvl w:val="3"/>
          <w:numId w:val="282"/>
        </w:numPr>
        <w:rPr>
          <w:rFonts w:ascii="Arial" w:cs="Arial" w:eastAsia="Arial" w:hAnsi="Arial"/>
          <w:sz w:val="19"/>
          <w:szCs w:val="19"/>
          <w:color w:val="auto"/>
        </w:rPr>
      </w:pPr>
      <w:r>
        <w:rPr>
          <w:rFonts w:ascii="Arial" w:cs="Arial" w:eastAsia="Arial" w:hAnsi="Arial"/>
          <w:sz w:val="19"/>
          <w:szCs w:val="19"/>
          <w:color w:val="auto"/>
        </w:rPr>
        <w:t>who (x) has an Annual Rate of Pay that is increased to $350,000 or more and</w:t>
      </w:r>
    </w:p>
    <w:p>
      <w:pPr>
        <w:spacing w:after="0" w:line="15" w:lineRule="exact"/>
        <w:rPr>
          <w:rFonts w:ascii="Arial" w:cs="Arial" w:eastAsia="Arial" w:hAnsi="Arial"/>
          <w:sz w:val="19"/>
          <w:szCs w:val="19"/>
          <w:color w:val="auto"/>
        </w:rPr>
      </w:pPr>
    </w:p>
    <w:p>
      <w:pPr>
        <w:ind w:left="320" w:hanging="312"/>
        <w:spacing w:after="0"/>
        <w:tabs>
          <w:tab w:leader="none" w:pos="32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immediately preceding such increase, was not an Eligible Employee.</w:t>
      </w:r>
    </w:p>
    <w:p>
      <w:pPr>
        <w:spacing w:after="0" w:line="161" w:lineRule="exact"/>
        <w:rPr>
          <w:rFonts w:ascii="Arial" w:cs="Arial" w:eastAsia="Arial" w:hAnsi="Arial"/>
          <w:sz w:val="22"/>
          <w:szCs w:val="22"/>
          <w:color w:val="auto"/>
        </w:rPr>
      </w:pPr>
    </w:p>
    <w:p>
      <w:pPr>
        <w:ind w:left="2640" w:hanging="688"/>
        <w:spacing w:after="0"/>
        <w:tabs>
          <w:tab w:leader="none" w:pos="2640" w:val="left"/>
        </w:tabs>
        <w:numPr>
          <w:ilvl w:val="1"/>
          <w:numId w:val="283"/>
        </w:numPr>
        <w:rPr>
          <w:rFonts w:ascii="Arial" w:cs="Arial" w:eastAsia="Arial" w:hAnsi="Arial"/>
          <w:sz w:val="22"/>
          <w:szCs w:val="22"/>
          <w:color w:val="auto"/>
        </w:rPr>
      </w:pPr>
      <w:r>
        <w:rPr>
          <w:rFonts w:ascii="Arial" w:cs="Arial" w:eastAsia="Arial" w:hAnsi="Arial"/>
          <w:sz w:val="22"/>
          <w:szCs w:val="22"/>
          <w:u w:val="single" w:color="auto"/>
          <w:color w:val="auto"/>
        </w:rPr>
        <w:t>Employees of NBCUniversal</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2600"/>
        <w:spacing w:after="0" w:line="268" w:lineRule="auto"/>
        <w:tabs>
          <w:tab w:leader="none" w:pos="3228" w:val="left"/>
        </w:tabs>
        <w:numPr>
          <w:ilvl w:val="2"/>
          <w:numId w:val="283"/>
        </w:numPr>
        <w:rPr>
          <w:rFonts w:ascii="Arial" w:cs="Arial" w:eastAsia="Arial" w:hAnsi="Arial"/>
          <w:sz w:val="19"/>
          <w:szCs w:val="19"/>
          <w:color w:val="auto"/>
        </w:rPr>
      </w:pPr>
      <w:r>
        <w:rPr>
          <w:rFonts w:ascii="Arial" w:cs="Arial" w:eastAsia="Arial" w:hAnsi="Arial"/>
          <w:sz w:val="19"/>
          <w:szCs w:val="19"/>
          <w:color w:val="auto"/>
        </w:rPr>
        <w:t>Effective for the period extending from January 1, 2013 through December 31, 2018, and except as provided in Section 2.41(d), each employee of NBCUniversal who (x) first becomes a member of the NBCUniversal Executive Committee, Management Committee or Operating Committee, and approved by the Administrator during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Plan Year and (y) immediately preceding the effective date of such membership, was not an Eligible Employee.</w:t>
      </w:r>
    </w:p>
    <w:p>
      <w:pPr>
        <w:spacing w:after="0" w:line="179" w:lineRule="exact"/>
        <w:rPr>
          <w:sz w:val="20"/>
          <w:szCs w:val="20"/>
          <w:color w:val="auto"/>
        </w:rPr>
      </w:pPr>
    </w:p>
    <w:p>
      <w:pPr>
        <w:jc w:val="both"/>
        <w:ind w:firstLine="2600"/>
        <w:spacing w:after="0" w:line="218" w:lineRule="auto"/>
        <w:tabs>
          <w:tab w:leader="none" w:pos="3234" w:val="left"/>
        </w:tabs>
        <w:numPr>
          <w:ilvl w:val="1"/>
          <w:numId w:val="284"/>
        </w:numPr>
        <w:rPr>
          <w:rFonts w:ascii="Arial" w:cs="Arial" w:eastAsia="Arial" w:hAnsi="Arial"/>
          <w:sz w:val="22"/>
          <w:szCs w:val="22"/>
          <w:color w:val="auto"/>
        </w:rPr>
      </w:pPr>
      <w:r>
        <w:rPr>
          <w:rFonts w:ascii="Arial" w:cs="Arial" w:eastAsia="Arial" w:hAnsi="Arial"/>
          <w:sz w:val="22"/>
          <w:szCs w:val="22"/>
          <w:color w:val="auto"/>
        </w:rPr>
        <w:t>Effective on and after January 1, 2019, and except as provided in Section 2.41(d),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spacing w:after="0" w:line="160" w:lineRule="exact"/>
        <w:rPr>
          <w:rFonts w:ascii="Arial" w:cs="Arial" w:eastAsia="Arial" w:hAnsi="Arial"/>
          <w:sz w:val="22"/>
          <w:szCs w:val="22"/>
          <w:color w:val="auto"/>
        </w:rPr>
      </w:pPr>
    </w:p>
    <w:p>
      <w:pPr>
        <w:ind w:left="2660" w:hanging="708"/>
        <w:spacing w:after="0"/>
        <w:tabs>
          <w:tab w:leader="none" w:pos="266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Effective on and after May 20, 2014, and except as provided in Section 2.41(d), each employee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Comcast Spectacor:</w:t>
      </w:r>
    </w:p>
    <w:p>
      <w:pPr>
        <w:spacing w:after="0" w:line="161" w:lineRule="exact"/>
        <w:rPr>
          <w:rFonts w:ascii="Arial" w:cs="Arial" w:eastAsia="Arial" w:hAnsi="Arial"/>
          <w:sz w:val="19"/>
          <w:szCs w:val="19"/>
          <w:color w:val="auto"/>
        </w:rPr>
      </w:pPr>
    </w:p>
    <w:p>
      <w:pPr>
        <w:jc w:val="both"/>
        <w:ind w:firstLine="2600"/>
        <w:spacing w:after="0" w:line="223" w:lineRule="auto"/>
        <w:tabs>
          <w:tab w:leader="none" w:pos="3228" w:val="left"/>
        </w:tabs>
        <w:numPr>
          <w:ilvl w:val="1"/>
          <w:numId w:val="285"/>
        </w:numPr>
        <w:rPr>
          <w:rFonts w:ascii="Arial" w:cs="Arial" w:eastAsia="Arial" w:hAnsi="Arial"/>
          <w:sz w:val="22"/>
          <w:szCs w:val="22"/>
          <w:color w:val="auto"/>
        </w:rPr>
      </w:pPr>
      <w:r>
        <w:rPr>
          <w:rFonts w:ascii="Arial" w:cs="Arial" w:eastAsia="Arial" w:hAnsi="Arial"/>
          <w:sz w:val="22"/>
          <w:szCs w:val="22"/>
          <w:color w:val="auto"/>
        </w:rPr>
        <w:t>who (x) becomes an employee of Comcast Spectacor, (y) has an Annual Rate of Pay of $350,000 or more as of his employment commencement date and (z) is designated as an Eligible Comcast Spectacor Employee by the Administrator or its delegate, or</w:t>
      </w:r>
    </w:p>
    <w:p>
      <w:pPr>
        <w:spacing w:after="0" w:line="159" w:lineRule="exact"/>
        <w:rPr>
          <w:sz w:val="20"/>
          <w:szCs w:val="20"/>
          <w:color w:val="auto"/>
        </w:rPr>
      </w:pPr>
    </w:p>
    <w:p>
      <w:pPr>
        <w:jc w:val="both"/>
        <w:ind w:firstLine="2600"/>
        <w:spacing w:after="0" w:line="223" w:lineRule="auto"/>
        <w:tabs>
          <w:tab w:leader="none" w:pos="3234" w:val="left"/>
        </w:tabs>
        <w:numPr>
          <w:ilvl w:val="2"/>
          <w:numId w:val="286"/>
        </w:numPr>
        <w:rPr>
          <w:rFonts w:ascii="Arial" w:cs="Arial" w:eastAsia="Arial" w:hAnsi="Arial"/>
          <w:sz w:val="22"/>
          <w:szCs w:val="22"/>
          <w:color w:val="auto"/>
        </w:rPr>
      </w:pPr>
      <w:r>
        <w:rPr>
          <w:rFonts w:ascii="Arial" w:cs="Arial" w:eastAsia="Arial" w:hAnsi="Arial"/>
          <w:sz w:val="22"/>
          <w:szCs w:val="22"/>
          <w:color w:val="auto"/>
        </w:rPr>
        <w:t>who (x) is designated as an Eligible Comcast Spectacor Employee by the Administrator or its delegate, (y) has an Annual Rate of Pay that is increased to $350,000 or more and (z) immediately preceding such increase, was not an Eligible Employee.</w:t>
      </w:r>
    </w:p>
    <w:p>
      <w:pPr>
        <w:spacing w:after="0" w:line="158" w:lineRule="exact"/>
        <w:rPr>
          <w:rFonts w:ascii="Arial" w:cs="Arial" w:eastAsia="Arial" w:hAnsi="Arial"/>
          <w:sz w:val="22"/>
          <w:szCs w:val="22"/>
          <w:color w:val="auto"/>
        </w:rPr>
      </w:pPr>
    </w:p>
    <w:p>
      <w:pPr>
        <w:ind w:firstLine="1952"/>
        <w:spacing w:after="0" w:line="232" w:lineRule="auto"/>
        <w:tabs>
          <w:tab w:leader="none" w:pos="2648" w:val="left"/>
        </w:tabs>
        <w:numPr>
          <w:ilvl w:val="1"/>
          <w:numId w:val="287"/>
        </w:numPr>
        <w:rPr>
          <w:rFonts w:ascii="Arial" w:cs="Arial" w:eastAsia="Arial" w:hAnsi="Arial"/>
          <w:sz w:val="22"/>
          <w:szCs w:val="22"/>
          <w:color w:val="auto"/>
        </w:rPr>
      </w:pPr>
      <w:r>
        <w:rPr>
          <w:rFonts w:ascii="Arial" w:cs="Arial" w:eastAsia="Arial" w:hAnsi="Arial"/>
          <w:sz w:val="22"/>
          <w:szCs w:val="22"/>
          <w:color w:val="auto"/>
        </w:rPr>
        <w:t>Notwithstanding Section 2.41(a), (b), or (c) to the contrary, no employee shall be treated as a New Key Employee with respect to any Plan Year under this Section 2.41 if:</w:t>
      </w:r>
    </w:p>
    <w:p>
      <w:pPr>
        <w:spacing w:after="0" w:line="158" w:lineRule="exact"/>
        <w:rPr>
          <w:rFonts w:ascii="Arial" w:cs="Arial" w:eastAsia="Arial" w:hAnsi="Arial"/>
          <w:sz w:val="22"/>
          <w:szCs w:val="22"/>
          <w:color w:val="auto"/>
        </w:rPr>
      </w:pPr>
    </w:p>
    <w:p>
      <w:pPr>
        <w:jc w:val="both"/>
        <w:ind w:firstLine="2600"/>
        <w:spacing w:after="0" w:line="247" w:lineRule="auto"/>
        <w:tabs>
          <w:tab w:leader="none" w:pos="3228" w:val="left"/>
        </w:tabs>
        <w:numPr>
          <w:ilvl w:val="2"/>
          <w:numId w:val="287"/>
        </w:numPr>
        <w:rPr>
          <w:rFonts w:ascii="Arial" w:cs="Arial" w:eastAsia="Arial" w:hAnsi="Arial"/>
          <w:sz w:val="19"/>
          <w:szCs w:val="19"/>
          <w:color w:val="auto"/>
        </w:rPr>
      </w:pPr>
      <w:r>
        <w:rPr>
          <w:rFonts w:ascii="Arial" w:cs="Arial" w:eastAsia="Arial" w:hAnsi="Arial"/>
          <w:sz w:val="19"/>
          <w:szCs w:val="19"/>
          <w:color w:val="auto"/>
        </w:rPr>
        <w:t>Such employee was eligible to participate in another plan sponsored by the Company or an Affiliate of the Company which is considered to be of a similar type as defined in Treasury Regulation Section 1.409A-1(c)(2)(i)</w:t>
      </w:r>
    </w:p>
    <w:p>
      <w:pPr>
        <w:ind w:left="360" w:hanging="352"/>
        <w:spacing w:after="0"/>
        <w:tabs>
          <w:tab w:leader="none" w:pos="36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or (B) with respect to such Plan Year; or</w:t>
      </w:r>
    </w:p>
    <w:p>
      <w:pPr>
        <w:spacing w:after="0" w:line="161" w:lineRule="exact"/>
        <w:rPr>
          <w:rFonts w:ascii="Arial" w:cs="Arial" w:eastAsia="Arial" w:hAnsi="Arial"/>
          <w:sz w:val="22"/>
          <w:szCs w:val="22"/>
          <w:color w:val="auto"/>
        </w:rPr>
      </w:pPr>
    </w:p>
    <w:p>
      <w:pPr>
        <w:jc w:val="both"/>
        <w:ind w:firstLine="2600"/>
        <w:spacing w:after="0" w:line="234" w:lineRule="auto"/>
        <w:tabs>
          <w:tab w:leader="none" w:pos="3234" w:val="left"/>
        </w:tabs>
        <w:numPr>
          <w:ilvl w:val="2"/>
          <w:numId w:val="288"/>
        </w:numPr>
        <w:rPr>
          <w:rFonts w:ascii="Arial" w:cs="Arial" w:eastAsia="Arial" w:hAnsi="Arial"/>
          <w:sz w:val="21"/>
          <w:szCs w:val="21"/>
          <w:color w:val="auto"/>
        </w:rPr>
      </w:pPr>
      <w:r>
        <w:rPr>
          <w:rFonts w:ascii="Arial" w:cs="Arial" w:eastAsia="Arial" w:hAnsi="Arial"/>
          <w:sz w:val="21"/>
          <w:szCs w:val="21"/>
          <w:color w:val="auto"/>
        </w:rPr>
        <w:t>Such employee has been eligible to participate in the Plan or any other plan referenced in Section 2.41(d)(i) (other than with respect to the accrual of earnings) at any time during the 24-month period ending on the date such employee would, but for this Section 2.41(d), otherwise become a New Key Employee.</w:t>
      </w:r>
    </w:p>
    <w:p>
      <w:pPr>
        <w:spacing w:after="0" w:line="158"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Normal Retirement</w:t>
      </w:r>
      <w:r>
        <w:rPr>
          <w:rFonts w:ascii="Arial" w:cs="Arial" w:eastAsia="Arial" w:hAnsi="Arial"/>
          <w:sz w:val="19"/>
          <w:szCs w:val="19"/>
          <w:color w:val="auto"/>
        </w:rPr>
        <w:t>” means:</w:t>
      </w:r>
    </w:p>
    <w:p>
      <w:pPr>
        <w:spacing w:after="0" w:line="179" w:lineRule="exact"/>
        <w:rPr>
          <w:sz w:val="20"/>
          <w:szCs w:val="20"/>
          <w:color w:val="auto"/>
        </w:rPr>
      </w:pPr>
    </w:p>
    <w:p>
      <w:pPr>
        <w:jc w:val="both"/>
        <w:ind w:firstLine="1952"/>
        <w:spacing w:after="0" w:line="223" w:lineRule="auto"/>
        <w:tabs>
          <w:tab w:leader="none" w:pos="2589" w:val="left"/>
        </w:tabs>
        <w:numPr>
          <w:ilvl w:val="0"/>
          <w:numId w:val="289"/>
        </w:numPr>
        <w:rPr>
          <w:rFonts w:ascii="Arial" w:cs="Arial" w:eastAsia="Arial" w:hAnsi="Arial"/>
          <w:sz w:val="22"/>
          <w:szCs w:val="22"/>
          <w:color w:val="auto"/>
        </w:rPr>
      </w:pPr>
      <w:r>
        <w:rPr>
          <w:rFonts w:ascii="Arial" w:cs="Arial" w:eastAsia="Arial" w:hAnsi="Arial"/>
          <w:sz w:val="22"/>
          <w:szCs w:val="22"/>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58" w:lineRule="exact"/>
        <w:rPr>
          <w:rFonts w:ascii="Arial" w:cs="Arial" w:eastAsia="Arial" w:hAnsi="Arial"/>
          <w:sz w:val="22"/>
          <w:szCs w:val="22"/>
          <w:color w:val="auto"/>
        </w:rPr>
      </w:pPr>
    </w:p>
    <w:p>
      <w:pPr>
        <w:ind w:firstLine="1952"/>
        <w:spacing w:after="0" w:line="232" w:lineRule="auto"/>
        <w:tabs>
          <w:tab w:leader="none" w:pos="2587" w:val="left"/>
        </w:tabs>
        <w:numPr>
          <w:ilvl w:val="0"/>
          <w:numId w:val="289"/>
        </w:numPr>
        <w:rPr>
          <w:rFonts w:ascii="Arial" w:cs="Arial" w:eastAsia="Arial" w:hAnsi="Arial"/>
          <w:sz w:val="22"/>
          <w:szCs w:val="22"/>
          <w:color w:val="auto"/>
        </w:rPr>
      </w:pPr>
      <w:r>
        <w:rPr>
          <w:rFonts w:ascii="Arial" w:cs="Arial" w:eastAsia="Arial" w:hAnsi="Arial"/>
          <w:sz w:val="22"/>
          <w:szCs w:val="22"/>
          <w:color w:val="auto"/>
        </w:rPr>
        <w:t>For a Participant who is an Outside Director or Director Emeritus immediately preceding his termination of service, the Participant’s normal retirement from the Board.</w:t>
      </w:r>
    </w:p>
    <w:p>
      <w:pPr>
        <w:spacing w:after="0" w:line="15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2.43. “</w:t>
      </w:r>
      <w:r>
        <w:rPr>
          <w:rFonts w:ascii="Arial" w:cs="Arial" w:eastAsia="Arial" w:hAnsi="Arial"/>
          <w:sz w:val="21"/>
          <w:szCs w:val="21"/>
          <w:u w:val="single" w:color="auto"/>
          <w:color w:val="auto"/>
        </w:rPr>
        <w:t>Other Investment Fund</w:t>
      </w:r>
      <w:r>
        <w:rPr>
          <w:rFonts w:ascii="Arial" w:cs="Arial" w:eastAsia="Arial" w:hAnsi="Arial"/>
          <w:sz w:val="21"/>
          <w:szCs w:val="21"/>
          <w:color w:val="auto"/>
        </w:rPr>
        <w:t>” means the Company Stock Fund and such other hypothetical investment funds designated by the Administrator, pursuant to which income, gains, and losses are credited to a Participant’s Account as if the Account, to the extent deemed invested in such Other Investment Fund, were credited with income, gains, and losses as if actually invested in such Other Investment Fund. Unless otherwise specified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289" w:name="page290"/>
    <w:bookmarkEnd w:id="289"/>
    <w:p>
      <w:pPr>
        <w:jc w:val="both"/>
        <w:ind w:right="20"/>
        <w:spacing w:after="0" w:line="232" w:lineRule="auto"/>
        <w:rPr>
          <w:sz w:val="20"/>
          <w:szCs w:val="20"/>
          <w:color w:val="auto"/>
        </w:rPr>
      </w:pPr>
      <w:r>
        <w:rPr>
          <w:rFonts w:ascii="Arial" w:cs="Arial" w:eastAsia="Arial" w:hAnsi="Arial"/>
          <w:sz w:val="22"/>
          <w:szCs w:val="22"/>
          <w:color w:val="auto"/>
        </w:rPr>
        <w:t>Administrator, the Participant shall designate the Other Investment Funds in which the Participant’s Account shall be invested in accordance with rules established by the Administrator.</w:t>
      </w:r>
    </w:p>
    <w:p>
      <w:pPr>
        <w:spacing w:after="0" w:line="14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Outside Director</w:t>
      </w:r>
      <w:r>
        <w:rPr>
          <w:rFonts w:ascii="Arial" w:cs="Arial" w:eastAsia="Arial" w:hAnsi="Arial"/>
          <w:sz w:val="21"/>
          <w:szCs w:val="21"/>
          <w:color w:val="auto"/>
        </w:rPr>
        <w:t>” means a member of the Board who is not an Eligible Employee of a Participating</w:t>
      </w: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2.45. “</w:t>
      </w:r>
      <w:r>
        <w:rPr>
          <w:rFonts w:ascii="Arial" w:cs="Arial" w:eastAsia="Arial" w:hAnsi="Arial"/>
          <w:sz w:val="19"/>
          <w:szCs w:val="19"/>
          <w:u w:val="single" w:color="auto"/>
          <w:color w:val="auto"/>
        </w:rPr>
        <w:t>Participant</w:t>
      </w:r>
      <w:r>
        <w:rPr>
          <w:rFonts w:ascii="Arial" w:cs="Arial" w:eastAsia="Arial" w:hAnsi="Arial"/>
          <w:sz w:val="19"/>
          <w:szCs w:val="19"/>
          <w:color w:val="auto"/>
        </w:rPr>
        <w:t>” means each individual who has made an Initial Election, or for whom an Account is established pursuant to Section 5.1, and who has an undistributed amount credited to an Account under the Plan, including an Active Participant, a Deceased Participant, a Retired Participant, a Disabled Participant, and an Inactive Participant.</w:t>
      </w:r>
    </w:p>
    <w:p>
      <w:pPr>
        <w:spacing w:after="0" w:line="132"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2.46. “</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Affiliate of the Company in which the Company owns, directly or indirectly, 50 percent or more of the voting interests or value, other than such an affiliate designated by the Administrator as an excluded Affiliate. Notwithstanding the foregoing, the Administrator may delegate its authority to designate an eligible Affiliate as an excluded Affiliate under this Section 2.46 to an officer of the Company or committee of two or more officers of the Company.</w:t>
      </w:r>
    </w:p>
    <w:p>
      <w:pPr>
        <w:spacing w:after="0" w:line="13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Performance-Based Compensation</w:t>
      </w:r>
      <w:r>
        <w:rPr>
          <w:rFonts w:ascii="Arial" w:cs="Arial" w:eastAsia="Arial" w:hAnsi="Arial"/>
          <w:sz w:val="19"/>
          <w:szCs w:val="19"/>
          <w:color w:val="auto"/>
        </w:rPr>
        <w:t>” means “Performance-Based Compensation” within the meaning of</w:t>
      </w:r>
    </w:p>
    <w:p>
      <w:pPr>
        <w:spacing w:after="0"/>
        <w:rPr>
          <w:sz w:val="20"/>
          <w:szCs w:val="20"/>
          <w:color w:val="auto"/>
        </w:rPr>
      </w:pPr>
      <w:r>
        <w:rPr>
          <w:rFonts w:ascii="Arial" w:cs="Arial" w:eastAsia="Arial" w:hAnsi="Arial"/>
          <w:sz w:val="22"/>
          <w:szCs w:val="22"/>
          <w:color w:val="auto"/>
        </w:rPr>
        <w:t>Section 409A.</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2.48. “</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Participant may earn Performance-Based Compensation. Effective for Comcast Spectacor’s fiscal years beginning on and after July 1, 2014, the Performance Period for annual incentive bonuses earned by Eligible Comcast Spectacor Employees shall be Comcast Spectacor’s fiscal year ending June 30.</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rPr>
          <w:sz w:val="20"/>
          <w:szCs w:val="20"/>
          <w:color w:val="auto"/>
        </w:rPr>
      </w:pPr>
      <w:r>
        <w:rPr>
          <w:rFonts w:ascii="Arial" w:cs="Arial" w:eastAsia="Arial" w:hAnsi="Arial"/>
          <w:sz w:val="22"/>
          <w:szCs w:val="22"/>
          <w:color w:val="auto"/>
        </w:rPr>
        <w:t>organization.</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2.50. “</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2005 Deferred Compensation Plan, as set forth herein, and as amended from time to time.</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2.52. “</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on the last business day preceding the first day of such calendar year, and as adjusted as of the last business day preceding the first day of each calendar year beginning thereafter.</w:t>
      </w:r>
    </w:p>
    <w:p>
      <w:pPr>
        <w:spacing w:after="0" w:line="14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Prior Plan</w:t>
      </w:r>
      <w:r>
        <w:rPr>
          <w:rFonts w:ascii="Arial" w:cs="Arial" w:eastAsia="Arial" w:hAnsi="Arial"/>
          <w:sz w:val="19"/>
          <w:szCs w:val="19"/>
          <w:color w:val="auto"/>
        </w:rPr>
        <w:t>” means the Comcast Corporation 2002 Deferred Compensation Plan.</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2.54.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Protected Account Balance</w:t>
      </w:r>
      <w:r>
        <w:rPr>
          <w:rFonts w:ascii="Arial" w:cs="Arial" w:eastAsia="Arial" w:hAnsi="Arial"/>
          <w:sz w:val="19"/>
          <w:szCs w:val="19"/>
          <w:color w:val="auto"/>
        </w:rPr>
        <w:t>” means:</w:t>
      </w:r>
    </w:p>
    <w:p>
      <w:pPr>
        <w:spacing w:after="0" w:line="179" w:lineRule="exact"/>
        <w:rPr>
          <w:sz w:val="20"/>
          <w:szCs w:val="20"/>
          <w:color w:val="auto"/>
        </w:rPr>
      </w:pPr>
    </w:p>
    <w:p>
      <w:pPr>
        <w:ind w:left="2680" w:hanging="728"/>
        <w:spacing w:after="0"/>
        <w:tabs>
          <w:tab w:leader="none" w:pos="2680" w:val="left"/>
        </w:tabs>
        <w:numPr>
          <w:ilvl w:val="0"/>
          <w:numId w:val="290"/>
        </w:numPr>
        <w:rPr>
          <w:rFonts w:ascii="Arial" w:cs="Arial" w:eastAsia="Arial" w:hAnsi="Arial"/>
          <w:sz w:val="19"/>
          <w:szCs w:val="19"/>
          <w:color w:val="auto"/>
        </w:rPr>
      </w:pPr>
      <w:r>
        <w:rPr>
          <w:rFonts w:ascii="Arial" w:cs="Arial" w:eastAsia="Arial" w:hAnsi="Arial"/>
          <w:sz w:val="19"/>
          <w:szCs w:val="19"/>
          <w:color w:val="auto"/>
        </w:rPr>
        <w:t>The amount credited to the Account of an Eligible Comcast Employee, an Outside Director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Director Emeritus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290" w:name="page291"/>
    <w:bookmarkEnd w:id="290"/>
    <w:p>
      <w:pPr>
        <w:ind w:left="3240" w:hanging="640"/>
        <w:spacing w:after="0"/>
        <w:tabs>
          <w:tab w:leader="none" w:pos="3240" w:val="left"/>
        </w:tabs>
        <w:numPr>
          <w:ilvl w:val="0"/>
          <w:numId w:val="291"/>
        </w:numPr>
        <w:rPr>
          <w:rFonts w:ascii="Arial" w:cs="Arial" w:eastAsia="Arial" w:hAnsi="Arial"/>
          <w:sz w:val="22"/>
          <w:szCs w:val="22"/>
          <w:color w:val="auto"/>
        </w:rPr>
      </w:pPr>
      <w:r>
        <w:rPr>
          <w:rFonts w:ascii="Arial" w:cs="Arial" w:eastAsia="Arial" w:hAnsi="Arial"/>
          <w:sz w:val="22"/>
          <w:szCs w:val="22"/>
          <w:color w:val="auto"/>
        </w:rPr>
        <w:t>Initial Elections with respect to Compensation earned before January 1, 2014;</w:t>
      </w:r>
    </w:p>
    <w:p>
      <w:pPr>
        <w:spacing w:after="0" w:line="179" w:lineRule="exact"/>
        <w:rPr>
          <w:rFonts w:ascii="Arial" w:cs="Arial" w:eastAsia="Arial" w:hAnsi="Arial"/>
          <w:sz w:val="22"/>
          <w:szCs w:val="22"/>
          <w:color w:val="auto"/>
        </w:rPr>
      </w:pPr>
    </w:p>
    <w:p>
      <w:pPr>
        <w:jc w:val="both"/>
        <w:ind w:firstLine="2600"/>
        <w:spacing w:after="0" w:line="223" w:lineRule="auto"/>
        <w:tabs>
          <w:tab w:leader="none" w:pos="3234" w:val="left"/>
        </w:tabs>
        <w:numPr>
          <w:ilvl w:val="0"/>
          <w:numId w:val="291"/>
        </w:numPr>
        <w:rPr>
          <w:rFonts w:ascii="Arial" w:cs="Arial" w:eastAsia="Arial" w:hAnsi="Arial"/>
          <w:sz w:val="22"/>
          <w:szCs w:val="22"/>
          <w:color w:val="auto"/>
        </w:rPr>
      </w:pPr>
      <w:r>
        <w:rPr>
          <w:rFonts w:ascii="Arial" w:cs="Arial" w:eastAsia="Arial" w:hAnsi="Arial"/>
          <w:sz w:val="22"/>
          <w:szCs w:val="22"/>
          <w:color w:val="auto"/>
        </w:rPr>
        <w:t>Company Credits described in Section 3.8 that were credited before January 1, 2014 or were made pursuant to an employment agreement entered into on or before December 31, 2013, including amounts attributable to Subsequent Elections filed with respect to such amounts before January 1, 2021; and</w:t>
      </w:r>
    </w:p>
    <w:p>
      <w:pPr>
        <w:spacing w:after="0" w:line="158" w:lineRule="exact"/>
        <w:rPr>
          <w:rFonts w:ascii="Arial" w:cs="Arial" w:eastAsia="Arial" w:hAnsi="Arial"/>
          <w:sz w:val="22"/>
          <w:szCs w:val="22"/>
          <w:color w:val="auto"/>
        </w:rPr>
      </w:pPr>
    </w:p>
    <w:p>
      <w:pPr>
        <w:ind w:firstLine="2600"/>
        <w:spacing w:after="0" w:line="232" w:lineRule="auto"/>
        <w:tabs>
          <w:tab w:leader="none" w:pos="3240" w:val="left"/>
        </w:tabs>
        <w:numPr>
          <w:ilvl w:val="0"/>
          <w:numId w:val="291"/>
        </w:numPr>
        <w:rPr>
          <w:rFonts w:ascii="Arial" w:cs="Arial" w:eastAsia="Arial" w:hAnsi="Arial"/>
          <w:sz w:val="22"/>
          <w:szCs w:val="22"/>
          <w:color w:val="auto"/>
        </w:rPr>
      </w:pPr>
      <w:r>
        <w:rPr>
          <w:rFonts w:ascii="Arial" w:cs="Arial" w:eastAsia="Arial" w:hAnsi="Arial"/>
          <w:sz w:val="22"/>
          <w:szCs w:val="22"/>
          <w:color w:val="auto"/>
        </w:rPr>
        <w:t>Subsequent Elections filed before January 1, 2021 with respect to the portion of such Participant’s Accounts attributable to amounts credited pursuant to this Section 2.54(a);</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including interest credits attributable to such amounts.</w:t>
      </w:r>
    </w:p>
    <w:p>
      <w:pPr>
        <w:spacing w:after="0" w:line="179" w:lineRule="exact"/>
        <w:rPr>
          <w:sz w:val="20"/>
          <w:szCs w:val="20"/>
          <w:color w:val="auto"/>
        </w:rPr>
      </w:pPr>
    </w:p>
    <w:p>
      <w:pPr>
        <w:ind w:firstLine="1952"/>
        <w:spacing w:after="0" w:line="298" w:lineRule="auto"/>
        <w:tabs>
          <w:tab w:leader="none" w:pos="2641"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amount credited pursuant to Initial Elections with respect to Compensation earned in 2014 or 2015, if, as of the September 30th immediately preceding the Plan Year to which the Initial Election applied, the sum of:</w:t>
      </w:r>
    </w:p>
    <w:p>
      <w:pPr>
        <w:spacing w:after="0" w:line="105" w:lineRule="exact"/>
        <w:rPr>
          <w:rFonts w:ascii="Arial" w:cs="Arial" w:eastAsia="Arial" w:hAnsi="Arial"/>
          <w:sz w:val="19"/>
          <w:szCs w:val="19"/>
          <w:color w:val="auto"/>
        </w:rPr>
      </w:pPr>
    </w:p>
    <w:p>
      <w:pPr>
        <w:ind w:left="3240" w:hanging="640"/>
        <w:spacing w:after="0"/>
        <w:tabs>
          <w:tab w:leader="none" w:pos="324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An Eligible Comcast Employee’s Account; plus</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Such Eligible Comcast Employee’s Account in the Prior Plan; plus</w:t>
      </w:r>
    </w:p>
    <w:p>
      <w:pPr>
        <w:spacing w:after="0" w:line="179" w:lineRule="exact"/>
        <w:rPr>
          <w:rFonts w:ascii="Arial" w:cs="Arial" w:eastAsia="Arial" w:hAnsi="Arial"/>
          <w:sz w:val="22"/>
          <w:szCs w:val="22"/>
          <w:color w:val="auto"/>
        </w:rPr>
      </w:pPr>
    </w:p>
    <w:p>
      <w:pPr>
        <w:ind w:firstLine="2600"/>
        <w:spacing w:after="0" w:line="232" w:lineRule="auto"/>
        <w:tabs>
          <w:tab w:leader="none" w:pos="324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was credited to the Income Fund;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is less than the High-Water Mark.</w:t>
      </w:r>
    </w:p>
    <w:p>
      <w:pPr>
        <w:spacing w:after="0" w:line="179" w:lineRule="exact"/>
        <w:rPr>
          <w:sz w:val="20"/>
          <w:szCs w:val="20"/>
          <w:color w:val="auto"/>
        </w:rPr>
      </w:pPr>
    </w:p>
    <w:p>
      <w:pPr>
        <w:jc w:val="both"/>
        <w:ind w:firstLine="1952"/>
        <w:spacing w:after="0" w:line="204" w:lineRule="auto"/>
        <w:tabs>
          <w:tab w:leader="none" w:pos="2643" w:val="left"/>
        </w:tabs>
        <w:numPr>
          <w:ilvl w:val="0"/>
          <w:numId w:val="293"/>
        </w:numPr>
        <w:rPr>
          <w:rFonts w:ascii="Arial" w:cs="Arial" w:eastAsia="Arial" w:hAnsi="Arial"/>
          <w:sz w:val="22"/>
          <w:szCs w:val="22"/>
          <w:color w:val="auto"/>
        </w:rPr>
      </w:pPr>
      <w:r>
        <w:rPr>
          <w:rFonts w:ascii="Arial" w:cs="Arial" w:eastAsia="Arial" w:hAnsi="Arial"/>
          <w:sz w:val="22"/>
          <w:szCs w:val="22"/>
          <w:color w:val="auto"/>
        </w:rPr>
        <w:t>The amount credited pursuant to Initial Elections with respect to Compensation earned on and after January 1, 2016 and before January 1, 2021, and the amount credited to an Eligible Comcast Employee’s Account attributable to Company Credits described in Section 3.8 after May 20, 2015 and before January 1, 2021 (other than Company Credits described in Section 2.54(b)), if, as of the September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immediately preceding the Plan Year in which such amounts are creditable, the sum of:</w:t>
      </w:r>
    </w:p>
    <w:p>
      <w:pPr>
        <w:spacing w:after="0" w:line="154" w:lineRule="exact"/>
        <w:rPr>
          <w:rFonts w:ascii="Arial" w:cs="Arial" w:eastAsia="Arial" w:hAnsi="Arial"/>
          <w:sz w:val="22"/>
          <w:szCs w:val="22"/>
          <w:color w:val="auto"/>
        </w:rPr>
      </w:pPr>
    </w:p>
    <w:p>
      <w:pPr>
        <w:ind w:left="3240" w:hanging="640"/>
        <w:spacing w:after="0"/>
        <w:tabs>
          <w:tab w:leader="none" w:pos="3240" w:val="left"/>
        </w:tabs>
        <w:numPr>
          <w:ilvl w:val="1"/>
          <w:numId w:val="293"/>
        </w:numPr>
        <w:rPr>
          <w:rFonts w:ascii="Arial" w:cs="Arial" w:eastAsia="Arial" w:hAnsi="Arial"/>
          <w:sz w:val="21"/>
          <w:szCs w:val="21"/>
          <w:color w:val="auto"/>
        </w:rPr>
      </w:pPr>
      <w:r>
        <w:rPr>
          <w:rFonts w:ascii="Arial" w:cs="Arial" w:eastAsia="Arial" w:hAnsi="Arial"/>
          <w:sz w:val="21"/>
          <w:szCs w:val="21"/>
          <w:color w:val="auto"/>
        </w:rPr>
        <w:t>An Eligible Comcast Employee’s Account to the extent such Account is credited to the</w:t>
      </w:r>
    </w:p>
    <w:p>
      <w:pPr>
        <w:spacing w:after="0"/>
        <w:rPr>
          <w:rFonts w:ascii="Arial" w:cs="Arial" w:eastAsia="Arial" w:hAnsi="Arial"/>
          <w:sz w:val="21"/>
          <w:szCs w:val="21"/>
          <w:color w:val="auto"/>
        </w:rPr>
      </w:pPr>
      <w:r>
        <w:rPr>
          <w:rFonts w:ascii="Arial" w:cs="Arial" w:eastAsia="Arial" w:hAnsi="Arial"/>
          <w:sz w:val="22"/>
          <w:szCs w:val="22"/>
          <w:color w:val="auto"/>
        </w:rPr>
        <w:t>Income Fund; plus</w:t>
      </w:r>
    </w:p>
    <w:p>
      <w:pPr>
        <w:spacing w:after="0" w:line="161" w:lineRule="exact"/>
        <w:rPr>
          <w:rFonts w:ascii="Arial" w:cs="Arial" w:eastAsia="Arial" w:hAnsi="Arial"/>
          <w:sz w:val="21"/>
          <w:szCs w:val="21"/>
          <w:color w:val="auto"/>
        </w:rPr>
      </w:pPr>
    </w:p>
    <w:p>
      <w:pPr>
        <w:ind w:left="3240" w:hanging="640"/>
        <w:spacing w:after="0"/>
        <w:tabs>
          <w:tab w:leader="none" w:pos="3240" w:val="left"/>
        </w:tabs>
        <w:numPr>
          <w:ilvl w:val="1"/>
          <w:numId w:val="293"/>
        </w:numPr>
        <w:rPr>
          <w:rFonts w:ascii="Arial" w:cs="Arial" w:eastAsia="Arial" w:hAnsi="Arial"/>
          <w:sz w:val="19"/>
          <w:szCs w:val="19"/>
          <w:color w:val="auto"/>
        </w:rPr>
      </w:pPr>
      <w:r>
        <w:rPr>
          <w:rFonts w:ascii="Arial" w:cs="Arial" w:eastAsia="Arial" w:hAnsi="Arial"/>
          <w:sz w:val="19"/>
          <w:szCs w:val="19"/>
          <w:color w:val="auto"/>
        </w:rPr>
        <w:t>Such Eligible Comcast Employee’s Account in the Prior Plan to the extent such Account is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credited to the Income Fund; plus</w:t>
      </w:r>
    </w:p>
    <w:p>
      <w:pPr>
        <w:spacing w:after="0" w:line="161" w:lineRule="exact"/>
        <w:rPr>
          <w:rFonts w:ascii="Arial" w:cs="Arial" w:eastAsia="Arial" w:hAnsi="Arial"/>
          <w:sz w:val="19"/>
          <w:szCs w:val="19"/>
          <w:color w:val="auto"/>
        </w:rPr>
      </w:pPr>
    </w:p>
    <w:p>
      <w:pPr>
        <w:ind w:firstLine="2600"/>
        <w:spacing w:after="0" w:line="232" w:lineRule="auto"/>
        <w:tabs>
          <w:tab w:leader="none" w:pos="3240" w:val="left"/>
        </w:tabs>
        <w:numPr>
          <w:ilvl w:val="1"/>
          <w:numId w:val="293"/>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is less than the High-Water Mark.</w:t>
      </w:r>
    </w:p>
    <w:p>
      <w:pPr>
        <w:spacing w:after="0" w:line="179" w:lineRule="exact"/>
        <w:rPr>
          <w:sz w:val="20"/>
          <w:szCs w:val="20"/>
          <w:color w:val="auto"/>
        </w:rPr>
      </w:pPr>
    </w:p>
    <w:p>
      <w:pPr>
        <w:ind w:right="20" w:firstLine="1952"/>
        <w:spacing w:after="0" w:line="298" w:lineRule="auto"/>
        <w:tabs>
          <w:tab w:leader="none" w:pos="2587"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amount credited pursuant to Subsequent Elections filed after December 31, 2013 and before January 1, 2021 that are attributable to any portion of an Eligible Comcast Employee’s Account described in Section 2.54(a)-(d).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291" w:name="page292"/>
    <w:bookmarkEnd w:id="291"/>
    <w:p>
      <w:pPr>
        <w:jc w:val="both"/>
        <w:spacing w:after="0" w:line="223" w:lineRule="auto"/>
        <w:rPr>
          <w:sz w:val="20"/>
          <w:szCs w:val="20"/>
          <w:color w:val="auto"/>
        </w:rPr>
      </w:pPr>
      <w:r>
        <w:rPr>
          <w:rFonts w:ascii="Arial" w:cs="Arial" w:eastAsia="Arial" w:hAnsi="Arial"/>
          <w:sz w:val="22"/>
          <w:szCs w:val="22"/>
          <w:color w:val="auto"/>
        </w:rPr>
        <w:t>Notwithstanding Sections 2.53(a)-(d), except as otherwise provided by the Administrator, the Protected Account Balance of an Eligible Comcast Employee who is re-employed by a Participating Company following an employment termination date that occurs after December 31, 2013 shall be zero.</w:t>
      </w:r>
    </w:p>
    <w:p>
      <w:pPr>
        <w:spacing w:after="0" w:line="140"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2"/>
          <w:szCs w:val="22"/>
          <w:color w:val="auto"/>
        </w:rPr>
        <w:t>2.55.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any successor</w:t>
      </w:r>
    </w:p>
    <w:p>
      <w:pPr>
        <w:spacing w:after="0"/>
        <w:rPr>
          <w:sz w:val="20"/>
          <w:szCs w:val="20"/>
          <w:color w:val="auto"/>
        </w:rPr>
      </w:pPr>
      <w:r>
        <w:rPr>
          <w:rFonts w:ascii="Arial" w:cs="Arial" w:eastAsia="Arial" w:hAnsi="Arial"/>
          <w:sz w:val="22"/>
          <w:szCs w:val="22"/>
          <w:color w:val="auto"/>
        </w:rPr>
        <w:t>plan).</w:t>
      </w:r>
    </w:p>
    <w:p>
      <w:pPr>
        <w:spacing w:after="0" w:line="1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Retired Participant</w:t>
      </w:r>
      <w:r>
        <w:rPr>
          <w:rFonts w:ascii="Arial" w:cs="Arial" w:eastAsia="Arial" w:hAnsi="Arial"/>
          <w:sz w:val="19"/>
          <w:szCs w:val="19"/>
          <w:color w:val="auto"/>
        </w:rPr>
        <w:t>” means a Participant who has terminated service pursuant to a Normal Retirement.</w:t>
      </w:r>
    </w:p>
    <w:p>
      <w:pPr>
        <w:spacing w:after="0" w:line="17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2.57. “</w:t>
      </w:r>
      <w:r>
        <w:rPr>
          <w:rFonts w:ascii="Arial" w:cs="Arial" w:eastAsia="Arial" w:hAnsi="Arial"/>
          <w:sz w:val="22"/>
          <w:szCs w:val="22"/>
          <w:u w:val="single" w:color="auto"/>
          <w:color w:val="auto"/>
        </w:rPr>
        <w:t>Section 16 Officer</w:t>
      </w:r>
      <w:r>
        <w:rPr>
          <w:rFonts w:ascii="Arial" w:cs="Arial" w:eastAsia="Arial" w:hAnsi="Arial"/>
          <w:sz w:val="22"/>
          <w:szCs w:val="22"/>
          <w:color w:val="auto"/>
        </w:rPr>
        <w:t>” means an “officer” of the Company, as defined pursuant to Rule 16a-1(f) under the Securities Exchange Act of 1934, as amended.</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2.58. “</w:t>
      </w:r>
      <w:r>
        <w:rPr>
          <w:rFonts w:ascii="Arial" w:cs="Arial" w:eastAsia="Arial" w:hAnsi="Arial"/>
          <w:sz w:val="22"/>
          <w:szCs w:val="22"/>
          <w:u w:val="single" w:color="auto"/>
          <w:color w:val="auto"/>
        </w:rPr>
        <w:t>Severance Pay</w:t>
      </w:r>
      <w:r>
        <w:rPr>
          <w:rFonts w:ascii="Arial" w:cs="Arial" w:eastAsia="Arial" w:hAnsi="Arial"/>
          <w:sz w:val="22"/>
          <w:szCs w:val="22"/>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2.59. “</w:t>
      </w:r>
      <w:r>
        <w:rPr>
          <w:rFonts w:ascii="Arial" w:cs="Arial" w:eastAsia="Arial" w:hAnsi="Arial"/>
          <w:sz w:val="22"/>
          <w:szCs w:val="22"/>
          <w:u w:val="single" w:color="auto"/>
          <w:color w:val="auto"/>
        </w:rPr>
        <w:t>Signing Bonus</w:t>
      </w:r>
      <w:r>
        <w:rPr>
          <w:rFonts w:ascii="Arial" w:cs="Arial" w:eastAsia="Arial" w:hAnsi="Arial"/>
          <w:sz w:val="22"/>
          <w:szCs w:val="22"/>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2.60. “</w:t>
      </w:r>
      <w:r>
        <w:rPr>
          <w:rFonts w:ascii="Arial" w:cs="Arial" w:eastAsia="Arial" w:hAnsi="Arial"/>
          <w:sz w:val="22"/>
          <w:szCs w:val="22"/>
          <w:u w:val="single" w:color="auto"/>
          <w:color w:val="auto"/>
        </w:rPr>
        <w:t>Subsequent Election</w:t>
      </w:r>
      <w:r>
        <w:rPr>
          <w:rFonts w:ascii="Arial" w:cs="Arial" w:eastAsia="Arial" w:hAnsi="Arial"/>
          <w:sz w:val="22"/>
          <w:szCs w:val="22"/>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filed Initial Election or Subsequent Election.</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2.61. “</w:t>
      </w:r>
      <w:r>
        <w:rPr>
          <w:rFonts w:ascii="Arial" w:cs="Arial" w:eastAsia="Arial" w:hAnsi="Arial"/>
          <w:sz w:val="22"/>
          <w:szCs w:val="22"/>
          <w:u w:val="single" w:color="auto"/>
          <w:color w:val="auto"/>
        </w:rPr>
        <w:t>Surviving Spouse</w:t>
      </w:r>
      <w:r>
        <w:rPr>
          <w:rFonts w:ascii="Arial" w:cs="Arial" w:eastAsia="Arial" w:hAnsi="Arial"/>
          <w:sz w:val="22"/>
          <w:szCs w:val="22"/>
          <w:color w:val="auto"/>
        </w:rPr>
        <w:t>” means the widow or widower, as the case may be, of a Deceased Participant or a Deceased Beneficiary (as applicable).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2.62.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2.63.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Total Compensation</w:t>
      </w:r>
      <w:r>
        <w:rPr>
          <w:rFonts w:ascii="Arial" w:cs="Arial" w:eastAsia="Arial" w:hAnsi="Arial"/>
          <w:sz w:val="19"/>
          <w:szCs w:val="19"/>
          <w:color w:val="auto"/>
        </w:rPr>
        <w:t>” means:</w:t>
      </w:r>
    </w:p>
    <w:p>
      <w:pPr>
        <w:spacing w:after="0" w:line="179" w:lineRule="exact"/>
        <w:rPr>
          <w:sz w:val="20"/>
          <w:szCs w:val="20"/>
          <w:color w:val="auto"/>
        </w:rPr>
      </w:pPr>
    </w:p>
    <w:p>
      <w:pPr>
        <w:jc w:val="both"/>
        <w:ind w:firstLine="1952"/>
        <w:spacing w:after="0" w:line="257" w:lineRule="auto"/>
        <w:tabs>
          <w:tab w:leader="none" w:pos="2686" w:val="left"/>
        </w:tabs>
        <w:numPr>
          <w:ilvl w:val="0"/>
          <w:numId w:val="295"/>
        </w:numPr>
        <w:rPr>
          <w:rFonts w:ascii="Arial" w:cs="Arial" w:eastAsia="Arial" w:hAnsi="Arial"/>
          <w:sz w:val="19"/>
          <w:szCs w:val="19"/>
          <w:color w:val="auto"/>
        </w:rPr>
      </w:pPr>
      <w:r>
        <w:rPr>
          <w:rFonts w:ascii="Arial" w:cs="Arial" w:eastAsia="Arial" w:hAnsi="Arial"/>
          <w:sz w:val="19"/>
          <w:szCs w:val="19"/>
          <w:color w:val="auto"/>
        </w:rPr>
        <w:t>The sum of an Eligible Employee’s Annual Rate of Pay, plus Company Credits described in Section 3.8, plus any target bonus amount under a cash bonus award that is includible as “Compensation” under Section 2.16, plus the grant date value of any annual long-term incentive award granted in the immediately preceding Plan Year, all as determined by the Administrator in its sole discretion, as of the September 30th immediately preceding the Plan Year.</w:t>
      </w:r>
    </w:p>
    <w:p>
      <w:pPr>
        <w:spacing w:after="0" w:line="144" w:lineRule="exact"/>
        <w:rPr>
          <w:rFonts w:ascii="Arial" w:cs="Arial" w:eastAsia="Arial" w:hAnsi="Arial"/>
          <w:sz w:val="19"/>
          <w:szCs w:val="19"/>
          <w:color w:val="auto"/>
        </w:rPr>
      </w:pPr>
    </w:p>
    <w:p>
      <w:pPr>
        <w:jc w:val="both"/>
        <w:ind w:firstLine="1952"/>
        <w:spacing w:after="0" w:line="218" w:lineRule="auto"/>
        <w:tabs>
          <w:tab w:leader="none" w:pos="2657" w:val="left"/>
        </w:tabs>
        <w:numPr>
          <w:ilvl w:val="0"/>
          <w:numId w:val="295"/>
        </w:numPr>
        <w:rPr>
          <w:rFonts w:ascii="Arial" w:cs="Arial" w:eastAsia="Arial" w:hAnsi="Arial"/>
          <w:sz w:val="22"/>
          <w:szCs w:val="22"/>
          <w:color w:val="auto"/>
        </w:rPr>
      </w:pPr>
      <w:r>
        <w:rPr>
          <w:rFonts w:ascii="Arial" w:cs="Arial" w:eastAsia="Arial" w:hAnsi="Arial"/>
          <w:sz w:val="22"/>
          <w:szCs w:val="22"/>
          <w:color w:val="auto"/>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22"/>
          <w:szCs w:val="22"/>
          <w:b w:val="1"/>
          <w:bCs w:val="1"/>
          <w:color w:val="auto"/>
        </w:rPr>
        <w:t xml:space="preserve">ARTICLE 3 </w:t>
      </w:r>
      <w:r>
        <w:rPr>
          <w:rFonts w:ascii="Arial" w:cs="Arial" w:eastAsia="Arial" w:hAnsi="Arial"/>
          <w:sz w:val="22"/>
          <w:szCs w:val="22"/>
          <w:color w:val="auto"/>
        </w:rPr>
        <w:t>–</w:t>
      </w:r>
      <w:r>
        <w:rPr>
          <w:rFonts w:ascii="Arial" w:cs="Arial" w:eastAsia="Arial" w:hAnsi="Arial"/>
          <w:sz w:val="22"/>
          <w:szCs w:val="22"/>
          <w:b w:val="1"/>
          <w:bCs w:val="1"/>
          <w:color w:val="auto"/>
        </w:rPr>
        <w:t xml:space="preserve"> INITIAL AND SUBSEQUENT ELECTIONS</w:t>
      </w:r>
    </w:p>
    <w:p>
      <w:pPr>
        <w:spacing w:after="0" w:line="18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Elections</w:t>
      </w:r>
      <w:r>
        <w:rPr>
          <w:rFonts w:ascii="Arial" w:cs="Arial" w:eastAsia="Arial" w:hAnsi="Arial"/>
          <w:sz w:val="19"/>
          <w:szCs w:val="19"/>
          <w:color w:val="auto"/>
        </w:rPr>
        <w:t>.</w:t>
      </w:r>
    </w:p>
    <w:p>
      <w:pPr>
        <w:spacing w:after="0" w:line="179" w:lineRule="exact"/>
        <w:rPr>
          <w:sz w:val="20"/>
          <w:szCs w:val="20"/>
          <w:color w:val="auto"/>
        </w:rPr>
      </w:pPr>
    </w:p>
    <w:p>
      <w:pPr>
        <w:jc w:val="both"/>
        <w:ind w:firstLine="1952"/>
        <w:spacing w:after="0" w:line="218" w:lineRule="auto"/>
        <w:tabs>
          <w:tab w:leader="none" w:pos="2589" w:val="left"/>
        </w:tabs>
        <w:numPr>
          <w:ilvl w:val="0"/>
          <w:numId w:val="296"/>
        </w:numPr>
        <w:rPr>
          <w:rFonts w:ascii="Arial" w:cs="Arial" w:eastAsia="Arial" w:hAnsi="Arial"/>
          <w:sz w:val="21"/>
          <w:szCs w:val="21"/>
          <w:color w:val="auto"/>
        </w:rPr>
      </w:pPr>
      <w:r>
        <w:rPr>
          <w:rFonts w:ascii="Arial" w:cs="Arial" w:eastAsia="Arial" w:hAnsi="Arial"/>
          <w:sz w:val="21"/>
          <w:szCs w:val="21"/>
          <w:u w:val="single" w:color="auto"/>
          <w:color w:val="auto"/>
        </w:rPr>
        <w:t>Initial Elections</w:t>
      </w:r>
      <w:r>
        <w:rPr>
          <w:rFonts w:ascii="Arial" w:cs="Arial" w:eastAsia="Arial" w:hAnsi="Arial"/>
          <w:sz w:val="21"/>
          <w:szCs w:val="21"/>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 3.1(a) and may file an Initial Election before the date on which such individual becomes a New Key Employee. The Compensation of such Outside Director, Director Emeritus or Eligible Employee for a calendar year or other Performance Period shall be reduced in an amount equal to the portion of the Compensation deferred by such Outside Director, Director Emeritus or Eligible Employee for such period of time pursuant to such Outside Director’s, Director Emeritus’s or Eligible Employee’s Initial Election. Such reduction shall be effected on a pro rata basis from each periodic installment payment of such Outside Director’s, Director Emeritus’s or Eligible Employee’s Compensation for such period of time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65" w:lineRule="exact"/>
        <w:rPr>
          <w:rFonts w:ascii="Arial" w:cs="Arial" w:eastAsia="Arial" w:hAnsi="Arial"/>
          <w:sz w:val="21"/>
          <w:szCs w:val="21"/>
          <w:color w:val="auto"/>
        </w:rPr>
      </w:pPr>
    </w:p>
    <w:p>
      <w:pPr>
        <w:jc w:val="both"/>
        <w:ind w:firstLine="1952"/>
        <w:spacing w:after="0" w:line="218" w:lineRule="auto"/>
        <w:tabs>
          <w:tab w:leader="none" w:pos="2587" w:val="left"/>
        </w:tabs>
        <w:numPr>
          <w:ilvl w:val="0"/>
          <w:numId w:val="296"/>
        </w:numPr>
        <w:rPr>
          <w:rFonts w:ascii="Arial" w:cs="Arial" w:eastAsia="Arial" w:hAnsi="Arial"/>
          <w:sz w:val="22"/>
          <w:szCs w:val="22"/>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u w:val="single" w:color="auto"/>
          <w:color w:val="auto"/>
        </w:rPr>
        <w:t>Filing of Initial Election: General</w:t>
      </w:r>
      <w:r>
        <w:rPr>
          <w:rFonts w:ascii="Arial" w:cs="Arial" w:eastAsia="Arial" w:hAnsi="Arial"/>
          <w:sz w:val="22"/>
          <w:szCs w:val="22"/>
          <w:color w:val="auto"/>
        </w:rPr>
        <w:t>. An Initial Election shall be filed on the form provided by the</w:t>
      </w:r>
    </w:p>
    <w:p>
      <w:pPr>
        <w:spacing w:after="0"/>
        <w:rPr>
          <w:sz w:val="20"/>
          <w:szCs w:val="20"/>
          <w:color w:val="auto"/>
        </w:rPr>
      </w:pPr>
      <w:r>
        <w:rPr>
          <w:rFonts w:ascii="Arial" w:cs="Arial" w:eastAsia="Arial" w:hAnsi="Arial"/>
          <w:sz w:val="22"/>
          <w:szCs w:val="22"/>
          <w:color w:val="auto"/>
        </w:rPr>
        <w:t>Administrator for this purpose. Except as provided in Section 3.3:</w:t>
      </w:r>
    </w:p>
    <w:p>
      <w:pPr>
        <w:spacing w:after="0" w:line="161" w:lineRule="exact"/>
        <w:rPr>
          <w:sz w:val="20"/>
          <w:szCs w:val="20"/>
          <w:color w:val="auto"/>
        </w:rPr>
      </w:pPr>
    </w:p>
    <w:p>
      <w:pPr>
        <w:jc w:val="both"/>
        <w:ind w:firstLine="1952"/>
        <w:spacing w:after="0" w:line="223" w:lineRule="auto"/>
        <w:tabs>
          <w:tab w:leader="none" w:pos="2695" w:val="left"/>
        </w:tabs>
        <w:numPr>
          <w:ilvl w:val="0"/>
          <w:numId w:val="297"/>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Compensation other than Signing Bonuses or Performance-Based Compensation unless it is filed with the Administrator on or before December 31 of the calendar year preceding the calendar year to which the Initial Election applies.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643" w:val="left"/>
        </w:tabs>
        <w:numPr>
          <w:ilvl w:val="0"/>
          <w:numId w:val="297"/>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58" w:lineRule="exact"/>
        <w:rPr>
          <w:rFonts w:ascii="Arial" w:cs="Arial" w:eastAsia="Arial" w:hAnsi="Arial"/>
          <w:sz w:val="22"/>
          <w:szCs w:val="22"/>
          <w:color w:val="auto"/>
        </w:rPr>
      </w:pPr>
    </w:p>
    <w:p>
      <w:pPr>
        <w:jc w:val="both"/>
        <w:ind w:firstLine="1952"/>
        <w:spacing w:after="0" w:line="204" w:lineRule="auto"/>
        <w:tabs>
          <w:tab w:leader="none" w:pos="2698" w:val="left"/>
        </w:tabs>
        <w:numPr>
          <w:ilvl w:val="0"/>
          <w:numId w:val="297"/>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a Signing Bonus for an Eligible Employee other than a New Key Employee unless (i)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Election is filed with the Administrator on or before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date of grant of such Signing Bonus and at least one year before such specified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395" w:right="339" w:bottom="1440" w:gutter="0" w:footer="0" w:header="0"/>
        </w:sectPr>
      </w:pPr>
    </w:p>
    <w:bookmarkStart w:id="293" w:name="page294"/>
    <w:bookmarkEnd w:id="293"/>
    <w:p>
      <w:pPr>
        <w:ind w:left="1300"/>
        <w:spacing w:after="0"/>
        <w:tabs>
          <w:tab w:leader="none" w:pos="18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Filing of Initial Election by New Key Employees and New Outside Directors</w:t>
      </w:r>
      <w:r>
        <w:rPr>
          <w:rFonts w:ascii="Arial" w:cs="Arial" w:eastAsia="Arial" w:hAnsi="Arial"/>
          <w:sz w:val="19"/>
          <w:szCs w:val="19"/>
          <w:color w:val="auto"/>
        </w:rPr>
        <w:t>.</w:t>
      </w:r>
    </w:p>
    <w:p>
      <w:pPr>
        <w:spacing w:after="0" w:line="179" w:lineRule="exact"/>
        <w:rPr>
          <w:sz w:val="20"/>
          <w:szCs w:val="20"/>
          <w:color w:val="auto"/>
        </w:rPr>
      </w:pPr>
    </w:p>
    <w:p>
      <w:pPr>
        <w:ind w:left="2600" w:hanging="648"/>
        <w:spacing w:after="0"/>
        <w:tabs>
          <w:tab w:leader="none" w:pos="2600" w:val="left"/>
        </w:tabs>
        <w:numPr>
          <w:ilvl w:val="0"/>
          <w:numId w:val="298"/>
        </w:numPr>
        <w:rPr>
          <w:rFonts w:ascii="Arial" w:cs="Arial" w:eastAsia="Arial" w:hAnsi="Arial"/>
          <w:sz w:val="19"/>
          <w:szCs w:val="19"/>
          <w:color w:val="auto"/>
        </w:rPr>
      </w:pPr>
      <w:r>
        <w:rPr>
          <w:rFonts w:ascii="Arial" w:cs="Arial" w:eastAsia="Arial" w:hAnsi="Arial"/>
          <w:sz w:val="19"/>
          <w:szCs w:val="19"/>
          <w:u w:val="single" w:color="auto"/>
          <w:color w:val="auto"/>
        </w:rPr>
        <w:t>New Key Employees</w:t>
      </w:r>
      <w:r>
        <w:rPr>
          <w:rFonts w:ascii="Arial" w:cs="Arial" w:eastAsia="Arial" w:hAnsi="Arial"/>
          <w:sz w:val="19"/>
          <w:szCs w:val="19"/>
          <w:color w:val="auto"/>
        </w:rPr>
        <w:t>. Notwithstanding Section 3.1 and Section 3.2, a New Key Employee may file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an Initial Election:</w:t>
      </w:r>
    </w:p>
    <w:p>
      <w:pPr>
        <w:spacing w:after="0" w:line="161" w:lineRule="exact"/>
        <w:rPr>
          <w:sz w:val="20"/>
          <w:szCs w:val="20"/>
          <w:color w:val="auto"/>
        </w:rPr>
      </w:pPr>
    </w:p>
    <w:p>
      <w:pPr>
        <w:jc w:val="both"/>
        <w:ind w:firstLine="2600"/>
        <w:spacing w:after="0" w:line="218" w:lineRule="auto"/>
        <w:tabs>
          <w:tab w:leader="none" w:pos="3228"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To defer Compensation payable for services to be performed after the date of such Initial Election. An Initial Election to defer Compensation payable for services to be performed after the date of such Initial Election must be filed with the Administrator within 30 days of the date such New Key Employee first becomes eligible to participate in the Plan.</w:t>
      </w:r>
    </w:p>
    <w:p>
      <w:pPr>
        <w:spacing w:after="0" w:line="160" w:lineRule="exact"/>
        <w:rPr>
          <w:rFonts w:ascii="Arial" w:cs="Arial" w:eastAsia="Arial" w:hAnsi="Arial"/>
          <w:sz w:val="22"/>
          <w:szCs w:val="22"/>
          <w:color w:val="auto"/>
        </w:rPr>
      </w:pPr>
    </w:p>
    <w:p>
      <w:pPr>
        <w:jc w:val="both"/>
        <w:ind w:firstLine="2600"/>
        <w:spacing w:after="0" w:line="223" w:lineRule="auto"/>
        <w:tabs>
          <w:tab w:leader="none" w:pos="3234"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To defer Compensation payable as a Signing Bonus. An Initial Election to defer Compensation payable as a Signing Bonus must be filed with the Administrator before such New Key Employee commences service as an Eligible Employee.</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An Initial Election by such New Key Employee for succeeding calendar years or applicable Performance Periods shall be made in accordance with Section 3.1 and Section 3.2.</w:t>
      </w:r>
    </w:p>
    <w:p>
      <w:pPr>
        <w:spacing w:after="0" w:line="159" w:lineRule="exact"/>
        <w:rPr>
          <w:sz w:val="20"/>
          <w:szCs w:val="20"/>
          <w:color w:val="auto"/>
        </w:rPr>
      </w:pPr>
    </w:p>
    <w:p>
      <w:pPr>
        <w:jc w:val="both"/>
        <w:ind w:firstLine="1952"/>
        <w:spacing w:after="0" w:line="211" w:lineRule="auto"/>
        <w:tabs>
          <w:tab w:leader="none" w:pos="2587"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New Outside Directors</w:t>
      </w:r>
      <w:r>
        <w:rPr>
          <w:rFonts w:ascii="Arial" w:cs="Arial" w:eastAsia="Arial" w:hAnsi="Arial"/>
          <w:sz w:val="22"/>
          <w:szCs w:val="22"/>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6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Years to which Initial Election May Apply</w:t>
      </w:r>
      <w:r>
        <w:rPr>
          <w:rFonts w:ascii="Arial" w:cs="Arial" w:eastAsia="Arial" w:hAnsi="Arial"/>
          <w:sz w:val="19"/>
          <w:szCs w:val="19"/>
          <w:color w:val="auto"/>
        </w:rPr>
        <w:t>.</w:t>
      </w:r>
    </w:p>
    <w:p>
      <w:pPr>
        <w:spacing w:after="0" w:line="179" w:lineRule="exact"/>
        <w:rPr>
          <w:sz w:val="20"/>
          <w:szCs w:val="20"/>
          <w:color w:val="auto"/>
        </w:rPr>
      </w:pPr>
    </w:p>
    <w:p>
      <w:pPr>
        <w:jc w:val="both"/>
        <w:ind w:firstLine="1952"/>
        <w:spacing w:after="0" w:line="224" w:lineRule="auto"/>
        <w:tabs>
          <w:tab w:leader="none" w:pos="2656" w:val="left"/>
        </w:tabs>
        <w:numPr>
          <w:ilvl w:val="0"/>
          <w:numId w:val="301"/>
        </w:numPr>
        <w:rPr>
          <w:rFonts w:ascii="Arial" w:cs="Arial" w:eastAsia="Arial" w:hAnsi="Arial"/>
          <w:sz w:val="21"/>
          <w:szCs w:val="21"/>
          <w:color w:val="auto"/>
        </w:rPr>
      </w:pPr>
      <w:r>
        <w:rPr>
          <w:rFonts w:ascii="Arial" w:cs="Arial" w:eastAsia="Arial" w:hAnsi="Arial"/>
          <w:sz w:val="21"/>
          <w:szCs w:val="21"/>
          <w:u w:val="single" w:color="auto"/>
          <w:color w:val="auto"/>
        </w:rPr>
        <w:t>Separate Initial Elections for Each Calendar Year or Applicable Performance Period</w:t>
      </w:r>
      <w:r>
        <w:rPr>
          <w:rFonts w:ascii="Arial" w:cs="Arial" w:eastAsia="Arial" w:hAnsi="Arial"/>
          <w:sz w:val="21"/>
          <w:szCs w:val="21"/>
          <w:color w:val="auto"/>
        </w:rPr>
        <w:t>. A separate Initial Election may be filed for each calendar year or other applicable Performance Period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or other applicable Performance Period shall not affect such Outside Director’s or Eligible Employee’s right to make an Initial Election for any other calendar year or other applicable Performance Period.</w:t>
      </w:r>
    </w:p>
    <w:p>
      <w:pPr>
        <w:spacing w:after="0" w:line="159" w:lineRule="exact"/>
        <w:rPr>
          <w:rFonts w:ascii="Arial" w:cs="Arial" w:eastAsia="Arial" w:hAnsi="Arial"/>
          <w:sz w:val="21"/>
          <w:szCs w:val="21"/>
          <w:color w:val="auto"/>
        </w:rPr>
      </w:pPr>
    </w:p>
    <w:p>
      <w:pPr>
        <w:jc w:val="both"/>
        <w:ind w:firstLine="1952"/>
        <w:spacing w:after="0" w:line="226" w:lineRule="auto"/>
        <w:tabs>
          <w:tab w:leader="none" w:pos="2587" w:val="left"/>
        </w:tabs>
        <w:numPr>
          <w:ilvl w:val="0"/>
          <w:numId w:val="301"/>
        </w:numPr>
        <w:rPr>
          <w:rFonts w:ascii="Arial" w:cs="Arial" w:eastAsia="Arial" w:hAnsi="Arial"/>
          <w:sz w:val="21"/>
          <w:szCs w:val="21"/>
          <w:color w:val="auto"/>
        </w:rPr>
      </w:pPr>
      <w:r>
        <w:rPr>
          <w:rFonts w:ascii="Arial" w:cs="Arial" w:eastAsia="Arial" w:hAnsi="Arial"/>
          <w:sz w:val="21"/>
          <w:szCs w:val="21"/>
          <w:u w:val="single" w:color="auto"/>
          <w:color w:val="auto"/>
        </w:rPr>
        <w:t>Initial Election of Distribution Date</w:t>
      </w:r>
      <w:r>
        <w:rPr>
          <w:rFonts w:ascii="Arial" w:cs="Arial" w:eastAsia="Arial" w:hAnsi="Arial"/>
          <w:sz w:val="21"/>
          <w:szCs w:val="21"/>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294" w:name="page295"/>
    <w:bookmarkEnd w:id="294"/>
    <w:p>
      <w:pPr>
        <w:ind w:firstLine="2600"/>
        <w:spacing w:after="0" w:line="298" w:lineRule="auto"/>
        <w:tabs>
          <w:tab w:leader="none" w:pos="3228" w:val="left"/>
        </w:tabs>
        <w:numPr>
          <w:ilvl w:val="0"/>
          <w:numId w:val="302"/>
        </w:numPr>
        <w:rPr>
          <w:rFonts w:ascii="Arial" w:cs="Arial" w:eastAsia="Arial" w:hAnsi="Arial"/>
          <w:sz w:val="19"/>
          <w:szCs w:val="19"/>
          <w:color w:val="auto"/>
        </w:rPr>
      </w:pPr>
      <w:r>
        <w:rPr>
          <w:rFonts w:ascii="Arial" w:cs="Arial" w:eastAsia="Arial" w:hAnsi="Arial"/>
          <w:sz w:val="19"/>
          <w:szCs w:val="19"/>
          <w:color w:val="auto"/>
        </w:rPr>
        <w:t>for Initial Elections filed on or before December 31, 2020, January 2nd of the tenth calendar year beginning after the date the compensation subject to the Initial Election would be paid but for the Initial Election; and</w:t>
      </w:r>
    </w:p>
    <w:p>
      <w:pPr>
        <w:spacing w:after="0" w:line="105" w:lineRule="exact"/>
        <w:rPr>
          <w:rFonts w:ascii="Arial" w:cs="Arial" w:eastAsia="Arial" w:hAnsi="Arial"/>
          <w:sz w:val="19"/>
          <w:szCs w:val="19"/>
          <w:color w:val="auto"/>
        </w:rPr>
      </w:pPr>
    </w:p>
    <w:p>
      <w:pPr>
        <w:ind w:firstLine="2600"/>
        <w:spacing w:after="0" w:line="298" w:lineRule="auto"/>
        <w:tabs>
          <w:tab w:leader="none" w:pos="3234" w:val="left"/>
        </w:tabs>
        <w:numPr>
          <w:ilvl w:val="0"/>
          <w:numId w:val="302"/>
        </w:numPr>
        <w:rPr>
          <w:rFonts w:ascii="Arial" w:cs="Arial" w:eastAsia="Arial" w:hAnsi="Arial"/>
          <w:sz w:val="19"/>
          <w:szCs w:val="19"/>
          <w:color w:val="auto"/>
        </w:rPr>
      </w:pPr>
      <w:r>
        <w:rPr>
          <w:rFonts w:ascii="Arial" w:cs="Arial" w:eastAsia="Arial" w:hAnsi="Arial"/>
          <w:sz w:val="19"/>
          <w:szCs w:val="19"/>
          <w:color w:val="auto"/>
        </w:rPr>
        <w:t>for Initial Elections filed after December 31, 2020, January 2nd of the seventh calendar year beginning after the date the compensation subject to the Initial Election would be paid but for the Initial Election.</w:t>
      </w:r>
    </w:p>
    <w:p>
      <w:pPr>
        <w:spacing w:after="0" w:line="105"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Further, each Outside Director, Director Emeritus or Eligible Employee may select with each Initial Election the manner of distribution in accordance with Article 4.</w:t>
      </w:r>
    </w:p>
    <w:p>
      <w:pPr>
        <w:spacing w:after="0" w:line="159"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Subsequent Elections</w:t>
      </w:r>
      <w:r>
        <w:rPr>
          <w:rFonts w:ascii="Arial" w:cs="Arial" w:eastAsia="Arial" w:hAnsi="Arial"/>
          <w:sz w:val="22"/>
          <w:szCs w:val="22"/>
          <w:color w:val="auto"/>
        </w:rPr>
        <w:t>. No Subsequent Election shall be effective until 12 months after the date on which such Subsequent Election is filed.</w:t>
      </w:r>
    </w:p>
    <w:p>
      <w:pPr>
        <w:spacing w:after="0" w:line="159" w:lineRule="exact"/>
        <w:rPr>
          <w:sz w:val="20"/>
          <w:szCs w:val="20"/>
          <w:color w:val="auto"/>
        </w:rPr>
      </w:pPr>
    </w:p>
    <w:p>
      <w:pPr>
        <w:jc w:val="both"/>
        <w:ind w:firstLine="1952"/>
        <w:spacing w:after="0" w:line="257" w:lineRule="auto"/>
        <w:tabs>
          <w:tab w:leader="none" w:pos="2589" w:val="left"/>
        </w:tabs>
        <w:numPr>
          <w:ilvl w:val="1"/>
          <w:numId w:val="303"/>
        </w:numPr>
        <w:rPr>
          <w:rFonts w:ascii="Arial" w:cs="Arial" w:eastAsia="Arial" w:hAnsi="Arial"/>
          <w:sz w:val="19"/>
          <w:szCs w:val="19"/>
          <w:color w:val="auto"/>
        </w:rPr>
      </w:pPr>
      <w:r>
        <w:rPr>
          <w:rFonts w:ascii="Arial" w:cs="Arial" w:eastAsia="Arial" w:hAnsi="Arial"/>
          <w:sz w:val="19"/>
          <w:szCs w:val="19"/>
          <w:u w:val="single" w:color="auto"/>
          <w:color w:val="auto"/>
        </w:rPr>
        <w:t>Active Participants, Outside Directors, and Section 16 Officers</w:t>
      </w:r>
      <w:r>
        <w:rPr>
          <w:rFonts w:ascii="Arial" w:cs="Arial" w:eastAsia="Arial" w:hAnsi="Arial"/>
          <w:sz w:val="19"/>
          <w:szCs w:val="19"/>
          <w:color w:val="auto"/>
        </w:rPr>
        <w:t>. Each Active Participant, and each Participant designated by the Administrator who has served as an Outside Director or Section 16 Officer at any time on or after January 1, 2019 (whether or not such individual is an Active Participant), who has filed an Initial Election, or who has filed a Subsequent Election, may elect to defer the time of payment of any part or all of such Participant’s Account--</w:t>
      </w:r>
    </w:p>
    <w:p>
      <w:pPr>
        <w:spacing w:after="0" w:line="144" w:lineRule="exact"/>
        <w:rPr>
          <w:rFonts w:ascii="Arial" w:cs="Arial" w:eastAsia="Arial" w:hAnsi="Arial"/>
          <w:sz w:val="19"/>
          <w:szCs w:val="19"/>
          <w:color w:val="auto"/>
        </w:rPr>
      </w:pPr>
    </w:p>
    <w:p>
      <w:pPr>
        <w:ind w:left="3240" w:hanging="640"/>
        <w:spacing w:after="0"/>
        <w:tabs>
          <w:tab w:leader="none" w:pos="3240" w:val="left"/>
        </w:tabs>
        <w:numPr>
          <w:ilvl w:val="2"/>
          <w:numId w:val="303"/>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 for a minimum</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five (5) and a maximum of ten (10) additional years from the previously-elected payment date;</w:t>
      </w:r>
    </w:p>
    <w:p>
      <w:pPr>
        <w:spacing w:after="0" w:line="161" w:lineRule="exact"/>
        <w:rPr>
          <w:rFonts w:ascii="Arial" w:cs="Arial" w:eastAsia="Arial" w:hAnsi="Arial"/>
          <w:sz w:val="19"/>
          <w:szCs w:val="19"/>
          <w:color w:val="auto"/>
        </w:rPr>
      </w:pPr>
    </w:p>
    <w:p>
      <w:pPr>
        <w:ind w:left="3240" w:hanging="640"/>
        <w:spacing w:after="0"/>
        <w:tabs>
          <w:tab w:leader="none" w:pos="3240" w:val="left"/>
        </w:tabs>
        <w:numPr>
          <w:ilvl w:val="2"/>
          <w:numId w:val="303"/>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 five</w:t>
      </w:r>
    </w:p>
    <w:p>
      <w:pPr>
        <w:spacing w:after="0" w:line="15" w:lineRule="exact"/>
        <w:rPr>
          <w:rFonts w:ascii="Arial" w:cs="Arial" w:eastAsia="Arial" w:hAnsi="Arial"/>
          <w:sz w:val="19"/>
          <w:szCs w:val="19"/>
          <w:color w:val="auto"/>
        </w:rPr>
      </w:pPr>
    </w:p>
    <w:p>
      <w:pPr>
        <w:ind w:left="320" w:hanging="312"/>
        <w:spacing w:after="0"/>
        <w:tabs>
          <w:tab w:leader="none" w:pos="32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and a maximum of seven (7) additional years from the previously-elected payment date;</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by filing a Subsequent Election with the Administrator at least 12 months before the lump-sum distribution or initial installment payment would otherwise be made. The number of Subsequent Elections under this Section 3.5(a) shall not be limited. The Administrator may designate the specific Other Investment Fund or Funds to which the Account of any individual who has terminated service to the Company shall be deemed invested.</w:t>
      </w:r>
    </w:p>
    <w:p>
      <w:pPr>
        <w:spacing w:after="0" w:line="161" w:lineRule="exact"/>
        <w:rPr>
          <w:sz w:val="20"/>
          <w:szCs w:val="20"/>
          <w:color w:val="auto"/>
        </w:rPr>
      </w:pPr>
    </w:p>
    <w:p>
      <w:pPr>
        <w:jc w:val="both"/>
        <w:ind w:firstLine="1952"/>
        <w:spacing w:after="0" w:line="223" w:lineRule="auto"/>
        <w:tabs>
          <w:tab w:leader="none" w:pos="2587" w:val="left"/>
        </w:tabs>
        <w:numPr>
          <w:ilvl w:val="1"/>
          <w:numId w:val="305"/>
        </w:numPr>
        <w:rPr>
          <w:rFonts w:ascii="Arial" w:cs="Arial" w:eastAsia="Arial" w:hAnsi="Arial"/>
          <w:sz w:val="22"/>
          <w:szCs w:val="22"/>
          <w:color w:val="auto"/>
        </w:rPr>
      </w:pPr>
      <w:r>
        <w:rPr>
          <w:rFonts w:ascii="Arial" w:cs="Arial" w:eastAsia="Arial" w:hAnsi="Arial"/>
          <w:sz w:val="22"/>
          <w:szCs w:val="22"/>
          <w:u w:val="single" w:color="auto"/>
          <w:color w:val="auto"/>
        </w:rPr>
        <w:t>Inactive Participants</w:t>
      </w:r>
      <w:r>
        <w:rPr>
          <w:rFonts w:ascii="Arial" w:cs="Arial" w:eastAsia="Arial" w:hAnsi="Arial"/>
          <w:sz w:val="22"/>
          <w:szCs w:val="22"/>
          <w:color w:val="auto"/>
        </w:rPr>
        <w:t>. Except as otherwise provided in Section 3.5(a), the Committee may, in its sole and absolute discretion, permit an Inactive Participant to make a Subsequent Election defer the time of payment of any part or all of such Inactive Participant’s Account—</w:t>
      </w:r>
    </w:p>
    <w:p>
      <w:pPr>
        <w:spacing w:after="0" w:line="158" w:lineRule="exact"/>
        <w:rPr>
          <w:rFonts w:ascii="Arial" w:cs="Arial" w:eastAsia="Arial" w:hAnsi="Arial"/>
          <w:sz w:val="22"/>
          <w:szCs w:val="22"/>
          <w:color w:val="auto"/>
        </w:rPr>
      </w:pPr>
    </w:p>
    <w:p>
      <w:pPr>
        <w:ind w:firstLine="2600"/>
        <w:spacing w:after="0" w:line="247" w:lineRule="auto"/>
        <w:tabs>
          <w:tab w:leader="none" w:pos="3228" w:val="left"/>
        </w:tabs>
        <w:numPr>
          <w:ilvl w:val="2"/>
          <w:numId w:val="305"/>
        </w:numPr>
        <w:rPr>
          <w:rFonts w:ascii="Arial" w:cs="Arial" w:eastAsia="Arial" w:hAnsi="Arial"/>
          <w:sz w:val="21"/>
          <w:szCs w:val="21"/>
          <w:color w:val="auto"/>
        </w:rPr>
      </w:pPr>
      <w:r>
        <w:rPr>
          <w:rFonts w:ascii="Arial" w:cs="Arial" w:eastAsia="Arial" w:hAnsi="Arial"/>
          <w:sz w:val="21"/>
          <w:szCs w:val="21"/>
          <w:color w:val="auto"/>
        </w:rPr>
        <w:t>With respect to Subsequent Elections filed on or before December 31, 2020, for a minimum of five (5) years and a maximum of ten (10) additional years from the previously-elected payment date; and</w:t>
      </w:r>
    </w:p>
    <w:p>
      <w:pPr>
        <w:spacing w:after="0" w:line="150" w:lineRule="exact"/>
        <w:rPr>
          <w:rFonts w:ascii="Arial" w:cs="Arial" w:eastAsia="Arial" w:hAnsi="Arial"/>
          <w:sz w:val="21"/>
          <w:szCs w:val="21"/>
          <w:color w:val="auto"/>
        </w:rPr>
      </w:pPr>
    </w:p>
    <w:p>
      <w:pPr>
        <w:ind w:left="3240" w:hanging="640"/>
        <w:spacing w:after="0"/>
        <w:tabs>
          <w:tab w:leader="none" w:pos="3240" w:val="left"/>
        </w:tabs>
        <w:numPr>
          <w:ilvl w:val="2"/>
          <w:numId w:val="305"/>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 five</w:t>
      </w:r>
    </w:p>
    <w:p>
      <w:pPr>
        <w:spacing w:after="0" w:line="15" w:lineRule="exact"/>
        <w:rPr>
          <w:rFonts w:ascii="Arial" w:cs="Arial" w:eastAsia="Arial" w:hAnsi="Arial"/>
          <w:sz w:val="19"/>
          <w:szCs w:val="19"/>
          <w:color w:val="auto"/>
        </w:rPr>
      </w:pPr>
    </w:p>
    <w:p>
      <w:pPr>
        <w:ind w:left="320" w:hanging="312"/>
        <w:spacing w:after="0"/>
        <w:tabs>
          <w:tab w:leader="none" w:pos="32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years and a maximum of seven (7) additional years from the previously-elected payment date,</w:t>
      </w:r>
    </w:p>
    <w:p>
      <w:pPr>
        <w:spacing w:after="0" w:line="161"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by filing a Subsequent Election with the Administrator at least 12 months before the lump-sum distribution or initial installment payment would otherwise be made. The number of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295" w:name="page296"/>
    <w:bookmarkEnd w:id="295"/>
    <w:p>
      <w:pPr>
        <w:spacing w:after="0"/>
        <w:rPr>
          <w:sz w:val="20"/>
          <w:szCs w:val="20"/>
          <w:color w:val="auto"/>
        </w:rPr>
      </w:pPr>
      <w:r>
        <w:rPr>
          <w:rFonts w:ascii="Arial" w:cs="Arial" w:eastAsia="Arial" w:hAnsi="Arial"/>
          <w:sz w:val="22"/>
          <w:szCs w:val="22"/>
          <w:color w:val="auto"/>
        </w:rPr>
        <w:t>Elections under this Section 3.5(b) shall be determined by the Committee in its sole and absolute discretion.</w:t>
      </w:r>
    </w:p>
    <w:p>
      <w:pPr>
        <w:spacing w:after="0" w:line="179" w:lineRule="exact"/>
        <w:rPr>
          <w:sz w:val="20"/>
          <w:szCs w:val="20"/>
          <w:color w:val="auto"/>
        </w:rPr>
      </w:pPr>
    </w:p>
    <w:p>
      <w:pPr>
        <w:jc w:val="both"/>
        <w:ind w:firstLine="1952"/>
        <w:spacing w:after="0" w:line="257" w:lineRule="auto"/>
        <w:tabs>
          <w:tab w:leader="none" w:pos="2589" w:val="left"/>
        </w:tabs>
        <w:numPr>
          <w:ilvl w:val="0"/>
          <w:numId w:val="307"/>
        </w:numPr>
        <w:rPr>
          <w:rFonts w:ascii="Arial" w:cs="Arial" w:eastAsia="Arial" w:hAnsi="Arial"/>
          <w:sz w:val="19"/>
          <w:szCs w:val="19"/>
          <w:color w:val="auto"/>
        </w:rPr>
      </w:pPr>
      <w:r>
        <w:rPr>
          <w:rFonts w:ascii="Arial" w:cs="Arial" w:eastAsia="Arial" w:hAnsi="Arial"/>
          <w:sz w:val="19"/>
          <w:szCs w:val="19"/>
          <w:u w:val="single" w:color="auto"/>
          <w:color w:val="auto"/>
        </w:rPr>
        <w:t>Surviving Spouses – Subsequent Election</w:t>
      </w:r>
      <w:r>
        <w:rPr>
          <w:rFonts w:ascii="Arial" w:cs="Arial" w:eastAsia="Arial" w:hAnsi="Arial"/>
          <w:sz w:val="19"/>
          <w:szCs w:val="19"/>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w:t>
      </w:r>
    </w:p>
    <w:p>
      <w:pPr>
        <w:spacing w:after="0" w:line="144" w:lineRule="exact"/>
        <w:rPr>
          <w:rFonts w:ascii="Arial" w:cs="Arial" w:eastAsia="Arial" w:hAnsi="Arial"/>
          <w:sz w:val="19"/>
          <w:szCs w:val="19"/>
          <w:color w:val="auto"/>
        </w:rPr>
      </w:pPr>
    </w:p>
    <w:p>
      <w:pPr>
        <w:ind w:right="20" w:firstLine="2600"/>
        <w:spacing w:after="0" w:line="232" w:lineRule="auto"/>
        <w:tabs>
          <w:tab w:leader="none" w:pos="3228" w:val="left"/>
        </w:tabs>
        <w:numPr>
          <w:ilvl w:val="1"/>
          <w:numId w:val="307"/>
        </w:numPr>
        <w:rPr>
          <w:rFonts w:ascii="Arial" w:cs="Arial" w:eastAsia="Arial" w:hAnsi="Arial"/>
          <w:sz w:val="22"/>
          <w:szCs w:val="22"/>
          <w:color w:val="auto"/>
        </w:rPr>
      </w:pPr>
      <w:r>
        <w:rPr>
          <w:rFonts w:ascii="Arial" w:cs="Arial" w:eastAsia="Arial" w:hAnsi="Arial"/>
          <w:sz w:val="22"/>
          <w:szCs w:val="22"/>
          <w:color w:val="auto"/>
        </w:rPr>
        <w:t>With respect to Subsequent Elections filed on or before December 31, 2020, shall be no less than five (5) years nor more than ten (10) years from the previously-elected payment date;</w:t>
      </w:r>
    </w:p>
    <w:p>
      <w:pPr>
        <w:spacing w:after="0" w:line="158" w:lineRule="exact"/>
        <w:rPr>
          <w:rFonts w:ascii="Arial" w:cs="Arial" w:eastAsia="Arial" w:hAnsi="Arial"/>
          <w:sz w:val="22"/>
          <w:szCs w:val="22"/>
          <w:color w:val="auto"/>
        </w:rPr>
      </w:pPr>
    </w:p>
    <w:p>
      <w:pPr>
        <w:ind w:right="20" w:firstLine="2600"/>
        <w:spacing w:after="0" w:line="232" w:lineRule="auto"/>
        <w:tabs>
          <w:tab w:leader="none" w:pos="3234" w:val="left"/>
        </w:tabs>
        <w:numPr>
          <w:ilvl w:val="1"/>
          <w:numId w:val="307"/>
        </w:numPr>
        <w:rPr>
          <w:rFonts w:ascii="Arial" w:cs="Arial" w:eastAsia="Arial" w:hAnsi="Arial"/>
          <w:sz w:val="22"/>
          <w:szCs w:val="22"/>
          <w:color w:val="auto"/>
        </w:rPr>
      </w:pPr>
      <w:r>
        <w:rPr>
          <w:rFonts w:ascii="Arial" w:cs="Arial" w:eastAsia="Arial" w:hAnsi="Arial"/>
          <w:sz w:val="22"/>
          <w:szCs w:val="22"/>
          <w:color w:val="auto"/>
        </w:rPr>
        <w:t>With respect to Subsequent Elections filed after December 31, 2020, shall be no less than five (5) years nor more than seven (7) years from the previously-elected payment date; or</w:t>
      </w:r>
    </w:p>
    <w:p>
      <w:pPr>
        <w:spacing w:after="0" w:line="158" w:lineRule="exact"/>
        <w:rPr>
          <w:rFonts w:ascii="Arial" w:cs="Arial" w:eastAsia="Arial" w:hAnsi="Arial"/>
          <w:sz w:val="22"/>
          <w:szCs w:val="22"/>
          <w:color w:val="auto"/>
        </w:rPr>
      </w:pPr>
    </w:p>
    <w:p>
      <w:pPr>
        <w:ind w:right="20" w:firstLine="2600"/>
        <w:spacing w:after="0" w:line="232" w:lineRule="auto"/>
        <w:tabs>
          <w:tab w:leader="none" w:pos="3240" w:val="left"/>
        </w:tabs>
        <w:numPr>
          <w:ilvl w:val="1"/>
          <w:numId w:val="307"/>
        </w:numPr>
        <w:rPr>
          <w:rFonts w:ascii="Arial" w:cs="Arial" w:eastAsia="Arial" w:hAnsi="Arial"/>
          <w:sz w:val="22"/>
          <w:szCs w:val="22"/>
          <w:color w:val="auto"/>
        </w:rPr>
      </w:pPr>
      <w:r>
        <w:rPr>
          <w:rFonts w:ascii="Arial" w:cs="Arial" w:eastAsia="Arial" w:hAnsi="Arial"/>
          <w:sz w:val="22"/>
          <w:szCs w:val="22"/>
          <w:color w:val="auto"/>
        </w:rPr>
        <w:t>With respect to Subsequent Elections filed on or before December 31, 2020, such Surviving Spouse may elect to defer payment until such Surviving Spouse’s death.</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59" w:lineRule="exact"/>
        <w:rPr>
          <w:sz w:val="20"/>
          <w:szCs w:val="20"/>
          <w:color w:val="auto"/>
        </w:rPr>
      </w:pPr>
    </w:p>
    <w:p>
      <w:pPr>
        <w:jc w:val="both"/>
        <w:ind w:firstLine="1952"/>
        <w:spacing w:after="0" w:line="216" w:lineRule="auto"/>
        <w:tabs>
          <w:tab w:leader="none" w:pos="2587" w:val="left"/>
        </w:tabs>
        <w:numPr>
          <w:ilvl w:val="0"/>
          <w:numId w:val="308"/>
        </w:numPr>
        <w:rPr>
          <w:rFonts w:ascii="Arial" w:cs="Arial" w:eastAsia="Arial" w:hAnsi="Arial"/>
          <w:sz w:val="22"/>
          <w:szCs w:val="22"/>
          <w:color w:val="auto"/>
        </w:rPr>
      </w:pPr>
      <w:r>
        <w:rPr>
          <w:rFonts w:ascii="Arial" w:cs="Arial" w:eastAsia="Arial" w:hAnsi="Arial"/>
          <w:sz w:val="22"/>
          <w:szCs w:val="22"/>
          <w:u w:val="single" w:color="auto"/>
          <w:color w:val="auto"/>
        </w:rPr>
        <w:t>Beneficiary of a Deceased Participant Other Than a Surviving Spouse – Subsequent Election</w:t>
      </w:r>
      <w:r>
        <w:rPr>
          <w:rFonts w:ascii="Arial" w:cs="Arial" w:eastAsia="Arial" w:hAnsi="Arial"/>
          <w:sz w:val="22"/>
          <w:szCs w:val="22"/>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w:t>
      </w:r>
    </w:p>
    <w:p>
      <w:pPr>
        <w:spacing w:after="0" w:line="157" w:lineRule="exact"/>
        <w:rPr>
          <w:rFonts w:ascii="Arial" w:cs="Arial" w:eastAsia="Arial" w:hAnsi="Arial"/>
          <w:sz w:val="22"/>
          <w:szCs w:val="22"/>
          <w:color w:val="auto"/>
        </w:rPr>
      </w:pPr>
    </w:p>
    <w:p>
      <w:pPr>
        <w:ind w:left="3240" w:hanging="640"/>
        <w:spacing w:after="0"/>
        <w:tabs>
          <w:tab w:leader="none" w:pos="3240" w:val="left"/>
        </w:tabs>
        <w:numPr>
          <w:ilvl w:val="1"/>
          <w:numId w:val="308"/>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 shall be no less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than five (5) years nor more than ten (10) years from the previously-elected payment date; and</w:t>
      </w:r>
    </w:p>
    <w:p>
      <w:pPr>
        <w:spacing w:after="0" w:line="161" w:lineRule="exact"/>
        <w:rPr>
          <w:rFonts w:ascii="Arial" w:cs="Arial" w:eastAsia="Arial" w:hAnsi="Arial"/>
          <w:sz w:val="19"/>
          <w:szCs w:val="19"/>
          <w:color w:val="auto"/>
        </w:rPr>
      </w:pPr>
    </w:p>
    <w:p>
      <w:pPr>
        <w:ind w:right="20" w:firstLine="2600"/>
        <w:spacing w:after="0" w:line="232" w:lineRule="auto"/>
        <w:tabs>
          <w:tab w:leader="none" w:pos="3234" w:val="left"/>
        </w:tabs>
        <w:numPr>
          <w:ilvl w:val="1"/>
          <w:numId w:val="308"/>
        </w:numPr>
        <w:rPr>
          <w:rFonts w:ascii="Arial" w:cs="Arial" w:eastAsia="Arial" w:hAnsi="Arial"/>
          <w:sz w:val="22"/>
          <w:szCs w:val="22"/>
          <w:color w:val="auto"/>
        </w:rPr>
      </w:pPr>
      <w:r>
        <w:rPr>
          <w:rFonts w:ascii="Arial" w:cs="Arial" w:eastAsia="Arial" w:hAnsi="Arial"/>
          <w:sz w:val="22"/>
          <w:szCs w:val="22"/>
          <w:color w:val="auto"/>
        </w:rPr>
        <w:t>With respect to Subsequent Elections filed after December 31, 2020 shall be no less than five (5) years nor more than seven (7) years from the previously-elected payment date.</w:t>
      </w:r>
    </w:p>
    <w:p>
      <w:pPr>
        <w:spacing w:after="0" w:line="159"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159" w:lineRule="exact"/>
        <w:rPr>
          <w:sz w:val="20"/>
          <w:szCs w:val="20"/>
          <w:color w:val="auto"/>
        </w:rPr>
      </w:pPr>
    </w:p>
    <w:p>
      <w:pPr>
        <w:jc w:val="both"/>
        <w:ind w:firstLine="1952"/>
        <w:spacing w:after="0" w:line="223" w:lineRule="auto"/>
        <w:tabs>
          <w:tab w:leader="none" w:pos="2589" w:val="left"/>
        </w:tabs>
        <w:numPr>
          <w:ilvl w:val="0"/>
          <w:numId w:val="309"/>
        </w:numPr>
        <w:rPr>
          <w:rFonts w:ascii="Arial" w:cs="Arial" w:eastAsia="Arial" w:hAnsi="Arial"/>
          <w:sz w:val="22"/>
          <w:szCs w:val="22"/>
          <w:color w:val="auto"/>
        </w:rPr>
      </w:pPr>
      <w:r>
        <w:rPr>
          <w:rFonts w:ascii="Arial" w:cs="Arial" w:eastAsia="Arial" w:hAnsi="Arial"/>
          <w:sz w:val="22"/>
          <w:szCs w:val="22"/>
          <w:u w:val="single" w:color="auto"/>
          <w:color w:val="auto"/>
        </w:rPr>
        <w:t>Retired Participants and Disabled Participants</w:t>
      </w:r>
      <w:r>
        <w:rPr>
          <w:rFonts w:ascii="Arial" w:cs="Arial" w:eastAsia="Arial" w:hAnsi="Arial"/>
          <w:sz w:val="22"/>
          <w:szCs w:val="22"/>
          <w:color w:val="auto"/>
        </w:rPr>
        <w:t>. The Committee may, in its sole and absolute discretion, permit a Retired Participant or a Disabled Participant to make a Subsequent Election to defer the time of payment of any part or all of such Retired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01" w:right="339" w:bottom="1440" w:gutter="0" w:footer="0" w:header="0"/>
        </w:sectPr>
      </w:pPr>
    </w:p>
    <w:bookmarkStart w:id="296" w:name="page297"/>
    <w:bookmarkEnd w:id="296"/>
    <w:p>
      <w:pPr>
        <w:spacing w:after="0" w:line="232" w:lineRule="auto"/>
        <w:rPr>
          <w:sz w:val="20"/>
          <w:szCs w:val="20"/>
          <w:color w:val="auto"/>
        </w:rPr>
      </w:pPr>
      <w:r>
        <w:rPr>
          <w:rFonts w:ascii="Arial" w:cs="Arial" w:eastAsia="Arial" w:hAnsi="Arial"/>
          <w:sz w:val="22"/>
          <w:szCs w:val="22"/>
          <w:color w:val="auto"/>
        </w:rPr>
        <w:t>Disabled Participant’s Account that would not otherwise become payable within twelve (12) months of such Subsequent Election —</w:t>
      </w:r>
    </w:p>
    <w:p>
      <w:pPr>
        <w:spacing w:after="0" w:line="159" w:lineRule="exact"/>
        <w:rPr>
          <w:sz w:val="20"/>
          <w:szCs w:val="20"/>
          <w:color w:val="auto"/>
        </w:rPr>
      </w:pPr>
    </w:p>
    <w:p>
      <w:pPr>
        <w:ind w:firstLine="2600"/>
        <w:spacing w:after="0" w:line="247" w:lineRule="auto"/>
        <w:tabs>
          <w:tab w:leader="none" w:pos="3228" w:val="left"/>
        </w:tabs>
        <w:numPr>
          <w:ilvl w:val="1"/>
          <w:numId w:val="310"/>
        </w:numPr>
        <w:rPr>
          <w:rFonts w:ascii="Arial" w:cs="Arial" w:eastAsia="Arial" w:hAnsi="Arial"/>
          <w:sz w:val="21"/>
          <w:szCs w:val="21"/>
          <w:color w:val="auto"/>
        </w:rPr>
      </w:pPr>
      <w:r>
        <w:rPr>
          <w:rFonts w:ascii="Arial" w:cs="Arial" w:eastAsia="Arial" w:hAnsi="Arial"/>
          <w:sz w:val="21"/>
          <w:szCs w:val="21"/>
          <w:color w:val="auto"/>
        </w:rPr>
        <w:t>With respect to Subsequent Elections filed on or before December 31, 2020, for a minimum of five (5) years and a maximum of ten (10) additional years from the previously-elected payment date; and</w:t>
      </w:r>
    </w:p>
    <w:p>
      <w:pPr>
        <w:spacing w:after="0" w:line="150" w:lineRule="exact"/>
        <w:rPr>
          <w:rFonts w:ascii="Arial" w:cs="Arial" w:eastAsia="Arial" w:hAnsi="Arial"/>
          <w:sz w:val="21"/>
          <w:szCs w:val="21"/>
          <w:color w:val="auto"/>
        </w:rPr>
      </w:pPr>
    </w:p>
    <w:p>
      <w:pPr>
        <w:ind w:left="3240" w:hanging="640"/>
        <w:spacing w:after="0"/>
        <w:tabs>
          <w:tab w:leader="none" w:pos="3240" w:val="left"/>
        </w:tabs>
        <w:numPr>
          <w:ilvl w:val="1"/>
          <w:numId w:val="310"/>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 five</w:t>
      </w:r>
    </w:p>
    <w:p>
      <w:pPr>
        <w:spacing w:after="0" w:line="15" w:lineRule="exact"/>
        <w:rPr>
          <w:rFonts w:ascii="Arial" w:cs="Arial" w:eastAsia="Arial" w:hAnsi="Arial"/>
          <w:sz w:val="19"/>
          <w:szCs w:val="19"/>
          <w:color w:val="auto"/>
        </w:rPr>
      </w:pPr>
    </w:p>
    <w:p>
      <w:pPr>
        <w:ind w:left="320" w:hanging="312"/>
        <w:spacing w:after="0"/>
        <w:tabs>
          <w:tab w:leader="none" w:pos="32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years and a maximum of seven (7) additional years from the previously-elected payment date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32" w:lineRule="exact"/>
        <w:rPr>
          <w:sz w:val="20"/>
          <w:szCs w:val="20"/>
          <w:color w:val="auto"/>
        </w:rPr>
      </w:pPr>
    </w:p>
    <w:p>
      <w:pPr>
        <w:jc w:val="both"/>
        <w:ind w:firstLine="1952"/>
        <w:spacing w:after="0" w:line="218" w:lineRule="auto"/>
        <w:tabs>
          <w:tab w:leader="none" w:pos="2592" w:val="left"/>
        </w:tabs>
        <w:numPr>
          <w:ilvl w:val="0"/>
          <w:numId w:val="312"/>
        </w:numPr>
        <w:rPr>
          <w:rFonts w:ascii="Arial" w:cs="Arial" w:eastAsia="Arial" w:hAnsi="Arial"/>
          <w:sz w:val="22"/>
          <w:szCs w:val="22"/>
          <w:color w:val="auto"/>
        </w:rPr>
      </w:pPr>
      <w:r>
        <w:rPr>
          <w:rFonts w:ascii="Arial" w:cs="Arial" w:eastAsia="Arial" w:hAnsi="Arial"/>
          <w:sz w:val="22"/>
          <w:szCs w:val="22"/>
          <w:u w:val="single" w:color="auto"/>
          <w:color w:val="auto"/>
        </w:rPr>
        <w:t>Most Recently Filed Initial Election or Subsequent Election Controlling</w:t>
      </w:r>
      <w:r>
        <w:rPr>
          <w:rFonts w:ascii="Arial" w:cs="Arial" w:eastAsia="Arial" w:hAnsi="Arial"/>
          <w:sz w:val="22"/>
          <w:szCs w:val="22"/>
          <w:color w:val="auto"/>
        </w:rPr>
        <w:t>. Except as otherwise specifically provided by the Plan, no distribution of the amounts deferred by a Participant shall be made before the earlier of the Participant’s death or the payment date designated by the Participant or Beneficiary on the most recently filed Initial Election or Subsequent Election with respect to each deferred amount.</w:t>
      </w:r>
    </w:p>
    <w:p>
      <w:pPr>
        <w:spacing w:after="0" w:line="161"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Discretion to Provide for Distribution in Full Upon or Following a Change of Control</w:t>
      </w:r>
      <w:r>
        <w:rPr>
          <w:rFonts w:ascii="Arial" w:cs="Arial" w:eastAsia="Arial" w:hAnsi="Arial"/>
          <w:sz w:val="21"/>
          <w:szCs w:val="21"/>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Withholding and Payment of Death Taxes</w:t>
      </w:r>
      <w:r>
        <w:rPr>
          <w:rFonts w:ascii="Arial" w:cs="Arial" w:eastAsia="Arial" w:hAnsi="Arial"/>
          <w:sz w:val="19"/>
          <w:szCs w:val="19"/>
          <w:color w:val="auto"/>
        </w:rPr>
        <w:t>.</w:t>
      </w:r>
    </w:p>
    <w:p>
      <w:pPr>
        <w:spacing w:after="0" w:line="179" w:lineRule="exact"/>
        <w:rPr>
          <w:sz w:val="20"/>
          <w:szCs w:val="20"/>
          <w:color w:val="auto"/>
        </w:rPr>
      </w:pPr>
    </w:p>
    <w:p>
      <w:pPr>
        <w:jc w:val="both"/>
        <w:ind w:firstLine="1952"/>
        <w:spacing w:after="0" w:line="216" w:lineRule="auto"/>
        <w:tabs>
          <w:tab w:leader="none" w:pos="2589" w:val="left"/>
        </w:tabs>
        <w:numPr>
          <w:ilvl w:val="0"/>
          <w:numId w:val="313"/>
        </w:numPr>
        <w:rPr>
          <w:rFonts w:ascii="Arial" w:cs="Arial" w:eastAsia="Arial" w:hAnsi="Arial"/>
          <w:sz w:val="22"/>
          <w:szCs w:val="22"/>
          <w:color w:val="auto"/>
        </w:rPr>
      </w:pPr>
      <w:r>
        <w:rPr>
          <w:rFonts w:ascii="Arial" w:cs="Arial" w:eastAsia="Arial" w:hAnsi="Arial"/>
          <w:sz w:val="22"/>
          <w:szCs w:val="22"/>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57" w:lineRule="exact"/>
        <w:rPr>
          <w:rFonts w:ascii="Arial" w:cs="Arial" w:eastAsia="Arial" w:hAnsi="Arial"/>
          <w:sz w:val="22"/>
          <w:szCs w:val="22"/>
          <w:color w:val="auto"/>
        </w:rPr>
      </w:pPr>
    </w:p>
    <w:p>
      <w:pPr>
        <w:ind w:firstLine="1952"/>
        <w:spacing w:after="0" w:line="232" w:lineRule="auto"/>
        <w:tabs>
          <w:tab w:leader="none" w:pos="2587" w:val="left"/>
        </w:tabs>
        <w:numPr>
          <w:ilvl w:val="0"/>
          <w:numId w:val="313"/>
        </w:numPr>
        <w:rPr>
          <w:rFonts w:ascii="Arial" w:cs="Arial" w:eastAsia="Arial" w:hAnsi="Arial"/>
          <w:sz w:val="22"/>
          <w:szCs w:val="22"/>
          <w:color w:val="auto"/>
        </w:rPr>
      </w:pPr>
      <w:r>
        <w:rPr>
          <w:rFonts w:ascii="Arial" w:cs="Arial" w:eastAsia="Arial" w:hAnsi="Arial"/>
          <w:sz w:val="22"/>
          <w:szCs w:val="22"/>
          <w:color w:val="auto"/>
        </w:rPr>
        <w:t>Unless the Decedent affirmatively has elected, pursuant to Section 3.7(a), that the terms of this Section 3.7(b) not apply, but only to the extent permitted under Section 409A:</w:t>
      </w:r>
    </w:p>
    <w:p>
      <w:pPr>
        <w:spacing w:after="0" w:line="158" w:lineRule="exact"/>
        <w:rPr>
          <w:rFonts w:ascii="Arial" w:cs="Arial" w:eastAsia="Arial" w:hAnsi="Arial"/>
          <w:sz w:val="22"/>
          <w:szCs w:val="22"/>
          <w:color w:val="auto"/>
        </w:rPr>
      </w:pPr>
    </w:p>
    <w:p>
      <w:pPr>
        <w:jc w:val="both"/>
        <w:ind w:firstLine="2600"/>
        <w:spacing w:after="0" w:line="223" w:lineRule="auto"/>
        <w:tabs>
          <w:tab w:leader="none" w:pos="3228"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01" w:right="339" w:bottom="1440" w:gutter="0" w:footer="0" w:header="0"/>
        </w:sectPr>
      </w:pPr>
    </w:p>
    <w:bookmarkStart w:id="297" w:name="page298"/>
    <w:bookmarkEnd w:id="297"/>
    <w:p>
      <w:pPr>
        <w:ind w:firstLine="2600"/>
        <w:spacing w:after="0" w:line="247" w:lineRule="auto"/>
        <w:tabs>
          <w:tab w:leader="none" w:pos="3234" w:val="left"/>
        </w:tabs>
        <w:numPr>
          <w:ilvl w:val="0"/>
          <w:numId w:val="314"/>
        </w:numPr>
        <w:rPr>
          <w:rFonts w:ascii="Arial" w:cs="Arial" w:eastAsia="Arial" w:hAnsi="Arial"/>
          <w:sz w:val="21"/>
          <w:szCs w:val="21"/>
          <w:color w:val="auto"/>
        </w:rPr>
      </w:pPr>
      <w:r>
        <w:rPr>
          <w:rFonts w:ascii="Arial" w:cs="Arial" w:eastAsia="Arial" w:hAnsi="Arial"/>
          <w:sz w:val="21"/>
          <w:szCs w:val="21"/>
          <w:color w:val="auto"/>
        </w:rPr>
        <w:t>The Administrator shall defer payment of the Decedent’s Account until the later of the Death Tax Clearance Date and the payment date designated in the Decedent’s Initial Election or Subsequent Election;</w:t>
      </w:r>
    </w:p>
    <w:p>
      <w:pPr>
        <w:spacing w:after="0" w:line="150" w:lineRule="exact"/>
        <w:rPr>
          <w:rFonts w:ascii="Arial" w:cs="Arial" w:eastAsia="Arial" w:hAnsi="Arial"/>
          <w:sz w:val="21"/>
          <w:szCs w:val="21"/>
          <w:color w:val="auto"/>
        </w:rPr>
      </w:pPr>
    </w:p>
    <w:p>
      <w:pPr>
        <w:jc w:val="both"/>
        <w:ind w:firstLine="2600"/>
        <w:spacing w:after="0" w:line="252" w:lineRule="auto"/>
        <w:tabs>
          <w:tab w:leader="none" w:pos="3240" w:val="left"/>
        </w:tabs>
        <w:numPr>
          <w:ilvl w:val="0"/>
          <w:numId w:val="314"/>
        </w:numPr>
        <w:rPr>
          <w:rFonts w:ascii="Arial" w:cs="Arial" w:eastAsia="Arial" w:hAnsi="Arial"/>
          <w:sz w:val="19"/>
          <w:szCs w:val="19"/>
          <w:color w:val="auto"/>
        </w:rPr>
      </w:pPr>
      <w:r>
        <w:rPr>
          <w:rFonts w:ascii="Arial" w:cs="Arial" w:eastAsia="Arial" w:hAnsi="Arial"/>
          <w:sz w:val="19"/>
          <w:szCs w:val="19"/>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48" w:lineRule="exact"/>
        <w:rPr>
          <w:rFonts w:ascii="Arial" w:cs="Arial" w:eastAsia="Arial" w:hAnsi="Arial"/>
          <w:sz w:val="19"/>
          <w:szCs w:val="19"/>
          <w:color w:val="auto"/>
        </w:rPr>
      </w:pPr>
    </w:p>
    <w:p>
      <w:pPr>
        <w:jc w:val="both"/>
        <w:ind w:firstLine="2600"/>
        <w:spacing w:after="0" w:line="247" w:lineRule="auto"/>
        <w:tabs>
          <w:tab w:leader="none" w:pos="3228" w:val="left"/>
        </w:tabs>
        <w:numPr>
          <w:ilvl w:val="0"/>
          <w:numId w:val="314"/>
        </w:numPr>
        <w:rPr>
          <w:rFonts w:ascii="Arial" w:cs="Arial" w:eastAsia="Arial" w:hAnsi="Arial"/>
          <w:sz w:val="19"/>
          <w:szCs w:val="19"/>
          <w:color w:val="auto"/>
        </w:rPr>
      </w:pPr>
      <w:r>
        <w:rPr>
          <w:rFonts w:ascii="Arial" w:cs="Arial" w:eastAsia="Arial" w:hAnsi="Arial"/>
          <w:sz w:val="19"/>
          <w:szCs w:val="19"/>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53" w:lineRule="exact"/>
        <w:rPr>
          <w:rFonts w:ascii="Arial" w:cs="Arial" w:eastAsia="Arial" w:hAnsi="Arial"/>
          <w:sz w:val="19"/>
          <w:szCs w:val="19"/>
          <w:color w:val="auto"/>
        </w:rPr>
      </w:pPr>
    </w:p>
    <w:p>
      <w:pPr>
        <w:jc w:val="both"/>
        <w:ind w:firstLine="2600"/>
        <w:spacing w:after="0" w:line="223" w:lineRule="auto"/>
        <w:tabs>
          <w:tab w:leader="none" w:pos="3235" w:val="left"/>
        </w:tabs>
        <w:numPr>
          <w:ilvl w:val="0"/>
          <w:numId w:val="314"/>
        </w:numPr>
        <w:rPr>
          <w:rFonts w:ascii="Arial" w:cs="Arial" w:eastAsia="Arial" w:hAnsi="Arial"/>
          <w:sz w:val="22"/>
          <w:szCs w:val="22"/>
          <w:color w:val="auto"/>
        </w:rPr>
      </w:pPr>
      <w:r>
        <w:rPr>
          <w:rFonts w:ascii="Arial" w:cs="Arial" w:eastAsia="Arial" w:hAnsi="Arial"/>
          <w:sz w:val="22"/>
          <w:szCs w:val="22"/>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58" w:lineRule="exact"/>
        <w:rPr>
          <w:rFonts w:ascii="Arial" w:cs="Arial" w:eastAsia="Arial" w:hAnsi="Arial"/>
          <w:sz w:val="22"/>
          <w:szCs w:val="22"/>
          <w:color w:val="auto"/>
        </w:rPr>
      </w:pPr>
    </w:p>
    <w:p>
      <w:pPr>
        <w:jc w:val="both"/>
        <w:ind w:firstLine="2600"/>
        <w:spacing w:after="0" w:line="223" w:lineRule="auto"/>
        <w:tabs>
          <w:tab w:leader="none" w:pos="3228" w:val="left"/>
        </w:tabs>
        <w:numPr>
          <w:ilvl w:val="0"/>
          <w:numId w:val="314"/>
        </w:numPr>
        <w:rPr>
          <w:rFonts w:ascii="Arial" w:cs="Arial" w:eastAsia="Arial" w:hAnsi="Arial"/>
          <w:sz w:val="22"/>
          <w:szCs w:val="22"/>
          <w:color w:val="auto"/>
        </w:rPr>
      </w:pPr>
      <w:r>
        <w:rPr>
          <w:rFonts w:ascii="Arial" w:cs="Arial" w:eastAsia="Arial" w:hAnsi="Arial"/>
          <w:sz w:val="22"/>
          <w:szCs w:val="22"/>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Company Credits</w:t>
      </w:r>
      <w:r>
        <w:rPr>
          <w:rFonts w:ascii="Arial" w:cs="Arial" w:eastAsia="Arial" w:hAnsi="Arial"/>
          <w:sz w:val="19"/>
          <w:szCs w:val="19"/>
          <w:color w:val="auto"/>
        </w:rPr>
        <w:t>.</w:t>
      </w:r>
    </w:p>
    <w:p>
      <w:pPr>
        <w:spacing w:after="0" w:line="179" w:lineRule="exact"/>
        <w:rPr>
          <w:sz w:val="20"/>
          <w:szCs w:val="20"/>
          <w:color w:val="auto"/>
        </w:rPr>
      </w:pPr>
    </w:p>
    <w:p>
      <w:pPr>
        <w:jc w:val="both"/>
        <w:ind w:firstLine="1952"/>
        <w:spacing w:after="0" w:line="224" w:lineRule="auto"/>
        <w:tabs>
          <w:tab w:leader="none" w:pos="2648" w:val="left"/>
        </w:tabs>
        <w:numPr>
          <w:ilvl w:val="0"/>
          <w:numId w:val="315"/>
        </w:numPr>
        <w:rPr>
          <w:rFonts w:ascii="Arial" w:cs="Arial" w:eastAsia="Arial" w:hAnsi="Arial"/>
          <w:sz w:val="20"/>
          <w:szCs w:val="20"/>
          <w:color w:val="auto"/>
        </w:rPr>
      </w:pPr>
      <w:r>
        <w:rPr>
          <w:rFonts w:ascii="Arial" w:cs="Arial" w:eastAsia="Arial" w:hAnsi="Arial"/>
          <w:sz w:val="20"/>
          <w:szCs w:val="20"/>
          <w:color w:val="auto"/>
        </w:rPr>
        <w:t>Except as provided in Section 3.8(b),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of the third calendar year beginning after the later of Plan Year with respect to which the Company Credits were authorized or the Plan Year in which such Company Credits are free of a substantial risk of forfeiture, unless the Participant timely designates a later time and form of payment that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1" w:right="339" w:bottom="1440" w:gutter="0" w:footer="0" w:header="0"/>
        </w:sectPr>
      </w:pPr>
    </w:p>
    <w:bookmarkStart w:id="298" w:name="page299"/>
    <w:bookmarkEnd w:id="298"/>
    <w:p>
      <w:pPr>
        <w:jc w:val="both"/>
        <w:spacing w:after="0" w:line="268" w:lineRule="auto"/>
        <w:rPr>
          <w:sz w:val="20"/>
          <w:szCs w:val="20"/>
          <w:color w:val="auto"/>
        </w:rPr>
      </w:pPr>
      <w:r>
        <w:rPr>
          <w:rFonts w:ascii="Arial" w:cs="Arial" w:eastAsia="Arial" w:hAnsi="Arial"/>
          <w:sz w:val="19"/>
          <w:szCs w:val="19"/>
          <w:color w:val="auto"/>
        </w:rPr>
        <w:t>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32" w:lineRule="exact"/>
        <w:rPr>
          <w:sz w:val="20"/>
          <w:szCs w:val="20"/>
          <w:color w:val="auto"/>
        </w:rPr>
      </w:pPr>
    </w:p>
    <w:p>
      <w:pPr>
        <w:ind w:firstLine="1952"/>
        <w:spacing w:after="0" w:line="232" w:lineRule="auto"/>
        <w:tabs>
          <w:tab w:leader="none" w:pos="2654" w:val="left"/>
        </w:tabs>
        <w:numPr>
          <w:ilvl w:val="0"/>
          <w:numId w:val="316"/>
        </w:numPr>
        <w:rPr>
          <w:rFonts w:ascii="Arial" w:cs="Arial" w:eastAsia="Arial" w:hAnsi="Arial"/>
          <w:sz w:val="22"/>
          <w:szCs w:val="22"/>
          <w:color w:val="auto"/>
        </w:rPr>
      </w:pPr>
      <w:r>
        <w:rPr>
          <w:rFonts w:ascii="Arial" w:cs="Arial" w:eastAsia="Arial" w:hAnsi="Arial"/>
          <w:sz w:val="22"/>
          <w:szCs w:val="22"/>
          <w:color w:val="auto"/>
        </w:rPr>
        <w:t>Except for Company Credits approved on or before March 1, 2021, no Company Credits shall be authorized or credited after such date.</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w:t>
      </w:r>
    </w:p>
    <w:p>
      <w:pPr>
        <w:spacing w:after="0" w:line="179" w:lineRule="exact"/>
        <w:rPr>
          <w:sz w:val="20"/>
          <w:szCs w:val="20"/>
          <w:color w:val="auto"/>
        </w:rPr>
      </w:pPr>
    </w:p>
    <w:p>
      <w:pPr>
        <w:jc w:val="both"/>
        <w:ind w:firstLine="1952"/>
        <w:spacing w:after="0" w:line="252" w:lineRule="auto"/>
        <w:tabs>
          <w:tab w:leader="none" w:pos="2656"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Required Suspension of Payment of Benefits</w:t>
      </w:r>
      <w:r>
        <w:rPr>
          <w:rFonts w:ascii="Arial" w:cs="Arial" w:eastAsia="Arial" w:hAnsi="Arial"/>
          <w:sz w:val="19"/>
          <w:szCs w:val="19"/>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48" w:lineRule="exact"/>
        <w:rPr>
          <w:rFonts w:ascii="Arial" w:cs="Arial" w:eastAsia="Arial" w:hAnsi="Arial"/>
          <w:sz w:val="19"/>
          <w:szCs w:val="19"/>
          <w:color w:val="auto"/>
        </w:rPr>
      </w:pPr>
    </w:p>
    <w:p>
      <w:pPr>
        <w:jc w:val="both"/>
        <w:ind w:firstLine="1952"/>
        <w:spacing w:after="0" w:line="214" w:lineRule="auto"/>
        <w:tabs>
          <w:tab w:leader="none" w:pos="2668" w:val="left"/>
        </w:tabs>
        <w:numPr>
          <w:ilvl w:val="0"/>
          <w:numId w:val="31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For purposes of the Plan, a transfer of an employee between two employers, each of which is the Company or an Affiliate, shall not be deemed a termination of employment. A Participant who is an Outside Director shall be treated as having terminated employment on the Participant’s termination of service as an Outside Director, provided that if such a Participant is designated as a Director Emeritus upon termination of service as an Outside Director, such Participant shall not be treated as having terminated employment until the Participant’s termination of service as a Director Emeritus.</w:t>
      </w:r>
    </w:p>
    <w:p>
      <w:pPr>
        <w:spacing w:after="0" w:line="153" w:lineRule="exact"/>
        <w:rPr>
          <w:sz w:val="20"/>
          <w:szCs w:val="20"/>
          <w:color w:val="auto"/>
        </w:rPr>
      </w:pPr>
    </w:p>
    <w:p>
      <w:pPr>
        <w:ind w:left="1300" w:right="3400" w:firstLine="2107"/>
        <w:spacing w:after="0" w:line="412" w:lineRule="auto"/>
        <w:rPr>
          <w:sz w:val="20"/>
          <w:szCs w:val="20"/>
          <w:color w:val="auto"/>
        </w:rPr>
      </w:pPr>
      <w:r>
        <w:rPr>
          <w:rFonts w:ascii="Arial" w:cs="Arial" w:eastAsia="Arial" w:hAnsi="Arial"/>
          <w:sz w:val="22"/>
          <w:szCs w:val="22"/>
          <w:b w:val="1"/>
          <w:bCs w:val="1"/>
          <w:color w:val="auto"/>
        </w:rPr>
        <w:t xml:space="preserve">ARTICLE 4 – MANNER OF DISTRIBUTION </w:t>
      </w:r>
      <w:r>
        <w:rPr>
          <w:rFonts w:ascii="Arial" w:cs="Arial" w:eastAsia="Arial" w:hAnsi="Arial"/>
          <w:sz w:val="22"/>
          <w:szCs w:val="22"/>
          <w:color w:val="auto"/>
        </w:rPr>
        <w:t xml:space="preserve">4.1. </w:t>
      </w:r>
      <w:r>
        <w:rPr>
          <w:rFonts w:ascii="Arial" w:cs="Arial" w:eastAsia="Arial" w:hAnsi="Arial"/>
          <w:sz w:val="22"/>
          <w:szCs w:val="22"/>
          <w:u w:val="single" w:color="auto"/>
          <w:color w:val="auto"/>
        </w:rPr>
        <w:t>Manner of Distribution</w:t>
      </w:r>
      <w:r>
        <w:rPr>
          <w:rFonts w:ascii="Arial" w:cs="Arial" w:eastAsia="Arial" w:hAnsi="Arial"/>
          <w:sz w:val="22"/>
          <w:szCs w:val="22"/>
          <w:color w:val="auto"/>
        </w:rPr>
        <w:t>.</w:t>
      </w:r>
    </w:p>
    <w:p>
      <w:pPr>
        <w:spacing w:after="0" w:line="1" w:lineRule="exact"/>
        <w:rPr>
          <w:sz w:val="20"/>
          <w:szCs w:val="20"/>
          <w:color w:val="auto"/>
        </w:rPr>
      </w:pPr>
    </w:p>
    <w:p>
      <w:pPr>
        <w:ind w:left="2600" w:hanging="648"/>
        <w:spacing w:after="0"/>
        <w:tabs>
          <w:tab w:leader="none" w:pos="2600" w:val="left"/>
        </w:tabs>
        <w:numPr>
          <w:ilvl w:val="0"/>
          <w:numId w:val="318"/>
        </w:numPr>
        <w:rPr>
          <w:rFonts w:ascii="Arial" w:cs="Arial" w:eastAsia="Arial" w:hAnsi="Arial"/>
          <w:sz w:val="19"/>
          <w:szCs w:val="19"/>
          <w:color w:val="auto"/>
        </w:rPr>
      </w:pPr>
      <w:r>
        <w:rPr>
          <w:rFonts w:ascii="Arial" w:cs="Arial" w:eastAsia="Arial" w:hAnsi="Arial"/>
          <w:sz w:val="19"/>
          <w:szCs w:val="19"/>
          <w:color w:val="auto"/>
        </w:rPr>
        <w:t>Amounts credited to an Account shall be distributed, pursuant to an Initial Election or Subsequent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Election in either</w:t>
      </w:r>
    </w:p>
    <w:p>
      <w:pPr>
        <w:spacing w:after="0" w:line="161" w:lineRule="exact"/>
        <w:rPr>
          <w:sz w:val="20"/>
          <w:szCs w:val="20"/>
          <w:color w:val="auto"/>
        </w:rPr>
      </w:pPr>
    </w:p>
    <w:p>
      <w:pPr>
        <w:ind w:left="3240" w:hanging="640"/>
        <w:spacing w:after="0"/>
        <w:tabs>
          <w:tab w:leader="none" w:pos="3240" w:val="left"/>
        </w:tabs>
        <w:numPr>
          <w:ilvl w:val="0"/>
          <w:numId w:val="319"/>
        </w:numPr>
        <w:rPr>
          <w:rFonts w:ascii="Arial" w:cs="Arial" w:eastAsia="Arial" w:hAnsi="Arial"/>
          <w:sz w:val="22"/>
          <w:szCs w:val="22"/>
          <w:color w:val="auto"/>
        </w:rPr>
      </w:pPr>
      <w:r>
        <w:rPr>
          <w:rFonts w:ascii="Arial" w:cs="Arial" w:eastAsia="Arial" w:hAnsi="Arial"/>
          <w:sz w:val="22"/>
          <w:szCs w:val="22"/>
          <w:color w:val="auto"/>
        </w:rPr>
        <w:t>a lump sum payment; or</w:t>
      </w:r>
    </w:p>
    <w:p>
      <w:pPr>
        <w:spacing w:after="0" w:line="179" w:lineRule="exact"/>
        <w:rPr>
          <w:rFonts w:ascii="Arial" w:cs="Arial" w:eastAsia="Arial" w:hAnsi="Arial"/>
          <w:sz w:val="22"/>
          <w:szCs w:val="22"/>
          <w:color w:val="auto"/>
        </w:rPr>
      </w:pPr>
    </w:p>
    <w:p>
      <w:pPr>
        <w:ind w:right="20" w:firstLine="2600"/>
        <w:spacing w:after="0" w:line="298" w:lineRule="auto"/>
        <w:tabs>
          <w:tab w:leader="none" w:pos="3234" w:val="left"/>
        </w:tabs>
        <w:numPr>
          <w:ilvl w:val="0"/>
          <w:numId w:val="319"/>
        </w:numPr>
        <w:rPr>
          <w:rFonts w:ascii="Arial" w:cs="Arial" w:eastAsia="Arial" w:hAnsi="Arial"/>
          <w:sz w:val="19"/>
          <w:szCs w:val="19"/>
          <w:color w:val="auto"/>
        </w:rPr>
      </w:pPr>
      <w:r>
        <w:rPr>
          <w:rFonts w:ascii="Arial" w:cs="Arial" w:eastAsia="Arial" w:hAnsi="Arial"/>
          <w:sz w:val="19"/>
          <w:szCs w:val="19"/>
          <w:color w:val="auto"/>
        </w:rPr>
        <w:t>With respect to Initial Elections and Subsequent Elections filed on or before December 31, 2020, substantially equal monthly or annual installments over a five- (5), ten- (10) or fifteen- (15) year period; or</w:t>
      </w:r>
    </w:p>
    <w:p>
      <w:pPr>
        <w:spacing w:after="0" w:line="105" w:lineRule="exact"/>
        <w:rPr>
          <w:rFonts w:ascii="Arial" w:cs="Arial" w:eastAsia="Arial" w:hAnsi="Arial"/>
          <w:sz w:val="19"/>
          <w:szCs w:val="19"/>
          <w:color w:val="auto"/>
        </w:rPr>
      </w:pPr>
    </w:p>
    <w:p>
      <w:pPr>
        <w:ind w:firstLine="2600"/>
        <w:spacing w:after="0" w:line="232" w:lineRule="auto"/>
        <w:tabs>
          <w:tab w:leader="none" w:pos="3240" w:val="left"/>
        </w:tabs>
        <w:numPr>
          <w:ilvl w:val="0"/>
          <w:numId w:val="319"/>
        </w:numPr>
        <w:rPr>
          <w:rFonts w:ascii="Arial" w:cs="Arial" w:eastAsia="Arial" w:hAnsi="Arial"/>
          <w:sz w:val="22"/>
          <w:szCs w:val="22"/>
          <w:color w:val="auto"/>
        </w:rPr>
      </w:pPr>
      <w:r>
        <w:rPr>
          <w:rFonts w:ascii="Arial" w:cs="Arial" w:eastAsia="Arial" w:hAnsi="Arial"/>
          <w:sz w:val="22"/>
          <w:szCs w:val="22"/>
          <w:color w:val="auto"/>
        </w:rPr>
        <w:t>With respect to Initial Elections and Subsequent Elections filed after December 31, 2020, substantially equal monthly or annual installments over a five- (5) or ten- (10) year period.</w:t>
      </w:r>
    </w:p>
    <w:p>
      <w:pPr>
        <w:spacing w:after="0" w:line="159"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Installment distributions payable in the form of shares of Company Stock shall be rounded to the next lower whole share. Except for amounts described in Section 5.2(c), all distributions shall be made in cash.</w:t>
      </w:r>
    </w:p>
    <w:p>
      <w:pPr>
        <w:spacing w:after="0" w:line="159" w:lineRule="exact"/>
        <w:rPr>
          <w:sz w:val="20"/>
          <w:szCs w:val="20"/>
          <w:color w:val="auto"/>
        </w:rPr>
      </w:pPr>
    </w:p>
    <w:p>
      <w:pPr>
        <w:ind w:firstLine="1952"/>
        <w:spacing w:after="0" w:line="232" w:lineRule="auto"/>
        <w:tabs>
          <w:tab w:leader="none" w:pos="2587"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To the extent permitted by Section 409A, notwithstanding any Initial Election, Subsequent Election or any other provision of the Plan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1" w:right="339" w:bottom="1440" w:gutter="0" w:footer="0" w:header="0"/>
        </w:sectPr>
      </w:pPr>
    </w:p>
    <w:bookmarkStart w:id="299" w:name="page300"/>
    <w:bookmarkEnd w:id="299"/>
    <w:p>
      <w:pPr>
        <w:jc w:val="both"/>
        <w:ind w:firstLine="2600"/>
        <w:spacing w:after="0" w:line="223" w:lineRule="auto"/>
        <w:tabs>
          <w:tab w:leader="none" w:pos="3228" w:val="left"/>
        </w:tabs>
        <w:numPr>
          <w:ilvl w:val="0"/>
          <w:numId w:val="321"/>
        </w:numPr>
        <w:rPr>
          <w:rFonts w:ascii="Arial" w:cs="Arial" w:eastAsia="Arial" w:hAnsi="Arial"/>
          <w:sz w:val="22"/>
          <w:szCs w:val="22"/>
          <w:color w:val="auto"/>
        </w:rPr>
      </w:pPr>
      <w:r>
        <w:rPr>
          <w:rFonts w:ascii="Arial" w:cs="Arial" w:eastAsia="Arial" w:hAnsi="Arial"/>
          <w:sz w:val="22"/>
          <w:szCs w:val="22"/>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58" w:lineRule="exact"/>
        <w:rPr>
          <w:rFonts w:ascii="Arial" w:cs="Arial" w:eastAsia="Arial" w:hAnsi="Arial"/>
          <w:sz w:val="22"/>
          <w:szCs w:val="22"/>
          <w:color w:val="auto"/>
        </w:rPr>
      </w:pPr>
    </w:p>
    <w:p>
      <w:pPr>
        <w:jc w:val="both"/>
        <w:ind w:firstLine="2600"/>
        <w:spacing w:after="0" w:line="226" w:lineRule="auto"/>
        <w:tabs>
          <w:tab w:leader="none" w:pos="3234" w:val="left"/>
        </w:tabs>
        <w:numPr>
          <w:ilvl w:val="0"/>
          <w:numId w:val="321"/>
        </w:numPr>
        <w:rPr>
          <w:rFonts w:ascii="Arial" w:cs="Arial" w:eastAsia="Arial" w:hAnsi="Arial"/>
          <w:sz w:val="21"/>
          <w:szCs w:val="21"/>
          <w:color w:val="auto"/>
        </w:rPr>
      </w:pPr>
      <w:r>
        <w:rPr>
          <w:rFonts w:ascii="Arial" w:cs="Arial" w:eastAsia="Arial" w:hAnsi="Arial"/>
          <w:sz w:val="21"/>
          <w:szCs w:val="21"/>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Determination of Account Balances for Purposes of Distribution</w:t>
      </w:r>
      <w:r>
        <w:rPr>
          <w:rFonts w:ascii="Arial" w:cs="Arial" w:eastAsia="Arial" w:hAnsi="Arial"/>
          <w:sz w:val="19"/>
          <w:szCs w:val="19"/>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Other Investment Fund and Income Fund, as applicable, through the date immediately preceding the date on which the distribution request is transmitted from the recordkeeper.</w:t>
      </w:r>
    </w:p>
    <w:p>
      <w:pPr>
        <w:spacing w:after="0" w:line="15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Plan-to-Plan Transfers; Change in Time and Form of Election Pursuant to Special Section 409A Transition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Rules</w:t>
      </w:r>
      <w:r>
        <w:rPr>
          <w:rFonts w:ascii="Arial" w:cs="Arial" w:eastAsia="Arial" w:hAnsi="Arial"/>
          <w:sz w:val="19"/>
          <w:szCs w:val="19"/>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32" w:lineRule="exact"/>
        <w:rPr>
          <w:sz w:val="20"/>
          <w:szCs w:val="20"/>
          <w:color w:val="auto"/>
        </w:rPr>
      </w:pPr>
    </w:p>
    <w:p>
      <w:pPr>
        <w:jc w:val="both"/>
        <w:ind w:firstLine="1952"/>
        <w:spacing w:after="0" w:line="214" w:lineRule="auto"/>
        <w:tabs>
          <w:tab w:leader="none" w:pos="2589" w:val="left"/>
        </w:tabs>
        <w:numPr>
          <w:ilvl w:val="0"/>
          <w:numId w:val="322"/>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58" w:lineRule="exact"/>
        <w:rPr>
          <w:rFonts w:ascii="Arial" w:cs="Arial" w:eastAsia="Arial" w:hAnsi="Arial"/>
          <w:sz w:val="22"/>
          <w:szCs w:val="22"/>
          <w:color w:val="auto"/>
        </w:rPr>
      </w:pPr>
    </w:p>
    <w:p>
      <w:pPr>
        <w:jc w:val="both"/>
        <w:ind w:firstLine="1952"/>
        <w:spacing w:after="0" w:line="212" w:lineRule="auto"/>
        <w:tabs>
          <w:tab w:leader="none" w:pos="2587" w:val="left"/>
        </w:tabs>
        <w:numPr>
          <w:ilvl w:val="0"/>
          <w:numId w:val="322"/>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5 </w:t>
      </w:r>
      <w:r>
        <w:rPr>
          <w:rFonts w:ascii="Arial" w:cs="Arial" w:eastAsia="Arial" w:hAnsi="Arial"/>
          <w:sz w:val="22"/>
          <w:szCs w:val="22"/>
          <w:color w:val="auto"/>
        </w:rPr>
        <w:t>–</w:t>
      </w:r>
      <w:r>
        <w:rPr>
          <w:rFonts w:ascii="Arial" w:cs="Arial" w:eastAsia="Arial" w:hAnsi="Arial"/>
          <w:sz w:val="22"/>
          <w:szCs w:val="22"/>
          <w:b w:val="1"/>
          <w:bCs w:val="1"/>
          <w:color w:val="auto"/>
        </w:rPr>
        <w:t xml:space="preserve"> BOOK ACCOUNTS</w:t>
      </w:r>
    </w:p>
    <w:p>
      <w:pPr>
        <w:spacing w:after="0" w:line="185"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Deferred Compensation Account</w:t>
      </w:r>
      <w:r>
        <w:rPr>
          <w:rFonts w:ascii="Arial" w:cs="Arial" w:eastAsia="Arial" w:hAnsi="Arial"/>
          <w:sz w:val="22"/>
          <w:szCs w:val="22"/>
          <w:color w:val="auto"/>
        </w:rPr>
        <w:t>. A Deferred Compensation Account shall be established for each Outside Director, Director Emeritus and Eligible Employee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01" w:right="339" w:bottom="1440" w:gutter="0" w:footer="0" w:header="0"/>
        </w:sectPr>
      </w:pPr>
    </w:p>
    <w:bookmarkStart w:id="300" w:name="page301"/>
    <w:bookmarkEnd w:id="300"/>
    <w:p>
      <w:pPr>
        <w:spacing w:after="0" w:line="298" w:lineRule="auto"/>
        <w:rPr>
          <w:sz w:val="20"/>
          <w:szCs w:val="20"/>
          <w:color w:val="auto"/>
        </w:rPr>
      </w:pPr>
      <w:r>
        <w:rPr>
          <w:rFonts w:ascii="Arial" w:cs="Arial" w:eastAsia="Arial" w:hAnsi="Arial"/>
          <w:sz w:val="19"/>
          <w:szCs w:val="19"/>
          <w:color w:val="auto"/>
        </w:rPr>
        <w:t>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0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Crediting of Income, Gains, and Losses on Accounts</w:t>
      </w:r>
      <w:r>
        <w:rPr>
          <w:rFonts w:ascii="Arial" w:cs="Arial" w:eastAsia="Arial" w:hAnsi="Arial"/>
          <w:sz w:val="19"/>
          <w:szCs w:val="19"/>
          <w:color w:val="auto"/>
        </w:rPr>
        <w:t>.</w:t>
      </w:r>
    </w:p>
    <w:p>
      <w:pPr>
        <w:spacing w:after="0" w:line="179" w:lineRule="exact"/>
        <w:rPr>
          <w:sz w:val="20"/>
          <w:szCs w:val="20"/>
          <w:color w:val="auto"/>
        </w:rPr>
      </w:pPr>
    </w:p>
    <w:p>
      <w:pPr>
        <w:ind w:left="2600" w:hanging="648"/>
        <w:spacing w:after="0"/>
        <w:tabs>
          <w:tab w:leader="none" w:pos="2600" w:val="left"/>
        </w:tabs>
        <w:numPr>
          <w:ilvl w:val="0"/>
          <w:numId w:val="323"/>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for amounts credited to the Accounts of Participants who are:</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1"/>
          <w:numId w:val="323"/>
        </w:numPr>
        <w:rPr>
          <w:rFonts w:ascii="Arial" w:cs="Arial" w:eastAsia="Arial" w:hAnsi="Arial"/>
          <w:sz w:val="19"/>
          <w:szCs w:val="19"/>
          <w:color w:val="auto"/>
        </w:rPr>
      </w:pPr>
      <w:r>
        <w:rPr>
          <w:rFonts w:ascii="Arial" w:cs="Arial" w:eastAsia="Arial" w:hAnsi="Arial"/>
          <w:sz w:val="19"/>
          <w:szCs w:val="19"/>
          <w:color w:val="auto"/>
        </w:rPr>
        <w:t>Outside Directors who have elected to defer the receipt of Compensation payable in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form of Company Stock,</w:t>
      </w:r>
    </w:p>
    <w:p>
      <w:pPr>
        <w:spacing w:after="0" w:line="161" w:lineRule="exact"/>
        <w:rPr>
          <w:rFonts w:ascii="Arial" w:cs="Arial" w:eastAsia="Arial" w:hAnsi="Arial"/>
          <w:sz w:val="19"/>
          <w:szCs w:val="19"/>
          <w:color w:val="auto"/>
        </w:rPr>
      </w:pPr>
    </w:p>
    <w:p>
      <w:pPr>
        <w:ind w:left="3240" w:hanging="640"/>
        <w:spacing w:after="0"/>
        <w:tabs>
          <w:tab w:leader="none" w:pos="3240" w:val="left"/>
        </w:tabs>
        <w:numPr>
          <w:ilvl w:val="1"/>
          <w:numId w:val="323"/>
        </w:numPr>
        <w:rPr>
          <w:rFonts w:ascii="Arial" w:cs="Arial" w:eastAsia="Arial" w:hAnsi="Arial"/>
          <w:sz w:val="19"/>
          <w:szCs w:val="19"/>
          <w:color w:val="auto"/>
        </w:rPr>
      </w:pPr>
      <w:r>
        <w:rPr>
          <w:rFonts w:ascii="Arial" w:cs="Arial" w:eastAsia="Arial" w:hAnsi="Arial"/>
          <w:sz w:val="19"/>
          <w:szCs w:val="19"/>
          <w:color w:val="auto"/>
        </w:rPr>
        <w:t>Outside Directors whose Account has been credited to an Other Investment Fund pursuant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Section 5.2(b)(1)(B)(3);</w:t>
      </w:r>
    </w:p>
    <w:p>
      <w:pPr>
        <w:spacing w:after="0" w:line="153" w:lineRule="exact"/>
        <w:rPr>
          <w:rFonts w:ascii="Arial" w:cs="Arial" w:eastAsia="Arial" w:hAnsi="Arial"/>
          <w:sz w:val="19"/>
          <w:szCs w:val="19"/>
          <w:color w:val="auto"/>
        </w:rPr>
      </w:pPr>
    </w:p>
    <w:p>
      <w:pPr>
        <w:ind w:left="3240" w:hanging="640"/>
        <w:spacing w:after="0"/>
        <w:tabs>
          <w:tab w:leader="none" w:pos="3240" w:val="left"/>
        </w:tabs>
        <w:numPr>
          <w:ilvl w:val="1"/>
          <w:numId w:val="323"/>
        </w:numPr>
        <w:rPr>
          <w:rFonts w:ascii="Arial" w:cs="Arial" w:eastAsia="Arial" w:hAnsi="Arial"/>
          <w:sz w:val="21"/>
          <w:szCs w:val="21"/>
          <w:color w:val="auto"/>
        </w:rPr>
      </w:pPr>
      <w:r>
        <w:rPr>
          <w:rFonts w:ascii="Arial" w:cs="Arial" w:eastAsia="Arial" w:hAnsi="Arial"/>
          <w:sz w:val="21"/>
          <w:szCs w:val="21"/>
          <w:color w:val="auto"/>
        </w:rPr>
        <w:t>Covered Participants whose Account has been credited to an Other Investment Fund</w:t>
      </w:r>
    </w:p>
    <w:p>
      <w:pPr>
        <w:spacing w:after="0"/>
        <w:rPr>
          <w:rFonts w:ascii="Arial" w:cs="Arial" w:eastAsia="Arial" w:hAnsi="Arial"/>
          <w:sz w:val="21"/>
          <w:szCs w:val="21"/>
          <w:color w:val="auto"/>
        </w:rPr>
      </w:pPr>
      <w:r>
        <w:rPr>
          <w:rFonts w:ascii="Arial" w:cs="Arial" w:eastAsia="Arial" w:hAnsi="Arial"/>
          <w:sz w:val="22"/>
          <w:szCs w:val="22"/>
          <w:color w:val="auto"/>
        </w:rPr>
        <w:t>pursuant to Section 5.2(b)(1)(B)(4);</w:t>
      </w:r>
    </w:p>
    <w:p>
      <w:pPr>
        <w:spacing w:after="0" w:line="161" w:lineRule="exact"/>
        <w:rPr>
          <w:rFonts w:ascii="Arial" w:cs="Arial" w:eastAsia="Arial" w:hAnsi="Arial"/>
          <w:sz w:val="21"/>
          <w:szCs w:val="21"/>
          <w:color w:val="auto"/>
        </w:rPr>
      </w:pPr>
    </w:p>
    <w:p>
      <w:pPr>
        <w:ind w:left="3240" w:hanging="640"/>
        <w:spacing w:after="0"/>
        <w:tabs>
          <w:tab w:leader="none" w:pos="3240" w:val="left"/>
        </w:tabs>
        <w:numPr>
          <w:ilvl w:val="1"/>
          <w:numId w:val="323"/>
        </w:numPr>
        <w:rPr>
          <w:rFonts w:ascii="Arial" w:cs="Arial" w:eastAsia="Arial" w:hAnsi="Arial"/>
          <w:sz w:val="22"/>
          <w:szCs w:val="22"/>
          <w:color w:val="auto"/>
        </w:rPr>
      </w:pPr>
      <w:r>
        <w:rPr>
          <w:rFonts w:ascii="Arial" w:cs="Arial" w:eastAsia="Arial" w:hAnsi="Arial"/>
          <w:sz w:val="22"/>
          <w:szCs w:val="22"/>
          <w:color w:val="auto"/>
        </w:rPr>
        <w:t>Participants subject to the Income Fund Limit; and</w:t>
      </w:r>
    </w:p>
    <w:p>
      <w:pPr>
        <w:spacing w:after="0" w:line="179" w:lineRule="exact"/>
        <w:rPr>
          <w:rFonts w:ascii="Arial" w:cs="Arial" w:eastAsia="Arial" w:hAnsi="Arial"/>
          <w:sz w:val="22"/>
          <w:szCs w:val="22"/>
          <w:color w:val="auto"/>
        </w:rPr>
      </w:pPr>
    </w:p>
    <w:p>
      <w:pPr>
        <w:jc w:val="both"/>
        <w:ind w:firstLine="2600"/>
        <w:spacing w:after="0" w:line="223" w:lineRule="auto"/>
        <w:tabs>
          <w:tab w:leader="none" w:pos="3235" w:val="left"/>
        </w:tabs>
        <w:numPr>
          <w:ilvl w:val="1"/>
          <w:numId w:val="323"/>
        </w:numPr>
        <w:rPr>
          <w:rFonts w:ascii="Arial" w:cs="Arial" w:eastAsia="Arial" w:hAnsi="Arial"/>
          <w:sz w:val="22"/>
          <w:szCs w:val="22"/>
          <w:color w:val="auto"/>
        </w:rPr>
      </w:pPr>
      <w:r>
        <w:rPr>
          <w:rFonts w:ascii="Arial" w:cs="Arial" w:eastAsia="Arial" w:hAnsi="Arial"/>
          <w:sz w:val="22"/>
          <w:szCs w:val="22"/>
          <w:color w:val="auto"/>
        </w:rPr>
        <w:t>Section 16 Officers who, pursuant to rules established by the Administrator or its delegate, have elected to transfer amounts credited to their Accounts that are deemed to be invested in the Income Fund to an Other Investment Fund; and</w:t>
      </w:r>
    </w:p>
    <w:p>
      <w:pPr>
        <w:spacing w:after="0" w:line="158" w:lineRule="exact"/>
        <w:rPr>
          <w:rFonts w:ascii="Arial" w:cs="Arial" w:eastAsia="Arial" w:hAnsi="Arial"/>
          <w:sz w:val="22"/>
          <w:szCs w:val="22"/>
          <w:color w:val="auto"/>
        </w:rPr>
      </w:pPr>
    </w:p>
    <w:p>
      <w:pPr>
        <w:ind w:firstLine="2600"/>
        <w:spacing w:after="0" w:line="232" w:lineRule="auto"/>
        <w:tabs>
          <w:tab w:leader="none" w:pos="3228" w:val="left"/>
        </w:tabs>
        <w:numPr>
          <w:ilvl w:val="1"/>
          <w:numId w:val="323"/>
        </w:numPr>
        <w:rPr>
          <w:rFonts w:ascii="Arial" w:cs="Arial" w:eastAsia="Arial" w:hAnsi="Arial"/>
          <w:sz w:val="22"/>
          <w:szCs w:val="22"/>
          <w:color w:val="auto"/>
        </w:rPr>
      </w:pPr>
      <w:r>
        <w:rPr>
          <w:rFonts w:ascii="Arial" w:cs="Arial" w:eastAsia="Arial" w:hAnsi="Arial"/>
          <w:sz w:val="22"/>
          <w:szCs w:val="22"/>
          <w:color w:val="auto"/>
        </w:rPr>
        <w:t>Outside Directors and Section 16 Officers, with respect to amounts subject to Subsequent Elections permitted to be made after their termination of service;</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all amounts credited to Participants’ Accounts shall be credited with income, gains and losses as if they were invested in the Income Fund.</w:t>
      </w:r>
    </w:p>
    <w:p>
      <w:pPr>
        <w:spacing w:after="0" w:line="159" w:lineRule="exact"/>
        <w:rPr>
          <w:sz w:val="20"/>
          <w:szCs w:val="20"/>
          <w:color w:val="auto"/>
        </w:rPr>
      </w:pPr>
    </w:p>
    <w:p>
      <w:pPr>
        <w:ind w:left="2860" w:hanging="908"/>
        <w:spacing w:after="0"/>
        <w:tabs>
          <w:tab w:leader="none" w:pos="2860" w:val="left"/>
        </w:tabs>
        <w:numPr>
          <w:ilvl w:val="0"/>
          <w:numId w:val="324"/>
        </w:numPr>
        <w:rPr>
          <w:rFonts w:ascii="Arial" w:cs="Arial" w:eastAsia="Arial" w:hAnsi="Arial"/>
          <w:sz w:val="21"/>
          <w:szCs w:val="21"/>
          <w:color w:val="auto"/>
        </w:rPr>
      </w:pPr>
      <w:r>
        <w:rPr>
          <w:rFonts w:ascii="Arial" w:cs="Arial" w:eastAsia="Arial" w:hAnsi="Arial"/>
          <w:sz w:val="21"/>
          <w:szCs w:val="21"/>
          <w:u w:val="single" w:color="auto"/>
          <w:color w:val="auto"/>
        </w:rPr>
        <w:t>Crediting of Income, Gains, and Losses on Accounts Subject to Investment Restrictions</w:t>
      </w:r>
      <w:r>
        <w:rPr>
          <w:rFonts w:ascii="Arial" w:cs="Arial" w:eastAsia="Arial" w:hAnsi="Arial"/>
          <w:sz w:val="21"/>
          <w:szCs w:val="21"/>
          <w:color w:val="auto"/>
        </w:rPr>
        <w:t>.</w:t>
      </w:r>
    </w:p>
    <w:p>
      <w:pPr>
        <w:spacing w:after="0" w:line="190" w:lineRule="exact"/>
        <w:rPr>
          <w:rFonts w:ascii="Arial" w:cs="Arial" w:eastAsia="Arial" w:hAnsi="Arial"/>
          <w:sz w:val="21"/>
          <w:szCs w:val="21"/>
          <w:color w:val="auto"/>
        </w:rPr>
      </w:pPr>
    </w:p>
    <w:p>
      <w:pPr>
        <w:ind w:left="3240" w:hanging="640"/>
        <w:spacing w:after="0"/>
        <w:tabs>
          <w:tab w:leader="none" w:pos="3240" w:val="left"/>
        </w:tabs>
        <w:numPr>
          <w:ilvl w:val="1"/>
          <w:numId w:val="324"/>
        </w:numPr>
        <w:rPr>
          <w:rFonts w:ascii="Arial" w:cs="Arial" w:eastAsia="Arial" w:hAnsi="Arial"/>
          <w:sz w:val="22"/>
          <w:szCs w:val="22"/>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3896"/>
        <w:spacing w:after="0" w:line="223" w:lineRule="auto"/>
        <w:tabs>
          <w:tab w:leader="none" w:pos="4525" w:val="left"/>
        </w:tabs>
        <w:numPr>
          <w:ilvl w:val="2"/>
          <w:numId w:val="324"/>
        </w:numPr>
        <w:rPr>
          <w:rFonts w:ascii="Arial" w:cs="Arial" w:eastAsia="Arial" w:hAnsi="Arial"/>
          <w:sz w:val="22"/>
          <w:szCs w:val="22"/>
          <w:color w:val="auto"/>
        </w:rPr>
      </w:pPr>
      <w:r>
        <w:rPr>
          <w:rFonts w:ascii="Arial" w:cs="Arial" w:eastAsia="Arial" w:hAnsi="Arial"/>
          <w:sz w:val="22"/>
          <w:szCs w:val="22"/>
          <w:u w:val="single" w:color="auto"/>
          <w:color w:val="auto"/>
        </w:rPr>
        <w:t>Post-Termination Elections</w:t>
      </w:r>
      <w:r>
        <w:rPr>
          <w:rFonts w:ascii="Arial" w:cs="Arial" w:eastAsia="Arial" w:hAnsi="Arial"/>
          <w:sz w:val="22"/>
          <w:szCs w:val="22"/>
          <w:color w:val="auto"/>
        </w:rPr>
        <w:t>. The Accounts of Outside Directors and Section 16 Officers whose Subsequent Elections are made after their termination of service in accordance with Section 3.5(a) shall be credited to an Other Investment Fund.</w:t>
      </w:r>
    </w:p>
    <w:p>
      <w:pPr>
        <w:spacing w:after="0" w:line="158" w:lineRule="exact"/>
        <w:rPr>
          <w:rFonts w:ascii="Arial" w:cs="Arial" w:eastAsia="Arial" w:hAnsi="Arial"/>
          <w:sz w:val="22"/>
          <w:szCs w:val="22"/>
          <w:color w:val="auto"/>
        </w:rPr>
      </w:pPr>
    </w:p>
    <w:p>
      <w:pPr>
        <w:ind w:left="4540" w:hanging="644"/>
        <w:spacing w:after="0"/>
        <w:tabs>
          <w:tab w:leader="none" w:pos="4540" w:val="left"/>
        </w:tabs>
        <w:numPr>
          <w:ilvl w:val="2"/>
          <w:numId w:val="324"/>
        </w:numPr>
        <w:rPr>
          <w:rFonts w:ascii="Arial" w:cs="Arial" w:eastAsia="Arial" w:hAnsi="Arial"/>
          <w:sz w:val="22"/>
          <w:szCs w:val="22"/>
          <w:color w:val="auto"/>
        </w:rPr>
      </w:pPr>
      <w:r>
        <w:rPr>
          <w:rFonts w:ascii="Arial" w:cs="Arial" w:eastAsia="Arial" w:hAnsi="Arial"/>
          <w:sz w:val="22"/>
          <w:szCs w:val="22"/>
          <w:u w:val="single" w:color="auto"/>
          <w:color w:val="auto"/>
        </w:rPr>
        <w:t>Participants Whose Income Fund Exceeds the Income Fund Limit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4544"/>
        <w:spacing w:after="0" w:line="223" w:lineRule="auto"/>
        <w:tabs>
          <w:tab w:leader="none" w:pos="5179" w:val="left"/>
        </w:tabs>
        <w:numPr>
          <w:ilvl w:val="3"/>
          <w:numId w:val="324"/>
        </w:numPr>
        <w:rPr>
          <w:rFonts w:ascii="Arial" w:cs="Arial" w:eastAsia="Arial" w:hAnsi="Arial"/>
          <w:sz w:val="22"/>
          <w:szCs w:val="22"/>
          <w:color w:val="auto"/>
        </w:rPr>
      </w:pPr>
      <w:r>
        <w:rPr>
          <w:rFonts w:ascii="Arial" w:cs="Arial" w:eastAsia="Arial" w:hAnsi="Arial"/>
          <w:sz w:val="22"/>
          <w:szCs w:val="22"/>
          <w:u w:val="single" w:color="auto"/>
          <w:color w:val="auto"/>
        </w:rPr>
        <w:t>Subsequent Election</w:t>
      </w:r>
      <w:r>
        <w:rPr>
          <w:rFonts w:ascii="Arial" w:cs="Arial" w:eastAsia="Arial" w:hAnsi="Arial"/>
          <w:sz w:val="22"/>
          <w:szCs w:val="22"/>
          <w:color w:val="auto"/>
        </w:rPr>
        <w:t>. Amounts subject to a Subsequent Election that takes effect when the amount credited to the Income Fund with respect to a Participant exceeds $100 million shall be deemed invested in an Other Investment Fund.</w:t>
      </w:r>
    </w:p>
    <w:p>
      <w:pPr>
        <w:sectPr>
          <w:pgSz w:w="11900" w:h="16838" w:orient="portrait"/>
          <w:cols w:equalWidth="0" w:num="1">
            <w:col w:w="11240"/>
          </w:cols>
          <w:pgMar w:left="320" w:top="1401" w:right="339" w:bottom="1440" w:gutter="0" w:footer="0" w:header="0"/>
        </w:sectPr>
      </w:pPr>
    </w:p>
    <w:p>
      <w:pPr>
        <w:spacing w:after="0" w:line="375"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subject to Section 5.2(b)(i)(B)(3) or Section Participant exceeds $100 million as of the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left="-384" w:firstLine="384"/>
        <w:spacing w:after="0" w:line="298" w:lineRule="auto"/>
        <w:tabs>
          <w:tab w:leader="none" w:pos="653" w:val="left"/>
        </w:tabs>
        <w:numPr>
          <w:ilvl w:val="0"/>
          <w:numId w:val="325"/>
        </w:numPr>
        <w:rPr>
          <w:rFonts w:ascii="Arial" w:cs="Arial" w:eastAsia="Arial" w:hAnsi="Arial"/>
          <w:sz w:val="19"/>
          <w:szCs w:val="19"/>
          <w:color w:val="auto"/>
        </w:rPr>
      </w:pPr>
      <w:r>
        <w:rPr>
          <w:rFonts w:ascii="Arial" w:cs="Arial" w:eastAsia="Arial" w:hAnsi="Arial"/>
          <w:sz w:val="19"/>
          <w:szCs w:val="19"/>
          <w:u w:val="single" w:color="auto"/>
          <w:color w:val="auto"/>
        </w:rPr>
        <w:t>Year-End Adjustments</w:t>
      </w:r>
      <w:r>
        <w:rPr>
          <w:rFonts w:ascii="Arial" w:cs="Arial" w:eastAsia="Arial" w:hAnsi="Arial"/>
          <w:sz w:val="19"/>
          <w:szCs w:val="19"/>
          <w:color w:val="auto"/>
        </w:rPr>
        <w:t>. Except with respect to Participants who are 5.2(b)(i)(B)(4), if the amount credited to the Income Fund with respect to a</w:t>
      </w:r>
    </w:p>
    <w:p>
      <w:pPr>
        <w:spacing w:after="0" w:line="370" w:lineRule="exact"/>
        <w:rPr>
          <w:sz w:val="20"/>
          <w:szCs w:val="20"/>
          <w:color w:val="auto"/>
        </w:rPr>
      </w:pPr>
    </w:p>
    <w:p>
      <w:pPr>
        <w:sectPr>
          <w:pgSz w:w="11900" w:h="16838" w:orient="portrait"/>
          <w:cols w:equalWidth="0" w:num="2">
            <w:col w:w="4040" w:space="504"/>
            <w:col w:w="6696"/>
          </w:cols>
          <w:pgMar w:left="320" w:top="14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40"/>
          </w:cols>
          <w:pgMar w:left="320" w:top="1401" w:right="339" w:bottom="1440" w:gutter="0" w:footer="0" w:header="0"/>
          <w:type w:val="continuous"/>
        </w:sectPr>
      </w:pPr>
    </w:p>
    <w:bookmarkStart w:id="301" w:name="page302"/>
    <w:bookmarkEnd w:id="301"/>
    <w:p>
      <w:pPr>
        <w:jc w:val="both"/>
        <w:ind w:right="20"/>
        <w:spacing w:after="0" w:line="234" w:lineRule="auto"/>
        <w:rPr>
          <w:sz w:val="20"/>
          <w:szCs w:val="20"/>
          <w:color w:val="auto"/>
        </w:rPr>
      </w:pPr>
      <w:r>
        <w:rPr>
          <w:rFonts w:ascii="Arial" w:cs="Arial" w:eastAsia="Arial" w:hAnsi="Arial"/>
          <w:sz w:val="21"/>
          <w:szCs w:val="21"/>
          <w:color w:val="auto"/>
        </w:rPr>
        <w:t>last day of a Plan Year, the lesser of (x) the amount credited to the Income Fund with respect to such Participant for such Plan Year or (y) the excess of (I) the amount credited to the Income Fund with respect to such Participant as of the last day of such Plan Year over (II) $100 million shall be transferred to an Other Investment Fund as of such last day.</w:t>
      </w:r>
    </w:p>
    <w:p>
      <w:pPr>
        <w:spacing w:after="0" w:line="158" w:lineRule="exact"/>
        <w:rPr>
          <w:sz w:val="20"/>
          <w:szCs w:val="20"/>
          <w:color w:val="auto"/>
        </w:rPr>
      </w:pPr>
    </w:p>
    <w:p>
      <w:pPr>
        <w:jc w:val="both"/>
        <w:ind w:firstLine="4544"/>
        <w:spacing w:after="0" w:line="241" w:lineRule="auto"/>
        <w:tabs>
          <w:tab w:leader="none" w:pos="5179" w:val="left"/>
        </w:tabs>
        <w:numPr>
          <w:ilvl w:val="1"/>
          <w:numId w:val="326"/>
        </w:numPr>
        <w:rPr>
          <w:rFonts w:ascii="Arial" w:cs="Arial" w:eastAsia="Arial" w:hAnsi="Arial"/>
          <w:sz w:val="19"/>
          <w:szCs w:val="19"/>
          <w:color w:val="auto"/>
        </w:rPr>
      </w:pPr>
      <w:r>
        <w:rPr>
          <w:rFonts w:ascii="Arial" w:cs="Arial" w:eastAsia="Arial" w:hAnsi="Arial"/>
          <w:sz w:val="19"/>
          <w:szCs w:val="19"/>
          <w:u w:val="single" w:color="auto"/>
          <w:color w:val="auto"/>
        </w:rPr>
        <w:t>Outside Directors</w:t>
      </w:r>
      <w:r>
        <w:rPr>
          <w:rFonts w:ascii="Arial" w:cs="Arial" w:eastAsia="Arial" w:hAnsi="Arial"/>
          <w:sz w:val="19"/>
          <w:szCs w:val="19"/>
          <w:color w:val="auto"/>
        </w:rPr>
        <w:t>. If an Outside Director’s Income Fund exceeds the Income Fund Limit as of July 31, 2020 and such Outside Director has consented to waive his or her rights with respect to (i) the Applicable Interest Rate applicable to such Outside Director’s Account (including the Protected Account Balance) for purposes of any current or future Initial Elections and Subsequent Elections while such individual is an Outside Director and (ii) the application of Section 10.2 to such Outside Director’s Account, the amount credited to the Outside Director’s Income Fund shall be transferred to an Other Investment Fund as of August 1, 2020, and all amounts credited to the Outside Director’s Account on and after August 1, 2020 shall be deemed invested in an Other Investment Fund. The amount credited to the Income Fund with respect to an individual who has an Account under the Plan and who becomes an Outside Director after August 1, 2020 shall be transferred to an Other Investment Fund as of the first day of the month next following the date such individual becomes an Outside Director, and all amounts credited to the Outside Director’s Account on and after such date shall be deemed invested in an Other Investment 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Outside Director has consented to waive his or her rights with respect to (i) the Applicable Interest Rate applicable to such Outside Director’s Account (including the Protected Account Balance) for purposes of any current or future Initial Elections and Subsequent Elections while such individual is an Outside Director and (ii) the application of Section 10.2 to such Outside Director’s Account).</w:t>
      </w:r>
    </w:p>
    <w:p>
      <w:pPr>
        <w:spacing w:after="0" w:line="168" w:lineRule="exact"/>
        <w:rPr>
          <w:rFonts w:ascii="Arial" w:cs="Arial" w:eastAsia="Arial" w:hAnsi="Arial"/>
          <w:sz w:val="19"/>
          <w:szCs w:val="19"/>
          <w:color w:val="auto"/>
        </w:rPr>
      </w:pPr>
    </w:p>
    <w:p>
      <w:pPr>
        <w:jc w:val="both"/>
        <w:ind w:firstLine="4544"/>
        <w:spacing w:after="0" w:line="218" w:lineRule="auto"/>
        <w:tabs>
          <w:tab w:leader="none" w:pos="5179" w:val="left"/>
        </w:tabs>
        <w:numPr>
          <w:ilvl w:val="1"/>
          <w:numId w:val="326"/>
        </w:numPr>
        <w:rPr>
          <w:rFonts w:ascii="Arial" w:cs="Arial" w:eastAsia="Arial" w:hAnsi="Arial"/>
          <w:sz w:val="21"/>
          <w:szCs w:val="21"/>
          <w:color w:val="auto"/>
        </w:rPr>
      </w:pPr>
      <w:r>
        <w:rPr>
          <w:rFonts w:ascii="Arial" w:cs="Arial" w:eastAsia="Arial" w:hAnsi="Arial"/>
          <w:sz w:val="21"/>
          <w:szCs w:val="21"/>
          <w:u w:val="single" w:color="auto"/>
          <w:color w:val="auto"/>
        </w:rPr>
        <w:t>Covered Participants</w:t>
      </w:r>
      <w:r>
        <w:rPr>
          <w:rFonts w:ascii="Arial" w:cs="Arial" w:eastAsia="Arial" w:hAnsi="Arial"/>
          <w:sz w:val="21"/>
          <w:szCs w:val="21"/>
          <w:color w:val="auto"/>
        </w:rPr>
        <w:t>. If a Covered Participant’s Income Fund exceeds the Income Fund Limit as of February 28, 2021 and such Covered Participant has consented to waive his or her rights with respect to (i) the Applicable Interest Rate applicable to such Covered Participant’s Account (including the Protected Account Balance) for purposes of any current or future Initial Elections and Subsequent Elections while such individual is a Covered Participant and (ii) the application of Section 10.2 to such Covered Participant’s Account, the amount credited to the Covered Participant’s Income Fund shall be transferred to an Other Investment Fund as of March 1, 2021, and all amounts credited to the Covered Participant’s Account on and after March 1, 2021 shall be deemed invested in an Other Investment Fund. The amount credited to the Income Fund with respect to an individual who has an Account under the Plan and who becomes a Covered Participant after February 28, 2021 shall be transferred to an Other Investment Fund as of the first day of the month next following the date such individual becomes a Covered Participant, and all amounts credited to the Covered Participant’s Account on and after such date shall be deemed invested in an Other Investment Fund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Covered Participant has consented to waive his or her rights with respect to (i) the Applicable Interest Rate applicable to such Covered Participant’s Account (including the Protected Account Balance) for purposes of any current or future Initial Elections and Subsequent Elections while such individual is a Covered Participant and (ii) the application of Section 10.2 to such Covered Participant’s Account).</w:t>
      </w:r>
    </w:p>
    <w:p>
      <w:pPr>
        <w:spacing w:after="0" w:line="165" w:lineRule="exact"/>
        <w:rPr>
          <w:rFonts w:ascii="Arial" w:cs="Arial" w:eastAsia="Arial" w:hAnsi="Arial"/>
          <w:sz w:val="21"/>
          <w:szCs w:val="21"/>
          <w:color w:val="auto"/>
        </w:rPr>
      </w:pPr>
    </w:p>
    <w:p>
      <w:pPr>
        <w:jc w:val="both"/>
        <w:ind w:firstLine="3896"/>
        <w:spacing w:after="0" w:line="229" w:lineRule="auto"/>
        <w:tabs>
          <w:tab w:leader="none" w:pos="4527" w:val="left"/>
        </w:tabs>
        <w:numPr>
          <w:ilvl w:val="0"/>
          <w:numId w:val="327"/>
        </w:numPr>
        <w:rPr>
          <w:rFonts w:ascii="Arial" w:cs="Arial" w:eastAsia="Arial" w:hAnsi="Arial"/>
          <w:sz w:val="21"/>
          <w:szCs w:val="21"/>
          <w:color w:val="auto"/>
        </w:rPr>
      </w:pPr>
      <w:r>
        <w:rPr>
          <w:rFonts w:ascii="Arial" w:cs="Arial" w:eastAsia="Arial" w:hAnsi="Arial"/>
          <w:sz w:val="21"/>
          <w:szCs w:val="21"/>
          <w:u w:val="single" w:color="auto"/>
          <w:color w:val="auto"/>
        </w:rPr>
        <w:t>Section 16 Officers</w:t>
      </w:r>
      <w:r>
        <w:rPr>
          <w:rFonts w:ascii="Arial" w:cs="Arial" w:eastAsia="Arial" w:hAnsi="Arial"/>
          <w:sz w:val="21"/>
          <w:szCs w:val="21"/>
          <w:color w:val="auto"/>
        </w:rPr>
        <w:t>. Pursuant to rules established by the Administrator or its delegate, a Section 16 Officer may elect to (x) transfer amounts credited to their Account that are deemed to be invested in the Income Fund to an Other Investment Fund, or (y) transfer amounts credited to their Account that are deemed to be invested in an Other Investment Fund to the Income Fund to the extent that immediately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01" w:right="339" w:bottom="1440" w:gutter="0" w:footer="0" w:header="0"/>
        </w:sectPr>
      </w:pPr>
    </w:p>
    <w:bookmarkStart w:id="302" w:name="page303"/>
    <w:bookmarkEnd w:id="302"/>
    <w:p>
      <w:pPr>
        <w:spacing w:after="0"/>
        <w:rPr>
          <w:sz w:val="20"/>
          <w:szCs w:val="20"/>
          <w:color w:val="auto"/>
        </w:rPr>
      </w:pPr>
      <w:r>
        <w:rPr>
          <w:rFonts w:ascii="Arial" w:cs="Arial" w:eastAsia="Arial" w:hAnsi="Arial"/>
          <w:sz w:val="21"/>
          <w:szCs w:val="21"/>
          <w:color w:val="auto"/>
        </w:rPr>
        <w:t>such transfer, the amount credited to such Section 16 Officer’s Income Fund does not exceed the Income Fund Limit.</w:t>
      </w:r>
    </w:p>
    <w:p>
      <w:pPr>
        <w:spacing w:after="0" w:line="191" w:lineRule="exact"/>
        <w:rPr>
          <w:sz w:val="20"/>
          <w:szCs w:val="20"/>
          <w:color w:val="auto"/>
        </w:rPr>
      </w:pPr>
    </w:p>
    <w:p>
      <w:pPr>
        <w:jc w:val="both"/>
        <w:ind w:firstLine="2600"/>
        <w:spacing w:after="0" w:line="220" w:lineRule="auto"/>
        <w:tabs>
          <w:tab w:leader="none" w:pos="3234" w:val="left"/>
        </w:tabs>
        <w:numPr>
          <w:ilvl w:val="1"/>
          <w:numId w:val="328"/>
        </w:numPr>
        <w:rPr>
          <w:rFonts w:ascii="Arial" w:cs="Arial" w:eastAsia="Arial" w:hAnsi="Arial"/>
          <w:sz w:val="21"/>
          <w:szCs w:val="21"/>
          <w:color w:val="auto"/>
        </w:rPr>
      </w:pPr>
      <w:r>
        <w:rPr>
          <w:rFonts w:ascii="Arial" w:cs="Arial" w:eastAsia="Arial" w:hAnsi="Arial"/>
          <w:sz w:val="21"/>
          <w:szCs w:val="21"/>
          <w:u w:val="single" w:color="auto"/>
          <w:color w:val="auto"/>
        </w:rPr>
        <w:t>Protocol for Deemed Transfers between Income Fund and an Other Investment Fund</w:t>
      </w:r>
      <w:r>
        <w:rPr>
          <w:rFonts w:ascii="Arial" w:cs="Arial" w:eastAsia="Arial" w:hAnsi="Arial"/>
          <w:sz w:val="21"/>
          <w:szCs w:val="21"/>
          <w:color w:val="auto"/>
        </w:rPr>
        <w:t>. As provided in Article III, the timing of distributions of amounts credited to a Participant’s Account is established pursuant to Initial Elections and Subsequent Elections, and a Participant may elect various distribution dates for amounts subject to Initial Elections and Subsequent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162" w:lineRule="exact"/>
        <w:rPr>
          <w:rFonts w:ascii="Arial" w:cs="Arial" w:eastAsia="Arial" w:hAnsi="Arial"/>
          <w:sz w:val="21"/>
          <w:szCs w:val="21"/>
          <w:color w:val="auto"/>
        </w:rPr>
      </w:pPr>
    </w:p>
    <w:p>
      <w:pPr>
        <w:jc w:val="both"/>
        <w:ind w:firstLine="1952"/>
        <w:spacing w:after="0" w:line="211" w:lineRule="auto"/>
        <w:tabs>
          <w:tab w:leader="none" w:pos="3156" w:val="left"/>
        </w:tabs>
        <w:numPr>
          <w:ilvl w:val="0"/>
          <w:numId w:val="329"/>
        </w:numPr>
        <w:rPr>
          <w:rFonts w:ascii="Arial" w:cs="Arial" w:eastAsia="Arial" w:hAnsi="Arial"/>
          <w:sz w:val="22"/>
          <w:szCs w:val="22"/>
          <w:color w:val="auto"/>
        </w:rPr>
      </w:pPr>
      <w:r>
        <w:rPr>
          <w:rFonts w:ascii="Arial" w:cs="Arial" w:eastAsia="Arial" w:hAnsi="Arial"/>
          <w:sz w:val="22"/>
          <w:szCs w:val="22"/>
          <w:u w:val="single" w:color="auto"/>
          <w:color w:val="auto"/>
        </w:rPr>
        <w:t>Stock Fund Credits</w:t>
      </w:r>
      <w:r>
        <w:rPr>
          <w:rFonts w:ascii="Arial" w:cs="Arial" w:eastAsia="Arial" w:hAnsi="Arial"/>
          <w:sz w:val="22"/>
          <w:szCs w:val="22"/>
          <w:color w:val="auto"/>
        </w:rPr>
        <w:t>. Amounts credited to the Accounts of Outside Directors, Covered Participants, and High Balance Participants in the form of Company Stock shall be credited with income, gains, and losses as if they were invested in the Company Stock Fund. Except as otherwise provided with respect to Section 16 Officers pursuant to Section 5.2(b)(i)(C)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Outside Directors and (ii) Participants under circumstances described in Section 5.2(a)(vi) shall be distributed in the form of Company Stock, rounded to the nearest lower whole share.</w:t>
      </w:r>
    </w:p>
    <w:p>
      <w:pPr>
        <w:spacing w:after="0" w:line="164" w:lineRule="exact"/>
        <w:rPr>
          <w:rFonts w:ascii="Arial" w:cs="Arial" w:eastAsia="Arial" w:hAnsi="Arial"/>
          <w:sz w:val="22"/>
          <w:szCs w:val="22"/>
          <w:color w:val="auto"/>
        </w:rPr>
      </w:pPr>
    </w:p>
    <w:p>
      <w:pPr>
        <w:jc w:val="both"/>
        <w:ind w:firstLine="1952"/>
        <w:spacing w:after="0" w:line="219" w:lineRule="auto"/>
        <w:tabs>
          <w:tab w:leader="none" w:pos="2587" w:val="left"/>
        </w:tabs>
        <w:numPr>
          <w:ilvl w:val="0"/>
          <w:numId w:val="329"/>
        </w:numPr>
        <w:rPr>
          <w:rFonts w:ascii="Arial" w:cs="Arial" w:eastAsia="Arial" w:hAnsi="Arial"/>
          <w:sz w:val="21"/>
          <w:szCs w:val="21"/>
          <w:color w:val="auto"/>
        </w:rPr>
      </w:pPr>
      <w:r>
        <w:rPr>
          <w:rFonts w:ascii="Arial" w:cs="Arial" w:eastAsia="Arial" w:hAnsi="Arial"/>
          <w:sz w:val="21"/>
          <w:szCs w:val="21"/>
          <w:u w:val="single" w:color="auto"/>
          <w:color w:val="auto"/>
        </w:rPr>
        <w:t>Timing of Credits</w:t>
      </w:r>
      <w:r>
        <w:rPr>
          <w:rFonts w:ascii="Arial" w:cs="Arial" w:eastAsia="Arial" w:hAnsi="Arial"/>
          <w:sz w:val="21"/>
          <w:szCs w:val="21"/>
          <w:color w:val="auto"/>
        </w:rPr>
        <w:t>. Except as otherwise provided in this Section 5.2,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(5)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spacing w:after="0" w:line="168" w:lineRule="exact"/>
        <w:rPr>
          <w:sz w:val="20"/>
          <w:szCs w:val="20"/>
          <w:color w:val="auto"/>
        </w:rPr>
      </w:pPr>
    </w:p>
    <w:p>
      <w:pPr>
        <w:jc w:val="both"/>
        <w:ind w:right="20" w:firstLine="1296"/>
        <w:spacing w:after="0" w:line="29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Status of Deferred Amounts</w:t>
      </w:r>
      <w:r>
        <w:rPr>
          <w:rFonts w:ascii="Arial" w:cs="Arial" w:eastAsia="Arial" w:hAnsi="Arial"/>
          <w:sz w:val="19"/>
          <w:szCs w:val="19"/>
          <w:color w:val="auto"/>
        </w:rPr>
        <w:t>. Regardless of whether or not the Company is a Participant’s employer, all Compensation deferred under this Plan shall continue for all purposes to be a part of the general funds of the Company.</w:t>
      </w:r>
    </w:p>
    <w:p>
      <w:pPr>
        <w:spacing w:after="0" w:line="10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Participants’ Status as General Creditors</w:t>
      </w:r>
      <w:r>
        <w:rPr>
          <w:rFonts w:ascii="Arial" w:cs="Arial" w:eastAsia="Arial" w:hAnsi="Arial"/>
          <w:sz w:val="19"/>
          <w:szCs w:val="19"/>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1" w:right="339" w:bottom="1440" w:gutter="0" w:footer="0" w:header="0"/>
        </w:sectPr>
      </w:pPr>
    </w:p>
    <w:bookmarkStart w:id="303" w:name="page304"/>
    <w:bookmarkEnd w:id="303"/>
    <w:p>
      <w:pPr>
        <w:jc w:val="both"/>
        <w:spacing w:after="0" w:line="223" w:lineRule="auto"/>
        <w:rPr>
          <w:sz w:val="20"/>
          <w:szCs w:val="20"/>
          <w:color w:val="auto"/>
        </w:rPr>
      </w:pPr>
      <w:r>
        <w:rPr>
          <w:rFonts w:ascii="Arial" w:cs="Arial" w:eastAsia="Arial" w:hAnsi="Arial"/>
          <w:sz w:val="22"/>
          <w:szCs w:val="22"/>
          <w:color w:val="auto"/>
        </w:rPr>
        <w:t>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6 </w:t>
      </w:r>
      <w:r>
        <w:rPr>
          <w:rFonts w:ascii="Arial" w:cs="Arial" w:eastAsia="Arial" w:hAnsi="Arial"/>
          <w:sz w:val="22"/>
          <w:szCs w:val="22"/>
          <w:color w:val="auto"/>
        </w:rPr>
        <w:t>–</w:t>
      </w:r>
      <w:r>
        <w:rPr>
          <w:rFonts w:ascii="Arial" w:cs="Arial" w:eastAsia="Arial" w:hAnsi="Arial"/>
          <w:sz w:val="22"/>
          <w:szCs w:val="22"/>
          <w:b w:val="1"/>
          <w:bCs w:val="1"/>
          <w:color w:val="auto"/>
        </w:rPr>
        <w:t xml:space="preserve"> NO ALIENATION OF BENEFITS; PAYEE DESIGNATION</w:t>
      </w:r>
    </w:p>
    <w:p>
      <w:pPr>
        <w:spacing w:after="0" w:line="18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Non-Alienation</w:t>
      </w:r>
      <w:r>
        <w:rPr>
          <w:rFonts w:ascii="Arial" w:cs="Arial" w:eastAsia="Arial" w:hAnsi="Arial"/>
          <w:sz w:val="22"/>
          <w:szCs w:val="22"/>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58"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Domestic Relations Orders</w:t>
      </w:r>
      <w:r>
        <w:rPr>
          <w:rFonts w:ascii="Arial" w:cs="Arial" w:eastAsia="Arial" w:hAnsi="Arial"/>
          <w:sz w:val="21"/>
          <w:szCs w:val="21"/>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6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Payee Designation</w:t>
      </w:r>
      <w:r>
        <w:rPr>
          <w:rFonts w:ascii="Arial" w:cs="Arial" w:eastAsia="Arial" w:hAnsi="Arial"/>
          <w:sz w:val="19"/>
          <w:szCs w:val="19"/>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 – DEATH OF PARTICIPANT</w:t>
      </w:r>
    </w:p>
    <w:p>
      <w:pPr>
        <w:spacing w:after="0" w:line="18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Death of Participant</w:t>
      </w:r>
      <w:r>
        <w:rPr>
          <w:rFonts w:ascii="Arial" w:cs="Arial" w:eastAsia="Arial" w:hAnsi="Arial"/>
          <w:sz w:val="22"/>
          <w:szCs w:val="22"/>
          <w:color w:val="auto"/>
        </w:rPr>
        <w:t>. Except as otherwise provided in Section 3.5, a Deceased Participant’s Account shall be distributed in accordance with the last Initial Election or Subsequent Election made by the Deceased Participant before the Deceased Participant’s death.</w:t>
      </w:r>
    </w:p>
    <w:p>
      <w:pPr>
        <w:spacing w:after="0" w:line="15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Designation of Beneficiaries</w:t>
      </w:r>
      <w:r>
        <w:rPr>
          <w:rFonts w:ascii="Arial" w:cs="Arial" w:eastAsia="Arial" w:hAnsi="Arial"/>
          <w:sz w:val="21"/>
          <w:szCs w:val="21"/>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1" w:right="339" w:bottom="1440" w:gutter="0" w:footer="0" w:header="0"/>
        </w:sectPr>
      </w:pPr>
    </w:p>
    <w:bookmarkStart w:id="304" w:name="page305"/>
    <w:bookmarkEnd w:id="304"/>
    <w:p>
      <w:pPr>
        <w:spacing w:after="0"/>
        <w:rPr>
          <w:sz w:val="20"/>
          <w:szCs w:val="20"/>
          <w:color w:val="auto"/>
        </w:rPr>
      </w:pPr>
      <w:r>
        <w:rPr>
          <w:rFonts w:ascii="Arial" w:cs="Arial" w:eastAsia="Arial" w:hAnsi="Arial"/>
          <w:sz w:val="22"/>
          <w:szCs w:val="22"/>
          <w:color w:val="auto"/>
        </w:rPr>
        <w:t>Participants (or Beneficiary’s) Beneficiary designation shall be the Participant’s (or Beneficiary’s) estate.</w:t>
      </w:r>
    </w:p>
    <w:p>
      <w:pPr>
        <w:spacing w:after="0" w:line="173"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ARTICLE 8 – HARDSHIP AND OTHER ACCELERATION EVENTS</w:t>
      </w:r>
    </w:p>
    <w:p>
      <w:pPr>
        <w:spacing w:after="0" w:line="18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Election or Subsequent Election, distribution of all or part of a Participant’s Account may be made:</w:t>
      </w:r>
    </w:p>
    <w:p>
      <w:pPr>
        <w:spacing w:after="0" w:line="159" w:lineRule="exact"/>
        <w:rPr>
          <w:sz w:val="20"/>
          <w:szCs w:val="20"/>
          <w:color w:val="auto"/>
        </w:rPr>
      </w:pPr>
    </w:p>
    <w:p>
      <w:pPr>
        <w:ind w:firstLine="1952"/>
        <w:spacing w:after="0" w:line="232" w:lineRule="auto"/>
        <w:tabs>
          <w:tab w:leader="none" w:pos="2655" w:val="left"/>
        </w:tabs>
        <w:numPr>
          <w:ilvl w:val="1"/>
          <w:numId w:val="330"/>
        </w:numPr>
        <w:rPr>
          <w:rFonts w:ascii="Arial" w:cs="Arial" w:eastAsia="Arial" w:hAnsi="Arial"/>
          <w:sz w:val="22"/>
          <w:szCs w:val="22"/>
          <w:color w:val="auto"/>
        </w:rPr>
      </w:pPr>
      <w:r>
        <w:rPr>
          <w:rFonts w:ascii="Arial" w:cs="Arial" w:eastAsia="Arial" w:hAnsi="Arial"/>
          <w:sz w:val="22"/>
          <w:szCs w:val="22"/>
          <w:color w:val="auto"/>
        </w:rPr>
        <w:t>To fulfill a domestic relations order (as defined in section 414(p)(1)(B) of the Code) to the extent permitted by Treasury Regulations section 1.409A-3(j)(4)(ii) or any successor provision of law).</w:t>
      </w:r>
    </w:p>
    <w:p>
      <w:pPr>
        <w:spacing w:after="0" w:line="158" w:lineRule="exact"/>
        <w:rPr>
          <w:rFonts w:ascii="Arial" w:cs="Arial" w:eastAsia="Arial" w:hAnsi="Arial"/>
          <w:sz w:val="22"/>
          <w:szCs w:val="22"/>
          <w:color w:val="auto"/>
        </w:rPr>
      </w:pPr>
    </w:p>
    <w:p>
      <w:pPr>
        <w:ind w:firstLine="1952"/>
        <w:spacing w:after="0" w:line="232" w:lineRule="auto"/>
        <w:tabs>
          <w:tab w:leader="none" w:pos="2682" w:val="left"/>
        </w:tabs>
        <w:numPr>
          <w:ilvl w:val="1"/>
          <w:numId w:val="330"/>
        </w:numPr>
        <w:rPr>
          <w:rFonts w:ascii="Arial" w:cs="Arial" w:eastAsia="Arial" w:hAnsi="Arial"/>
          <w:sz w:val="22"/>
          <w:szCs w:val="22"/>
          <w:color w:val="auto"/>
        </w:rPr>
      </w:pPr>
      <w:r>
        <w:rPr>
          <w:rFonts w:ascii="Arial" w:cs="Arial" w:eastAsia="Arial" w:hAnsi="Arial"/>
          <w:sz w:val="22"/>
          <w:szCs w:val="22"/>
          <w:color w:val="auto"/>
        </w:rPr>
        <w:t>To the extent necessary to comply with laws relating to avoidance of conflicts of interest, as provided in Treasury Regulation section 1.409A-3(j)(4)(iii) (or any successor provision of law).</w:t>
      </w:r>
    </w:p>
    <w:p>
      <w:pPr>
        <w:spacing w:after="0" w:line="158" w:lineRule="exact"/>
        <w:rPr>
          <w:rFonts w:ascii="Arial" w:cs="Arial" w:eastAsia="Arial" w:hAnsi="Arial"/>
          <w:sz w:val="22"/>
          <w:szCs w:val="22"/>
          <w:color w:val="auto"/>
        </w:rPr>
      </w:pPr>
    </w:p>
    <w:p>
      <w:pPr>
        <w:ind w:left="2680" w:hanging="728"/>
        <w:spacing w:after="0"/>
        <w:tabs>
          <w:tab w:leader="none" w:pos="2680" w:val="left"/>
        </w:tabs>
        <w:numPr>
          <w:ilvl w:val="1"/>
          <w:numId w:val="330"/>
        </w:numPr>
        <w:rPr>
          <w:rFonts w:ascii="Arial" w:cs="Arial" w:eastAsia="Arial" w:hAnsi="Arial"/>
          <w:sz w:val="19"/>
          <w:szCs w:val="19"/>
          <w:color w:val="auto"/>
        </w:rPr>
      </w:pPr>
      <w:r>
        <w:rPr>
          <w:rFonts w:ascii="Arial" w:cs="Arial" w:eastAsia="Arial" w:hAnsi="Arial"/>
          <w:sz w:val="19"/>
          <w:szCs w:val="19"/>
          <w:color w:val="auto"/>
        </w:rPr>
        <w:t>To pay employment taxes to the extent permitted by Treasury Regulation section 1.409A-3(j)(4)</w:t>
      </w:r>
    </w:p>
    <w:p>
      <w:pPr>
        <w:spacing w:after="0" w:line="15" w:lineRule="exact"/>
        <w:rPr>
          <w:rFonts w:ascii="Arial" w:cs="Arial" w:eastAsia="Arial" w:hAnsi="Arial"/>
          <w:sz w:val="19"/>
          <w:szCs w:val="19"/>
          <w:color w:val="auto"/>
        </w:rPr>
      </w:pPr>
    </w:p>
    <w:p>
      <w:pPr>
        <w:ind w:left="380" w:hanging="372"/>
        <w:spacing w:after="0"/>
        <w:tabs>
          <w:tab w:leader="none" w:pos="380" w:val="left"/>
        </w:tabs>
        <w:numPr>
          <w:ilvl w:val="0"/>
          <w:numId w:val="331"/>
        </w:numPr>
        <w:rPr>
          <w:rFonts w:ascii="Arial" w:cs="Arial" w:eastAsia="Arial" w:hAnsi="Arial"/>
          <w:sz w:val="22"/>
          <w:szCs w:val="22"/>
          <w:color w:val="auto"/>
        </w:rPr>
      </w:pPr>
      <w:r>
        <w:rPr>
          <w:rFonts w:ascii="Arial" w:cs="Arial" w:eastAsia="Arial" w:hAnsi="Arial"/>
          <w:sz w:val="22"/>
          <w:szCs w:val="22"/>
          <w:color w:val="auto"/>
        </w:rPr>
        <w:t>(or any successor provision of law).</w:t>
      </w:r>
    </w:p>
    <w:p>
      <w:pPr>
        <w:spacing w:after="0" w:line="161" w:lineRule="exact"/>
        <w:rPr>
          <w:rFonts w:ascii="Arial" w:cs="Arial" w:eastAsia="Arial" w:hAnsi="Arial"/>
          <w:sz w:val="22"/>
          <w:szCs w:val="22"/>
          <w:color w:val="auto"/>
        </w:rPr>
      </w:pPr>
    </w:p>
    <w:p>
      <w:pPr>
        <w:ind w:firstLine="1952"/>
        <w:spacing w:after="0" w:line="247" w:lineRule="auto"/>
        <w:tabs>
          <w:tab w:leader="none" w:pos="2673" w:val="left"/>
        </w:tabs>
        <w:numPr>
          <w:ilvl w:val="1"/>
          <w:numId w:val="331"/>
        </w:numPr>
        <w:rPr>
          <w:rFonts w:ascii="Arial" w:cs="Arial" w:eastAsia="Arial" w:hAnsi="Arial"/>
          <w:sz w:val="21"/>
          <w:szCs w:val="21"/>
          <w:color w:val="auto"/>
        </w:rPr>
      </w:pPr>
      <w:r>
        <w:rPr>
          <w:rFonts w:ascii="Arial" w:cs="Arial" w:eastAsia="Arial" w:hAnsi="Arial"/>
          <w:sz w:val="21"/>
          <w:szCs w:val="21"/>
          <w:color w:val="auto"/>
        </w:rPr>
        <w:t>In connection with the recognition of income as the result of a failure to comply with Section 409A, to the extent permitted by Treasury Regulation section 1.409A-3(j)(4)(vii) (or any successor provision of law).</w:t>
      </w:r>
    </w:p>
    <w:p>
      <w:pPr>
        <w:spacing w:after="0" w:line="150" w:lineRule="exact"/>
        <w:rPr>
          <w:rFonts w:ascii="Arial" w:cs="Arial" w:eastAsia="Arial" w:hAnsi="Arial"/>
          <w:sz w:val="21"/>
          <w:szCs w:val="21"/>
          <w:color w:val="auto"/>
        </w:rPr>
      </w:pPr>
    </w:p>
    <w:p>
      <w:pPr>
        <w:ind w:firstLine="1952"/>
        <w:spacing w:after="0" w:line="232" w:lineRule="auto"/>
        <w:tabs>
          <w:tab w:leader="none" w:pos="2648" w:val="left"/>
        </w:tabs>
        <w:numPr>
          <w:ilvl w:val="1"/>
          <w:numId w:val="331"/>
        </w:numPr>
        <w:rPr>
          <w:rFonts w:ascii="Arial" w:cs="Arial" w:eastAsia="Arial" w:hAnsi="Arial"/>
          <w:sz w:val="22"/>
          <w:szCs w:val="22"/>
          <w:color w:val="auto"/>
        </w:rPr>
      </w:pPr>
      <w:r>
        <w:rPr>
          <w:rFonts w:ascii="Arial" w:cs="Arial" w:eastAsia="Arial" w:hAnsi="Arial"/>
          <w:sz w:val="22"/>
          <w:szCs w:val="22"/>
          <w:color w:val="auto"/>
        </w:rPr>
        <w:t>To pay state, local or foreign taxes to the extent permitted by Treasury Regulation section 1.409A-3(j)(4)(xi) (or any successor provision of law).</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652" w:val="left"/>
        </w:tabs>
        <w:numPr>
          <w:ilvl w:val="1"/>
          <w:numId w:val="331"/>
        </w:numPr>
        <w:rPr>
          <w:rFonts w:ascii="Arial" w:cs="Arial" w:eastAsia="Arial" w:hAnsi="Arial"/>
          <w:sz w:val="22"/>
          <w:szCs w:val="22"/>
          <w:color w:val="auto"/>
        </w:rPr>
      </w:pPr>
      <w:r>
        <w:rPr>
          <w:rFonts w:ascii="Arial" w:cs="Arial" w:eastAsia="Arial" w:hAnsi="Arial"/>
          <w:sz w:val="22"/>
          <w:szCs w:val="22"/>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58" w:lineRule="exact"/>
        <w:rPr>
          <w:rFonts w:ascii="Arial" w:cs="Arial" w:eastAsia="Arial" w:hAnsi="Arial"/>
          <w:sz w:val="22"/>
          <w:szCs w:val="22"/>
          <w:color w:val="auto"/>
        </w:rPr>
      </w:pPr>
    </w:p>
    <w:p>
      <w:pPr>
        <w:ind w:firstLine="1952"/>
        <w:spacing w:after="0" w:line="232" w:lineRule="auto"/>
        <w:tabs>
          <w:tab w:leader="none" w:pos="2693" w:val="left"/>
        </w:tabs>
        <w:numPr>
          <w:ilvl w:val="1"/>
          <w:numId w:val="331"/>
        </w:numPr>
        <w:rPr>
          <w:rFonts w:ascii="Arial" w:cs="Arial" w:eastAsia="Arial" w:hAnsi="Arial"/>
          <w:sz w:val="22"/>
          <w:szCs w:val="22"/>
          <w:color w:val="auto"/>
        </w:rPr>
      </w:pPr>
      <w:r>
        <w:rPr>
          <w:rFonts w:ascii="Arial" w:cs="Arial" w:eastAsia="Arial" w:hAnsi="Arial"/>
          <w:sz w:val="22"/>
          <w:szCs w:val="22"/>
          <w:color w:val="auto"/>
        </w:rPr>
        <w:t>In connection with a bona fide dispute as to a Participant’s right to payment, to the extent permitted by Treasury Regulation section 1.409A-3(j)(4)(xiv) (or any successor provision of law).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9 </w:t>
      </w:r>
      <w:r>
        <w:rPr>
          <w:rFonts w:ascii="Arial" w:cs="Arial" w:eastAsia="Arial" w:hAnsi="Arial"/>
          <w:sz w:val="22"/>
          <w:szCs w:val="22"/>
          <w:color w:val="auto"/>
        </w:rPr>
        <w:t>–</w:t>
      </w:r>
      <w:r>
        <w:rPr>
          <w:rFonts w:ascii="Arial" w:cs="Arial" w:eastAsia="Arial" w:hAnsi="Arial"/>
          <w:sz w:val="22"/>
          <w:szCs w:val="22"/>
          <w:b w:val="1"/>
          <w:bCs w:val="1"/>
          <w:color w:val="auto"/>
        </w:rPr>
        <w:t xml:space="preserve"> INTERPRETATION</w:t>
      </w:r>
    </w:p>
    <w:p>
      <w:pPr>
        <w:spacing w:after="0" w:line="18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Authority of Committee</w:t>
      </w:r>
      <w:r>
        <w:rPr>
          <w:rFonts w:ascii="Arial" w:cs="Arial" w:eastAsia="Arial" w:hAnsi="Arial"/>
          <w:sz w:val="22"/>
          <w:szCs w:val="22"/>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Claims Procedure</w:t>
      </w:r>
      <w:r>
        <w:rPr>
          <w:rFonts w:ascii="Arial" w:cs="Arial" w:eastAsia="Arial" w:hAnsi="Arial"/>
          <w:sz w:val="19"/>
          <w:szCs w:val="19"/>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01" w:right="339" w:bottom="1440" w:gutter="0" w:footer="0" w:header="0"/>
        </w:sectPr>
      </w:pPr>
    </w:p>
    <w:bookmarkStart w:id="305" w:name="page306"/>
    <w:bookmarkEnd w:id="305"/>
    <w:p>
      <w:pPr>
        <w:ind w:left="1300"/>
        <w:spacing w:after="0"/>
        <w:rPr>
          <w:sz w:val="20"/>
          <w:szCs w:val="20"/>
          <w:color w:val="auto"/>
        </w:rPr>
      </w:pPr>
      <w:r>
        <w:rPr>
          <w:rFonts w:ascii="Arial" w:cs="Arial" w:eastAsia="Arial" w:hAnsi="Arial"/>
          <w:sz w:val="19"/>
          <w:szCs w:val="19"/>
          <w:color w:val="auto"/>
        </w:rPr>
        <w:t>An Applicant may file a claim for benefits with the Administrator on a form supplied by the Administrator. If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Administrator wholly or partially denies a claim, the Administrator shall provide the Applicant with a written notice stating:</w:t>
      </w:r>
    </w:p>
    <w:p>
      <w:pPr>
        <w:spacing w:after="0" w:line="173" w:lineRule="exact"/>
        <w:rPr>
          <w:sz w:val="20"/>
          <w:szCs w:val="20"/>
          <w:color w:val="auto"/>
        </w:rPr>
      </w:pPr>
    </w:p>
    <w:p>
      <w:pPr>
        <w:ind w:left="2600" w:hanging="648"/>
        <w:spacing w:after="0"/>
        <w:tabs>
          <w:tab w:leader="none" w:pos="2600" w:val="left"/>
        </w:tabs>
        <w:numPr>
          <w:ilvl w:val="0"/>
          <w:numId w:val="332"/>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179" w:lineRule="exact"/>
        <w:rPr>
          <w:rFonts w:ascii="Arial" w:cs="Arial" w:eastAsia="Arial" w:hAnsi="Arial"/>
          <w:sz w:val="22"/>
          <w:szCs w:val="22"/>
          <w:color w:val="auto"/>
        </w:rPr>
      </w:pPr>
    </w:p>
    <w:p>
      <w:pPr>
        <w:ind w:left="2600" w:hanging="648"/>
        <w:spacing w:after="0"/>
        <w:tabs>
          <w:tab w:leader="none" w:pos="2600" w:val="left"/>
        </w:tabs>
        <w:numPr>
          <w:ilvl w:val="0"/>
          <w:numId w:val="332"/>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179" w:lineRule="exact"/>
        <w:rPr>
          <w:rFonts w:ascii="Arial" w:cs="Arial" w:eastAsia="Arial" w:hAnsi="Arial"/>
          <w:sz w:val="22"/>
          <w:szCs w:val="22"/>
          <w:color w:val="auto"/>
        </w:rPr>
      </w:pPr>
    </w:p>
    <w:p>
      <w:pPr>
        <w:ind w:firstLine="1952"/>
        <w:spacing w:after="0" w:line="232" w:lineRule="auto"/>
        <w:tabs>
          <w:tab w:leader="none" w:pos="2589" w:val="left"/>
        </w:tabs>
        <w:numPr>
          <w:ilvl w:val="0"/>
          <w:numId w:val="332"/>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Applicant to perfect the claim and an explanation of why such material or information is necessary; and</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0"/>
          <w:numId w:val="332"/>
        </w:numPr>
        <w:rPr>
          <w:rFonts w:ascii="Arial" w:cs="Arial" w:eastAsia="Arial" w:hAnsi="Arial"/>
          <w:sz w:val="22"/>
          <w:szCs w:val="22"/>
          <w:color w:val="auto"/>
        </w:rPr>
      </w:pPr>
      <w:r>
        <w:rPr>
          <w:rFonts w:ascii="Arial" w:cs="Arial" w:eastAsia="Arial" w:hAnsi="Arial"/>
          <w:sz w:val="22"/>
          <w:szCs w:val="22"/>
          <w:color w:val="auto"/>
        </w:rPr>
        <w:t>Appropriate information as to the steps to be taken in order to submit a claim for review.</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59"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6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Claims for benefits under the Plan must be filed with the Administrator at the following address: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auto"/>
        <w:rPr>
          <w:sz w:val="20"/>
          <w:szCs w:val="20"/>
          <w:color w:val="auto"/>
        </w:rPr>
      </w:pPr>
      <w:r>
        <w:rPr>
          <w:rFonts w:ascii="Arial" w:cs="Arial" w:eastAsia="Arial" w:hAnsi="Arial"/>
          <w:sz w:val="22"/>
          <w:szCs w:val="22"/>
          <w:color w:val="auto"/>
        </w:rPr>
        <w:t>One Comcast Center</w:t>
      </w:r>
    </w:p>
    <w:p>
      <w:pPr>
        <w:spacing w:after="0" w:line="205" w:lineRule="auto"/>
        <w:rPr>
          <w:sz w:val="20"/>
          <w:szCs w:val="20"/>
          <w:color w:val="auto"/>
        </w:rPr>
      </w:pPr>
      <w:r>
        <w:rPr>
          <w:rFonts w:ascii="Arial" w:cs="Arial" w:eastAsia="Arial" w:hAnsi="Arial"/>
          <w:sz w:val="22"/>
          <w:szCs w:val="22"/>
          <w:color w:val="auto"/>
        </w:rPr>
        <w:t>1701 John F. Kennedy Boulevard</w:t>
      </w:r>
    </w:p>
    <w:p>
      <w:pPr>
        <w:spacing w:after="0" w:line="205" w:lineRule="auto"/>
        <w:rPr>
          <w:sz w:val="20"/>
          <w:szCs w:val="20"/>
          <w:color w:val="auto"/>
        </w:rPr>
      </w:pPr>
      <w:r>
        <w:rPr>
          <w:rFonts w:ascii="Arial" w:cs="Arial" w:eastAsia="Arial" w:hAnsi="Arial"/>
          <w:sz w:val="22"/>
          <w:szCs w:val="22"/>
          <w:color w:val="auto"/>
        </w:rPr>
        <w:t>Philadelphia, PA 19103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10 </w:t>
      </w:r>
      <w:r>
        <w:rPr>
          <w:rFonts w:ascii="Arial" w:cs="Arial" w:eastAsia="Arial" w:hAnsi="Arial"/>
          <w:sz w:val="22"/>
          <w:szCs w:val="22"/>
          <w:color w:val="auto"/>
        </w:rPr>
        <w:t>–</w:t>
      </w:r>
      <w:r>
        <w:rPr>
          <w:rFonts w:ascii="Arial" w:cs="Arial" w:eastAsia="Arial" w:hAnsi="Arial"/>
          <w:sz w:val="22"/>
          <w:szCs w:val="22"/>
          <w:b w:val="1"/>
          <w:bCs w:val="1"/>
          <w:color w:val="auto"/>
        </w:rPr>
        <w:t xml:space="preserve"> AMENDMENT OR TERMINATION</w:t>
      </w:r>
    </w:p>
    <w:p>
      <w:pPr>
        <w:spacing w:after="0" w:line="18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Amendment or Termination</w:t>
      </w:r>
      <w:r>
        <w:rPr>
          <w:rFonts w:ascii="Arial" w:cs="Arial" w:eastAsia="Arial" w:hAnsi="Arial"/>
          <w:sz w:val="22"/>
          <w:szCs w:val="22"/>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01" w:right="339" w:bottom="1440" w:gutter="0" w:footer="0" w:header="0"/>
        </w:sectPr>
      </w:pPr>
    </w:p>
    <w:bookmarkStart w:id="306" w:name="page307"/>
    <w:bookmarkEnd w:id="306"/>
    <w:p>
      <w:pPr>
        <w:jc w:val="both"/>
        <w:ind w:firstLine="1296"/>
        <w:spacing w:after="0" w:line="249"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Amendment of Rate of Credited Earnings</w:t>
      </w:r>
      <w:r>
        <w:rPr>
          <w:rFonts w:ascii="Arial" w:cs="Arial" w:eastAsia="Arial" w:hAnsi="Arial"/>
          <w:sz w:val="19"/>
          <w:szCs w:val="19"/>
          <w:color w:val="auto"/>
        </w:rPr>
        <w:t>. No amendment shall change the Applicable Interest Rate with respect to the portion of a Participant’s Account that is attributable to an Initial Election or Subsequent Election made with respect to Compensation and filed with the Administrator before the date of adoption of such amendment by the Board or the Committee without the consent of the Participant.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11 </w:t>
      </w:r>
      <w:r>
        <w:rPr>
          <w:rFonts w:ascii="Arial" w:cs="Arial" w:eastAsia="Arial" w:hAnsi="Arial"/>
          <w:sz w:val="22"/>
          <w:szCs w:val="22"/>
          <w:color w:val="auto"/>
        </w:rPr>
        <w:t>–</w:t>
      </w:r>
      <w:r>
        <w:rPr>
          <w:rFonts w:ascii="Arial" w:cs="Arial" w:eastAsia="Arial" w:hAnsi="Arial"/>
          <w:sz w:val="22"/>
          <w:szCs w:val="22"/>
          <w:b w:val="1"/>
          <w:bCs w:val="1"/>
          <w:color w:val="auto"/>
        </w:rPr>
        <w:t xml:space="preserve"> WITHHOLDING OF TAXES</w:t>
      </w:r>
    </w:p>
    <w:p>
      <w:pPr>
        <w:spacing w:after="0" w:line="18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12 </w:t>
      </w:r>
      <w:r>
        <w:rPr>
          <w:rFonts w:ascii="Arial" w:cs="Arial" w:eastAsia="Arial" w:hAnsi="Arial"/>
          <w:sz w:val="22"/>
          <w:szCs w:val="22"/>
          <w:color w:val="auto"/>
        </w:rPr>
        <w:t>–</w:t>
      </w:r>
      <w:r>
        <w:rPr>
          <w:rFonts w:ascii="Arial" w:cs="Arial" w:eastAsia="Arial" w:hAnsi="Arial"/>
          <w:sz w:val="22"/>
          <w:szCs w:val="22"/>
          <w:b w:val="1"/>
          <w:bCs w:val="1"/>
          <w:color w:val="auto"/>
        </w:rPr>
        <w:t xml:space="preserve"> MISCELLANEOUS PROVISIONS</w:t>
      </w:r>
    </w:p>
    <w:p>
      <w:pPr>
        <w:spacing w:after="0" w:line="185" w:lineRule="exact"/>
        <w:rPr>
          <w:sz w:val="20"/>
          <w:szCs w:val="20"/>
          <w:color w:val="auto"/>
        </w:rPr>
      </w:pPr>
    </w:p>
    <w:p>
      <w:pPr>
        <w:jc w:val="both"/>
        <w:ind w:right="20" w:firstLine="1296"/>
        <w:spacing w:after="0" w:line="223"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Expenses of Plan</w:t>
      </w:r>
      <w:r>
        <w:rPr>
          <w:rFonts w:ascii="Arial" w:cs="Arial" w:eastAsia="Arial" w:hAnsi="Arial"/>
          <w:sz w:val="22"/>
          <w:szCs w:val="22"/>
          <w:color w:val="auto"/>
        </w:rPr>
        <w:t>. All expenses of the Plan shall be paid by the Participating Companies.</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Gender and Number</w:t>
      </w:r>
      <w:r>
        <w:rPr>
          <w:rFonts w:ascii="Arial" w:cs="Arial" w:eastAsia="Arial" w:hAnsi="Arial"/>
          <w:sz w:val="22"/>
          <w:szCs w:val="22"/>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22"/>
          <w:szCs w:val="22"/>
          <w:i w:val="1"/>
          <w:iCs w:val="1"/>
          <w:color w:val="auto"/>
        </w:rPr>
        <w:t>vice versa</w:t>
      </w:r>
      <w:r>
        <w:rPr>
          <w:rFonts w:ascii="Arial" w:cs="Arial" w:eastAsia="Arial" w:hAnsi="Arial"/>
          <w:sz w:val="22"/>
          <w:szCs w:val="22"/>
          <w:color w:val="auto"/>
        </w:rPr>
        <w:t>, as the context may require.</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Law Governing Construction</w:t>
      </w:r>
      <w:r>
        <w:rPr>
          <w:rFonts w:ascii="Arial" w:cs="Arial" w:eastAsia="Arial" w:hAnsi="Arial"/>
          <w:sz w:val="19"/>
          <w:szCs w:val="19"/>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3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Headings Not a Part Hereof</w:t>
      </w:r>
      <w:r>
        <w:rPr>
          <w:rFonts w:ascii="Arial" w:cs="Arial" w:eastAsia="Arial" w:hAnsi="Arial"/>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01" w:right="339" w:bottom="1440" w:gutter="0" w:footer="0" w:header="0"/>
        </w:sectPr>
      </w:pPr>
    </w:p>
    <w:bookmarkStart w:id="307" w:name="page308"/>
    <w:bookmarkEnd w:id="307"/>
    <w:p>
      <w:pPr>
        <w:jc w:val="both"/>
        <w:ind w:firstLine="1296"/>
        <w:spacing w:after="0" w:line="223"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1" w:right="339"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22"/>
          <w:szCs w:val="22"/>
          <w:b w:val="1"/>
          <w:bCs w:val="1"/>
          <w:color w:val="auto"/>
        </w:rPr>
        <w:t xml:space="preserve">ARTICLE 13 </w:t>
      </w:r>
      <w:r>
        <w:rPr>
          <w:rFonts w:ascii="Arial" w:cs="Arial" w:eastAsia="Arial" w:hAnsi="Arial"/>
          <w:sz w:val="22"/>
          <w:szCs w:val="22"/>
          <w:color w:val="auto"/>
        </w:rPr>
        <w:t>–</w:t>
      </w:r>
      <w:r>
        <w:rPr>
          <w:rFonts w:ascii="Arial" w:cs="Arial" w:eastAsia="Arial" w:hAnsi="Arial"/>
          <w:sz w:val="22"/>
          <w:szCs w:val="22"/>
          <w:b w:val="1"/>
          <w:bCs w:val="1"/>
          <w:color w:val="auto"/>
        </w:rPr>
        <w:t xml:space="preserve"> EFFECTIVE DATE</w:t>
      </w:r>
    </w:p>
    <w:p>
      <w:pPr>
        <w:spacing w:after="0" w:line="185"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The original effective date of the Plan is January 1, 2005. The amended and restated Plan document approved and adopted on July 13, 2021 shall be effective July 13, 2021.</w:t>
      </w:r>
    </w:p>
    <w:p>
      <w:pPr>
        <w:spacing w:after="0" w:line="159" w:lineRule="exact"/>
        <w:rPr>
          <w:sz w:val="20"/>
          <w:szCs w:val="20"/>
          <w:color w:val="auto"/>
        </w:rPr>
      </w:pPr>
    </w:p>
    <w:p>
      <w:pPr>
        <w:ind w:right="20" w:firstLine="1296"/>
        <w:spacing w:after="0"/>
        <w:rPr>
          <w:sz w:val="20"/>
          <w:szCs w:val="20"/>
          <w:color w:val="auto"/>
        </w:rPr>
      </w:pPr>
      <w:r>
        <w:rPr>
          <w:rFonts w:ascii="Arial" w:cs="Arial" w:eastAsia="Arial" w:hAnsi="Arial"/>
          <w:sz w:val="22"/>
          <w:szCs w:val="22"/>
          <w:color w:val="auto"/>
        </w:rPr>
        <w:t>IN WITNESS WHEREOF, COMCAST CORPORATION has caused this Plan to be executed by its officers thereunto duly authorized, and its corporate seal to be affixed hereto, on the 13</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July, 2021.</w:t>
      </w:r>
    </w:p>
    <w:p>
      <w:pPr>
        <w:spacing w:after="0" w:line="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tabs>
          <w:tab w:leader="none" w:pos="4480" w:val="left"/>
        </w:tabs>
        <w:rPr>
          <w:sz w:val="20"/>
          <w:szCs w:val="20"/>
          <w:color w:val="auto"/>
        </w:rPr>
      </w:pPr>
      <w:r>
        <w:rPr>
          <w:rFonts w:ascii="Arial" w:cs="Arial" w:eastAsia="Arial" w:hAnsi="Arial"/>
          <w:sz w:val="22"/>
          <w:szCs w:val="22"/>
          <w:color w:val="auto"/>
        </w:rPr>
        <w:t>BY:</w:t>
        <w:tab/>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-5715</wp:posOffset>
            </wp:positionV>
            <wp:extent cx="14325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5">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Thomas J. Reid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395" w:right="339" w:bottom="1440" w:gutter="0" w:footer="0" w:header="0"/>
        </w:sectPr>
      </w:pPr>
    </w:p>
    <w:bookmarkStart w:id="309" w:name="page310"/>
    <w:bookmarkEnd w:id="309"/>
    <w:p>
      <w:pPr>
        <w:ind w:left="10360"/>
        <w:spacing w:after="0"/>
        <w:rPr>
          <w:sz w:val="20"/>
          <w:szCs w:val="20"/>
          <w:color w:val="auto"/>
        </w:rPr>
      </w:pPr>
      <w:r>
        <w:rPr>
          <w:rFonts w:ascii="Arial" w:cs="Arial" w:eastAsia="Arial" w:hAnsi="Arial"/>
          <w:sz w:val="19"/>
          <w:szCs w:val="19"/>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9200" w:type="dxa"/>
            <w:vAlign w:val="bottom"/>
            <w:tcBorders>
              <w:top w:val="single" w:sz="8" w:color="auto"/>
              <w:left w:val="single" w:sz="8" w:color="auto"/>
              <w:right w:val="single" w:sz="8" w:color="auto"/>
            </w:tcBorders>
            <w:vMerge w:val="restart"/>
          </w:tcPr>
          <w:p>
            <w:pPr>
              <w:ind w:left="4100"/>
              <w:spacing w:after="0"/>
              <w:rPr>
                <w:sz w:val="20"/>
                <w:szCs w:val="20"/>
                <w:color w:val="auto"/>
              </w:rPr>
            </w:pPr>
            <w:r>
              <w:rPr>
                <w:rFonts w:ascii="Arial" w:cs="Arial" w:eastAsia="Arial" w:hAnsi="Arial"/>
                <w:sz w:val="20"/>
                <w:szCs w:val="20"/>
                <w:b w:val="1"/>
                <w:bCs w:val="1"/>
                <w:color w:val="auto"/>
              </w:rPr>
              <w:t>Legal Name</w:t>
            </w:r>
          </w:p>
        </w:tc>
        <w:tc>
          <w:tcPr>
            <w:tcW w:w="2060" w:type="dxa"/>
            <w:vAlign w:val="bottom"/>
            <w:tcBorders>
              <w:top w:val="single" w:sz="8" w:color="auto"/>
              <w:right w:val="single" w:sz="8" w:color="auto"/>
            </w:tcBorders>
          </w:tcPr>
          <w:p>
            <w:pPr>
              <w:ind w:left="320"/>
              <w:spacing w:after="0" w:line="203" w:lineRule="exact"/>
              <w:rPr>
                <w:sz w:val="20"/>
                <w:szCs w:val="20"/>
                <w:color w:val="auto"/>
              </w:rPr>
            </w:pPr>
            <w:r>
              <w:rPr>
                <w:rFonts w:ascii="Arial" w:cs="Arial" w:eastAsia="Arial" w:hAnsi="Arial"/>
                <w:sz w:val="20"/>
                <w:szCs w:val="20"/>
                <w:b w:val="1"/>
                <w:bCs w:val="1"/>
                <w:color w:val="auto"/>
              </w:rPr>
              <w:t>State/Country of</w:t>
            </w:r>
          </w:p>
        </w:tc>
        <w:tc>
          <w:tcPr>
            <w:tcW w:w="0" w:type="dxa"/>
            <w:vAlign w:val="bottom"/>
          </w:tcPr>
          <w:p>
            <w:pPr>
              <w:spacing w:after="0"/>
              <w:rPr>
                <w:sz w:val="1"/>
                <w:szCs w:val="1"/>
                <w:color w:val="auto"/>
              </w:rPr>
            </w:pPr>
          </w:p>
        </w:tc>
      </w:tr>
      <w:tr>
        <w:trPr>
          <w:trHeight w:val="153"/>
        </w:trPr>
        <w:tc>
          <w:tcPr>
            <w:tcW w:w="9200" w:type="dxa"/>
            <w:vAlign w:val="bottom"/>
            <w:tcBorders>
              <w:left w:val="single" w:sz="8" w:color="auto"/>
              <w:right w:val="single" w:sz="8" w:color="auto"/>
            </w:tcBorders>
            <w:vMerge w:val="continue"/>
          </w:tcPr>
          <w:p>
            <w:pPr>
              <w:spacing w:after="0"/>
              <w:rPr>
                <w:sz w:val="13"/>
                <w:szCs w:val="13"/>
                <w:color w:val="auto"/>
              </w:rPr>
            </w:pPr>
          </w:p>
        </w:tc>
        <w:tc>
          <w:tcPr>
            <w:tcW w:w="2060" w:type="dxa"/>
            <w:vAlign w:val="bottom"/>
            <w:tcBorders>
              <w:right w:val="single" w:sz="8" w:color="auto"/>
            </w:tcBorders>
            <w:vMerge w:val="restart"/>
          </w:tcPr>
          <w:p>
            <w:pPr>
              <w:ind w:left="460"/>
              <w:spacing w:after="0"/>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90"/>
        </w:trPr>
        <w:tc>
          <w:tcPr>
            <w:tcW w:w="9200" w:type="dxa"/>
            <w:vAlign w:val="bottom"/>
            <w:tcBorders>
              <w:left w:val="single" w:sz="8" w:color="auto"/>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Beijing International Resort Co., Ltd.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Bravo Media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CNBC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ABB Note Consolidation,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AG Holdings,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Bidco Holdings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Bidco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Broadband Security,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Business Communications,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Communications Management,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Cable Communications,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Holdings Corporation</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Hulu Holdings,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Interactive Media,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IP Phone,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Alabama,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AL</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Arkansas/Louisiana/Minnesota/Mississippi/Tennessee,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Baltimore City,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Boston,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 IX,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California/Colorado,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California/Colorado/Florida/Oregon,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California/Colorado/Illinois/Indiana/Michigan,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California/Maryland/Pennsylvania/Virginia/West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California/Massachusetts/Michigan/Utah,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Chicago,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Colorado IX,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Colorado/Pennsylvania/West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Connecticut,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OK</w:t>
            </w:r>
          </w:p>
        </w:tc>
        <w:tc>
          <w:tcPr>
            <w:tcW w:w="0" w:type="dxa"/>
            <w:vAlign w:val="bottom"/>
          </w:tcPr>
          <w:p>
            <w:pPr>
              <w:spacing w:after="0"/>
              <w:rPr>
                <w:sz w:val="1"/>
                <w:szCs w:val="1"/>
                <w:color w:val="auto"/>
              </w:rPr>
            </w:pPr>
          </w:p>
        </w:tc>
      </w:tr>
      <w:tr>
        <w:trPr>
          <w:trHeight w:val="183"/>
        </w:trPr>
        <w:tc>
          <w:tcPr>
            <w:tcW w:w="920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w w:val="94"/>
              </w:rPr>
              <w:t>Comcast of Connecticut/Georgia/Massachusetts/New Hampshire/New York/North Carolina/Virginia/Vermont,</w:t>
            </w:r>
          </w:p>
        </w:tc>
        <w:tc>
          <w:tcPr>
            <w:tcW w:w="206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43"/>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LLC</w:t>
            </w:r>
          </w:p>
        </w:tc>
        <w:tc>
          <w:tcPr>
            <w:tcW w:w="2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Delmarva,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Florida/Michigan/New Mexico/Pennsylvania/Washington,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Fresno,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Garden State,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Georgia/Illinois/Michigan,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Georgia/Massachusetts,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Georgia/South Carolina,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Houston,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IV,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IL</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VI,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XI,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4" w:right="319" w:bottom="1440" w:gutter="0" w:footer="0" w:header="0"/>
        </w:sectPr>
      </w:pPr>
    </w:p>
    <w:bookmarkStart w:id="310" w:name="page311"/>
    <w:bookmarkEnd w:id="3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 XIII, L.P.</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AZ</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Illinois/Indiana/Michigan,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Illinois/Indiana/Ohio,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Illinois/Ohio/Oregon,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Illinois/West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Indiana/Kentucky/Utah,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Indianapolis,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Maine/New Hampshire,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NH</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Maryland Limited Partnership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MD</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Maryland,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Massachusetts 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Massachusetts III,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Massachusetts/Virginia,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VA</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Minnesota,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Minnesota/Wisconsin,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Nashville 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Nashville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Jersey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Mexico,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New Mexico/Pennsylvania,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Oregon 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OR</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Philadelphia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Potomac,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Sacramento 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Sacramento II,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CA</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 Jersey,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Southeast Pennsylvania,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Southern New England,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MA</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the South</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Utah II,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of Virginia,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OTR1,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Spectacor Ventures,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PA</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Comcast Ventures,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DreamWorks Animation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DWA Holdings,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 Entertainment Television,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MSNBC Cable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Olympics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Sports Network, 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Sports Ventures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Stations Management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CO</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Subsidiary (WTVJ-TV)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 West,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bl>
    <w:p>
      <w:pPr>
        <w:sectPr>
          <w:pgSz w:w="11900" w:h="16838" w:orient="portrait"/>
          <w:cols w:equalWidth="0" w:num="1">
            <w:col w:w="11260"/>
          </w:cols>
          <w:pgMar w:left="320" w:top="1440" w:right="319" w:bottom="1440" w:gutter="0" w:footer="0" w:header="0"/>
        </w:sectPr>
      </w:pPr>
    </w:p>
    <w:bookmarkStart w:id="311" w:name="page312"/>
    <w:bookmarkEnd w:id="3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 Television Holding LLC</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Enterprise, Inc.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Media,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Shared Services,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NBCUniversal,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Open 4 Business Productions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CP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Deutschland Fernsehen GmbH &amp; Co KG</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German Holdings GmbH</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International Operations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Italia S.r.l.</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Italian Holdings S.p.A.</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Subscribers Services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Telecommunications Services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Sky UK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Media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Telemundo Network Group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Development Partners, Ltd.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FL</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Studios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City Studios Productions LLLP</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Content Productions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Film Exchanges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International B.V.</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The Netherlands</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Limited</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Kingdom</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Studios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DE</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36"/>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Universal Television Networks</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NY</w:t>
            </w:r>
          </w:p>
        </w:tc>
      </w:tr>
      <w:tr>
        <w:trPr>
          <w:trHeight w:val="237"/>
        </w:trPr>
        <w:tc>
          <w:tcPr>
            <w:tcW w:w="9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USJ LLC</w:t>
            </w:r>
          </w:p>
        </w:tc>
        <w:tc>
          <w:tcPr>
            <w:tcW w:w="2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bl>
    <w:p>
      <w:pPr>
        <w:sectPr>
          <w:pgSz w:w="11900" w:h="16838" w:orient="portrait"/>
          <w:cols w:equalWidth="0" w:num="1">
            <w:col w:w="11260"/>
          </w:cols>
          <w:pgMar w:left="320" w:top="1440" w:right="31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23</w:t>
      </w: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5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consent to the incorporation by reference in Registration Statement No. 333-232941 on Form S-3 and Registration Statement Nos. 333-101295, 333-104385, 333-121082, 333-123059, 333-130844, 333-130845, 333-130847, 333-150976, 333-161468, 333-174416, 333-174417, 333-179638, 333-183008, 333-193903, 333-210085, 333-212716, 333-224455, 333-224456, 333-232416, 333-239814 and 333-253621 on Form S-8 of our report dated February 2, 2022, relating to the financial statements of Comcast Corporation and the effectiveness of Comcast Corporation's internal control over financial reporting appearing in this Annual Report on Form 10-K for the year ended December 31, 2021.</w:t>
      </w:r>
    </w:p>
    <w:p>
      <w:pPr>
        <w:spacing w:after="0" w:line="3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February 2, 2022</w:t>
      </w:r>
    </w:p>
    <w:p>
      <w:pPr>
        <w:sectPr>
          <w:pgSz w:w="11900" w:h="16838" w:orient="portrait"/>
          <w:cols w:equalWidth="0" w:num="1">
            <w:col w:w="11240"/>
          </w:cols>
          <w:pgMar w:left="320" w:top="364" w:right="3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3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3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7">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Name: Brian L. Roberts</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364" w:right="3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3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3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15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Michael J. Cavanagh</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364" w:right="3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32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97" w:lineRule="exact"/>
        <w:rPr>
          <w:sz w:val="20"/>
          <w:szCs w:val="20"/>
          <w:color w:val="auto"/>
        </w:rPr>
      </w:pPr>
    </w:p>
    <w:p>
      <w:pPr>
        <w:ind w:left="660" w:hanging="652"/>
        <w:spacing w:after="0"/>
        <w:tabs>
          <w:tab w:leader="none" w:pos="6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3" w:lineRule="exact"/>
        <w:rPr>
          <w:rFonts w:ascii="Arial" w:cs="Arial" w:eastAsia="Arial" w:hAnsi="Arial"/>
          <w:sz w:val="18"/>
          <w:szCs w:val="18"/>
          <w:color w:val="auto"/>
        </w:rPr>
      </w:pPr>
    </w:p>
    <w:p>
      <w:pPr>
        <w:ind w:left="660" w:right="520" w:hanging="652"/>
        <w:spacing w:after="0" w:line="260" w:lineRule="auto"/>
        <w:tabs>
          <w:tab w:leader="none" w:pos="6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5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Brian L. Roberts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Chief Executive Officer</w:t>
      </w:r>
    </w:p>
    <w:p>
      <w:pPr>
        <w:spacing w:after="0" w:line="38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Name: Michael J. Cavanagh</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05A34"/>
    <w:multiLevelType w:val="hybridMultilevel"/>
    <w:lvl w:ilvl="0">
      <w:lvlJc w:val="left"/>
      <w:lvlText w:val="(%1)"/>
      <w:numFmt w:val="lowerLetter"/>
      <w:start w:val="1"/>
    </w:lvl>
    <w:lvl w:ilvl="1">
      <w:lvlJc w:val="left"/>
      <w:lvlText w:val="•"/>
      <w:numFmt w:val="bullet"/>
      <w:start w:val="1"/>
    </w:lvl>
  </w:abstractNum>
  <w:abstractNum w:abstractNumId="1">
    <w:nsid w:val="32794FF7"/>
    <w:multiLevelType w:val="hybridMultilevel"/>
    <w:lvl w:ilvl="0">
      <w:lvlJc w:val="left"/>
      <w:lvlText w:val="•"/>
      <w:numFmt w:val="bullet"/>
      <w:start w:val="1"/>
    </w:lvl>
  </w:abstractNum>
  <w:abstractNum w:abstractNumId="2">
    <w:nsid w:val="5454945E"/>
    <w:multiLevelType w:val="hybridMultilevel"/>
    <w:lvl w:ilvl="0">
      <w:lvlJc w:val="left"/>
      <w:lvlText w:val="•"/>
      <w:numFmt w:val="bullet"/>
      <w:start w:val="1"/>
    </w:lvl>
    <w:lvl w:ilvl="1">
      <w:lvlJc w:val="left"/>
      <w:lvlText w:val="◦"/>
      <w:numFmt w:val="bullet"/>
      <w:start w:val="1"/>
    </w:lvl>
  </w:abstractNum>
  <w:abstractNum w:abstractNumId="3">
    <w:nsid w:val="4DEFDFA0"/>
    <w:multiLevelType w:val="hybridMultilevel"/>
    <w:lvl w:ilvl="0">
      <w:lvlJc w:val="left"/>
      <w:lvlText w:val="•"/>
      <w:numFmt w:val="bullet"/>
      <w:start w:val="1"/>
    </w:lvl>
  </w:abstractNum>
  <w:abstractNum w:abstractNumId="4">
    <w:nsid w:val="2123D5F2"/>
    <w:multiLevelType w:val="hybridMultilevel"/>
    <w:lvl w:ilvl="0">
      <w:lvlJc w:val="left"/>
      <w:lvlText w:val="(%1)"/>
      <w:numFmt w:val="lowerLetter"/>
      <w:start w:val="1"/>
    </w:lvl>
  </w:abstractNum>
  <w:abstractNum w:abstractNumId="5">
    <w:nsid w:val="135B8110"/>
    <w:multiLevelType w:val="hybridMultilevel"/>
    <w:lvl w:ilvl="0">
      <w:lvlJc w:val="left"/>
      <w:lvlText w:val="•"/>
      <w:numFmt w:val="bullet"/>
      <w:start w:val="1"/>
    </w:lvl>
  </w:abstractNum>
  <w:abstractNum w:abstractNumId="6">
    <w:nsid w:val="94927A8"/>
    <w:multiLevelType w:val="hybridMultilevel"/>
    <w:lvl w:ilvl="0">
      <w:lvlJc w:val="left"/>
      <w:lvlText w:val="•"/>
      <w:numFmt w:val="bullet"/>
      <w:start w:val="1"/>
    </w:lvl>
  </w:abstractNum>
  <w:abstractNum w:abstractNumId="7">
    <w:nsid w:val="DCDF8F6"/>
    <w:multiLevelType w:val="hybridMultilevel"/>
    <w:lvl w:ilvl="0">
      <w:lvlJc w:val="left"/>
      <w:lvlText w:val="•"/>
      <w:numFmt w:val="bullet"/>
      <w:start w:val="1"/>
    </w:lvl>
  </w:abstractNum>
  <w:abstractNum w:abstractNumId="8">
    <w:nsid w:val="52D7B105"/>
    <w:multiLevelType w:val="hybridMultilevel"/>
    <w:lvl w:ilvl="0">
      <w:lvlJc w:val="left"/>
      <w:lvlText w:val="•"/>
      <w:numFmt w:val="bullet"/>
      <w:start w:val="1"/>
    </w:lvl>
  </w:abstractNum>
  <w:abstractNum w:abstractNumId="9">
    <w:nsid w:val="2E8A6394"/>
    <w:multiLevelType w:val="hybridMultilevel"/>
    <w:lvl w:ilvl="0">
      <w:lvlJc w:val="left"/>
      <w:lvlText w:val="•"/>
      <w:numFmt w:val="bullet"/>
      <w:start w:val="1"/>
    </w:lvl>
  </w:abstractNum>
  <w:abstractNum w:abstractNumId="10">
    <w:nsid w:val="24E60401"/>
    <w:multiLevelType w:val="hybridMultilevel"/>
    <w:lvl w:ilvl="0">
      <w:lvlJc w:val="left"/>
      <w:lvlText w:val="•"/>
      <w:numFmt w:val="bullet"/>
      <w:start w:val="1"/>
    </w:lvl>
  </w:abstractNum>
  <w:abstractNum w:abstractNumId="11">
    <w:nsid w:val="2A6AD9BE"/>
    <w:multiLevelType w:val="hybridMultilevel"/>
    <w:lvl w:ilvl="0">
      <w:lvlJc w:val="left"/>
      <w:lvlText w:val="•"/>
      <w:numFmt w:val="bullet"/>
      <w:start w:val="1"/>
    </w:lvl>
  </w:abstractNum>
  <w:abstractNum w:abstractNumId="12">
    <w:nsid w:val="BAAC1B4"/>
    <w:multiLevelType w:val="hybridMultilevel"/>
    <w:lvl w:ilvl="0">
      <w:lvlJc w:val="left"/>
      <w:lvlText w:val="•"/>
      <w:numFmt w:val="bullet"/>
      <w:start w:val="1"/>
    </w:lvl>
  </w:abstractNum>
  <w:abstractNum w:abstractNumId="13">
    <w:nsid w:val="36B2ACBC"/>
    <w:multiLevelType w:val="hybridMultilevel"/>
    <w:lvl w:ilvl="0">
      <w:lvlJc w:val="left"/>
      <w:lvlText w:val="•"/>
      <w:numFmt w:val="bullet"/>
      <w:start w:val="1"/>
    </w:lvl>
  </w:abstractNum>
  <w:abstractNum w:abstractNumId="14">
    <w:nsid w:val="779D8544"/>
    <w:multiLevelType w:val="hybridMultilevel"/>
    <w:lvl w:ilvl="0">
      <w:lvlJc w:val="left"/>
      <w:lvlText w:val="•"/>
      <w:numFmt w:val="bullet"/>
      <w:start w:val="1"/>
    </w:lvl>
  </w:abstractNum>
  <w:abstractNum w:abstractNumId="15">
    <w:nsid w:val="4AB26E78"/>
    <w:multiLevelType w:val="hybridMultilevel"/>
    <w:lvl w:ilvl="0">
      <w:lvlJc w:val="left"/>
      <w:lvlText w:val="•"/>
      <w:numFmt w:val="bullet"/>
      <w:start w:val="1"/>
    </w:lvl>
  </w:abstractNum>
  <w:abstractNum w:abstractNumId="16">
    <w:nsid w:val="21FAA2FA"/>
    <w:multiLevelType w:val="hybridMultilevel"/>
    <w:lvl w:ilvl="0">
      <w:lvlJc w:val="left"/>
      <w:lvlText w:val="(%1)"/>
      <w:numFmt w:val="lowerLetter"/>
      <w:start w:val="1"/>
    </w:lvl>
  </w:abstractNum>
  <w:abstractNum w:abstractNumId="17">
    <w:nsid w:val="5451CF49"/>
    <w:multiLevelType w:val="hybridMultilevel"/>
    <w:lvl w:ilvl="0">
      <w:lvlJc w:val="left"/>
      <w:lvlText w:val="(%1)"/>
      <w:numFmt w:val="lowerLetter"/>
      <w:start w:val="1"/>
    </w:lvl>
  </w:abstractNum>
  <w:abstractNum w:abstractNumId="18">
    <w:nsid w:val="6181EF69"/>
    <w:multiLevelType w:val="hybridMultilevel"/>
    <w:lvl w:ilvl="0">
      <w:lvlJc w:val="left"/>
      <w:lvlText w:val="•"/>
      <w:numFmt w:val="bullet"/>
      <w:start w:val="1"/>
    </w:lvl>
  </w:abstractNum>
  <w:abstractNum w:abstractNumId="19">
    <w:nsid w:val="3E6400E6"/>
    <w:multiLevelType w:val="hybridMultilevel"/>
    <w:lvl w:ilvl="0">
      <w:lvlJc w:val="left"/>
      <w:lvlText w:val="•"/>
      <w:numFmt w:val="bullet"/>
      <w:start w:val="1"/>
    </w:lvl>
  </w:abstractNum>
  <w:abstractNum w:abstractNumId="20">
    <w:nsid w:val="14217E23"/>
    <w:multiLevelType w:val="hybridMultilevel"/>
    <w:lvl w:ilvl="0">
      <w:lvlJc w:val="left"/>
      <w:lvlText w:val="•"/>
      <w:numFmt w:val="bullet"/>
      <w:start w:val="1"/>
    </w:lvl>
  </w:abstractNum>
  <w:abstractNum w:abstractNumId="21">
    <w:nsid w:val="710757D0"/>
    <w:multiLevelType w:val="hybridMultilevel"/>
    <w:lvl w:ilvl="0">
      <w:lvlJc w:val="left"/>
      <w:lvlText w:val="•"/>
      <w:numFmt w:val="bullet"/>
      <w:start w:val="1"/>
    </w:lvl>
  </w:abstractNum>
  <w:abstractNum w:abstractNumId="22">
    <w:nsid w:val="5015CD1A"/>
    <w:multiLevelType w:val="hybridMultilevel"/>
    <w:lvl w:ilvl="0">
      <w:lvlJc w:val="left"/>
      <w:lvlText w:val="•"/>
      <w:numFmt w:val="bullet"/>
      <w:start w:val="1"/>
    </w:lvl>
  </w:abstractNum>
  <w:abstractNum w:abstractNumId="23">
    <w:nsid w:val="424479DA"/>
    <w:multiLevelType w:val="hybridMultilevel"/>
    <w:lvl w:ilvl="0">
      <w:lvlJc w:val="left"/>
      <w:lvlText w:val="•"/>
      <w:numFmt w:val="bullet"/>
      <w:start w:val="1"/>
    </w:lvl>
  </w:abstractNum>
  <w:abstractNum w:abstractNumId="24">
    <w:nsid w:val="1A9A9E69"/>
    <w:multiLevelType w:val="hybridMultilevel"/>
    <w:lvl w:ilvl="0">
      <w:lvlJc w:val="left"/>
      <w:lvlText w:val="•"/>
      <w:numFmt w:val="bullet"/>
      <w:start w:val="1"/>
    </w:lvl>
  </w:abstractNum>
  <w:abstractNum w:abstractNumId="25">
    <w:nsid w:val="475E256A"/>
    <w:multiLevelType w:val="hybridMultilevel"/>
    <w:lvl w:ilvl="0">
      <w:lvlJc w:val="left"/>
      <w:lvlText w:val="(%1)"/>
      <w:numFmt w:val="lowerLetter"/>
      <w:start w:val="1"/>
    </w:lvl>
  </w:abstractNum>
  <w:abstractNum w:abstractNumId="26">
    <w:nsid w:val="368DB37E"/>
    <w:multiLevelType w:val="hybridMultilevel"/>
    <w:lvl w:ilvl="0">
      <w:lvlJc w:val="left"/>
      <w:lvlText w:val="•"/>
      <w:numFmt w:val="bullet"/>
      <w:start w:val="1"/>
    </w:lvl>
  </w:abstractNum>
  <w:abstractNum w:abstractNumId="27">
    <w:nsid w:val="6A3B714C"/>
    <w:multiLevelType w:val="hybridMultilevel"/>
    <w:lvl w:ilvl="0">
      <w:lvlJc w:val="left"/>
      <w:lvlText w:val="•"/>
      <w:numFmt w:val="bullet"/>
      <w:start w:val="1"/>
    </w:lvl>
  </w:abstractNum>
  <w:abstractNum w:abstractNumId="28">
    <w:nsid w:val="327B517E"/>
    <w:multiLevelType w:val="hybridMultilevel"/>
    <w:lvl w:ilvl="0">
      <w:lvlJc w:val="left"/>
      <w:lvlText w:val="•"/>
      <w:numFmt w:val="bullet"/>
      <w:start w:val="1"/>
    </w:lvl>
  </w:abstractNum>
  <w:abstractNum w:abstractNumId="29">
    <w:nsid w:val="1F461B51"/>
    <w:multiLevelType w:val="hybridMultilevel"/>
    <w:lvl w:ilvl="0">
      <w:lvlJc w:val="left"/>
      <w:lvlText w:val="(%1)"/>
      <w:numFmt w:val="lowerLetter"/>
      <w:start w:val="1"/>
    </w:lvl>
  </w:abstractNum>
  <w:abstractNum w:abstractNumId="30">
    <w:nsid w:val="29BACF25"/>
    <w:multiLevelType w:val="hybridMultilevel"/>
    <w:lvl w:ilvl="0">
      <w:lvlJc w:val="left"/>
      <w:lvlText w:val="(%1)"/>
      <w:numFmt w:val="lowerLetter"/>
      <w:start w:val="1"/>
    </w:lvl>
  </w:abstractNum>
  <w:abstractNum w:abstractNumId="31">
    <w:nsid w:val="5D5BABB3"/>
    <w:multiLevelType w:val="hybridMultilevel"/>
    <w:lvl w:ilvl="0">
      <w:lvlJc w:val="left"/>
      <w:lvlText w:val="(%1)"/>
      <w:numFmt w:val="lowerLetter"/>
      <w:start w:val="1"/>
    </w:lvl>
  </w:abstractNum>
  <w:abstractNum w:abstractNumId="32">
    <w:nsid w:val="51BF6B48"/>
    <w:multiLevelType w:val="hybridMultilevel"/>
    <w:lvl w:ilvl="0">
      <w:lvlJc w:val="left"/>
      <w:lvlText w:val="(%1)"/>
      <w:numFmt w:val="lowerLetter"/>
      <w:start w:val="1"/>
    </w:lvl>
  </w:abstractNum>
  <w:abstractNum w:abstractNumId="33">
    <w:nsid w:val="7E0F6384"/>
    <w:multiLevelType w:val="hybridMultilevel"/>
    <w:lvl w:ilvl="0">
      <w:lvlJc w:val="left"/>
      <w:lvlText w:val="(%1)"/>
      <w:numFmt w:val="lowerLetter"/>
      <w:start w:val="1"/>
    </w:lvl>
  </w:abstractNum>
  <w:abstractNum w:abstractNumId="34">
    <w:nsid w:val="2B4B8B53"/>
    <w:multiLevelType w:val="hybridMultilevel"/>
    <w:lvl w:ilvl="0">
      <w:lvlJc w:val="left"/>
      <w:lvlText w:val="(%1)"/>
      <w:numFmt w:val="lowerLetter"/>
      <w:start w:val="1"/>
    </w:lvl>
  </w:abstractNum>
  <w:abstractNum w:abstractNumId="35">
    <w:nsid w:val="72E3413A"/>
    <w:multiLevelType w:val="hybridMultilevel"/>
    <w:lvl w:ilvl="0">
      <w:lvlJc w:val="left"/>
      <w:lvlText w:val="•"/>
      <w:numFmt w:val="bullet"/>
      <w:start w:val="1"/>
    </w:lvl>
  </w:abstractNum>
  <w:abstractNum w:abstractNumId="36">
    <w:nsid w:val="116AE494"/>
    <w:multiLevelType w:val="hybridMultilevel"/>
    <w:lvl w:ilvl="0">
      <w:lvlJc w:val="left"/>
      <w:lvlText w:val="•"/>
      <w:numFmt w:val="bullet"/>
      <w:start w:val="1"/>
    </w:lvl>
  </w:abstractNum>
  <w:abstractNum w:abstractNumId="37">
    <w:nsid w:val="3494B2FB"/>
    <w:multiLevelType w:val="hybridMultilevel"/>
    <w:lvl w:ilvl="0">
      <w:lvlJc w:val="left"/>
      <w:lvlText w:val="•"/>
      <w:numFmt w:val="bullet"/>
      <w:start w:val="1"/>
    </w:lvl>
  </w:abstractNum>
  <w:abstractNum w:abstractNumId="38">
    <w:nsid w:val="B13A31"/>
    <w:multiLevelType w:val="hybridMultilevel"/>
    <w:lvl w:ilvl="0">
      <w:lvlJc w:val="left"/>
      <w:lvlText w:val="•"/>
      <w:numFmt w:val="bullet"/>
      <w:start w:val="1"/>
    </w:lvl>
  </w:abstractNum>
  <w:abstractNum w:abstractNumId="39">
    <w:nsid w:val="64429599"/>
    <w:multiLevelType w:val="hybridMultilevel"/>
    <w:lvl w:ilvl="0">
      <w:lvlJc w:val="left"/>
      <w:lvlText w:val="•"/>
      <w:numFmt w:val="bullet"/>
      <w:start w:val="1"/>
    </w:lvl>
  </w:abstractNum>
  <w:abstractNum w:abstractNumId="40">
    <w:nsid w:val="631F1690"/>
    <w:multiLevelType w:val="hybridMultilevel"/>
    <w:lvl w:ilvl="0">
      <w:lvlJc w:val="left"/>
      <w:lvlText w:val="•"/>
      <w:numFmt w:val="bullet"/>
      <w:start w:val="1"/>
    </w:lvl>
  </w:abstractNum>
  <w:abstractNum w:abstractNumId="41">
    <w:nsid w:val="25973E32"/>
    <w:multiLevelType w:val="hybridMultilevel"/>
    <w:lvl w:ilvl="0">
      <w:lvlJc w:val="left"/>
      <w:lvlText w:val="(%1)"/>
      <w:numFmt w:val="lowerLetter"/>
      <w:start w:val="1"/>
    </w:lvl>
  </w:abstractNum>
  <w:abstractNum w:abstractNumId="42">
    <w:nsid w:val="EAD6F57"/>
    <w:multiLevelType w:val="hybridMultilevel"/>
    <w:lvl w:ilvl="0">
      <w:lvlJc w:val="left"/>
      <w:lvlText w:val="(%1)"/>
      <w:numFmt w:val="lowerLetter"/>
      <w:start w:val="2"/>
    </w:lvl>
  </w:abstractNum>
  <w:abstractNum w:abstractNumId="43">
    <w:nsid w:val="6EC9D844"/>
    <w:multiLevelType w:val="hybridMultilevel"/>
    <w:lvl w:ilvl="0">
      <w:lvlJc w:val="left"/>
      <w:lvlText w:val="(%1)"/>
      <w:numFmt w:val="lowerLetter"/>
      <w:start w:val="1"/>
    </w:lvl>
  </w:abstractNum>
  <w:abstractNum w:abstractNumId="44">
    <w:nsid w:val="5C49EAEE"/>
    <w:multiLevelType w:val="hybridMultilevel"/>
    <w:lvl w:ilvl="0">
      <w:lvlJc w:val="left"/>
      <w:lvlText w:val="•"/>
      <w:numFmt w:val="bullet"/>
      <w:start w:val="1"/>
    </w:lvl>
  </w:abstractNum>
  <w:abstractNum w:abstractNumId="45">
    <w:nsid w:val="64AF49B"/>
    <w:multiLevelType w:val="hybridMultilevel"/>
    <w:lvl w:ilvl="0">
      <w:lvlJc w:val="left"/>
      <w:lvlText w:val="(%1)"/>
      <w:numFmt w:val="lowerLetter"/>
      <w:start w:val="1"/>
    </w:lvl>
  </w:abstractNum>
  <w:abstractNum w:abstractNumId="46">
    <w:nsid w:val="397C46BC"/>
    <w:multiLevelType w:val="hybridMultilevel"/>
    <w:lvl w:ilvl="0">
      <w:lvlJc w:val="left"/>
      <w:lvlText w:val="%1"/>
      <w:numFmt w:val="decimal"/>
      <w:start w:val="21"/>
    </w:lvl>
  </w:abstractNum>
  <w:abstractNum w:abstractNumId="47">
    <w:nsid w:val="7E448DE9"/>
    <w:multiLevelType w:val="hybridMultilevel"/>
    <w:lvl w:ilvl="0">
      <w:lvlJc w:val="left"/>
      <w:lvlText w:val="%1"/>
      <w:numFmt w:val="decimal"/>
      <w:start w:val="31"/>
    </w:lvl>
  </w:abstractNum>
  <w:abstractNum w:abstractNumId="48">
    <w:nsid w:val="5A9CC3E5"/>
    <w:multiLevelType w:val="hybridMultilevel"/>
    <w:lvl w:ilvl="0">
      <w:lvlJc w:val="left"/>
      <w:lvlText w:val="%1"/>
      <w:numFmt w:val="decimal"/>
      <w:start w:val="101"/>
    </w:lvl>
  </w:abstractNum>
  <w:abstractNum w:abstractNumId="49">
    <w:nsid w:val="1AFE3625"/>
    <w:multiLevelType w:val="hybridMultilevel"/>
    <w:lvl w:ilvl="0">
      <w:lvlJc w:val="left"/>
      <w:lvlText w:val="*"/>
      <w:numFmt w:val="bullet"/>
      <w:start w:val="1"/>
    </w:lvl>
  </w:abstractNum>
  <w:abstractNum w:abstractNumId="50">
    <w:nsid w:val="3CA88ECF"/>
    <w:multiLevelType w:val="hybridMultilevel"/>
    <w:lvl w:ilvl="0">
      <w:lvlJc w:val="left"/>
      <w:lvlText w:val="(%1)"/>
      <w:numFmt w:val="decimal"/>
      <w:start w:val="8"/>
    </w:lvl>
  </w:abstractNum>
  <w:abstractNum w:abstractNumId="51">
    <w:nsid w:val="6EBE4208"/>
    <w:multiLevelType w:val="hybridMultilevel"/>
    <w:lvl w:ilvl="0">
      <w:lvlJc w:val="left"/>
      <w:lvlText w:val="(%1)"/>
      <w:numFmt w:val="decimal"/>
      <w:start w:val="1"/>
    </w:lvl>
  </w:abstractNum>
  <w:abstractNum w:abstractNumId="52">
    <w:nsid w:val="C058DF5"/>
    <w:multiLevelType w:val="hybridMultilevel"/>
    <w:lvl w:ilvl="0">
      <w:lvlJc w:val="left"/>
      <w:lvlText w:val="(%1)"/>
      <w:numFmt w:val="decimal"/>
      <w:start w:val="2"/>
    </w:lvl>
  </w:abstractNum>
  <w:abstractNum w:abstractNumId="53">
    <w:nsid w:val="CBE5BE9"/>
    <w:multiLevelType w:val="hybridMultilevel"/>
    <w:lvl w:ilvl="0">
      <w:lvlJc w:val="left"/>
      <w:lvlText w:val="•"/>
      <w:numFmt w:val="bullet"/>
      <w:start w:val="1"/>
    </w:lvl>
  </w:abstractNum>
  <w:abstractNum w:abstractNumId="54">
    <w:nsid w:val="3102BBE2"/>
    <w:multiLevelType w:val="hybridMultilevel"/>
    <w:lvl w:ilvl="0">
      <w:lvlJc w:val="left"/>
      <w:lvlText w:val="•"/>
      <w:numFmt w:val="bullet"/>
      <w:start w:val="1"/>
    </w:lvl>
  </w:abstractNum>
  <w:abstractNum w:abstractNumId="55">
    <w:nsid w:val="26A02C5E"/>
    <w:multiLevelType w:val="hybridMultilevel"/>
    <w:lvl w:ilvl="0">
      <w:lvlJc w:val="left"/>
      <w:lvlText w:val="(%1)"/>
      <w:numFmt w:val="decimal"/>
      <w:start w:val="4"/>
    </w:lvl>
    <w:lvl w:ilvl="1">
      <w:lvlJc w:val="left"/>
      <w:lvlText w:val="%2"/>
      <w:numFmt w:val="decimal"/>
      <w:start w:val="1"/>
    </w:lvl>
  </w:abstractNum>
  <w:abstractNum w:abstractNumId="56">
    <w:nsid w:val="541C8153"/>
    <w:multiLevelType w:val="hybridMultilevel"/>
    <w:lvl w:ilvl="0">
      <w:lvlJc w:val="left"/>
      <w:lvlText w:val="(%1)"/>
      <w:numFmt w:val="decimal"/>
      <w:start w:val="4"/>
    </w:lvl>
    <w:lvl w:ilvl="1">
      <w:lvlJc w:val="left"/>
      <w:lvlText w:val="(%2)"/>
      <w:numFmt w:val="decimal"/>
      <w:start w:val="1"/>
    </w:lvl>
  </w:abstractNum>
  <w:abstractNum w:abstractNumId="57">
    <w:nsid w:val="67906F60"/>
    <w:multiLevelType w:val="hybridMultilevel"/>
    <w:lvl w:ilvl="0">
      <w:lvlJc w:val="left"/>
      <w:lvlText w:val="(%1)"/>
      <w:numFmt w:val="decimal"/>
      <w:start w:val="3"/>
    </w:lvl>
  </w:abstractNum>
  <w:abstractNum w:abstractNumId="58">
    <w:nsid w:val="10DB9DAA"/>
    <w:multiLevelType w:val="hybridMultilevel"/>
    <w:lvl w:ilvl="0">
      <w:lvlJc w:val="left"/>
      <w:lvlText w:val="•"/>
      <w:numFmt w:val="bullet"/>
      <w:start w:val="1"/>
    </w:lvl>
  </w:abstractNum>
  <w:abstractNum w:abstractNumId="59">
    <w:nsid w:val="697D2D2"/>
    <w:multiLevelType w:val="hybridMultilevel"/>
    <w:lvl w:ilvl="0">
      <w:lvlJc w:val="left"/>
      <w:lvlText w:val="•"/>
      <w:numFmt w:val="bullet"/>
      <w:start w:val="1"/>
    </w:lvl>
  </w:abstractNum>
  <w:abstractNum w:abstractNumId="60">
    <w:nsid w:val="6D68AB2"/>
    <w:multiLevelType w:val="hybridMultilevel"/>
    <w:lvl w:ilvl="0">
      <w:lvlJc w:val="left"/>
      <w:lvlText w:val="•"/>
      <w:numFmt w:val="bullet"/>
      <w:start w:val="1"/>
    </w:lvl>
  </w:abstractNum>
  <w:abstractNum w:abstractNumId="61">
    <w:nsid w:val="3A966CD0"/>
    <w:multiLevelType w:val="hybridMultilevel"/>
    <w:lvl w:ilvl="0">
      <w:lvlJc w:val="left"/>
      <w:lvlText w:val="•"/>
      <w:numFmt w:val="bullet"/>
      <w:start w:val="1"/>
    </w:lvl>
  </w:abstractNum>
  <w:abstractNum w:abstractNumId="62">
    <w:nsid w:val="63F37E85"/>
    <w:multiLevelType w:val="hybridMultilevel"/>
    <w:lvl w:ilvl="0">
      <w:lvlJc w:val="left"/>
      <w:lvlText w:val="•"/>
      <w:numFmt w:val="bullet"/>
      <w:start w:val="1"/>
    </w:lvl>
    <w:lvl w:ilvl="1">
      <w:lvlJc w:val="left"/>
      <w:lvlText w:val="◦"/>
      <w:numFmt w:val="bullet"/>
      <w:start w:val="1"/>
    </w:lvl>
  </w:abstractNum>
  <w:abstractNum w:abstractNumId="63">
    <w:nsid w:val="5895F5FA"/>
    <w:multiLevelType w:val="hybridMultilevel"/>
    <w:lvl w:ilvl="0">
      <w:lvlJc w:val="left"/>
      <w:lvlText w:val="•"/>
      <w:numFmt w:val="bullet"/>
      <w:start w:val="1"/>
    </w:lvl>
  </w:abstractNum>
  <w:abstractNum w:abstractNumId="64">
    <w:nsid w:val="38A5D054"/>
    <w:multiLevelType w:val="hybridMultilevel"/>
    <w:lvl w:ilvl="0">
      <w:lvlJc w:val="left"/>
      <w:lvlText w:val="•"/>
      <w:numFmt w:val="bullet"/>
      <w:start w:val="1"/>
    </w:lvl>
  </w:abstractNum>
  <w:abstractNum w:abstractNumId="65">
    <w:nsid w:val="F3F09D8"/>
    <w:multiLevelType w:val="hybridMultilevel"/>
    <w:lvl w:ilvl="0">
      <w:lvlJc w:val="left"/>
      <w:lvlText w:val="(%1)"/>
      <w:numFmt w:val="lowerLetter"/>
      <w:start w:val="1"/>
    </w:lvl>
  </w:abstractNum>
  <w:abstractNum w:abstractNumId="66">
    <w:nsid w:val="4B793735"/>
    <w:multiLevelType w:val="hybridMultilevel"/>
    <w:lvl w:ilvl="0">
      <w:lvlJc w:val="left"/>
      <w:lvlText w:val="(%1)"/>
      <w:numFmt w:val="lowerLetter"/>
      <w:start w:val="1"/>
    </w:lvl>
  </w:abstractNum>
  <w:abstractNum w:abstractNumId="67">
    <w:nsid w:val="4A10B4E8"/>
    <w:multiLevelType w:val="hybridMultilevel"/>
    <w:lvl w:ilvl="0">
      <w:lvlJc w:val="left"/>
      <w:lvlText w:val="(%1)"/>
      <w:numFmt w:val="lowerLetter"/>
      <w:start w:val="1"/>
    </w:lvl>
  </w:abstractNum>
  <w:abstractNum w:abstractNumId="68">
    <w:nsid w:val="43D3BCD4"/>
    <w:multiLevelType w:val="hybridMultilevel"/>
    <w:lvl w:ilvl="0">
      <w:lvlJc w:val="left"/>
      <w:lvlText w:val="(%1)"/>
      <w:numFmt w:val="lowerLetter"/>
      <w:start w:val="4"/>
    </w:lvl>
  </w:abstractNum>
  <w:abstractNum w:abstractNumId="69">
    <w:nsid w:val="4C2A7166"/>
    <w:multiLevelType w:val="hybridMultilevel"/>
    <w:lvl w:ilvl="0">
      <w:lvlJc w:val="left"/>
      <w:lvlText w:val="(%1)"/>
      <w:numFmt w:val="decimal"/>
      <w:start w:val="3"/>
    </w:lvl>
  </w:abstractNum>
  <w:abstractNum w:abstractNumId="70">
    <w:nsid w:val="2E534A82"/>
    <w:multiLevelType w:val="hybridMultilevel"/>
    <w:lvl w:ilvl="0">
      <w:lvlJc w:val="left"/>
      <w:lvlText w:val="•"/>
      <w:numFmt w:val="bullet"/>
      <w:start w:val="1"/>
    </w:lvl>
    <w:lvl w:ilvl="1">
      <w:lvlJc w:val="left"/>
      <w:lvlText w:val="◦"/>
      <w:numFmt w:val="bullet"/>
      <w:start w:val="1"/>
    </w:lvl>
  </w:abstractNum>
  <w:abstractNum w:abstractNumId="71">
    <w:nsid w:val="26F2D364"/>
    <w:multiLevelType w:val="hybridMultilevel"/>
    <w:lvl w:ilvl="0">
      <w:lvlJc w:val="left"/>
      <w:lvlText w:val="•"/>
      <w:numFmt w:val="bullet"/>
      <w:start w:val="1"/>
    </w:lvl>
  </w:abstractNum>
  <w:abstractNum w:abstractNumId="72">
    <w:nsid w:val="71C1AF98"/>
    <w:multiLevelType w:val="hybridMultilevel"/>
    <w:lvl w:ilvl="0">
      <w:lvlJc w:val="left"/>
      <w:lvlText w:val="•"/>
      <w:numFmt w:val="bullet"/>
      <w:start w:val="1"/>
    </w:lvl>
    <w:lvl w:ilvl="1">
      <w:lvlJc w:val="left"/>
      <w:lvlText w:val="◦"/>
      <w:numFmt w:val="bullet"/>
      <w:start w:val="1"/>
    </w:lvl>
  </w:abstractNum>
  <w:abstractNum w:abstractNumId="73">
    <w:nsid w:val="3D00B9D9"/>
    <w:multiLevelType w:val="hybridMultilevel"/>
    <w:lvl w:ilvl="0">
      <w:lvlJc w:val="left"/>
      <w:lvlText w:val="•"/>
      <w:numFmt w:val="bullet"/>
      <w:start w:val="1"/>
    </w:lvl>
  </w:abstractNum>
  <w:abstractNum w:abstractNumId="74">
    <w:nsid w:val="15BCABA8"/>
    <w:multiLevelType w:val="hybridMultilevel"/>
    <w:lvl w:ilvl="0">
      <w:lvlJc w:val="left"/>
      <w:lvlText w:val="•"/>
      <w:numFmt w:val="bullet"/>
      <w:start w:val="1"/>
    </w:lvl>
  </w:abstractNum>
  <w:abstractNum w:abstractNumId="75">
    <w:nsid w:val="4E0B9A87"/>
    <w:multiLevelType w:val="hybridMultilevel"/>
    <w:lvl w:ilvl="0">
      <w:lvlJc w:val="left"/>
      <w:lvlText w:val="•"/>
      <w:numFmt w:val="bullet"/>
      <w:start w:val="1"/>
    </w:lvl>
  </w:abstractNum>
  <w:abstractNum w:abstractNumId="76">
    <w:nsid w:val="434BAE75"/>
    <w:multiLevelType w:val="hybridMultilevel"/>
    <w:lvl w:ilvl="0">
      <w:lvlJc w:val="left"/>
      <w:lvlText w:val="•"/>
      <w:numFmt w:val="bullet"/>
      <w:start w:val="1"/>
    </w:lvl>
  </w:abstractNum>
  <w:abstractNum w:abstractNumId="77">
    <w:nsid w:val="4F38F265"/>
    <w:multiLevelType w:val="hybridMultilevel"/>
    <w:lvl w:ilvl="0">
      <w:lvlJc w:val="left"/>
      <w:lvlText w:val="•"/>
      <w:numFmt w:val="bullet"/>
      <w:start w:val="1"/>
    </w:lvl>
  </w:abstractNum>
  <w:abstractNum w:abstractNumId="78">
    <w:nsid w:val="4C502870"/>
    <w:multiLevelType w:val="hybridMultilevel"/>
    <w:lvl w:ilvl="0">
      <w:lvlJc w:val="left"/>
      <w:lvlText w:val="•"/>
      <w:numFmt w:val="bullet"/>
      <w:start w:val="1"/>
    </w:lvl>
  </w:abstractNum>
  <w:abstractNum w:abstractNumId="79">
    <w:nsid w:val="1DE8725A"/>
    <w:multiLevelType w:val="hybridMultilevel"/>
    <w:lvl w:ilvl="0">
      <w:lvlJc w:val="left"/>
      <w:lvlText w:val="•"/>
      <w:numFmt w:val="bullet"/>
      <w:start w:val="1"/>
    </w:lvl>
  </w:abstractNum>
  <w:abstractNum w:abstractNumId="80">
    <w:nsid w:val="6A37288A"/>
    <w:multiLevelType w:val="hybridMultilevel"/>
    <w:lvl w:ilvl="0">
      <w:lvlJc w:val="left"/>
      <w:lvlText w:val="(%1)"/>
      <w:numFmt w:val="decimal"/>
      <w:start w:val="1"/>
    </w:lvl>
  </w:abstractNum>
  <w:abstractNum w:abstractNumId="81">
    <w:nsid w:val="8F8B73F"/>
    <w:multiLevelType w:val="hybridMultilevel"/>
    <w:lvl w:ilvl="0">
      <w:lvlJc w:val="left"/>
      <w:lvlText w:val="(%1)"/>
      <w:numFmt w:val="decimal"/>
      <w:start w:val="5"/>
    </w:lvl>
    <w:lvl w:ilvl="1">
      <w:lvlJc w:val="left"/>
      <w:lvlText w:val="•"/>
      <w:numFmt w:val="bullet"/>
      <w:start w:val="1"/>
    </w:lvl>
  </w:abstractNum>
  <w:abstractNum w:abstractNumId="82">
    <w:nsid w:val="CA6B462"/>
    <w:multiLevelType w:val="hybridMultilevel"/>
    <w:lvl w:ilvl="0">
      <w:lvlJc w:val="left"/>
      <w:lvlText w:val="•"/>
      <w:numFmt w:val="bullet"/>
      <w:start w:val="1"/>
    </w:lvl>
  </w:abstractNum>
  <w:abstractNum w:abstractNumId="83">
    <w:nsid w:val="763CB680"/>
    <w:multiLevelType w:val="hybridMultilevel"/>
    <w:lvl w:ilvl="0">
      <w:lvlJc w:val="left"/>
      <w:lvlText w:val="(%1)"/>
      <w:numFmt w:val="decimal"/>
      <w:start w:val="4"/>
    </w:lvl>
  </w:abstractNum>
  <w:abstractNum w:abstractNumId="84">
    <w:nsid w:val="15B71329"/>
    <w:multiLevelType w:val="hybridMultilevel"/>
    <w:lvl w:ilvl="0">
      <w:lvlJc w:val="left"/>
      <w:lvlText w:val="(%1)"/>
      <w:numFmt w:val="decimal"/>
      <w:start w:val="1"/>
    </w:lvl>
    <w:lvl w:ilvl="1">
      <w:lvlJc w:val="left"/>
      <w:lvlText w:val="(%2)"/>
      <w:numFmt w:val="lowerLetter"/>
      <w:start w:val="1"/>
    </w:lvl>
  </w:abstractNum>
  <w:abstractNum w:abstractNumId="85">
    <w:nsid w:val="3DA97044"/>
    <w:multiLevelType w:val="hybridMultilevel"/>
    <w:lvl w:ilvl="0">
      <w:lvlJc w:val="left"/>
      <w:lvlText w:val="(%1)"/>
      <w:numFmt w:val="decimal"/>
      <w:start w:val="3"/>
    </w:lvl>
  </w:abstractNum>
  <w:abstractNum w:abstractNumId="86">
    <w:nsid w:val="1CDCE2DE"/>
    <w:multiLevelType w:val="hybridMultilevel"/>
    <w:lvl w:ilvl="0">
      <w:lvlJc w:val="left"/>
      <w:lvlText w:val="•"/>
      <w:numFmt w:val="bullet"/>
      <w:start w:val="1"/>
    </w:lvl>
    <w:lvl w:ilvl="1">
      <w:lvlJc w:val="left"/>
      <w:lvlText w:val="◦"/>
      <w:numFmt w:val="bullet"/>
      <w:start w:val="1"/>
    </w:lvl>
  </w:abstractNum>
  <w:abstractNum w:abstractNumId="87">
    <w:nsid w:val="69D3947C"/>
    <w:multiLevelType w:val="hybridMultilevel"/>
    <w:lvl w:ilvl="0">
      <w:lvlJc w:val="left"/>
      <w:lvlText w:val="•"/>
      <w:numFmt w:val="bullet"/>
      <w:start w:val="1"/>
    </w:lvl>
  </w:abstractNum>
  <w:abstractNum w:abstractNumId="88">
    <w:nsid w:val="2539DFA5"/>
    <w:multiLevelType w:val="hybridMultilevel"/>
    <w:lvl w:ilvl="0">
      <w:lvlJc w:val="left"/>
      <w:lvlText w:val="•"/>
      <w:numFmt w:val="bullet"/>
      <w:start w:val="1"/>
    </w:lvl>
    <w:lvl w:ilvl="1">
      <w:lvlJc w:val="left"/>
      <w:lvlText w:val="◦"/>
      <w:numFmt w:val="bullet"/>
      <w:start w:val="1"/>
    </w:lvl>
  </w:abstractNum>
  <w:abstractNum w:abstractNumId="89">
    <w:nsid w:val="2DB88089"/>
    <w:multiLevelType w:val="hybridMultilevel"/>
    <w:lvl w:ilvl="0">
      <w:lvlJc w:val="left"/>
      <w:lvlText w:val="•"/>
      <w:numFmt w:val="bullet"/>
      <w:start w:val="1"/>
    </w:lvl>
  </w:abstractNum>
  <w:abstractNum w:abstractNumId="90">
    <w:nsid w:val="706B674E"/>
    <w:multiLevelType w:val="hybridMultilevel"/>
    <w:lvl w:ilvl="0">
      <w:lvlJc w:val="left"/>
      <w:lvlText w:val="•"/>
      <w:numFmt w:val="bullet"/>
      <w:start w:val="1"/>
    </w:lvl>
  </w:abstractNum>
  <w:abstractNum w:abstractNumId="91">
    <w:nsid w:val="2C106A57"/>
    <w:multiLevelType w:val="hybridMultilevel"/>
    <w:lvl w:ilvl="0">
      <w:lvlJc w:val="left"/>
      <w:lvlText w:val="•"/>
      <w:numFmt w:val="bullet"/>
      <w:start w:val="1"/>
    </w:lvl>
  </w:abstractNum>
  <w:abstractNum w:abstractNumId="92">
    <w:nsid w:val="684EED59"/>
    <w:multiLevelType w:val="hybridMultilevel"/>
    <w:lvl w:ilvl="0">
      <w:lvlJc w:val="left"/>
      <w:lvlText w:val="•"/>
      <w:numFmt w:val="bullet"/>
      <w:start w:val="1"/>
    </w:lvl>
  </w:abstractNum>
  <w:abstractNum w:abstractNumId="93">
    <w:nsid w:val="545EE5D3"/>
    <w:multiLevelType w:val="hybridMultilevel"/>
    <w:lvl w:ilvl="0">
      <w:lvlJc w:val="left"/>
      <w:lvlText w:val="•"/>
      <w:numFmt w:val="bullet"/>
      <w:start w:val="1"/>
    </w:lvl>
  </w:abstractNum>
  <w:abstractNum w:abstractNumId="94">
    <w:nsid w:val="4A66051"/>
    <w:multiLevelType w:val="hybridMultilevel"/>
    <w:lvl w:ilvl="0">
      <w:lvlJc w:val="left"/>
      <w:lvlText w:val="•"/>
      <w:numFmt w:val="bullet"/>
      <w:start w:val="1"/>
    </w:lvl>
  </w:abstractNum>
  <w:abstractNum w:abstractNumId="95">
    <w:nsid w:val="20F4BDAD"/>
    <w:multiLevelType w:val="hybridMultilevel"/>
    <w:lvl w:ilvl="0">
      <w:lvlJc w:val="left"/>
      <w:lvlText w:val="•"/>
      <w:numFmt w:val="bullet"/>
      <w:start w:val="1"/>
    </w:lvl>
  </w:abstractNum>
  <w:abstractNum w:abstractNumId="96">
    <w:nsid w:val="639DEFAC"/>
    <w:multiLevelType w:val="hybridMultilevel"/>
    <w:lvl w:ilvl="0">
      <w:lvlJc w:val="left"/>
      <w:lvlText w:val="(%1)"/>
      <w:numFmt w:val="decimal"/>
      <w:start w:val="1"/>
    </w:lvl>
    <w:lvl w:ilvl="1">
      <w:lvlJc w:val="left"/>
      <w:lvlText w:val="•"/>
      <w:numFmt w:val="bullet"/>
      <w:start w:val="1"/>
    </w:lvl>
  </w:abstractNum>
  <w:abstractNum w:abstractNumId="97">
    <w:nsid w:val="501F9786"/>
    <w:multiLevelType w:val="hybridMultilevel"/>
    <w:lvl w:ilvl="0">
      <w:lvlJc w:val="left"/>
      <w:lvlText w:val="(%1)"/>
      <w:numFmt w:val="decimal"/>
      <w:start w:val="5"/>
    </w:lvl>
    <w:lvl w:ilvl="1">
      <w:lvlJc w:val="left"/>
      <w:lvlText w:val="•"/>
      <w:numFmt w:val="bullet"/>
      <w:start w:val="1"/>
    </w:lvl>
  </w:abstractNum>
  <w:abstractNum w:abstractNumId="98">
    <w:nsid w:val="6B057295"/>
    <w:multiLevelType w:val="hybridMultilevel"/>
    <w:lvl w:ilvl="0">
      <w:lvlJc w:val="left"/>
      <w:lvlText w:val="•"/>
      <w:numFmt w:val="bullet"/>
      <w:start w:val="1"/>
    </w:lvl>
  </w:abstractNum>
  <w:abstractNum w:abstractNumId="99">
    <w:nsid w:val="2771AC80"/>
    <w:multiLevelType w:val="hybridMultilevel"/>
    <w:lvl w:ilvl="0">
      <w:lvlJc w:val="left"/>
      <w:lvlText w:val="(%1)"/>
      <w:numFmt w:val="decimal"/>
      <w:start w:val="5"/>
    </w:lvl>
  </w:abstractNum>
  <w:abstractNum w:abstractNumId="100">
    <w:nsid w:val="1C4A08EC"/>
    <w:multiLevelType w:val="hybridMultilevel"/>
    <w:lvl w:ilvl="0">
      <w:lvlJc w:val="left"/>
      <w:lvlText w:val="•"/>
      <w:numFmt w:val="bullet"/>
      <w:start w:val="1"/>
    </w:lvl>
  </w:abstractNum>
  <w:abstractNum w:abstractNumId="101">
    <w:nsid w:val="1958BD17"/>
    <w:multiLevelType w:val="hybridMultilevel"/>
    <w:lvl w:ilvl="0">
      <w:lvlJc w:val="left"/>
      <w:lvlText w:val="•"/>
      <w:numFmt w:val="bullet"/>
      <w:start w:val="1"/>
    </w:lvl>
  </w:abstractNum>
  <w:abstractNum w:abstractNumId="102">
    <w:nsid w:val="4E647FE4"/>
    <w:multiLevelType w:val="hybridMultilevel"/>
    <w:lvl w:ilvl="0">
      <w:lvlJc w:val="left"/>
      <w:lvlText w:val="•"/>
      <w:numFmt w:val="bullet"/>
      <w:start w:val="1"/>
    </w:lvl>
  </w:abstractNum>
  <w:abstractNum w:abstractNumId="103">
    <w:nsid w:val="E0BB885"/>
    <w:multiLevelType w:val="hybridMultilevel"/>
    <w:lvl w:ilvl="0">
      <w:lvlJc w:val="left"/>
      <w:lvlText w:val="(%1)"/>
      <w:numFmt w:val="decimal"/>
      <w:start w:val="1"/>
    </w:lvl>
    <w:lvl w:ilvl="1">
      <w:lvlJc w:val="left"/>
      <w:lvlText w:val="(%2)"/>
      <w:numFmt w:val="lowerLetter"/>
      <w:start w:val="1"/>
    </w:lvl>
  </w:abstractNum>
  <w:abstractNum w:abstractNumId="104">
    <w:nsid w:val="565976F1"/>
    <w:multiLevelType w:val="hybridMultilevel"/>
    <w:lvl w:ilvl="0">
      <w:lvlJc w:val="left"/>
      <w:lvlText w:val="%1"/>
      <w:numFmt w:val="decimal"/>
      <w:start w:val="1"/>
    </w:lvl>
    <w:lvl w:ilvl="1">
      <w:lvlJc w:val="left"/>
      <w:lvlText w:val="(%2)"/>
      <w:numFmt w:val="lowerLetter"/>
      <w:start w:val="3"/>
    </w:lvl>
  </w:abstractNum>
  <w:abstractNum w:abstractNumId="105">
    <w:nsid w:val="64212B8C"/>
    <w:multiLevelType w:val="hybridMultilevel"/>
    <w:lvl w:ilvl="0">
      <w:lvlJc w:val="left"/>
      <w:lvlText w:val="(%1)"/>
      <w:numFmt w:val="decimal"/>
      <w:start w:val="2"/>
    </w:lvl>
    <w:lvl w:ilvl="1">
      <w:lvlJc w:val="left"/>
      <w:lvlText w:val="%2"/>
      <w:numFmt w:val="lowerLetter"/>
      <w:start w:val="1"/>
    </w:lvl>
  </w:abstractNum>
  <w:abstractNum w:abstractNumId="106">
    <w:nsid w:val="5C17530C"/>
    <w:multiLevelType w:val="hybridMultilevel"/>
    <w:lvl w:ilvl="0">
      <w:lvlJc w:val="left"/>
      <w:lvlText w:val="(%1)"/>
      <w:numFmt w:val="decimal"/>
      <w:start w:val="7"/>
    </w:lvl>
  </w:abstractNum>
  <w:abstractNum w:abstractNumId="107">
    <w:nsid w:val="19A52566"/>
    <w:multiLevelType w:val="hybridMultilevel"/>
    <w:lvl w:ilvl="0">
      <w:lvlJc w:val="left"/>
      <w:lvlText w:val="(%1)"/>
      <w:numFmt w:val="lowerLetter"/>
      <w:start w:val="1"/>
    </w:lvl>
  </w:abstractNum>
  <w:abstractNum w:abstractNumId="108">
    <w:nsid w:val="335A1DF1"/>
    <w:multiLevelType w:val="hybridMultilevel"/>
    <w:lvl w:ilvl="0">
      <w:lvlJc w:val="left"/>
      <w:lvlText w:val="•"/>
      <w:numFmt w:val="bullet"/>
      <w:start w:val="1"/>
    </w:lvl>
  </w:abstractNum>
  <w:abstractNum w:abstractNumId="109">
    <w:nsid w:val="28677B7C"/>
    <w:multiLevelType w:val="hybridMultilevel"/>
    <w:lvl w:ilvl="0">
      <w:lvlJc w:val="left"/>
      <w:lvlText w:val="(%1)"/>
      <w:numFmt w:val="decimal"/>
      <w:start w:val="1"/>
    </w:lvl>
  </w:abstractNum>
  <w:abstractNum w:abstractNumId="110">
    <w:nsid w:val="378D97C0"/>
    <w:multiLevelType w:val="hybridMultilevel"/>
    <w:lvl w:ilvl="0">
      <w:lvlJc w:val="left"/>
      <w:lvlText w:val="(%1)"/>
      <w:numFmt w:val="decimal"/>
      <w:start w:val="1"/>
    </w:lvl>
  </w:abstractNum>
  <w:abstractNum w:abstractNumId="111">
    <w:nsid w:val="1D91467C"/>
    <w:multiLevelType w:val="hybridMultilevel"/>
    <w:lvl w:ilvl="0">
      <w:lvlJc w:val="left"/>
      <w:lvlText w:val="(%1)"/>
      <w:numFmt w:val="decimal"/>
      <w:start w:val="1"/>
    </w:lvl>
  </w:abstractNum>
  <w:abstractNum w:abstractNumId="112">
    <w:nsid w:val="316032BB"/>
    <w:multiLevelType w:val="hybridMultilevel"/>
    <w:lvl w:ilvl="0">
      <w:lvlJc w:val="left"/>
      <w:lvlText w:val="(%1)"/>
      <w:numFmt w:val="decimal"/>
      <w:start w:val="1"/>
    </w:lvl>
  </w:abstractNum>
  <w:abstractNum w:abstractNumId="113">
    <w:nsid w:val="44344C22"/>
    <w:multiLevelType w:val="hybridMultilevel"/>
    <w:lvl w:ilvl="0">
      <w:lvlJc w:val="left"/>
      <w:lvlText w:val="(%1)"/>
      <w:numFmt w:val="decimal"/>
      <w:start w:val="3"/>
    </w:lvl>
  </w:abstractNum>
  <w:abstractNum w:abstractNumId="114">
    <w:nsid w:val="13CDFCFC"/>
    <w:multiLevelType w:val="hybridMultilevel"/>
    <w:lvl w:ilvl="0">
      <w:lvlJc w:val="left"/>
      <w:lvlText w:val="(%1)"/>
      <w:numFmt w:val="decimal"/>
      <w:start w:val="5"/>
    </w:lvl>
  </w:abstractNum>
  <w:abstractNum w:abstractNumId="115">
    <w:nsid w:val="471745E4"/>
    <w:multiLevelType w:val="hybridMultilevel"/>
    <w:lvl w:ilvl="0">
      <w:lvlJc w:val="left"/>
      <w:lvlText w:val="•"/>
      <w:numFmt w:val="bullet"/>
      <w:start w:val="1"/>
    </w:lvl>
  </w:abstractNum>
  <w:abstractNum w:abstractNumId="116">
    <w:nsid w:val="1DDBC66"/>
    <w:multiLevelType w:val="hybridMultilevel"/>
    <w:lvl w:ilvl="0">
      <w:lvlJc w:val="left"/>
      <w:lvlText w:val="•"/>
      <w:numFmt w:val="bullet"/>
      <w:start w:val="1"/>
    </w:lvl>
  </w:abstractNum>
  <w:abstractNum w:abstractNumId="117">
    <w:nsid w:val="30AADFDA"/>
    <w:multiLevelType w:val="hybridMultilevel"/>
    <w:lvl w:ilvl="0">
      <w:lvlJc w:val="left"/>
      <w:lvlText w:val="•"/>
      <w:numFmt w:val="bullet"/>
      <w:start w:val="1"/>
    </w:lvl>
  </w:abstractNum>
  <w:abstractNum w:abstractNumId="118">
    <w:nsid w:val="30EADA61"/>
    <w:multiLevelType w:val="hybridMultilevel"/>
    <w:lvl w:ilvl="0">
      <w:lvlJc w:val="left"/>
      <w:lvlText w:val="•"/>
      <w:numFmt w:val="bullet"/>
      <w:start w:val="1"/>
    </w:lvl>
  </w:abstractNum>
  <w:abstractNum w:abstractNumId="119">
    <w:nsid w:val="27179C0B"/>
    <w:multiLevelType w:val="hybridMultilevel"/>
    <w:lvl w:ilvl="0">
      <w:lvlJc w:val="left"/>
      <w:lvlText w:val="•"/>
      <w:numFmt w:val="bullet"/>
      <w:start w:val="1"/>
    </w:lvl>
  </w:abstractNum>
  <w:abstractNum w:abstractNumId="120">
    <w:nsid w:val="5E636063"/>
    <w:multiLevelType w:val="hybridMultilevel"/>
    <w:lvl w:ilvl="0">
      <w:lvlJc w:val="left"/>
      <w:lvlText w:val="(%1)"/>
      <w:numFmt w:val="lowerLetter"/>
      <w:start w:val="1"/>
    </w:lvl>
  </w:abstractNum>
  <w:abstractNum w:abstractNumId="121">
    <w:nsid w:val="215641AF"/>
    <w:multiLevelType w:val="hybridMultilevel"/>
    <w:lvl w:ilvl="0">
      <w:lvlJc w:val="left"/>
      <w:lvlText w:val="(%1)"/>
      <w:numFmt w:val="lowerLetter"/>
      <w:start w:val="1"/>
    </w:lvl>
  </w:abstractNum>
  <w:abstractNum w:abstractNumId="122">
    <w:nsid w:val="53280662"/>
    <w:multiLevelType w:val="hybridMultilevel"/>
    <w:lvl w:ilvl="0">
      <w:lvlJc w:val="left"/>
      <w:lvlText w:val="(%1)"/>
      <w:numFmt w:val="lowerLetter"/>
      <w:start w:val="1"/>
    </w:lvl>
  </w:abstractNum>
  <w:abstractNum w:abstractNumId="123">
    <w:nsid w:val="46B24DBC"/>
    <w:multiLevelType w:val="hybridMultilevel"/>
    <w:lvl w:ilvl="0">
      <w:lvlJc w:val="left"/>
      <w:lvlText w:val="(%1)"/>
      <w:numFmt w:val="lowerLetter"/>
      <w:start w:val="1"/>
    </w:lvl>
  </w:abstractNum>
  <w:abstractNum w:abstractNumId="124">
    <w:nsid w:val="75B52783"/>
    <w:multiLevelType w:val="hybridMultilevel"/>
    <w:lvl w:ilvl="0">
      <w:lvlJc w:val="left"/>
      <w:lvlText w:val="B"/>
      <w:numFmt w:val="bullet"/>
      <w:start w:val="1"/>
    </w:lvl>
  </w:abstractNum>
  <w:abstractNum w:abstractNumId="125">
    <w:nsid w:val="57CE66B4"/>
    <w:multiLevelType w:val="hybridMultilevel"/>
    <w:lvl w:ilvl="0">
      <w:lvlJc w:val="left"/>
      <w:lvlText w:val="(%1)"/>
      <w:numFmt w:val="upperLetter"/>
      <w:start w:val="2"/>
    </w:lvl>
  </w:abstractNum>
  <w:abstractNum w:abstractNumId="126">
    <w:nsid w:val="67A70B69"/>
    <w:multiLevelType w:val="hybridMultilevel"/>
    <w:lvl w:ilvl="0">
      <w:lvlJc w:val="left"/>
      <w:lvlText w:val="(%1)"/>
      <w:numFmt w:val="upperLetter"/>
      <w:start w:val="1"/>
    </w:lvl>
  </w:abstractNum>
  <w:abstractNum w:abstractNumId="127">
    <w:nsid w:val="5953172F"/>
    <w:multiLevelType w:val="hybridMultilevel"/>
    <w:lvl w:ilvl="0">
      <w:lvlJc w:val="left"/>
      <w:lvlText w:val="(%1)"/>
      <w:numFmt w:val="decimal"/>
      <w:start w:val="3"/>
    </w:lvl>
  </w:abstractNum>
  <w:abstractNum w:abstractNumId="128">
    <w:nsid w:val="27EDFE3A"/>
    <w:multiLevelType w:val="hybridMultilevel"/>
    <w:lvl w:ilvl="0">
      <w:lvlJc w:val="left"/>
      <w:lvlText w:val="(%1)"/>
      <w:numFmt w:val="decimal"/>
      <w:start w:val="1"/>
    </w:lvl>
  </w:abstractNum>
  <w:abstractNum w:abstractNumId="129">
    <w:nsid w:val="52AC7DFF"/>
    <w:multiLevelType w:val="hybridMultilevel"/>
    <w:lvl w:ilvl="0">
      <w:lvlJc w:val="left"/>
      <w:lvlText w:val="(%1)"/>
      <w:numFmt w:val="lowerLetter"/>
      <w:start w:val="1"/>
    </w:lvl>
  </w:abstractNum>
  <w:abstractNum w:abstractNumId="130">
    <w:nsid w:val="C4C3AF"/>
    <w:multiLevelType w:val="hybridMultilevel"/>
    <w:lvl w:ilvl="0">
      <w:lvlJc w:val="left"/>
      <w:lvlText w:val="(%1)"/>
      <w:numFmt w:val="decimal"/>
      <w:start w:val="2"/>
    </w:lvl>
  </w:abstractNum>
  <w:abstractNum w:abstractNumId="131">
    <w:nsid w:val="44380727"/>
    <w:multiLevelType w:val="hybridMultilevel"/>
    <w:lvl w:ilvl="0">
      <w:lvlJc w:val="left"/>
      <w:lvlText w:val="(%1)"/>
      <w:numFmt w:val="decimal"/>
      <w:start w:val="1"/>
    </w:lvl>
  </w:abstractNum>
  <w:abstractNum w:abstractNumId="132">
    <w:nsid w:val="6C053B16"/>
    <w:multiLevelType w:val="hybridMultilevel"/>
    <w:lvl w:ilvl="0">
      <w:lvlJc w:val="left"/>
      <w:lvlText w:val="(%1)"/>
      <w:numFmt w:val="decimal"/>
      <w:start w:val="1"/>
    </w:lvl>
  </w:abstractNum>
  <w:abstractNum w:abstractNumId="133">
    <w:nsid w:val="4F294393"/>
    <w:multiLevelType w:val="hybridMultilevel"/>
    <w:lvl w:ilvl="0">
      <w:lvlJc w:val="left"/>
      <w:lvlText w:val="(%1)"/>
      <w:numFmt w:val="decimal"/>
      <w:start w:val="1"/>
    </w:lvl>
  </w:abstractNum>
  <w:abstractNum w:abstractNumId="134">
    <w:nsid w:val="5243BFAC"/>
    <w:multiLevelType w:val="hybridMultilevel"/>
    <w:lvl w:ilvl="0">
      <w:lvlJc w:val="left"/>
      <w:lvlText w:val="(%1)"/>
      <w:numFmt w:val="lowerRoman"/>
      <w:start w:val="1"/>
    </w:lvl>
  </w:abstractNum>
  <w:abstractNum w:abstractNumId="135">
    <w:nsid w:val="425EB207"/>
    <w:multiLevelType w:val="hybridMultilevel"/>
    <w:lvl w:ilvl="0">
      <w:lvlJc w:val="left"/>
      <w:lvlText w:val="(%1)"/>
      <w:numFmt w:val="decimal"/>
      <w:start w:val="1"/>
    </w:lvl>
  </w:abstractNum>
  <w:abstractNum w:abstractNumId="136">
    <w:nsid w:val="334A6F1F"/>
    <w:multiLevelType w:val="hybridMultilevel"/>
    <w:lvl w:ilvl="0">
      <w:lvlJc w:val="left"/>
      <w:lvlText w:val="(%1)"/>
      <w:numFmt w:val="lowerRoman"/>
      <w:start w:val="7"/>
    </w:lvl>
  </w:abstractNum>
  <w:abstractNum w:abstractNumId="137">
    <w:nsid w:val="2E5B12B8"/>
    <w:multiLevelType w:val="hybridMultilevel"/>
    <w:lvl w:ilvl="0">
      <w:lvlJc w:val="left"/>
      <w:lvlText w:val="(%1)"/>
      <w:numFmt w:val="lowerRoman"/>
      <w:start w:val="1"/>
    </w:lvl>
  </w:abstractNum>
  <w:abstractNum w:abstractNumId="138">
    <w:nsid w:val="5C03D76D"/>
    <w:multiLevelType w:val="hybridMultilevel"/>
    <w:lvl w:ilvl="0">
      <w:lvlJc w:val="left"/>
      <w:lvlText w:val="(%1)"/>
      <w:numFmt w:val="lowerRoman"/>
      <w:start w:val="3"/>
    </w:lvl>
  </w:abstractNum>
  <w:abstractNum w:abstractNumId="139">
    <w:nsid w:val="66A48D11"/>
    <w:multiLevelType w:val="hybridMultilevel"/>
    <w:lvl w:ilvl="0">
      <w:lvlJc w:val="left"/>
      <w:lvlText w:val="(%1)"/>
      <w:numFmt w:val="lowerRoman"/>
      <w:start w:val="2"/>
    </w:lvl>
  </w:abstractNum>
  <w:abstractNum w:abstractNumId="140">
    <w:nsid w:val="56C28E34"/>
    <w:multiLevelType w:val="hybridMultilevel"/>
    <w:lvl w:ilvl="0">
      <w:lvlJc w:val="left"/>
      <w:lvlText w:val="(%1)"/>
      <w:numFmt w:val="lowerLetter"/>
      <w:start w:val="1"/>
    </w:lvl>
  </w:abstractNum>
  <w:abstractNum w:abstractNumId="141">
    <w:nsid w:val="13916F2D"/>
    <w:multiLevelType w:val="hybridMultilevel"/>
    <w:lvl w:ilvl="0">
      <w:lvlJc w:val="left"/>
      <w:lvlText w:val="(%1)"/>
      <w:numFmt w:val="lowerLetter"/>
      <w:start w:val="1"/>
    </w:lvl>
  </w:abstractNum>
  <w:abstractNum w:abstractNumId="142">
    <w:nsid w:val="435D38D"/>
    <w:multiLevelType w:val="hybridMultilevel"/>
    <w:lvl w:ilvl="0">
      <w:lvlJc w:val="left"/>
      <w:lvlText w:val="(%1)"/>
      <w:numFmt w:val="lowerLetter"/>
      <w:start w:val="1"/>
    </w:lvl>
  </w:abstractNum>
  <w:abstractNum w:abstractNumId="143">
    <w:nsid w:val="822C0EF"/>
    <w:multiLevelType w:val="hybridMultilevel"/>
    <w:lvl w:ilvl="0">
      <w:lvlJc w:val="left"/>
      <w:lvlText w:val="(%1)"/>
      <w:numFmt w:val="lowerLetter"/>
      <w:start w:val="1"/>
    </w:lvl>
  </w:abstractNum>
  <w:abstractNum w:abstractNumId="144">
    <w:nsid w:val="57C5BB4F"/>
    <w:multiLevelType w:val="hybridMultilevel"/>
    <w:lvl w:ilvl="0">
      <w:lvlJc w:val="left"/>
      <w:lvlText w:val="(%1)"/>
      <w:numFmt w:val="lowerLetter"/>
      <w:start w:val="2"/>
    </w:lvl>
  </w:abstractNum>
  <w:abstractNum w:abstractNumId="145">
    <w:nsid w:val="1803D089"/>
    <w:multiLevelType w:val="hybridMultilevel"/>
    <w:lvl w:ilvl="0">
      <w:lvlJc w:val="left"/>
      <w:lvlText w:val="(%1)"/>
      <w:numFmt w:val="lowerLetter"/>
      <w:start w:val="4"/>
    </w:lvl>
  </w:abstractNum>
  <w:abstractNum w:abstractNumId="146">
    <w:nsid w:val="4F3A06D4"/>
    <w:multiLevelType w:val="hybridMultilevel"/>
    <w:lvl w:ilvl="0">
      <w:lvlJc w:val="left"/>
      <w:lvlText w:val="(%1)"/>
      <w:numFmt w:val="lowerLetter"/>
      <w:start w:val="7"/>
    </w:lvl>
    <w:lvl w:ilvl="1">
      <w:lvlJc w:val="left"/>
      <w:lvlText w:val="(%2)"/>
      <w:numFmt w:val="lowerRoman"/>
      <w:start w:val="1"/>
    </w:lvl>
  </w:abstractNum>
  <w:abstractNum w:abstractNumId="147">
    <w:nsid w:val="59A377B6"/>
    <w:multiLevelType w:val="hybridMultilevel"/>
    <w:lvl w:ilvl="0">
      <w:lvlJc w:val="left"/>
      <w:lvlText w:val="(%1)"/>
      <w:numFmt w:val="lowerRoman"/>
      <w:start w:val="10"/>
    </w:lvl>
  </w:abstractNum>
  <w:abstractNum w:abstractNumId="148">
    <w:nsid w:val="48AEB063"/>
    <w:multiLevelType w:val="hybridMultilevel"/>
    <w:lvl w:ilvl="0">
      <w:lvlJc w:val="left"/>
      <w:lvlText w:val="(%1)"/>
      <w:numFmt w:val="lowerLetter"/>
      <w:start w:val="8"/>
    </w:lvl>
  </w:abstractNum>
  <w:abstractNum w:abstractNumId="149">
    <w:nsid w:val="24E135"/>
    <w:multiLevelType w:val="hybridMultilevel"/>
    <w:lvl w:ilvl="0">
      <w:lvlJc w:val="left"/>
      <w:lvlText w:val="(%1)"/>
      <w:numFmt w:val="lowerLetter"/>
      <w:start w:val="12"/>
    </w:lvl>
  </w:abstractNum>
  <w:abstractNum w:abstractNumId="150">
    <w:nsid w:val="BB13C1"/>
    <w:multiLevelType w:val="hybridMultilevel"/>
    <w:lvl w:ilvl="0">
      <w:lvlJc w:val="left"/>
      <w:lvlText w:val="(%1)"/>
      <w:numFmt w:val="lowerRoman"/>
      <w:start w:val="1"/>
    </w:lvl>
  </w:abstractNum>
  <w:abstractNum w:abstractNumId="151">
    <w:nsid w:val="271210C7"/>
    <w:multiLevelType w:val="hybridMultilevel"/>
    <w:lvl w:ilvl="0">
      <w:lvlJc w:val="left"/>
      <w:lvlText w:val="(%1)"/>
      <w:numFmt w:val="lowerLetter"/>
      <w:start w:val="2"/>
    </w:lvl>
  </w:abstractNum>
  <w:abstractNum w:abstractNumId="152">
    <w:nsid w:val="217B22E4"/>
    <w:multiLevelType w:val="hybridMultilevel"/>
    <w:lvl w:ilvl="0">
      <w:lvlJc w:val="left"/>
      <w:lvlText w:val="(%1)"/>
      <w:numFmt w:val="lowerLetter"/>
      <w:start w:val="3"/>
    </w:lvl>
  </w:abstractNum>
  <w:abstractNum w:abstractNumId="153">
    <w:nsid w:val="53E31A24"/>
    <w:multiLevelType w:val="hybridMultilevel"/>
    <w:lvl w:ilvl="0">
      <w:lvlJc w:val="left"/>
      <w:lvlText w:val="(%1)"/>
      <w:numFmt w:val="lowerLetter"/>
      <w:start w:val="1"/>
    </w:lvl>
  </w:abstractNum>
  <w:abstractNum w:abstractNumId="154">
    <w:nsid w:val="6DC45E83"/>
    <w:multiLevelType w:val="hybridMultilevel"/>
    <w:lvl w:ilvl="0">
      <w:lvlJc w:val="left"/>
      <w:lvlText w:val="(%1)"/>
      <w:numFmt w:val="lowerLetter"/>
      <w:start w:val="2"/>
    </w:lvl>
  </w:abstractNum>
  <w:abstractNum w:abstractNumId="155">
    <w:nsid w:val="17304A67"/>
    <w:multiLevelType w:val="hybridMultilevel"/>
    <w:lvl w:ilvl="0">
      <w:lvlJc w:val="left"/>
      <w:lvlText w:val="(%1)"/>
      <w:numFmt w:val="lowerLetter"/>
      <w:start w:val="1"/>
    </w:lvl>
  </w:abstractNum>
  <w:abstractNum w:abstractNumId="156">
    <w:nsid w:val="2BB180D8"/>
    <w:multiLevelType w:val="hybridMultilevel"/>
    <w:lvl w:ilvl="0">
      <w:lvlJc w:val="left"/>
      <w:lvlText w:val="(%1)"/>
      <w:numFmt w:val="lowerLetter"/>
      <w:start w:val="1"/>
    </w:lvl>
  </w:abstractNum>
  <w:abstractNum w:abstractNumId="157">
    <w:nsid w:val="556B69ED"/>
    <w:multiLevelType w:val="hybridMultilevel"/>
    <w:lvl w:ilvl="0">
      <w:lvlJc w:val="left"/>
      <w:lvlText w:val="(%1)"/>
      <w:numFmt w:val="lowerLetter"/>
      <w:start w:val="1"/>
    </w:lvl>
  </w:abstractNum>
  <w:abstractNum w:abstractNumId="158">
    <w:nsid w:val="70836196"/>
    <w:multiLevelType w:val="hybridMultilevel"/>
    <w:lvl w:ilvl="0">
      <w:lvlJc w:val="left"/>
      <w:lvlText w:val="(%1)"/>
      <w:numFmt w:val="lowerRoman"/>
      <w:start w:val="1"/>
    </w:lvl>
  </w:abstractNum>
  <w:abstractNum w:abstractNumId="159">
    <w:nsid w:val="539F7F12"/>
    <w:multiLevelType w:val="hybridMultilevel"/>
    <w:lvl w:ilvl="0">
      <w:lvlJc w:val="left"/>
      <w:lvlText w:val="(%1)"/>
      <w:numFmt w:val="lowerLetter"/>
      <w:start w:val="2"/>
    </w:lvl>
  </w:abstractNum>
  <w:abstractNum w:abstractNumId="160">
    <w:nsid w:val="2817E7EC"/>
    <w:multiLevelType w:val="hybridMultilevel"/>
    <w:lvl w:ilvl="0">
      <w:lvlJc w:val="left"/>
      <w:lvlText w:val="(%1)"/>
      <w:numFmt w:val="lowerLetter"/>
      <w:start w:val="3"/>
    </w:lvl>
  </w:abstractNum>
  <w:abstractNum w:abstractNumId="161">
    <w:nsid w:val="71482545"/>
    <w:multiLevelType w:val="hybridMultilevel"/>
    <w:lvl w:ilvl="0">
      <w:lvlJc w:val="left"/>
      <w:lvlText w:val="(%1)"/>
      <w:numFmt w:val="lowerLetter"/>
      <w:start w:val="1"/>
    </w:lvl>
  </w:abstractNum>
  <w:abstractNum w:abstractNumId="162">
    <w:nsid w:val="17D78639"/>
    <w:multiLevelType w:val="hybridMultilevel"/>
    <w:lvl w:ilvl="0">
      <w:lvlJc w:val="left"/>
      <w:lvlText w:val="(%1)"/>
      <w:numFmt w:val="lowerLetter"/>
      <w:start w:val="1"/>
    </w:lvl>
  </w:abstractNum>
  <w:abstractNum w:abstractNumId="163">
    <w:nsid w:val="141D2302"/>
    <w:multiLevelType w:val="hybridMultilevel"/>
    <w:lvl w:ilvl="0">
      <w:lvlJc w:val="left"/>
      <w:lvlText w:val="(%1)"/>
      <w:numFmt w:val="lowerLetter"/>
      <w:start w:val="4"/>
    </w:lvl>
    <w:lvl w:ilvl="1">
      <w:lvlJc w:val="left"/>
      <w:lvlText w:val="(%2)"/>
      <w:numFmt w:val="lowerRoman"/>
      <w:start w:val="1"/>
    </w:lvl>
  </w:abstractNum>
  <w:abstractNum w:abstractNumId="164">
    <w:nsid w:val="407168D8"/>
    <w:multiLevelType w:val="hybridMultilevel"/>
    <w:lvl w:ilvl="0">
      <w:lvlJc w:val="left"/>
      <w:lvlText w:val="(%1)"/>
      <w:numFmt w:val="lowerLetter"/>
      <w:start w:val="1"/>
    </w:lvl>
  </w:abstractNum>
  <w:abstractNum w:abstractNumId="165">
    <w:nsid w:val="6A1B45E5"/>
    <w:multiLevelType w:val="hybridMultilevel"/>
    <w:lvl w:ilvl="0">
      <w:lvlJc w:val="left"/>
      <w:lvlText w:val="(%1)"/>
      <w:numFmt w:val="lowerLetter"/>
      <w:start w:val="4"/>
    </w:lvl>
    <w:lvl w:ilvl="1">
      <w:lvlJc w:val="left"/>
      <w:lvlText w:val="(%2)"/>
      <w:numFmt w:val="lowerRoman"/>
      <w:start w:val="1"/>
    </w:lvl>
  </w:abstractNum>
  <w:abstractNum w:abstractNumId="166">
    <w:nsid w:val="567BD50A"/>
    <w:multiLevelType w:val="hybridMultilevel"/>
    <w:lvl w:ilvl="0">
      <w:lvlJc w:val="left"/>
      <w:lvlText w:val="(%1)"/>
      <w:numFmt w:val="lowerLetter"/>
      <w:start w:val="1"/>
    </w:lvl>
  </w:abstractNum>
  <w:abstractNum w:abstractNumId="167">
    <w:nsid w:val="73BBD7F8"/>
    <w:multiLevelType w:val="hybridMultilevel"/>
    <w:lvl w:ilvl="0">
      <w:lvlJc w:val="left"/>
      <w:lvlText w:val="(%1)"/>
      <w:numFmt w:val="lowerLetter"/>
      <w:start w:val="1"/>
    </w:lvl>
  </w:abstractNum>
  <w:abstractNum w:abstractNumId="168">
    <w:nsid w:val="1876589D"/>
    <w:multiLevelType w:val="hybridMultilevel"/>
    <w:lvl w:ilvl="0">
      <w:lvlJc w:val="left"/>
      <w:lvlText w:val="(%1)"/>
      <w:numFmt w:val="lowerLetter"/>
      <w:start w:val="2"/>
    </w:lvl>
  </w:abstractNum>
  <w:abstractNum w:abstractNumId="169">
    <w:nsid w:val="327FAC77"/>
    <w:multiLevelType w:val="hybridMultilevel"/>
    <w:lvl w:ilvl="0">
      <w:lvlJc w:val="left"/>
      <w:lvlText w:val="(%1)"/>
      <w:numFmt w:val="lowerRoman"/>
      <w:start w:val="1"/>
    </w:lvl>
  </w:abstractNum>
  <w:abstractNum w:abstractNumId="170">
    <w:nsid w:val="5A606509"/>
    <w:multiLevelType w:val="hybridMultilevel"/>
    <w:lvl w:ilvl="0">
      <w:lvlJc w:val="left"/>
      <w:lvlText w:val="(%1)"/>
      <w:numFmt w:val="lowerLetter"/>
      <w:start w:val="9"/>
    </w:lvl>
    <w:lvl w:ilvl="1">
      <w:lvlJc w:val="left"/>
      <w:lvlText w:val="(%2)"/>
      <w:numFmt w:val="lowerLetter"/>
      <w:start w:val="2"/>
    </w:lvl>
  </w:abstractNum>
  <w:abstractNum w:abstractNumId="171">
    <w:nsid w:val="6F38E6D1"/>
    <w:multiLevelType w:val="hybridMultilevel"/>
    <w:lvl w:ilvl="0">
      <w:lvlJc w:val="left"/>
      <w:lvlText w:val="(%1)"/>
      <w:numFmt w:val="lowerLetter"/>
      <w:start w:val="4"/>
    </w:lvl>
  </w:abstractNum>
  <w:abstractNum w:abstractNumId="172">
    <w:nsid w:val="46111BA5"/>
    <w:multiLevelType w:val="hybridMultilevel"/>
    <w:lvl w:ilvl="0">
      <w:lvlJc w:val="left"/>
      <w:lvlText w:val="(%1)"/>
      <w:numFmt w:val="lowerLetter"/>
      <w:start w:val="1"/>
    </w:lvl>
    <w:lvl w:ilvl="1">
      <w:lvlJc w:val="left"/>
      <w:lvlText w:val="(%2)"/>
      <w:numFmt w:val="lowerRoman"/>
      <w:start w:val="1"/>
    </w:lvl>
  </w:abstractNum>
  <w:abstractNum w:abstractNumId="173">
    <w:nsid w:val="5E963896"/>
    <w:multiLevelType w:val="hybridMultilevel"/>
    <w:lvl w:ilvl="0">
      <w:lvlJc w:val="left"/>
      <w:lvlText w:val="(%1)"/>
      <w:numFmt w:val="lowerLetter"/>
      <w:start w:val="2"/>
    </w:lvl>
  </w:abstractNum>
  <w:abstractNum w:abstractNumId="174">
    <w:nsid w:val="775BA7C1"/>
    <w:multiLevelType w:val="hybridMultilevel"/>
    <w:lvl w:ilvl="0">
      <w:lvlJc w:val="left"/>
      <w:lvlText w:val="(%1)"/>
      <w:numFmt w:val="lowerLetter"/>
      <w:start w:val="3"/>
    </w:lvl>
  </w:abstractNum>
  <w:abstractNum w:abstractNumId="175">
    <w:nsid w:val="1DD6D6F4"/>
    <w:multiLevelType w:val="hybridMultilevel"/>
    <w:lvl w:ilvl="0">
      <w:lvlJc w:val="left"/>
      <w:lvlText w:val="(%1)"/>
      <w:numFmt w:val="lowerLetter"/>
      <w:start w:val="1"/>
    </w:lvl>
  </w:abstractNum>
  <w:abstractNum w:abstractNumId="176">
    <w:nsid w:val="769A091F"/>
    <w:multiLevelType w:val="hybridMultilevel"/>
    <w:lvl w:ilvl="0">
      <w:lvlJc w:val="left"/>
      <w:lvlText w:val="(%1)"/>
      <w:numFmt w:val="lowerLetter"/>
      <w:start w:val="1"/>
    </w:lvl>
  </w:abstractNum>
  <w:abstractNum w:abstractNumId="177">
    <w:nsid w:val="4695AE95"/>
    <w:multiLevelType w:val="hybridMultilevel"/>
    <w:lvl w:ilvl="0">
      <w:lvlJc w:val="left"/>
      <w:lvlText w:val="(%1)"/>
      <w:numFmt w:val="lowerLetter"/>
      <w:start w:val="2"/>
    </w:lvl>
  </w:abstractNum>
  <w:abstractNum w:abstractNumId="178">
    <w:nsid w:val="777A4EAA"/>
    <w:multiLevelType w:val="hybridMultilevel"/>
    <w:lvl w:ilvl="0">
      <w:lvlJc w:val="left"/>
      <w:lvlText w:val="(%1)"/>
      <w:numFmt w:val="lowerLetter"/>
      <w:start w:val="1"/>
    </w:lvl>
    <w:lvl w:ilvl="1">
      <w:lvlJc w:val="left"/>
      <w:lvlText w:val="(%2)"/>
      <w:numFmt w:val="lowerRoman"/>
      <w:start w:val="1"/>
    </w:lvl>
  </w:abstractNum>
  <w:abstractNum w:abstractNumId="179">
    <w:nsid w:val="3F48B982"/>
    <w:multiLevelType w:val="hybridMultilevel"/>
    <w:lvl w:ilvl="0">
      <w:lvlJc w:val="left"/>
      <w:lvlText w:val="(%1)"/>
      <w:numFmt w:val="lowerLetter"/>
      <w:start w:val="24"/>
    </w:lvl>
    <w:lvl w:ilvl="1">
      <w:lvlJc w:val="left"/>
      <w:lvlText w:val="%2"/>
      <w:numFmt w:val="lowerRoman"/>
      <w:start w:val="1"/>
    </w:lvl>
  </w:abstractNum>
  <w:abstractNum w:abstractNumId="180">
    <w:nsid w:val="46BA8FCA"/>
    <w:multiLevelType w:val="hybridMultilevel"/>
    <w:lvl w:ilvl="0">
      <w:lvlJc w:val="left"/>
      <w:lvlText w:val="%1"/>
      <w:numFmt w:val="lowerLetter"/>
      <w:start w:val="1"/>
    </w:lvl>
    <w:lvl w:ilvl="1">
      <w:lvlJc w:val="left"/>
      <w:lvlText w:val="(%2)"/>
      <w:numFmt w:val="lowerRoman"/>
      <w:start w:val="3"/>
    </w:lvl>
  </w:abstractNum>
  <w:abstractNum w:abstractNumId="181">
    <w:nsid w:val="7835626C"/>
    <w:multiLevelType w:val="hybridMultilevel"/>
    <w:lvl w:ilvl="0">
      <w:lvlJc w:val="left"/>
      <w:lvlText w:val="(%1)"/>
      <w:numFmt w:val="lowerLetter"/>
      <w:start w:val="2"/>
    </w:lvl>
    <w:lvl w:ilvl="1">
      <w:lvlJc w:val="left"/>
      <w:lvlText w:val="%2"/>
      <w:numFmt w:val="lowerRoman"/>
      <w:start w:val="1"/>
    </w:lvl>
  </w:abstractNum>
  <w:abstractNum w:abstractNumId="182">
    <w:nsid w:val="665ACA49"/>
    <w:multiLevelType w:val="hybridMultilevel"/>
    <w:lvl w:ilvl="0">
      <w:lvlJc w:val="left"/>
      <w:lvlText w:val="(%1)"/>
      <w:numFmt w:val="lowerLetter"/>
      <w:start w:val="1"/>
    </w:lvl>
  </w:abstractNum>
  <w:abstractNum w:abstractNumId="183">
    <w:nsid w:val="6835B2AE"/>
    <w:multiLevelType w:val="hybridMultilevel"/>
    <w:lvl w:ilvl="0">
      <w:lvlJc w:val="left"/>
      <w:lvlText w:val="(%1)"/>
      <w:numFmt w:val="lowerLetter"/>
      <w:start w:val="1"/>
    </w:lvl>
  </w:abstractNum>
  <w:abstractNum w:abstractNumId="184">
    <w:nsid w:val="4C187C90"/>
    <w:multiLevelType w:val="hybridMultilevel"/>
    <w:lvl w:ilvl="0">
      <w:lvlJc w:val="left"/>
      <w:lvlText w:val="(%1)"/>
      <w:numFmt w:val="lowerLetter"/>
      <w:start w:val="1"/>
    </w:lvl>
  </w:abstractNum>
  <w:abstractNum w:abstractNumId="185">
    <w:nsid w:val="541F28CD"/>
    <w:multiLevelType w:val="hybridMultilevel"/>
    <w:lvl w:ilvl="0">
      <w:lvlJc w:val="left"/>
      <w:lvlText w:val="(%1)"/>
      <w:numFmt w:val="lowerLetter"/>
      <w:start w:val="1"/>
    </w:lvl>
  </w:abstractNum>
  <w:abstractNum w:abstractNumId="186">
    <w:nsid w:val="7F65FD16"/>
    <w:multiLevelType w:val="hybridMultilevel"/>
    <w:lvl w:ilvl="0">
      <w:lvlJc w:val="left"/>
      <w:lvlText w:val="(%1)"/>
      <w:numFmt w:val="lowerLetter"/>
      <w:start w:val="2"/>
    </w:lvl>
  </w:abstractNum>
  <w:abstractNum w:abstractNumId="187">
    <w:nsid w:val="77C9FD68"/>
    <w:multiLevelType w:val="hybridMultilevel"/>
    <w:lvl w:ilvl="0">
      <w:lvlJc w:val="left"/>
      <w:lvlText w:val="(%1)"/>
      <w:numFmt w:val="lowerLetter"/>
      <w:start w:val="1"/>
    </w:lvl>
  </w:abstractNum>
  <w:abstractNum w:abstractNumId="188">
    <w:nsid w:val="298A92BA"/>
    <w:multiLevelType w:val="hybridMultilevel"/>
    <w:lvl w:ilvl="0">
      <w:lvlJc w:val="left"/>
      <w:lvlText w:val="(%1)"/>
      <w:numFmt w:val="lowerLetter"/>
      <w:start w:val="4"/>
    </w:lvl>
  </w:abstractNum>
  <w:abstractNum w:abstractNumId="189">
    <w:nsid w:val="6FE95EAC"/>
    <w:multiLevelType w:val="hybridMultilevel"/>
    <w:lvl w:ilvl="0">
      <w:lvlJc w:val="left"/>
      <w:lvlText w:val="(%1)"/>
      <w:numFmt w:val="lowerLetter"/>
      <w:start w:val="1"/>
    </w:lvl>
  </w:abstractNum>
  <w:abstractNum w:abstractNumId="190">
    <w:nsid w:val="4B697C7A"/>
    <w:multiLevelType w:val="hybridMultilevel"/>
    <w:lvl w:ilvl="0">
      <w:lvlJc w:val="left"/>
      <w:lvlText w:val="(%1)"/>
      <w:numFmt w:val="lowerRoman"/>
      <w:start w:val="1"/>
    </w:lvl>
  </w:abstractNum>
  <w:abstractNum w:abstractNumId="191">
    <w:nsid w:val="51A27AA6"/>
    <w:multiLevelType w:val="hybridMultilevel"/>
    <w:lvl w:ilvl="0">
      <w:lvlJc w:val="left"/>
      <w:lvlText w:val="%1"/>
      <w:numFmt w:val="lowerLetter"/>
      <w:start w:val="1"/>
    </w:lvl>
    <w:lvl w:ilvl="1">
      <w:lvlJc w:val="left"/>
      <w:lvlText w:val="(%2)"/>
      <w:numFmt w:val="lowerLetter"/>
      <w:start w:val="1"/>
    </w:lvl>
  </w:abstractNum>
  <w:abstractNum w:abstractNumId="192">
    <w:nsid w:val="613183F2"/>
    <w:multiLevelType w:val="hybridMultilevel"/>
    <w:lvl w:ilvl="0">
      <w:lvlJc w:val="left"/>
      <w:lvlText w:val="(%1)"/>
      <w:numFmt w:val="lowerLetter"/>
      <w:start w:val="3"/>
    </w:lvl>
    <w:lvl w:ilvl="1">
      <w:lvlJc w:val="left"/>
      <w:lvlText w:val="%2"/>
      <w:numFmt w:val="lowerLetter"/>
      <w:start w:val="1"/>
    </w:lvl>
  </w:abstractNum>
  <w:abstractNum w:abstractNumId="193">
    <w:nsid w:val="634102B4"/>
    <w:multiLevelType w:val="hybridMultilevel"/>
    <w:lvl w:ilvl="0">
      <w:lvlJc w:val="left"/>
      <w:lvlText w:val="(%1)"/>
      <w:numFmt w:val="lowerLetter"/>
      <w:start w:val="5"/>
    </w:lvl>
  </w:abstractNum>
  <w:abstractNum w:abstractNumId="194">
    <w:nsid w:val="65BF9DA8"/>
    <w:multiLevelType w:val="hybridMultilevel"/>
    <w:lvl w:ilvl="0">
      <w:lvlJc w:val="left"/>
      <w:lvlText w:val="(%1)"/>
      <w:numFmt w:val="lowerLetter"/>
      <w:start w:val="1"/>
    </w:lvl>
    <w:lvl w:ilvl="1">
      <w:lvlJc w:val="left"/>
      <w:lvlText w:val="(%2)"/>
      <w:numFmt w:val="lowerRoman"/>
      <w:start w:val="1"/>
    </w:lvl>
  </w:abstractNum>
  <w:abstractNum w:abstractNumId="195">
    <w:nsid w:val="21A2ECCA"/>
    <w:multiLevelType w:val="hybridMultilevel"/>
    <w:lvl w:ilvl="0">
      <w:lvlJc w:val="left"/>
      <w:lvlText w:val="(%1)"/>
      <w:numFmt w:val="lowerLetter"/>
      <w:start w:val="2"/>
    </w:lvl>
  </w:abstractNum>
  <w:abstractNum w:abstractNumId="196">
    <w:nsid w:val="4D5C4899"/>
    <w:multiLevelType w:val="hybridMultilevel"/>
    <w:lvl w:ilvl="0">
      <w:lvlJc w:val="left"/>
      <w:lvlText w:val="(%1)"/>
      <w:numFmt w:val="lowerLetter"/>
      <w:start w:val="2"/>
    </w:lvl>
  </w:abstractNum>
  <w:abstractNum w:abstractNumId="197">
    <w:nsid w:val="3C3B72B2"/>
    <w:multiLevelType w:val="hybridMultilevel"/>
    <w:lvl w:ilvl="0">
      <w:lvlJc w:val="left"/>
      <w:lvlText w:val="%1"/>
      <w:numFmt w:val="lowerRoman"/>
      <w:start w:val="1"/>
    </w:lvl>
    <w:lvl w:ilvl="1">
      <w:lvlJc w:val="left"/>
      <w:lvlText w:val="(%2)"/>
      <w:numFmt w:val="lowerRoman"/>
      <w:start w:val="2"/>
    </w:lvl>
  </w:abstractNum>
  <w:abstractNum w:abstractNumId="198">
    <w:nsid w:val="155EC4C2"/>
    <w:multiLevelType w:val="hybridMultilevel"/>
    <w:lvl w:ilvl="0">
      <w:lvlJc w:val="left"/>
      <w:lvlText w:val="(%1)"/>
      <w:numFmt w:val="lowerRoman"/>
      <w:start w:val="3"/>
    </w:lvl>
    <w:lvl w:ilvl="1">
      <w:lvlJc w:val="left"/>
      <w:lvlText w:val="%2"/>
      <w:numFmt w:val="lowerRoman"/>
      <w:start w:val="1"/>
    </w:lvl>
  </w:abstractNum>
  <w:abstractNum w:abstractNumId="199">
    <w:nsid w:val="65D2A137"/>
    <w:multiLevelType w:val="hybridMultilevel"/>
    <w:lvl w:ilvl="0">
      <w:lvlJc w:val="left"/>
      <w:lvlText w:val="(%1)"/>
      <w:numFmt w:val="lowerRoman"/>
      <w:start w:val="4"/>
    </w:lvl>
  </w:abstractNum>
  <w:abstractNum w:abstractNumId="200">
    <w:nsid w:val="6EBB1F2A"/>
    <w:multiLevelType w:val="hybridMultilevel"/>
    <w:lvl w:ilvl="0">
      <w:lvlJc w:val="left"/>
      <w:lvlText w:val="%1"/>
      <w:numFmt w:val="upperLetter"/>
      <w:start w:val="1"/>
    </w:lvl>
    <w:lvl w:ilvl="1">
      <w:lvlJc w:val="left"/>
      <w:lvlText w:val="(%2)"/>
      <w:numFmt w:val="lowerRoman"/>
      <w:start w:val="1"/>
    </w:lvl>
  </w:abstractNum>
  <w:abstractNum w:abstractNumId="201">
    <w:nsid w:val="6FBF29CB"/>
    <w:multiLevelType w:val="hybridMultilevel"/>
    <w:lvl w:ilvl="0">
      <w:lvlJc w:val="left"/>
      <w:lvlText w:val="(%1)"/>
      <w:numFmt w:val="upperLetter"/>
      <w:start w:val="4"/>
    </w:lvl>
    <w:lvl w:ilvl="1">
      <w:lvlJc w:val="left"/>
      <w:lvlText w:val="(%2)"/>
      <w:numFmt w:val="lowerRoman"/>
      <w:start w:val="4"/>
    </w:lvl>
  </w:abstractNum>
  <w:abstractNum w:abstractNumId="202">
    <w:nsid w:val="550B8808"/>
    <w:multiLevelType w:val="hybridMultilevel"/>
    <w:lvl w:ilvl="0">
      <w:lvlJc w:val="left"/>
      <w:lvlText w:val="(%1)"/>
      <w:numFmt w:val="lowerLetter"/>
      <w:start w:val="2"/>
    </w:lvl>
  </w:abstractNum>
  <w:abstractNum w:abstractNumId="203">
    <w:nsid w:val="34CC3ACF"/>
    <w:multiLevelType w:val="hybridMultilevel"/>
    <w:lvl w:ilvl="0">
      <w:lvlJc w:val="left"/>
      <w:lvlText w:val="%1"/>
      <w:numFmt w:val="lowerLetter"/>
      <w:start w:val="1"/>
    </w:lvl>
    <w:lvl w:ilvl="1">
      <w:lvlJc w:val="left"/>
      <w:lvlText w:val="(%2)"/>
      <w:numFmt w:val="lowerLetter"/>
      <w:start w:val="3"/>
    </w:lvl>
  </w:abstractNum>
  <w:abstractNum w:abstractNumId="204">
    <w:nsid w:val="4E556261"/>
    <w:multiLevelType w:val="hybridMultilevel"/>
    <w:lvl w:ilvl="0">
      <w:lvlJc w:val="left"/>
      <w:lvlText w:val="(%1)"/>
      <w:numFmt w:val="lowerLetter"/>
      <w:start w:val="35"/>
    </w:lvl>
    <w:lvl w:ilvl="1">
      <w:lvlJc w:val="left"/>
      <w:lvlText w:val="%2"/>
      <w:numFmt w:val="lowerLetter"/>
      <w:start w:val="1"/>
    </w:lvl>
  </w:abstractNum>
  <w:abstractNum w:abstractNumId="205">
    <w:nsid w:val="4C672FC9"/>
    <w:multiLevelType w:val="hybridMultilevel"/>
    <w:lvl w:ilvl="0">
      <w:lvlJc w:val="left"/>
      <w:lvlText w:val="(%1)"/>
      <w:numFmt w:val="lowerLetter"/>
      <w:start w:val="1"/>
    </w:lvl>
  </w:abstractNum>
  <w:abstractNum w:abstractNumId="206">
    <w:nsid w:val="52A311C3"/>
    <w:multiLevelType w:val="hybridMultilevel"/>
    <w:lvl w:ilvl="0">
      <w:lvlJc w:val="left"/>
      <w:lvlText w:val="(%1)"/>
      <w:numFmt w:val="lowerLetter"/>
      <w:start w:val="2"/>
    </w:lvl>
  </w:abstractNum>
  <w:abstractNum w:abstractNumId="207">
    <w:nsid w:val="44EF6B80"/>
    <w:multiLevelType w:val="hybridMultilevel"/>
    <w:lvl w:ilvl="0">
      <w:lvlJc w:val="left"/>
      <w:lvlText w:val="(%1)"/>
      <w:numFmt w:val="lowerLetter"/>
      <w:start w:val="5"/>
    </w:lvl>
  </w:abstractNum>
  <w:abstractNum w:abstractNumId="208">
    <w:nsid w:val="12FCDE5E"/>
    <w:multiLevelType w:val="hybridMultilevel"/>
    <w:lvl w:ilvl="0">
      <w:lvlJc w:val="left"/>
      <w:lvlText w:val="(%1)"/>
      <w:numFmt w:val="lowerLetter"/>
      <w:start w:val="1"/>
    </w:lvl>
  </w:abstractNum>
  <w:abstractNum w:abstractNumId="209">
    <w:nsid w:val="4A1D606E"/>
    <w:multiLevelType w:val="hybridMultilevel"/>
    <w:lvl w:ilvl="0">
      <w:lvlJc w:val="left"/>
      <w:lvlText w:val="(%1)"/>
      <w:numFmt w:val="lowerLetter"/>
      <w:start w:val="2"/>
    </w:lvl>
  </w:abstractNum>
  <w:abstractNum w:abstractNumId="210">
    <w:nsid w:val="4382503"/>
    <w:multiLevelType w:val="hybridMultilevel"/>
    <w:lvl w:ilvl="0">
      <w:lvlJc w:val="left"/>
      <w:lvlText w:val="(%1)"/>
      <w:numFmt w:val="lowerLetter"/>
      <w:start w:val="3"/>
    </w:lvl>
  </w:abstractNum>
  <w:abstractNum w:abstractNumId="211">
    <w:nsid w:val="59B76E28"/>
    <w:multiLevelType w:val="hybridMultilevel"/>
    <w:lvl w:ilvl="0">
      <w:lvlJc w:val="left"/>
      <w:lvlText w:val="(%1)"/>
      <w:numFmt w:val="lowerLetter"/>
      <w:start w:val="5"/>
    </w:lvl>
    <w:lvl w:ilvl="1">
      <w:lvlJc w:val="left"/>
      <w:lvlText w:val="(%2)"/>
      <w:numFmt w:val="lowerRoman"/>
      <w:start w:val="1"/>
    </w:lvl>
  </w:abstractNum>
  <w:abstractNum w:abstractNumId="212">
    <w:nsid w:val="4252C2DA"/>
    <w:multiLevelType w:val="hybridMultilevel"/>
    <w:lvl w:ilvl="0">
      <w:lvlJc w:val="left"/>
      <w:lvlText w:val="(%1)"/>
      <w:numFmt w:val="lowerLetter"/>
      <w:start w:val="1"/>
    </w:lvl>
  </w:abstractNum>
  <w:abstractNum w:abstractNumId="213">
    <w:nsid w:val="6A92EF4C"/>
    <w:multiLevelType w:val="hybridMultilevel"/>
    <w:lvl w:ilvl="0">
      <w:lvlJc w:val="left"/>
      <w:lvlText w:val="%1"/>
      <w:numFmt w:val="upperLetter"/>
      <w:start w:val="1"/>
    </w:lvl>
    <w:lvl w:ilvl="1">
      <w:lvlJc w:val="left"/>
      <w:lvlText w:val="(%2)"/>
      <w:numFmt w:val="lowerLetter"/>
      <w:start w:val="2"/>
    </w:lvl>
  </w:abstractNum>
  <w:abstractNum w:abstractNumId="214">
    <w:nsid w:val="41ED20D7"/>
    <w:multiLevelType w:val="hybridMultilevel"/>
    <w:lvl w:ilvl="0">
      <w:lvlJc w:val="left"/>
      <w:lvlText w:val="(%1)"/>
      <w:numFmt w:val="upperLetter"/>
      <w:start w:val="3"/>
    </w:lvl>
    <w:lvl w:ilvl="1">
      <w:lvlJc w:val="left"/>
      <w:lvlText w:val="%2"/>
      <w:numFmt w:val="lowerLetter"/>
      <w:start w:val="1"/>
    </w:lvl>
  </w:abstractNum>
  <w:abstractNum w:abstractNumId="215">
    <w:nsid w:val="E6B3F6A"/>
    <w:multiLevelType w:val="hybridMultilevel"/>
    <w:lvl w:ilvl="0">
      <w:lvlJc w:val="left"/>
      <w:lvlText w:val="(%1)"/>
      <w:numFmt w:val="lowerLetter"/>
      <w:start w:val="2"/>
    </w:lvl>
  </w:abstractNum>
  <w:abstractNum w:abstractNumId="216">
    <w:nsid w:val="3EB21819"/>
    <w:multiLevelType w:val="hybridMultilevel"/>
    <w:lvl w:ilvl="0">
      <w:lvlJc w:val="left"/>
      <w:lvlText w:val="(%1)"/>
      <w:numFmt w:val="lowerLetter"/>
      <w:start w:val="1"/>
    </w:lvl>
  </w:abstractNum>
  <w:abstractNum w:abstractNumId="217">
    <w:nsid w:val="41531DED"/>
    <w:multiLevelType w:val="hybridMultilevel"/>
    <w:lvl w:ilvl="0">
      <w:lvlJc w:val="left"/>
      <w:lvlText w:val="%1"/>
      <w:numFmt w:val="lowerLetter"/>
      <w:start w:val="1"/>
    </w:lvl>
    <w:lvl w:ilvl="1">
      <w:lvlJc w:val="left"/>
      <w:lvlText w:val="(%2)"/>
      <w:numFmt w:val="lowerLetter"/>
      <w:start w:val="2"/>
    </w:lvl>
  </w:abstractNum>
  <w:abstractNum w:abstractNumId="218">
    <w:nsid w:val="6353CD2"/>
    <w:multiLevelType w:val="hybridMultilevel"/>
    <w:lvl w:ilvl="0">
      <w:lvlJc w:val="left"/>
      <w:lvlText w:val="(%1)"/>
      <w:numFmt w:val="lowerLetter"/>
      <w:start w:val="26"/>
    </w:lvl>
    <w:lvl w:ilvl="1">
      <w:lvlJc w:val="left"/>
      <w:lvlText w:val="%2"/>
      <w:numFmt w:val="lowerLetter"/>
      <w:start w:val="1"/>
    </w:lvl>
  </w:abstractNum>
  <w:abstractNum w:abstractNumId="219">
    <w:nsid w:val="683CAAD3"/>
    <w:multiLevelType w:val="hybridMultilevel"/>
    <w:lvl w:ilvl="0">
      <w:lvlJc w:val="left"/>
      <w:lvlText w:val="(%1)"/>
      <w:numFmt w:val="lowerLetter"/>
      <w:start w:val="1"/>
    </w:lvl>
  </w:abstractNum>
  <w:abstractNum w:abstractNumId="220">
    <w:nsid w:val="313C7C99"/>
    <w:multiLevelType w:val="hybridMultilevel"/>
    <w:lvl w:ilvl="0">
      <w:lvlJc w:val="left"/>
      <w:lvlText w:val="(%1)"/>
      <w:numFmt w:val="lowerLetter"/>
      <w:start w:val="2"/>
    </w:lvl>
  </w:abstractNum>
  <w:abstractNum w:abstractNumId="221">
    <w:nsid w:val="519EB94C"/>
    <w:multiLevelType w:val="hybridMultilevel"/>
    <w:lvl w:ilvl="0">
      <w:lvlJc w:val="left"/>
      <w:lvlText w:val="%1"/>
      <w:numFmt w:val="lowerLetter"/>
      <w:start w:val="1"/>
    </w:lvl>
    <w:lvl w:ilvl="1">
      <w:lvlJc w:val="left"/>
      <w:lvlText w:val="(%2)"/>
      <w:numFmt w:val="lowerLetter"/>
      <w:start w:val="1"/>
    </w:lvl>
  </w:abstractNum>
  <w:abstractNum w:abstractNumId="222">
    <w:nsid w:val="39DF2579"/>
    <w:multiLevelType w:val="hybridMultilevel"/>
    <w:lvl w:ilvl="0">
      <w:lvlJc w:val="left"/>
      <w:lvlText w:val="(%1)"/>
      <w:numFmt w:val="lowerLetter"/>
      <w:start w:val="26"/>
    </w:lvl>
    <w:lvl w:ilvl="1">
      <w:lvlJc w:val="left"/>
      <w:lvlText w:val="(%2)"/>
      <w:numFmt w:val="lowerLetter"/>
      <w:start w:val="2"/>
    </w:lvl>
  </w:abstractNum>
  <w:abstractNum w:abstractNumId="223">
    <w:nsid w:val="126E008B"/>
    <w:multiLevelType w:val="hybridMultilevel"/>
    <w:lvl w:ilvl="0">
      <w:lvlJc w:val="left"/>
      <w:lvlText w:val="(%1)"/>
      <w:numFmt w:val="lowerLetter"/>
      <w:start w:val="1"/>
    </w:lvl>
  </w:abstractNum>
  <w:abstractNum w:abstractNumId="224">
    <w:nsid w:val="34DFBC00"/>
    <w:multiLevelType w:val="hybridMultilevel"/>
    <w:lvl w:ilvl="0">
      <w:lvlJc w:val="left"/>
      <w:lvlText w:val="(%1)"/>
      <w:numFmt w:val="lowerRoman"/>
      <w:start w:val="1"/>
    </w:lvl>
  </w:abstractNum>
  <w:abstractNum w:abstractNumId="225">
    <w:nsid w:val="1F9EC322"/>
    <w:multiLevelType w:val="hybridMultilevel"/>
    <w:lvl w:ilvl="0">
      <w:lvlJc w:val="left"/>
      <w:lvlText w:val="(%1)"/>
      <w:numFmt w:val="lowerLetter"/>
      <w:start w:val="1"/>
    </w:lvl>
  </w:abstractNum>
  <w:abstractNum w:abstractNumId="226">
    <w:nsid w:val="3410ED56"/>
    <w:multiLevelType w:val="hybridMultilevel"/>
    <w:lvl w:ilvl="0">
      <w:lvlJc w:val="left"/>
      <w:lvlText w:val="(%1)"/>
      <w:numFmt w:val="lowerLetter"/>
      <w:start w:val="1"/>
    </w:lvl>
    <w:lvl w:ilvl="1">
      <w:lvlJc w:val="left"/>
      <w:lvlText w:val="(%2)"/>
      <w:numFmt w:val="lowerRoman"/>
      <w:start w:val="1"/>
    </w:lvl>
  </w:abstractNum>
  <w:abstractNum w:abstractNumId="227">
    <w:nsid w:val="23C049A"/>
    <w:multiLevelType w:val="hybridMultilevel"/>
    <w:lvl w:ilvl="0">
      <w:lvlJc w:val="left"/>
      <w:lvlText w:val="%1)"/>
      <w:numFmt w:val="lowerLetter"/>
      <w:start w:val="1"/>
    </w:lvl>
  </w:abstractNum>
  <w:abstractNum w:abstractNumId="228">
    <w:nsid w:val="5BDA35D4"/>
    <w:multiLevelType w:val="hybridMultilevel"/>
    <w:lvl w:ilvl="0">
      <w:lvlJc w:val="left"/>
      <w:lvlText w:val="%1)"/>
      <w:numFmt w:val="lowerLetter"/>
      <w:start w:val="1"/>
    </w:lvl>
  </w:abstractNum>
  <w:abstractNum w:abstractNumId="229">
    <w:nsid w:val="496FB218"/>
    <w:multiLevelType w:val="hybridMultilevel"/>
    <w:lvl w:ilvl="0">
      <w:lvlJc w:val="left"/>
      <w:lvlText w:val="%1"/>
      <w:numFmt w:val="lowerLetter"/>
      <w:start w:val="1"/>
    </w:lvl>
    <w:lvl w:ilvl="1">
      <w:lvlJc w:val="left"/>
      <w:lvlText w:val="%2)"/>
      <w:numFmt w:val="lowerRoman"/>
      <w:start w:val="1"/>
    </w:lvl>
  </w:abstractNum>
  <w:abstractNum w:abstractNumId="230">
    <w:nsid w:val="680EA5D1"/>
    <w:multiLevelType w:val="hybridMultilevel"/>
    <w:lvl w:ilvl="0">
      <w:lvlJc w:val="left"/>
      <w:lvlText w:val="%1)"/>
      <w:numFmt w:val="lowerLetter"/>
      <w:start w:val="2"/>
    </w:lvl>
    <w:lvl w:ilvl="1">
      <w:lvlJc w:val="left"/>
      <w:lvlText w:val="%2)"/>
      <w:numFmt w:val="lowerRoman"/>
      <w:start w:val="1"/>
    </w:lvl>
  </w:abstractNum>
  <w:abstractNum w:abstractNumId="231">
    <w:nsid w:val="4A9554FE"/>
    <w:multiLevelType w:val="hybridMultilevel"/>
    <w:lvl w:ilvl="0">
      <w:lvlJc w:val="left"/>
      <w:lvlText w:val="%1)"/>
      <w:numFmt w:val="lowerLetter"/>
      <w:start w:val="1"/>
    </w:lvl>
  </w:abstractNum>
  <w:abstractNum w:abstractNumId="232">
    <w:nsid w:val="392EDBE4"/>
    <w:multiLevelType w:val="hybridMultilevel"/>
    <w:lvl w:ilvl="0">
      <w:lvlJc w:val="left"/>
      <w:lvlText w:val="%1)"/>
      <w:numFmt w:val="lowerLetter"/>
      <w:start w:val="1"/>
    </w:lvl>
  </w:abstractNum>
  <w:abstractNum w:abstractNumId="233">
    <w:nsid w:val="3D1A2DD9"/>
    <w:multiLevelType w:val="hybridMultilevel"/>
    <w:lvl w:ilvl="0">
      <w:lvlJc w:val="left"/>
      <w:lvlText w:val="%1)"/>
      <w:numFmt w:val="lowerLetter"/>
      <w:start w:val="1"/>
    </w:lvl>
  </w:abstractNum>
  <w:abstractNum w:abstractNumId="234">
    <w:nsid w:val="7F618FCD"/>
    <w:multiLevelType w:val="hybridMultilevel"/>
    <w:lvl w:ilvl="0">
      <w:lvlJc w:val="left"/>
      <w:lvlText w:val="%1)"/>
      <w:numFmt w:val="lowerLetter"/>
      <w:start w:val="1"/>
    </w:lvl>
  </w:abstractNum>
  <w:abstractNum w:abstractNumId="235">
    <w:nsid w:val="7843E45"/>
    <w:multiLevelType w:val="hybridMultilevel"/>
    <w:lvl w:ilvl="0">
      <w:lvlJc w:val="left"/>
      <w:lvlText w:val="%1)"/>
      <w:numFmt w:val="lowerLetter"/>
      <w:start w:val="1"/>
    </w:lvl>
  </w:abstractNum>
  <w:abstractNum w:abstractNumId="236">
    <w:nsid w:val="9815DA3"/>
    <w:multiLevelType w:val="hybridMultilevel"/>
    <w:lvl w:ilvl="0">
      <w:lvlJc w:val="left"/>
      <w:lvlText w:val="%1)"/>
      <w:numFmt w:val="lowerLetter"/>
      <w:start w:val="1"/>
    </w:lvl>
    <w:lvl w:ilvl="1">
      <w:lvlJc w:val="left"/>
      <w:lvlText w:val="%2)"/>
      <w:numFmt w:val="lowerRoman"/>
      <w:start w:val="1"/>
    </w:lvl>
  </w:abstractNum>
  <w:abstractNum w:abstractNumId="237">
    <w:nsid w:val="5204A191"/>
    <w:multiLevelType w:val="hybridMultilevel"/>
    <w:lvl w:ilvl="0">
      <w:lvlJc w:val="left"/>
      <w:lvlText w:val="%1)"/>
      <w:numFmt w:val="lowerLetter"/>
      <w:start w:val="1"/>
    </w:lvl>
    <w:lvl w:ilvl="1">
      <w:lvlJc w:val="left"/>
      <w:lvlText w:val="%2)"/>
      <w:numFmt w:val="lowerRoman"/>
      <w:start w:val="1"/>
    </w:lvl>
  </w:abstractNum>
  <w:abstractNum w:abstractNumId="238">
    <w:nsid w:val="4C73A9C6"/>
    <w:multiLevelType w:val="hybridMultilevel"/>
    <w:lvl w:ilvl="0">
      <w:lvlJc w:val="left"/>
      <w:lvlText w:val="%1)"/>
      <w:numFmt w:val="lowerLetter"/>
      <w:start w:val="1"/>
    </w:lvl>
  </w:abstractNum>
  <w:abstractNum w:abstractNumId="239">
    <w:nsid w:val="1C7E3C01"/>
    <w:multiLevelType w:val="hybridMultilevel"/>
    <w:lvl w:ilvl="0">
      <w:lvlJc w:val="left"/>
      <w:lvlText w:val="%1)"/>
      <w:numFmt w:val="lowerLetter"/>
      <w:start w:val="1"/>
    </w:lvl>
  </w:abstractNum>
  <w:abstractNum w:abstractNumId="240">
    <w:nsid w:val="1C2201FF"/>
    <w:multiLevelType w:val="hybridMultilevel"/>
    <w:lvl w:ilvl="0">
      <w:lvlJc w:val="left"/>
      <w:lvlText w:val="%1)"/>
      <w:numFmt w:val="lowerLetter"/>
      <w:start w:val="1"/>
    </w:lvl>
  </w:abstractNum>
  <w:abstractNum w:abstractNumId="241">
    <w:nsid w:val="50ABCEC9"/>
    <w:multiLevelType w:val="hybridMultilevel"/>
    <w:lvl w:ilvl="0">
      <w:lvlJc w:val="left"/>
      <w:lvlText w:val="%1)"/>
      <w:numFmt w:val="lowerLetter"/>
      <w:start w:val="3"/>
    </w:lvl>
  </w:abstractNum>
  <w:abstractNum w:abstractNumId="242">
    <w:nsid w:val="7635AA2A"/>
    <w:multiLevelType w:val="hybridMultilevel"/>
    <w:lvl w:ilvl="0">
      <w:lvlJc w:val="left"/>
      <w:lvlText w:val="%1)"/>
      <w:numFmt w:val="lowerLetter"/>
      <w:start w:val="1"/>
    </w:lvl>
  </w:abstractNum>
  <w:abstractNum w:abstractNumId="243">
    <w:nsid w:val="5E74C4D9"/>
    <w:multiLevelType w:val="hybridMultilevel"/>
    <w:lvl w:ilvl="0">
      <w:lvlJc w:val="left"/>
      <w:lvlText w:val="%1)"/>
      <w:numFmt w:val="lowerLetter"/>
      <w:start w:val="1"/>
    </w:lvl>
    <w:lvl w:ilvl="1">
      <w:lvlJc w:val="left"/>
      <w:lvlText w:val="%2)"/>
      <w:numFmt w:val="lowerRoman"/>
      <w:start w:val="1"/>
    </w:lvl>
  </w:abstractNum>
  <w:abstractNum w:abstractNumId="244">
    <w:nsid w:val="3B3EBE15"/>
    <w:multiLevelType w:val="hybridMultilevel"/>
    <w:lvl w:ilvl="0">
      <w:lvlJc w:val="left"/>
      <w:lvlText w:val="%1)"/>
      <w:numFmt w:val="lowerLetter"/>
      <w:start w:val="1"/>
    </w:lvl>
  </w:abstractNum>
  <w:abstractNum w:abstractNumId="245">
    <w:nsid w:val="3822CB01"/>
    <w:multiLevelType w:val="hybridMultilevel"/>
    <w:lvl w:ilvl="0">
      <w:lvlJc w:val="left"/>
      <w:lvlText w:val="%1)"/>
      <w:numFmt w:val="lowerLetter"/>
      <w:start w:val="2"/>
    </w:lvl>
    <w:lvl w:ilvl="1">
      <w:lvlJc w:val="left"/>
      <w:lvlText w:val="(%2)"/>
      <w:numFmt w:val="decimal"/>
      <w:start w:val="1"/>
    </w:lvl>
  </w:abstractNum>
  <w:abstractNum w:abstractNumId="246">
    <w:nsid w:val="6CE00443"/>
    <w:multiLevelType w:val="hybridMultilevel"/>
    <w:lvl w:ilvl="0">
      <w:lvlJc w:val="left"/>
      <w:lvlText w:val="%1"/>
      <w:numFmt w:val="lowerLetter"/>
      <w:start w:val="1"/>
    </w:lvl>
    <w:lvl w:ilvl="1">
      <w:lvlJc w:val="left"/>
      <w:lvlText w:val="(%2)"/>
      <w:numFmt w:val="decimal"/>
      <w:start w:val="1"/>
    </w:lvl>
  </w:abstractNum>
  <w:abstractNum w:abstractNumId="247">
    <w:nsid w:val="79F0D62F"/>
    <w:multiLevelType w:val="hybridMultilevel"/>
    <w:lvl w:ilvl="0">
      <w:lvlJc w:val="left"/>
      <w:lvlText w:val="%1)"/>
      <w:numFmt w:val="lowerLetter"/>
      <w:start w:val="1"/>
    </w:lvl>
  </w:abstractNum>
  <w:abstractNum w:abstractNumId="248">
    <w:nsid w:val="7975E8EE"/>
    <w:multiLevelType w:val="hybridMultilevel"/>
    <w:lvl w:ilvl="0">
      <w:lvlJc w:val="left"/>
      <w:lvlText w:val="%1)"/>
      <w:numFmt w:val="lowerLetter"/>
      <w:start w:val="1"/>
    </w:lvl>
  </w:abstractNum>
  <w:abstractNum w:abstractNumId="249">
    <w:nsid w:val="73154115"/>
    <w:multiLevelType w:val="hybridMultilevel"/>
    <w:lvl w:ilvl="0">
      <w:lvlJc w:val="left"/>
      <w:lvlText w:val="(%1)"/>
      <w:numFmt w:val="lowerLetter"/>
      <w:start w:val="1"/>
    </w:lvl>
  </w:abstractNum>
  <w:abstractNum w:abstractNumId="250">
    <w:nsid w:val="622D8102"/>
    <w:multiLevelType w:val="hybridMultilevel"/>
    <w:lvl w:ilvl="0">
      <w:lvlJc w:val="left"/>
      <w:lvlText w:val="(%1)"/>
      <w:numFmt w:val="lowerLetter"/>
      <w:start w:val="1"/>
    </w:lvl>
    <w:lvl w:ilvl="1">
      <w:lvlJc w:val="left"/>
      <w:lvlText w:val="(%2)"/>
      <w:numFmt w:val="lowerRoman"/>
      <w:start w:val="1"/>
    </w:lvl>
  </w:abstractNum>
  <w:abstractNum w:abstractNumId="251">
    <w:nsid w:val="2AB26587"/>
    <w:multiLevelType w:val="hybridMultilevel"/>
    <w:lvl w:ilvl="0">
      <w:lvlJc w:val="left"/>
      <w:lvlText w:val="(%1)"/>
      <w:numFmt w:val="lowerLetter"/>
      <w:start w:val="1"/>
    </w:lvl>
  </w:abstractNum>
  <w:abstractNum w:abstractNumId="252">
    <w:nsid w:val="44B3FA61"/>
    <w:multiLevelType w:val="hybridMultilevel"/>
    <w:lvl w:ilvl="0">
      <w:lvlJc w:val="left"/>
      <w:lvlText w:val="(%1)"/>
      <w:numFmt w:val="lowerLetter"/>
      <w:start w:val="1"/>
    </w:lvl>
  </w:abstractNum>
  <w:abstractNum w:abstractNumId="253">
    <w:nsid w:val="1C0CA67C"/>
    <w:multiLevelType w:val="hybridMultilevel"/>
    <w:lvl w:ilvl="0">
      <w:lvlJc w:val="left"/>
      <w:lvlText w:val="(%1)"/>
      <w:numFmt w:val="lowerLetter"/>
      <w:start w:val="2"/>
    </w:lvl>
  </w:abstractNum>
  <w:abstractNum w:abstractNumId="254">
    <w:nsid w:val="3D206613"/>
    <w:multiLevelType w:val="hybridMultilevel"/>
    <w:lvl w:ilvl="0">
      <w:lvlJc w:val="left"/>
      <w:lvlText w:val="(%1)"/>
      <w:numFmt w:val="lowerLetter"/>
      <w:start w:val="1"/>
    </w:lvl>
  </w:abstractNum>
  <w:abstractNum w:abstractNumId="255">
    <w:nsid w:val="7993B662"/>
    <w:multiLevelType w:val="hybridMultilevel"/>
    <w:lvl w:ilvl="0">
      <w:lvlJc w:val="left"/>
      <w:lvlText w:val="(%1)"/>
      <w:numFmt w:val="lowerLetter"/>
      <w:start w:val="1"/>
    </w:lvl>
  </w:abstractNum>
  <w:abstractNum w:abstractNumId="256">
    <w:nsid w:val="3BAB699E"/>
    <w:multiLevelType w:val="hybridMultilevel"/>
    <w:lvl w:ilvl="0">
      <w:lvlJc w:val="left"/>
      <w:lvlText w:val="(%1)"/>
      <w:numFmt w:val="lowerLetter"/>
      <w:start w:val="1"/>
    </w:lvl>
  </w:abstractNum>
  <w:abstractNum w:abstractNumId="257">
    <w:nsid w:val="71315369"/>
    <w:multiLevelType w:val="hybridMultilevel"/>
    <w:lvl w:ilvl="0">
      <w:lvlJc w:val="left"/>
      <w:lvlText w:val="(%1)"/>
      <w:numFmt w:val="lowerLetter"/>
      <w:start w:val="1"/>
    </w:lvl>
  </w:abstractNum>
  <w:abstractNum w:abstractNumId="258">
    <w:nsid w:val="7BCFBAFC"/>
    <w:multiLevelType w:val="hybridMultilevel"/>
    <w:lvl w:ilvl="0">
      <w:lvlJc w:val="left"/>
      <w:lvlText w:val="(%1)"/>
      <w:numFmt w:val="lowerLetter"/>
      <w:start w:val="1"/>
    </w:lvl>
  </w:abstractNum>
  <w:abstractNum w:abstractNumId="259">
    <w:nsid w:val="17859F72"/>
    <w:multiLevelType w:val="hybridMultilevel"/>
    <w:lvl w:ilvl="0">
      <w:lvlJc w:val="left"/>
      <w:lvlText w:val="(%1)"/>
      <w:numFmt w:val="lowerLetter"/>
      <w:start w:val="2"/>
    </w:lvl>
  </w:abstractNum>
  <w:abstractNum w:abstractNumId="260">
    <w:nsid w:val="3AA10581"/>
    <w:multiLevelType w:val="hybridMultilevel"/>
    <w:lvl w:ilvl="0">
      <w:lvlJc w:val="left"/>
      <w:lvlText w:val="(%1)"/>
      <w:numFmt w:val="lowerLetter"/>
      <w:start w:val="1"/>
    </w:lvl>
  </w:abstractNum>
  <w:abstractNum w:abstractNumId="261">
    <w:nsid w:val="63DE60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2">
    <w:nsid w:val="621AF471"/>
    <w:multiLevelType w:val="hybridMultilevel"/>
    <w:lvl w:ilvl="0">
      <w:lvlJc w:val="left"/>
      <w:lvlText w:val="(%1)"/>
      <w:numFmt w:val="lowerRoman"/>
      <w:start w:val="3"/>
    </w:lvl>
  </w:abstractNum>
  <w:abstractNum w:abstractNumId="263">
    <w:nsid w:val="73CFE16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64">
    <w:nsid w:val="20F88EA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65">
    <w:nsid w:val="617C843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66">
    <w:nsid w:val="7B541FAB"/>
    <w:multiLevelType w:val="hybridMultilevel"/>
    <w:lvl w:ilvl="0">
      <w:lvlJc w:val="left"/>
      <w:lvlText w:val="(%1)"/>
      <w:numFmt w:val="lowerLetter"/>
      <w:start w:val="1"/>
    </w:lvl>
  </w:abstractNum>
  <w:abstractNum w:abstractNumId="267">
    <w:nsid w:val="2A79EC49"/>
    <w:multiLevelType w:val="hybridMultilevel"/>
    <w:lvl w:ilvl="0">
      <w:lvlJc w:val="left"/>
      <w:lvlText w:val="(%1)"/>
      <w:numFmt w:val="lowerLetter"/>
      <w:start w:val="3"/>
    </w:lvl>
  </w:abstractNum>
  <w:abstractNum w:abstractNumId="268">
    <w:nsid w:val="338125C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69">
    <w:nsid w:val="47C7C97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70">
    <w:nsid w:val="46F8284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1">
    <w:nsid w:val="4FA327CE"/>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72">
    <w:nsid w:val="1873983A"/>
    <w:multiLevelType w:val="hybridMultilevel"/>
    <w:lvl w:ilvl="0">
      <w:lvlJc w:val="left"/>
      <w:lvlText w:val="(%1)"/>
      <w:numFmt w:val="lowerRoman"/>
      <w:start w:val="1"/>
    </w:lvl>
  </w:abstractNum>
  <w:abstractNum w:abstractNumId="273">
    <w:nsid w:val="3D2DD275"/>
    <w:multiLevelType w:val="hybridMultilevel"/>
    <w:lvl w:ilvl="0">
      <w:lvlJc w:val="left"/>
      <w:lvlText w:val="(%1)"/>
      <w:numFmt w:val="lowerLetter"/>
      <w:start w:val="1"/>
    </w:lvl>
  </w:abstractNum>
  <w:abstractNum w:abstractNumId="274">
    <w:nsid w:val="2E17ECA7"/>
    <w:multiLevelType w:val="hybridMultilevel"/>
    <w:lvl w:ilvl="0">
      <w:lvlJc w:val="left"/>
      <w:lvlText w:val="(%1)"/>
      <w:numFmt w:val="lowerLetter"/>
      <w:start w:val="1"/>
    </w:lvl>
    <w:lvl w:ilvl="1">
      <w:lvlJc w:val="left"/>
      <w:lvlText w:val="(%2)"/>
      <w:numFmt w:val="lowerRoman"/>
      <w:start w:val="1"/>
    </w:lvl>
  </w:abstractNum>
  <w:abstractNum w:abstractNumId="275">
    <w:nsid w:val="53B2564F"/>
    <w:multiLevelType w:val="hybridMultilevel"/>
    <w:lvl w:ilvl="0">
      <w:lvlJc w:val="left"/>
      <w:lvlText w:val="(%1)"/>
      <w:numFmt w:val="lowerLetter"/>
      <w:start w:val="2"/>
    </w:lvl>
    <w:lvl w:ilvl="1">
      <w:lvlJc w:val="left"/>
      <w:lvlText w:val="(%2)"/>
      <w:numFmt w:val="lowerRoman"/>
      <w:start w:val="1"/>
    </w:lvl>
  </w:abstractNum>
  <w:abstractNum w:abstractNumId="276">
    <w:nsid w:val="75509D76"/>
    <w:multiLevelType w:val="hybridMultilevel"/>
    <w:lvl w:ilvl="0">
      <w:lvlJc w:val="left"/>
      <w:lvlText w:val="(%1)"/>
      <w:numFmt w:val="lowerLetter"/>
      <w:start w:val="1"/>
    </w:lvl>
  </w:abstractNum>
  <w:abstractNum w:abstractNumId="277">
    <w:nsid w:val="1AF7F0EA"/>
    <w:multiLevelType w:val="hybridMultilevel"/>
    <w:lvl w:ilvl="0">
      <w:lvlJc w:val="left"/>
      <w:lvlText w:val="(%1)"/>
      <w:numFmt w:val="lowerLetter"/>
      <w:start w:val="4"/>
    </w:lvl>
  </w:abstractNum>
  <w:abstractNum w:abstractNumId="278">
    <w:nsid w:val="4DA32C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79">
    <w:nsid w:val="6EC68664"/>
    <w:multiLevelType w:val="hybridMultilevel"/>
    <w:lvl w:ilvl="0">
      <w:lvlJc w:val="left"/>
      <w:lvlText w:val="(%1)"/>
      <w:numFmt w:val="upperLetter"/>
      <w:start w:val="2"/>
    </w:lvl>
  </w:abstractNum>
  <w:abstractNum w:abstractNumId="280">
    <w:nsid w:val="E0D31F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281">
    <w:nsid w:val="2FD0AD81"/>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82">
    <w:nsid w:val="1978EBEB"/>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283">
    <w:nsid w:val="52C12C61"/>
    <w:multiLevelType w:val="hybridMultilevel"/>
    <w:lvl w:ilvl="0">
      <w:lvlJc w:val="left"/>
      <w:lvlText w:val="%1"/>
      <w:numFmt w:val="lowerLetter"/>
      <w:start w:val="1"/>
    </w:lvl>
    <w:lvl w:ilvl="1">
      <w:lvlJc w:val="left"/>
      <w:lvlText w:val="(%2)"/>
      <w:numFmt w:val="lowerLetter"/>
      <w:start w:val="35"/>
    </w:lvl>
  </w:abstractNum>
  <w:abstractNum w:abstractNumId="284">
    <w:nsid w:val="4BDD53FD"/>
    <w:multiLevelType w:val="hybridMultilevel"/>
    <w:lvl w:ilvl="0">
      <w:lvlJc w:val="left"/>
      <w:lvlText w:val="(%1)"/>
      <w:numFmt w:val="lowerLetter"/>
      <w:start w:val="3"/>
    </w:lvl>
    <w:lvl w:ilvl="1">
      <w:lvlJc w:val="left"/>
      <w:lvlText w:val="(%2)"/>
      <w:numFmt w:val="lowerLetter"/>
      <w:start w:val="9"/>
    </w:lvl>
  </w:abstractNum>
  <w:abstractNum w:abstractNumId="285">
    <w:nsid w:val="569951F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86">
    <w:nsid w:val="4C54E2C3"/>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287">
    <w:nsid w:val="788BD9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88">
    <w:nsid w:val="47CAA567"/>
    <w:multiLevelType w:val="hybridMultilevel"/>
    <w:lvl w:ilvl="0">
      <w:lvlJc w:val="left"/>
      <w:lvlText w:val="(%1)"/>
      <w:numFmt w:val="lowerLetter"/>
      <w:start w:val="1"/>
    </w:lvl>
  </w:abstractNum>
  <w:abstractNum w:abstractNumId="289">
    <w:nsid w:val="48249DBF"/>
    <w:multiLevelType w:val="hybridMultilevel"/>
    <w:lvl w:ilvl="0">
      <w:lvlJc w:val="left"/>
      <w:lvlText w:val="(%1)"/>
      <w:numFmt w:val="lowerLetter"/>
      <w:start w:val="1"/>
    </w:lvl>
  </w:abstractNum>
  <w:abstractNum w:abstractNumId="290">
    <w:nsid w:val="1F0E5D0D"/>
    <w:multiLevelType w:val="hybridMultilevel"/>
    <w:lvl w:ilvl="0">
      <w:lvlJc w:val="left"/>
      <w:lvlText w:val="(%1)"/>
      <w:numFmt w:val="lowerRoman"/>
      <w:start w:val="1"/>
    </w:lvl>
  </w:abstractNum>
  <w:abstractNum w:abstractNumId="291">
    <w:nsid w:val="26BAAE9"/>
    <w:multiLevelType w:val="hybridMultilevel"/>
    <w:lvl w:ilvl="0">
      <w:lvlJc w:val="left"/>
      <w:lvlText w:val="(%1)"/>
      <w:numFmt w:val="lowerLetter"/>
      <w:start w:val="2"/>
    </w:lvl>
    <w:lvl w:ilvl="1">
      <w:lvlJc w:val="left"/>
      <w:lvlText w:val="(%2)"/>
      <w:numFmt w:val="lowerRoman"/>
      <w:start w:val="1"/>
    </w:lvl>
  </w:abstractNum>
  <w:abstractNum w:abstractNumId="292">
    <w:nsid w:val="2C02FE8C"/>
    <w:multiLevelType w:val="hybridMultilevel"/>
    <w:lvl w:ilvl="0">
      <w:lvlJc w:val="left"/>
      <w:lvlText w:val="(%1)"/>
      <w:numFmt w:val="lowerLetter"/>
      <w:start w:val="3"/>
    </w:lvl>
    <w:lvl w:ilvl="1">
      <w:lvlJc w:val="left"/>
      <w:lvlText w:val="(%2)"/>
      <w:numFmt w:val="lowerRoman"/>
      <w:start w:val="1"/>
    </w:lvl>
  </w:abstractNum>
  <w:abstractNum w:abstractNumId="293">
    <w:nsid w:val="129517E"/>
    <w:multiLevelType w:val="hybridMultilevel"/>
    <w:lvl w:ilvl="0">
      <w:lvlJc w:val="left"/>
      <w:lvlText w:val="(%1)"/>
      <w:numFmt w:val="lowerLetter"/>
      <w:start w:val="4"/>
    </w:lvl>
  </w:abstractNum>
  <w:abstractNum w:abstractNumId="294">
    <w:nsid w:val="763B8C4E"/>
    <w:multiLevelType w:val="hybridMultilevel"/>
    <w:lvl w:ilvl="0">
      <w:lvlJc w:val="left"/>
      <w:lvlText w:val="(%1)"/>
      <w:numFmt w:val="lowerLetter"/>
      <w:start w:val="1"/>
    </w:lvl>
  </w:abstractNum>
  <w:abstractNum w:abstractNumId="295">
    <w:nsid w:val="4CFB8D32"/>
    <w:multiLevelType w:val="hybridMultilevel"/>
    <w:lvl w:ilvl="0">
      <w:lvlJc w:val="left"/>
      <w:lvlText w:val="(%1)"/>
      <w:numFmt w:val="lowerLetter"/>
      <w:start w:val="1"/>
    </w:lvl>
  </w:abstractNum>
  <w:abstractNum w:abstractNumId="296">
    <w:nsid w:val="62A5D5BD"/>
    <w:multiLevelType w:val="hybridMultilevel"/>
    <w:lvl w:ilvl="0">
      <w:lvlJc w:val="left"/>
      <w:lvlText w:val="(%1)"/>
      <w:numFmt w:val="lowerLetter"/>
      <w:start w:val="1"/>
    </w:lvl>
  </w:abstractNum>
  <w:abstractNum w:abstractNumId="297">
    <w:nsid w:val="718FABF9"/>
    <w:multiLevelType w:val="hybridMultilevel"/>
    <w:lvl w:ilvl="0">
      <w:lvlJc w:val="left"/>
      <w:lvlText w:val="(%1)"/>
      <w:numFmt w:val="lowerLetter"/>
      <w:start w:val="1"/>
    </w:lvl>
  </w:abstractNum>
  <w:abstractNum w:abstractNumId="298">
    <w:nsid w:val="7775797C"/>
    <w:multiLevelType w:val="hybridMultilevel"/>
    <w:lvl w:ilvl="0">
      <w:lvlJc w:val="left"/>
      <w:lvlText w:val="(%1)"/>
      <w:numFmt w:val="lowerRoman"/>
      <w:start w:val="1"/>
    </w:lvl>
  </w:abstractNum>
  <w:abstractNum w:abstractNumId="299">
    <w:nsid w:val="1626FB8C"/>
    <w:multiLevelType w:val="hybridMultilevel"/>
    <w:lvl w:ilvl="0">
      <w:lvlJc w:val="left"/>
      <w:lvlText w:val="(%1)"/>
      <w:numFmt w:val="lowerLetter"/>
      <w:start w:val="2"/>
    </w:lvl>
  </w:abstractNum>
  <w:abstractNum w:abstractNumId="300">
    <w:nsid w:val="3957756A"/>
    <w:multiLevelType w:val="hybridMultilevel"/>
    <w:lvl w:ilvl="0">
      <w:lvlJc w:val="left"/>
      <w:lvlText w:val="(%1)"/>
      <w:numFmt w:val="lowerLetter"/>
      <w:start w:val="1"/>
    </w:lvl>
  </w:abstractNum>
  <w:abstractNum w:abstractNumId="301">
    <w:nsid w:val="3E6DA1C7"/>
    <w:multiLevelType w:val="hybridMultilevel"/>
    <w:lvl w:ilvl="0">
      <w:lvlJc w:val="left"/>
      <w:lvlText w:val="(%1)"/>
      <w:numFmt w:val="lowerRoman"/>
      <w:start w:val="1"/>
    </w:lvl>
  </w:abstractNum>
  <w:abstractNum w:abstractNumId="302">
    <w:nsid w:val="65CA23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3">
    <w:nsid w:val="51CB0DA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4">
    <w:nsid w:val="7B9B743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5">
    <w:nsid w:val="13E2100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6">
    <w:nsid w:val="257D63F4"/>
    <w:multiLevelType w:val="hybridMultilevel"/>
    <w:lvl w:ilvl="0">
      <w:lvlJc w:val="left"/>
      <w:lvlText w:val="(%1)"/>
      <w:numFmt w:val="lowerLetter"/>
      <w:start w:val="3"/>
    </w:lvl>
    <w:lvl w:ilvl="1">
      <w:lvlJc w:val="left"/>
      <w:lvlText w:val="(%2)"/>
      <w:numFmt w:val="lowerRoman"/>
      <w:start w:val="1"/>
    </w:lvl>
  </w:abstractNum>
  <w:abstractNum w:abstractNumId="307">
    <w:nsid w:val="70EC11B2"/>
    <w:multiLevelType w:val="hybridMultilevel"/>
    <w:lvl w:ilvl="0">
      <w:lvlJc w:val="left"/>
      <w:lvlText w:val="(%1)"/>
      <w:numFmt w:val="lowerLetter"/>
      <w:start w:val="4"/>
    </w:lvl>
    <w:lvl w:ilvl="1">
      <w:lvlJc w:val="left"/>
      <w:lvlText w:val="(%2)"/>
      <w:numFmt w:val="lowerRoman"/>
      <w:start w:val="1"/>
    </w:lvl>
  </w:abstractNum>
  <w:abstractNum w:abstractNumId="308">
    <w:nsid w:val="2EDA00ED"/>
    <w:multiLevelType w:val="hybridMultilevel"/>
    <w:lvl w:ilvl="0">
      <w:lvlJc w:val="left"/>
      <w:lvlText w:val="(%1)"/>
      <w:numFmt w:val="lowerLetter"/>
      <w:start w:val="5"/>
    </w:lvl>
  </w:abstractNum>
  <w:abstractNum w:abstractNumId="309">
    <w:nsid w:val="73209072"/>
    <w:multiLevelType w:val="hybridMultilevel"/>
    <w:lvl w:ilvl="0">
      <w:lvlJc w:val="left"/>
      <w:lvlText w:val="%1"/>
      <w:numFmt w:val="decimal"/>
      <w:start w:val="1"/>
    </w:lvl>
    <w:lvl w:ilvl="1">
      <w:lvlJc w:val="left"/>
      <w:lvlText w:val="(%2)"/>
      <w:numFmt w:val="lowerRoman"/>
      <w:start w:val="1"/>
    </w:lvl>
  </w:abstractNum>
  <w:abstractNum w:abstractNumId="310">
    <w:nsid w:val="5FB29816"/>
    <w:multiLevelType w:val="hybridMultilevel"/>
    <w:lvl w:ilvl="0">
      <w:lvlJc w:val="left"/>
      <w:lvlText w:val="(%1)"/>
      <w:numFmt w:val="decimal"/>
      <w:start w:val="5"/>
    </w:lvl>
    <w:lvl w:ilvl="1">
      <w:lvlJc w:val="left"/>
      <w:lvlText w:val="%2"/>
      <w:numFmt w:val="lowerRoman"/>
      <w:start w:val="1"/>
    </w:lvl>
  </w:abstractNum>
  <w:abstractNum w:abstractNumId="311">
    <w:nsid w:val="3CE732EC"/>
    <w:multiLevelType w:val="hybridMultilevel"/>
    <w:lvl w:ilvl="0">
      <w:lvlJc w:val="left"/>
      <w:lvlText w:val="(%1)"/>
      <w:numFmt w:val="lowerLetter"/>
      <w:start w:val="6"/>
    </w:lvl>
  </w:abstractNum>
  <w:abstractNum w:abstractNumId="312">
    <w:nsid w:val="22F13DF3"/>
    <w:multiLevelType w:val="hybridMultilevel"/>
    <w:lvl w:ilvl="0">
      <w:lvlJc w:val="left"/>
      <w:lvlText w:val="(%1)"/>
      <w:numFmt w:val="lowerLetter"/>
      <w:start w:val="1"/>
    </w:lvl>
    <w:lvl w:ilvl="1">
      <w:lvlJc w:val="left"/>
      <w:lvlText w:val="(%2)"/>
      <w:numFmt w:val="lowerLetter"/>
      <w:start w:val="9"/>
    </w:lvl>
  </w:abstractNum>
  <w:abstractNum w:abstractNumId="313">
    <w:nsid w:val="792B8401"/>
    <w:multiLevelType w:val="hybridMultilevel"/>
    <w:lvl w:ilvl="0">
      <w:lvlJc w:val="left"/>
      <w:lvlText w:val="(%1)"/>
      <w:numFmt w:val="lowerRoman"/>
      <w:start w:val="2"/>
    </w:lvl>
  </w:abstractNum>
  <w:abstractNum w:abstractNumId="314">
    <w:nsid w:val="FA85F4D"/>
    <w:multiLevelType w:val="hybridMultilevel"/>
    <w:lvl w:ilvl="0">
      <w:lvlJc w:val="left"/>
      <w:lvlText w:val="(%1)"/>
      <w:numFmt w:val="lowerLetter"/>
      <w:start w:val="1"/>
    </w:lvl>
  </w:abstractNum>
  <w:abstractNum w:abstractNumId="315">
    <w:nsid w:val="6ECE91F0"/>
    <w:multiLevelType w:val="hybridMultilevel"/>
    <w:lvl w:ilvl="0">
      <w:lvlJc w:val="left"/>
      <w:lvlText w:val="(%1)"/>
      <w:numFmt w:val="lowerLetter"/>
      <w:start w:val="2"/>
    </w:lvl>
  </w:abstractNum>
  <w:abstractNum w:abstractNumId="316">
    <w:nsid w:val="4FC4D600"/>
    <w:multiLevelType w:val="hybridMultilevel"/>
    <w:lvl w:ilvl="0">
      <w:lvlJc w:val="left"/>
      <w:lvlText w:val="(%1)"/>
      <w:numFmt w:val="lowerLetter"/>
      <w:start w:val="1"/>
    </w:lvl>
  </w:abstractNum>
  <w:abstractNum w:abstractNumId="317">
    <w:nsid w:val="5BFD4210"/>
    <w:multiLevelType w:val="hybridMultilevel"/>
    <w:lvl w:ilvl="0">
      <w:lvlJc w:val="left"/>
      <w:lvlText w:val="(%1)"/>
      <w:numFmt w:val="lowerLetter"/>
      <w:start w:val="1"/>
    </w:lvl>
  </w:abstractNum>
  <w:abstractNum w:abstractNumId="318">
    <w:nsid w:val="76574F8B"/>
    <w:multiLevelType w:val="hybridMultilevel"/>
    <w:lvl w:ilvl="0">
      <w:lvlJc w:val="left"/>
      <w:lvlText w:val="(%1)"/>
      <w:numFmt w:val="lowerRoman"/>
      <w:start w:val="1"/>
    </w:lvl>
  </w:abstractNum>
  <w:abstractNum w:abstractNumId="319">
    <w:nsid w:val="178F7B67"/>
    <w:multiLevelType w:val="hybridMultilevel"/>
    <w:lvl w:ilvl="0">
      <w:lvlJc w:val="left"/>
      <w:lvlText w:val="(%1)"/>
      <w:numFmt w:val="lowerLetter"/>
      <w:start w:val="2"/>
    </w:lvl>
  </w:abstractNum>
  <w:abstractNum w:abstractNumId="320">
    <w:nsid w:val="2421DFCF"/>
    <w:multiLevelType w:val="hybridMultilevel"/>
    <w:lvl w:ilvl="0">
      <w:lvlJc w:val="left"/>
      <w:lvlText w:val="(%1)"/>
      <w:numFmt w:val="lowerRoman"/>
      <w:start w:val="1"/>
    </w:lvl>
  </w:abstractNum>
  <w:abstractNum w:abstractNumId="321">
    <w:nsid w:val="1565AC99"/>
    <w:multiLevelType w:val="hybridMultilevel"/>
    <w:lvl w:ilvl="0">
      <w:lvlJc w:val="left"/>
      <w:lvlText w:val="(%1)"/>
      <w:numFmt w:val="lowerLetter"/>
      <w:start w:val="1"/>
    </w:lvl>
  </w:abstractNum>
  <w:abstractNum w:abstractNumId="322">
    <w:nsid w:val="19FB2650"/>
    <w:multiLevelType w:val="hybridMultilevel"/>
    <w:lvl w:ilvl="0">
      <w:lvlJc w:val="left"/>
      <w:lvlText w:val="(%1)"/>
      <w:numFmt w:val="lowerLetter"/>
      <w:start w:val="1"/>
    </w:lvl>
    <w:lvl w:ilvl="1">
      <w:lvlJc w:val="left"/>
      <w:lvlText w:val="(%2)"/>
      <w:numFmt w:val="lowerRoman"/>
      <w:start w:val="1"/>
    </w:lvl>
  </w:abstractNum>
  <w:abstractNum w:abstractNumId="323">
    <w:nsid w:val="5024DE5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24">
    <w:nsid w:val="168EFE17"/>
    <w:multiLevelType w:val="hybridMultilevel"/>
    <w:lvl w:ilvl="0">
      <w:lvlJc w:val="left"/>
      <w:lvlText w:val="(%1)"/>
      <w:numFmt w:val="decimal"/>
      <w:start w:val="2"/>
    </w:lvl>
  </w:abstractNum>
  <w:abstractNum w:abstractNumId="325">
    <w:nsid w:val="1036B29F"/>
    <w:multiLevelType w:val="hybridMultilevel"/>
    <w:lvl w:ilvl="0">
      <w:lvlJc w:val="left"/>
      <w:lvlText w:val="%1"/>
      <w:numFmt w:val="upperLetter"/>
      <w:start w:val="1"/>
    </w:lvl>
    <w:lvl w:ilvl="1">
      <w:lvlJc w:val="left"/>
      <w:lvlText w:val="(%2)"/>
      <w:numFmt w:val="decimal"/>
      <w:start w:val="3"/>
    </w:lvl>
  </w:abstractNum>
  <w:abstractNum w:abstractNumId="326">
    <w:nsid w:val="1D206B8E"/>
    <w:multiLevelType w:val="hybridMultilevel"/>
    <w:lvl w:ilvl="0">
      <w:lvlJc w:val="left"/>
      <w:lvlText w:val="(%1)"/>
      <w:numFmt w:val="upperLetter"/>
      <w:start w:val="3"/>
    </w:lvl>
    <w:lvl w:ilvl="1">
      <w:lvlJc w:val="left"/>
      <w:lvlText w:val="%2"/>
      <w:numFmt w:val="decimal"/>
      <w:start w:val="1"/>
    </w:lvl>
  </w:abstractNum>
  <w:abstractNum w:abstractNumId="327">
    <w:nsid w:val="7934D3D4"/>
    <w:multiLevelType w:val="hybridMultilevel"/>
    <w:lvl w:ilvl="0">
      <w:lvlJc w:val="left"/>
      <w:lvlText w:val="%1"/>
      <w:numFmt w:val="lowerLetter"/>
      <w:start w:val="1"/>
    </w:lvl>
    <w:lvl w:ilvl="1">
      <w:lvlJc w:val="left"/>
      <w:lvlText w:val="(%2)"/>
      <w:numFmt w:val="lowerLetter"/>
      <w:start w:val="35"/>
    </w:lvl>
  </w:abstractNum>
  <w:abstractNum w:abstractNumId="328">
    <w:nsid w:val="1C65E98"/>
    <w:multiLevelType w:val="hybridMultilevel"/>
    <w:lvl w:ilvl="0">
      <w:lvlJc w:val="left"/>
      <w:lvlText w:val="(%1)"/>
      <w:numFmt w:val="lowerLetter"/>
      <w:start w:val="3"/>
    </w:lvl>
    <w:lvl w:ilvl="1">
      <w:lvlJc w:val="left"/>
      <w:lvlText w:val="%2"/>
      <w:numFmt w:val="lowerLetter"/>
      <w:start w:val="1"/>
    </w:lvl>
  </w:abstractNum>
  <w:abstractNum w:abstractNumId="329">
    <w:nsid w:val="1495E50A"/>
    <w:multiLevelType w:val="hybridMultilevel"/>
    <w:lvl w:ilvl="0">
      <w:lvlJc w:val="left"/>
      <w:lvlText w:val="%1"/>
      <w:numFmt w:val="lowerRoman"/>
      <w:start w:val="1"/>
    </w:lvl>
    <w:lvl w:ilvl="1">
      <w:lvlJc w:val="left"/>
      <w:lvlText w:val="(%2)"/>
      <w:numFmt w:val="lowerLetter"/>
      <w:start w:val="1"/>
    </w:lvl>
  </w:abstractNum>
  <w:abstractNum w:abstractNumId="330">
    <w:nsid w:val="F5BCF61"/>
    <w:multiLevelType w:val="hybridMultilevel"/>
    <w:lvl w:ilvl="0">
      <w:lvlJc w:val="left"/>
      <w:lvlText w:val="(%1)"/>
      <w:numFmt w:val="lowerRoman"/>
      <w:start w:val="6"/>
    </w:lvl>
    <w:lvl w:ilvl="1">
      <w:lvlJc w:val="left"/>
      <w:lvlText w:val="(%2)"/>
      <w:numFmt w:val="lowerLetter"/>
      <w:start w:val="4"/>
    </w:lvl>
  </w:abstractNum>
  <w:abstractNum w:abstractNumId="331">
    <w:nsid w:val="3B1DD403"/>
    <w:multiLevelType w:val="hybridMultilevel"/>
    <w:lvl w:ilvl="0">
      <w:lvlJc w:val="left"/>
      <w:lvlText w:val="(%1)"/>
      <w:numFmt w:val="lowerLetter"/>
      <w:start w:val="1"/>
    </w:lvl>
  </w:abstractNum>
  <w:abstractNum w:abstractNumId="332">
    <w:nsid w:val="530386D1"/>
    <w:multiLevelType w:val="hybridMultilevel"/>
    <w:lvl w:ilvl="0">
      <w:lvlJc w:val="left"/>
      <w:lvlText w:val="%1."/>
      <w:numFmt w:val="decimal"/>
      <w:start w:val="1"/>
    </w:lvl>
    <w:lvl w:ilvl="1">
      <w:lvlJc w:val="left"/>
      <w:lvlText w:val="%2)"/>
      <w:numFmt w:val="lowerLetter"/>
      <w:start w:val="1"/>
    </w:lvl>
  </w:abstractNum>
  <w:abstractNum w:abstractNumId="333">
    <w:nsid w:val="7525F2BC"/>
    <w:multiLevelType w:val="hybridMultilevel"/>
    <w:lvl w:ilvl="0">
      <w:lvlJc w:val="left"/>
      <w:lvlText w:val="%1."/>
      <w:numFmt w:val="decimal"/>
      <w:start w:val="1"/>
    </w:lvl>
    <w:lvl w:ilvl="1">
      <w:lvlJc w:val="left"/>
      <w:lvlText w:val="%2)"/>
      <w:numFmt w:val="lowerLetter"/>
      <w:start w:val="1"/>
    </w:lvl>
  </w:abstractNum>
  <w:abstractNum w:abstractNumId="334">
    <w:nsid w:val="CE8E1A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52"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287" Type="http://schemas.openxmlformats.org/officeDocument/2006/relationships/image" Target="media/image235.png"/><Relationship Id="rId288" Type="http://schemas.openxmlformats.org/officeDocument/2006/relationships/image" Target="media/image236.png"/><Relationship Id="rId289" Type="http://schemas.openxmlformats.org/officeDocument/2006/relationships/image" Target="media/image237.png"/><Relationship Id="rId290" Type="http://schemas.openxmlformats.org/officeDocument/2006/relationships/image" Target="media/image238.png"/><Relationship Id="rId291" Type="http://schemas.openxmlformats.org/officeDocument/2006/relationships/image" Target="media/image239.png"/><Relationship Id="rId292" Type="http://schemas.openxmlformats.org/officeDocument/2006/relationships/image" Target="media/image240.png"/><Relationship Id="rId293" Type="http://schemas.openxmlformats.org/officeDocument/2006/relationships/image" Target="media/image241.png"/><Relationship Id="rId294" Type="http://schemas.openxmlformats.org/officeDocument/2006/relationships/image" Target="media/image242.png"/><Relationship Id="rId295" Type="http://schemas.openxmlformats.org/officeDocument/2006/relationships/image" Target="media/image243.png"/><Relationship Id="rId296" Type="http://schemas.openxmlformats.org/officeDocument/2006/relationships/image" Target="media/image244.png"/><Relationship Id="rId297" Type="http://schemas.openxmlformats.org/officeDocument/2006/relationships/image" Target="media/image245.png"/><Relationship Id="rId298" Type="http://schemas.openxmlformats.org/officeDocument/2006/relationships/image" Target="media/image246.png"/><Relationship Id="rId299" Type="http://schemas.openxmlformats.org/officeDocument/2006/relationships/image" Target="media/image247.png"/><Relationship Id="rId300" Type="http://schemas.openxmlformats.org/officeDocument/2006/relationships/image" Target="media/image248.png"/><Relationship Id="rId81" Type="http://schemas.openxmlformats.org/officeDocument/2006/relationships/hyperlink" Target="http://www.sec.gov/ix?doc=/Archives/edgar/data/1166691/000116669121000008/cmcsa-20201231.htm" TargetMode="External"/><Relationship Id="rId224" Type="http://schemas.openxmlformats.org/officeDocument/2006/relationships/hyperlink" Target="http://www.sec.gov/Archives/edgar/data/1166691/000095010315009516/dp61838_ex0301.htm" TargetMode="External"/><Relationship Id="rId225" Type="http://schemas.openxmlformats.org/officeDocument/2006/relationships/hyperlink" Target="https://www.sec.gov/Archives/edgar/data/902739/000116669119000005/ex32-12312018.htm" TargetMode="External"/><Relationship Id="rId226" Type="http://schemas.openxmlformats.org/officeDocument/2006/relationships/hyperlink" Target="http://www.sec.gov/Archives/edgar/data/1166691/000095015903000238/exhibit4-1.txt" TargetMode="External"/><Relationship Id="rId227" Type="http://schemas.openxmlformats.org/officeDocument/2006/relationships/hyperlink" Target="http://www.sec.gov/Archives/edgar/data/1166691/000119312509033975/dex44.htm" TargetMode="External"/><Relationship Id="rId228" Type="http://schemas.openxmlformats.org/officeDocument/2006/relationships/hyperlink" Target="http://www.sec.gov/Archives/edgar/data/1166691/000119312509033975/dex45.htm" TargetMode="External"/><Relationship Id="rId229" Type="http://schemas.openxmlformats.org/officeDocument/2006/relationships/hyperlink" Target="http://www.sec.gov/Archives/edgar/data/1166691/000095010309002175/dp14665_8k-ex0401.htm" TargetMode="External"/><Relationship Id="rId230" Type="http://schemas.openxmlformats.org/officeDocument/2006/relationships/hyperlink" Target="http://www.sec.gov/Archives/edgar/data/1166691/000119312513191930/d525898dex44.htm" TargetMode="External"/><Relationship Id="rId231" Type="http://schemas.openxmlformats.org/officeDocument/2006/relationships/hyperlink" Target="http://www.sec.gov/Archives/edgar/data/902739/000119312515354626/d98958dex41.htm" TargetMode="External"/><Relationship Id="rId232" Type="http://schemas.openxmlformats.org/officeDocument/2006/relationships/hyperlink" Target="http://www.sec.gov/Archives/edgar/data/355069/000119312513370526/d554661dex43.htm" TargetMode="External"/><Relationship Id="rId233" Type="http://schemas.openxmlformats.org/officeDocument/2006/relationships/hyperlink" Target="http://www.sec.gov/Archives/edgar/data/902739/000119312515384253/d60854dex44.htm" TargetMode="External"/><Relationship Id="rId234" Type="http://schemas.openxmlformats.org/officeDocument/2006/relationships/hyperlink" Target="http://www.sec.gov/Archives/edgar/data/902739/000119312511139191/dex4.htm" TargetMode="External"/><Relationship Id="rId235" Type="http://schemas.openxmlformats.org/officeDocument/2006/relationships/hyperlink" Target="http://www.sec.gov/Archives/edgar/data/1166691/000119312513191930/d525898dex43.htm" TargetMode="External"/><Relationship Id="rId238" Type="http://schemas.openxmlformats.org/officeDocument/2006/relationships/hyperlink" Target="http://www.sec.gov/Archives/edgar/data/902739/000119312515354626/d98958dex42.htm" TargetMode="External"/><Relationship Id="rId239" Type="http://schemas.openxmlformats.org/officeDocument/2006/relationships/hyperlink" Target="http://www.sec.gov/Archives/edgar/data/902739/000116669119000005/ex413-12312018.htm" TargetMode="External"/><Relationship Id="rId240" Type="http://schemas.openxmlformats.org/officeDocument/2006/relationships/hyperlink" Target="http://www.sec.gov/Archives/edgar/data/902739/000116669119000005/ex414-12312018.htm" TargetMode="External"/><Relationship Id="rId241" Type="http://schemas.openxmlformats.org/officeDocument/2006/relationships/hyperlink" Target="http://www.sec.gov/Archives/edgar/data/0001166691/000095010321012610/dp156478_ex0402.htm" TargetMode="External"/><Relationship Id="rId242" Type="http://schemas.openxmlformats.org/officeDocument/2006/relationships/hyperlink" Target="http://www.sec.gov/Archives/edgar/data/1166691/000095010321005001/dp148717_ex1001.htm" TargetMode="External"/><Relationship Id="rId243" Type="http://schemas.openxmlformats.org/officeDocument/2006/relationships/hyperlink" Target="http://www.sec.gov/Archives/edgar/data/1166691/000116669120000017/ex104-3312020.htm" TargetMode="External"/><Relationship Id="rId244" Type="http://schemas.openxmlformats.org/officeDocument/2006/relationships/hyperlink" Target="http://www.sec.gov/Archives/edgar/data/0001166691/000116669121000020/ex102-33121.htm" TargetMode="External"/><Relationship Id="rId245" Type="http://schemas.openxmlformats.org/officeDocument/2006/relationships/hyperlink" Target="http://www.sec.gov/Archives/edgar/data/1166691/000116669121000020/ex101-33121.htm" TargetMode="External"/><Relationship Id="rId246" Type="http://schemas.openxmlformats.org/officeDocument/2006/relationships/hyperlink" Target="http://www.sec.gov/Archives/edgar/data/902739/000119312516452423/d49239dex1011.htm" TargetMode="External"/><Relationship Id="rId247" Type="http://schemas.openxmlformats.org/officeDocument/2006/relationships/hyperlink" Target="https://www.sec.gov/Archives/edgar/data/1166691/000116669120000032/ex102-9302020.htm" TargetMode="External"/><Relationship Id="rId248" Type="http://schemas.openxmlformats.org/officeDocument/2006/relationships/hyperlink" Target="http://www.sec.gov/Archives/edgar/data/1166691/000119312516535136/d162753ddef14a.htm#toc162753_31" TargetMode="External"/><Relationship Id="rId249" Type="http://schemas.openxmlformats.org/officeDocument/2006/relationships/hyperlink" Target="http://www.sec.gov/Archives/edgar/data/1166691/000119312516535136/d162753ddef14a.htm#toc162753_32" TargetMode="External"/><Relationship Id="rId250" Type="http://schemas.openxmlformats.org/officeDocument/2006/relationships/hyperlink" Target="http://www.sec.gov/Archives/edgar/data/1166691/000116669117000022/ex102-6302017.htm" TargetMode="External"/><Relationship Id="rId251" Type="http://schemas.openxmlformats.org/officeDocument/2006/relationships/hyperlink" Target="http://www.sec.gov/Archives/edgar/data/902739/000116669120000008/ex1020-12312019.htm" TargetMode="External"/><Relationship Id="rId253" Type="http://schemas.openxmlformats.org/officeDocument/2006/relationships/hyperlink" Target="http://www.sec.gov/Archives/edgar/data/1166691/000095010318014887/dp99797_ex9901.htm" TargetMode="External"/><Relationship Id="rId254" Type="http://schemas.openxmlformats.org/officeDocument/2006/relationships/hyperlink" Target="http://www.sec.gov/Archives/edgar/data/902739/000116669120000008/ex1029-12312019.htm" TargetMode="External"/><Relationship Id="rId255" Type="http://schemas.openxmlformats.org/officeDocument/2006/relationships/hyperlink" Target="http://www.sec.gov/Archives/edgar/data/902739/000116669118000019/ex104-6302018.htm" TargetMode="External"/><Relationship Id="rId256" Type="http://schemas.openxmlformats.org/officeDocument/2006/relationships/hyperlink" Target="http://www.sec.gov/Archives/edgar/data/902739/000116669120000008/ex1031-12312019.htm" TargetMode="External"/><Relationship Id="rId257" Type="http://schemas.openxmlformats.org/officeDocument/2006/relationships/hyperlink" Target="http://www.sec.gov/Archives/edgar/data/1166691/000116669120000017/ex105-3312020.htm" TargetMode="External"/><Relationship Id="rId258" Type="http://schemas.openxmlformats.org/officeDocument/2006/relationships/hyperlink" Target="http://www.sec.gov/Archives/edgar/data/1166691/000116669121000029/ex102-6302021.htm" TargetMode="External"/><Relationship Id="rId259" Type="http://schemas.openxmlformats.org/officeDocument/2006/relationships/hyperlink" Target="http://www.sec.gov/Archives/edgar/data/1166691/000116669121000029/ex101-6302021.htm" TargetMode="External"/><Relationship Id="rId260" Type="http://schemas.openxmlformats.org/officeDocument/2006/relationships/hyperlink" Target="http://www.sec.gov/Archives/edgar/data/0001166691/000116669121000008/ex1035-123120.htm" TargetMode="External"/><Relationship Id="rId261" Type="http://schemas.openxmlformats.org/officeDocument/2006/relationships/hyperlink" Target="http://www.sec.gov/Archives/edgar/data/0001166691/000116669121000008/ex1036-123120.htm" TargetMode="External"/><Relationship Id="rId262" Type="http://schemas.openxmlformats.org/officeDocument/2006/relationships/hyperlink" Target="http://www.sec.gov/Archives/edgar/data/0001166691/000116669121000008/ex1037-1231x20.htm" TargetMode="External"/><Relationship Id="rId263" Type="http://schemas.openxmlformats.org/officeDocument/2006/relationships/hyperlink" Target="http://www.sec.gov/Archives/edgar/data/0001166691/000116669121000008/ex1038-123120.htm" TargetMode="External"/><Relationship Id="rId264" Type="http://schemas.openxmlformats.org/officeDocument/2006/relationships/hyperlink" Target="http://www.sec.gov/Archives/edgar/data/902739/000119312515068526/d817352dex1060.htm" TargetMode="External"/><Relationship Id="rId265" Type="http://schemas.openxmlformats.org/officeDocument/2006/relationships/hyperlink" Target="http://www.sec.gov/Archives/edgar/data/1166691/000119312509166759/dex103.htm" TargetMode="External"/><Relationship Id="rId266" Type="http://schemas.openxmlformats.org/officeDocument/2006/relationships/hyperlink" Target="http://www.sec.gov/Archives/edgar/data/0001166691/000116669121000008/ex1041-123120.htm" TargetMode="External"/><Relationship Id="rId267" Type="http://schemas.openxmlformats.org/officeDocument/2006/relationships/hyperlink" Target="http://www.sec.gov/Archives/edgar/data/1262449/000119312510008732/dex1049.htm" TargetMode="External"/><Relationship Id="rId268" Type="http://schemas.openxmlformats.org/officeDocument/2006/relationships/hyperlink" Target="http://www.sec.gov/Archives/edgar/data/1262449/000119312510008732/dex1050.htm" TargetMode="External"/><Relationship Id="rId269" Type="http://schemas.openxmlformats.org/officeDocument/2006/relationships/hyperlink" Target="http://www.sec.gov/Archives/edgar/data/1262449/000119312510008732/dex1052.htm" TargetMode="External"/><Relationship Id="rId272" Type="http://schemas.openxmlformats.org/officeDocument/2006/relationships/hyperlink" Target="http://www.sec.gov/Archives/edgar/data/1262449/000119312510008732/dex10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2022-02-02T14:20:21Z</dcterms:created>
  <dcterms:modified xsi:type="dcterms:W3CDTF">2022-02-02T14:20:21Z</dcterms:modified>
</cp:coreProperties>
</file>