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4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</w:tr>
      <w:tr>
        <w:trPr>
          <w:trHeight w:val="42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Brodsky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Julian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A.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Corporation): CMCSA and CMCSK</w:t>
            </w: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130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212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04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0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Comcast Corporation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0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31" w:right="940" w:hanging="131"/>
        <w:spacing w:after="0" w:line="239" w:lineRule="auto"/>
        <w:tabs>
          <w:tab w:leader="none" w:pos="131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71"/>
        <w:spacing w:after="0"/>
        <w:tabs>
          <w:tab w:leader="none" w:pos="13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 xml:space="preserve">o </w:t>
      </w:r>
      <w:r>
        <w:rPr>
          <w:rFonts w:ascii="Arial" w:cs="Arial" w:eastAsia="Arial" w:hAnsi="Arial"/>
          <w:sz w:val="11"/>
          <w:szCs w:val="11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71"/>
        <w:spacing w:after="0"/>
        <w:tabs>
          <w:tab w:leader="none" w:pos="13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5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Vice Chairman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900" w:space="9"/>
            <w:col w:w="3511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23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right="32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Original (Month/Day/Year)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jc w:val="right"/>
              <w:ind w:right="352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20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20" w:type="dxa"/>
            <w:vAlign w:val="bottom"/>
            <w:gridSpan w:val="9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Table I -- Non-Derivative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4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Securities 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3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5. 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or Disposed 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3, 4 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9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130,968</w:t>
            </w: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130,968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240,170</w:t>
            </w: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240,170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 GRATs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2,835,311</w:t>
            </w: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2,835,311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379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9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789940</wp:posOffset>
            </wp:positionH>
            <wp:positionV relativeFrom="paragraph">
              <wp:posOffset>140335</wp:posOffset>
            </wp:positionV>
            <wp:extent cx="42545" cy="378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1218565</wp:posOffset>
            </wp:positionH>
            <wp:positionV relativeFrom="paragraph">
              <wp:posOffset>140335</wp:posOffset>
            </wp:positionV>
            <wp:extent cx="42545" cy="3781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1630680</wp:posOffset>
            </wp:positionH>
            <wp:positionV relativeFrom="paragraph">
              <wp:posOffset>140335</wp:posOffset>
            </wp:positionV>
            <wp:extent cx="42545" cy="3781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2196465</wp:posOffset>
            </wp:positionH>
            <wp:positionV relativeFrom="paragraph">
              <wp:posOffset>140335</wp:posOffset>
            </wp:positionV>
            <wp:extent cx="42545" cy="3781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2633980</wp:posOffset>
            </wp:positionH>
            <wp:positionV relativeFrom="paragraph">
              <wp:posOffset>140335</wp:posOffset>
            </wp:positionV>
            <wp:extent cx="42545" cy="3781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3414395</wp:posOffset>
            </wp:positionH>
            <wp:positionV relativeFrom="paragraph">
              <wp:posOffset>140335</wp:posOffset>
            </wp:positionV>
            <wp:extent cx="42545" cy="37814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4288790</wp:posOffset>
            </wp:positionH>
            <wp:positionV relativeFrom="paragraph">
              <wp:posOffset>140335</wp:posOffset>
            </wp:positionV>
            <wp:extent cx="42545" cy="37814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5223510</wp:posOffset>
            </wp:positionH>
            <wp:positionV relativeFrom="paragraph">
              <wp:posOffset>140335</wp:posOffset>
            </wp:positionV>
            <wp:extent cx="42545" cy="37814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5652135</wp:posOffset>
            </wp:positionH>
            <wp:positionV relativeFrom="paragraph">
              <wp:posOffset>140335</wp:posOffset>
            </wp:positionV>
            <wp:extent cx="42545" cy="37814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6158230</wp:posOffset>
            </wp:positionH>
            <wp:positionV relativeFrom="paragraph">
              <wp:posOffset>140335</wp:posOffset>
            </wp:positionV>
            <wp:extent cx="42545" cy="37814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379857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9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6724650</wp:posOffset>
            </wp:positionH>
            <wp:positionV relativeFrom="paragraph">
              <wp:posOffset>140335</wp:posOffset>
            </wp:positionV>
            <wp:extent cx="42545" cy="37814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1. Title of Derivative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2. Conver-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5. Number of Deriv-</w:t>
            </w: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Date Exercisable</w:t>
            </w: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Underlying Securities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(Month/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Securities: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2505075</wp:posOffset>
            </wp:positionH>
            <wp:positionV relativeFrom="paragraph">
              <wp:posOffset>-3065145</wp:posOffset>
            </wp:positionV>
            <wp:extent cx="42545" cy="30695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06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3028315</wp:posOffset>
            </wp:positionH>
            <wp:positionV relativeFrom="paragraph">
              <wp:posOffset>-3065145</wp:posOffset>
            </wp:positionV>
            <wp:extent cx="42545" cy="30695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06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3868420</wp:posOffset>
            </wp:positionH>
            <wp:positionV relativeFrom="paragraph">
              <wp:posOffset>-3065145</wp:posOffset>
            </wp:positionV>
            <wp:extent cx="42545" cy="30695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06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4777740</wp:posOffset>
            </wp:positionH>
            <wp:positionV relativeFrom="paragraph">
              <wp:posOffset>-3065145</wp:posOffset>
            </wp:positionV>
            <wp:extent cx="42545" cy="30695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06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" w:right="500" w:hanging="426"/>
        <w:spacing w:after="0" w:line="286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Shares were acquired pursuant to the merger (the "Merger") of each of Comcast Holdings Corporation (formerly named Comcast Corporation) and Comcast Cable Communications Holdings, Inc. (formerly named AT&amp;T Broadband Corp.) with wholly-owned subsidiaries of the Issuer.</w:t>
      </w:r>
    </w:p>
    <w:p>
      <w:pPr>
        <w:ind w:left="580" w:right="100" w:hanging="426"/>
        <w:spacing w:after="0" w:line="261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Reporting Person will file an amendment to this Form 4 with respect to securities to be included in Table II when all variables necessary to calculate the conversions of equity awards in the Merger are known.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/s/ Julian A. Brodsky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20,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Julian A. Brodsky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2019-12-15T07:05:24Z</dcterms:created>
  <dcterms:modified xsi:type="dcterms:W3CDTF">2019-12-15T07:05:24Z</dcterms:modified>
</cp:coreProperties>
</file>