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444500</wp:posOffset>
            </wp:positionV>
            <wp:extent cx="142367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ANNUAL REPORT PURSUANT TO SECTION 15(d) OF THE SECURITIES EXCHANGE ACT OF 1934.</w:t>
      </w:r>
    </w:p>
    <w:p>
      <w:pPr>
        <w:spacing w:after="0" w:line="21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15(d) OF THE SECURITIES EXCHANGE ACT OF 1934.</w:t>
      </w:r>
    </w:p>
    <w:p>
      <w:pPr>
        <w:spacing w:after="0" w:line="215"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SPECTACOR 401(k)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400" w:type="dxa"/>
            <w:vAlign w:val="bottom"/>
            <w:gridSpan w:val="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COMCAST SPECTACOR 401(k) PLAN</w:t>
            </w:r>
          </w:p>
        </w:tc>
        <w:tc>
          <w:tcPr>
            <w:tcW w:w="7260" w:type="dxa"/>
            <w:vAlign w:val="bottom"/>
            <w:gridSpan w:val="4"/>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400" w:type="dxa"/>
            <w:vAlign w:val="bottom"/>
            <w:gridSpan w:val="8"/>
          </w:tcPr>
          <w:p>
            <w:pPr>
              <w:spacing w:after="0"/>
              <w:rPr>
                <w:sz w:val="20"/>
                <w:szCs w:val="20"/>
                <w:color w:val="auto"/>
              </w:rPr>
            </w:pPr>
            <w:r>
              <w:rPr>
                <w:rFonts w:ascii="Arial" w:cs="Arial" w:eastAsia="Arial" w:hAnsi="Arial"/>
                <w:sz w:val="18"/>
                <w:szCs w:val="18"/>
                <w:color w:val="auto"/>
              </w:rPr>
              <w:t>TABLE OF CONTENTS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0" w:type="dxa"/>
            <w:vAlign w:val="bottom"/>
            <w:gridSpan w:val="8"/>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10400" w:type="dxa"/>
            <w:vAlign w:val="bottom"/>
            <w:gridSpan w:val="8"/>
            <w:vMerge w:val="continue"/>
          </w:tcPr>
          <w:p>
            <w:pPr>
              <w:spacing w:after="0"/>
              <w:rPr>
                <w:sz w:val="13"/>
                <w:szCs w:val="13"/>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58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FINANCIAL STATEMENTS:</w:t>
            </w:r>
          </w:p>
        </w:tc>
        <w:tc>
          <w:tcPr>
            <w:tcW w:w="4600" w:type="dxa"/>
            <w:vAlign w:val="bottom"/>
            <w:gridSpan w:val="3"/>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1022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 as of December 31, 2016 and 2015</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22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 of Changes in Net Assets Available for Benefits for the Year Ended December 31, 2016</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080" w:type="dxa"/>
            <w:vAlign w:val="bottom"/>
            <w:tcBorders>
              <w:top w:val="single" w:sz="8" w:color="0000EE"/>
            </w:tcBorders>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3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8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0" w:type="dxa"/>
            <w:vAlign w:val="bottom"/>
            <w:gridSpan w:val="8"/>
          </w:tcPr>
          <w:p>
            <w:pPr>
              <w:spacing w:after="0"/>
              <w:rPr>
                <w:sz w:val="20"/>
                <w:szCs w:val="20"/>
                <w:color w:val="auto"/>
              </w:rPr>
            </w:pPr>
            <w:r>
              <w:rPr>
                <w:rFonts w:ascii="Arial" w:cs="Arial" w:eastAsia="Arial" w:hAnsi="Arial"/>
                <w:sz w:val="18"/>
                <w:szCs w:val="18"/>
                <w:color w:val="auto"/>
              </w:rPr>
              <w:t>SUPPLEMENTAL SCHEDULES: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480" w:type="dxa"/>
            <w:vAlign w:val="bottom"/>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Form 5500, Schedule H—Part IV, Line 4i—Schedule of Assets (Held at End of Year) as of December 31, 2016</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9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Form 5500, Schedule H—Part IV, Line 4a—Schedule of Delinquent Participant Contributions for years ended December 31, 2016, 2015,</w:t>
              </w:r>
            </w:hyperlink>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2014, 2013, 2012 and 2011</w:t>
              </w:r>
            </w:hyperlink>
          </w:p>
        </w:tc>
        <w:tc>
          <w:tcPr>
            <w:tcW w:w="832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412"/>
        </w:trPr>
        <w:tc>
          <w:tcPr>
            <w:tcW w:w="59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CONSENT OF INDEPENDENT REGISTERED PUBLIC ACCOUNTING FIRM</w:t>
              </w:r>
            </w:hyperlink>
          </w:p>
        </w:tc>
        <w:tc>
          <w:tcPr>
            <w:tcW w:w="470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10660" w:type="dxa"/>
            <w:vAlign w:val="bottom"/>
            <w:gridSpan w:val="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SIGNATURE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420"/>
        <w:spacing w:after="0" w:line="272" w:lineRule="auto"/>
        <w:rPr>
          <w:sz w:val="20"/>
          <w:szCs w:val="20"/>
          <w:color w:val="auto"/>
        </w:rPr>
      </w:pPr>
      <w:r>
        <w:rPr>
          <w:rFonts w:ascii="Arial" w:cs="Arial" w:eastAsia="Arial" w:hAnsi="Arial"/>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Comcast Spectacor 401(k) Plan (the “Plan”) as of December 31, 2016 and 2015, and the related statement of changes in net assets available for benefits for the year ended December 31, 2016.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2016 and 2015, and the changes in net assets available for benefits for the year ended December 31, 2016 in conformity with accounting principles generally accepted in the United States of America.</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supplemental schedules of (1) assets (held at end of year) as of December 31, 2016 and (2) delinquent participant contributions for the years ended December 31, 2016, 2015, 2014, 2013, 2012, and 2011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compliance with the Department of Labor’s Rules and Regulations for Reporting and Disclosure under the Employee Retirement Income Security Act of 1974. In our opinion, such schedules are fairly stated, in all material respects, in relation to the financial statements as a whole.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Plan interest in Comcast Corporation Employee Savings Plans Master Trust participant-directed</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At fair value</w:t>
            </w:r>
          </w:p>
        </w:tc>
        <w:tc>
          <w:tcPr>
            <w:tcW w:w="13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120,403</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99,566</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contract value</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10,074</w:t>
            </w:r>
          </w:p>
        </w:tc>
      </w:tr>
      <w:tr>
        <w:trPr>
          <w:trHeight w:val="210"/>
        </w:trPr>
        <w:tc>
          <w:tcPr>
            <w:tcW w:w="7580" w:type="dxa"/>
            <w:vAlign w:val="bottom"/>
          </w:tcPr>
          <w:p>
            <w:pPr>
              <w:ind w:left="180"/>
              <w:spacing w:after="0"/>
              <w:rPr>
                <w:sz w:val="20"/>
                <w:szCs w:val="20"/>
                <w:color w:val="auto"/>
              </w:rPr>
            </w:pPr>
            <w:r>
              <w:rPr>
                <w:rFonts w:ascii="Arial" w:cs="Arial" w:eastAsia="Arial" w:hAnsi="Arial"/>
                <w:sz w:val="18"/>
                <w:szCs w:val="18"/>
                <w:color w:val="auto"/>
              </w:rPr>
              <w:t>Total investments</w:t>
            </w:r>
          </w:p>
        </w:tc>
        <w:tc>
          <w:tcPr>
            <w:tcW w:w="5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132,095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109,640</w:t>
            </w: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 from participants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Contributions receivable from participants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receivable from employer</w:t>
            </w:r>
          </w:p>
        </w:tc>
        <w:tc>
          <w:tcPr>
            <w:tcW w:w="5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08" w:right="239" w:bottom="0" w:gutter="0" w:footer="0" w:header="0"/>
        </w:sectPr>
      </w:pPr>
    </w:p>
    <w:bookmarkStart w:id="2" w:name="page3"/>
    <w:bookmarkEnd w:id="2"/>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Total receivables</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2,649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NET ASSETS AVAILABLE FOR BENEFITS</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134,744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4"/>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4"/>
          </w:tcPr>
          <w:p>
            <w:pPr>
              <w:ind w:left="566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6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COMCAST SPECTACOR 401(k) PLAN</w:t>
            </w:r>
          </w:p>
        </w:tc>
        <w:tc>
          <w:tcPr>
            <w:tcW w:w="4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STATEMENT OF CHANGES IN NET ASSETS AVAILABLE FOR BENEFITS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FOR THE YEAR ENDED DECEMBER 31, 2016</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4"/>
          </w:tcPr>
          <w:p>
            <w:pPr>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ADDITIONS:</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80"/>
              <w:spacing w:after="0"/>
              <w:rPr>
                <w:sz w:val="20"/>
                <w:szCs w:val="20"/>
                <w:color w:val="auto"/>
              </w:rPr>
            </w:pPr>
            <w:r>
              <w:rPr>
                <w:rFonts w:ascii="Arial" w:cs="Arial" w:eastAsia="Arial" w:hAnsi="Arial"/>
                <w:sz w:val="18"/>
                <w:szCs w:val="18"/>
                <w:color w:val="auto"/>
              </w:rPr>
              <w:t>Investment income:</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5"/>
              </w:rPr>
              <w:t>Plan interest in Comcast Corporation Employee Savings Plans Master Trust investment income</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340"/>
              <w:spacing w:after="0"/>
              <w:rPr>
                <w:sz w:val="20"/>
                <w:szCs w:val="20"/>
                <w:color w:val="auto"/>
              </w:rPr>
            </w:pPr>
            <w:r>
              <w:rPr>
                <w:rFonts w:ascii="Arial" w:cs="Arial" w:eastAsia="Arial" w:hAnsi="Arial"/>
                <w:sz w:val="18"/>
                <w:szCs w:val="18"/>
                <w:color w:val="auto"/>
              </w:rPr>
              <w:t>Participant</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Employer</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340"/>
              <w:spacing w:after="0"/>
              <w:rPr>
                <w:sz w:val="20"/>
                <w:szCs w:val="20"/>
                <w:color w:val="auto"/>
              </w:rPr>
            </w:pPr>
            <w:r>
              <w:rPr>
                <w:rFonts w:ascii="Arial" w:cs="Arial" w:eastAsia="Arial" w:hAnsi="Arial"/>
                <w:sz w:val="18"/>
                <w:szCs w:val="18"/>
                <w:color w:val="auto"/>
              </w:rPr>
              <w:t>Rollover</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540"/>
              <w:spacing w:after="0"/>
              <w:rPr>
                <w:sz w:val="20"/>
                <w:szCs w:val="20"/>
                <w:color w:val="auto"/>
              </w:rPr>
            </w:pPr>
            <w:r>
              <w:rPr>
                <w:rFonts w:ascii="Arial" w:cs="Arial" w:eastAsia="Arial" w:hAnsi="Arial"/>
                <w:sz w:val="18"/>
                <w:szCs w:val="18"/>
                <w:color w:val="auto"/>
              </w:rPr>
              <w:t>Total contributions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w w:val="99"/>
              </w:rPr>
              <w:t>Transfers from Ovations Food Services, L.P. 401(k) Plan &amp; Ovations Fanfare, L.P. 401(k) Plan</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income on notes receivable from participants</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additions</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80"/>
              <w:spacing w:after="0"/>
              <w:rPr>
                <w:sz w:val="20"/>
                <w:szCs w:val="20"/>
                <w:color w:val="auto"/>
              </w:rPr>
            </w:pPr>
            <w:r>
              <w:rPr>
                <w:rFonts w:ascii="Arial" w:cs="Arial" w:eastAsia="Arial" w:hAnsi="Arial"/>
                <w:sz w:val="18"/>
                <w:szCs w:val="18"/>
                <w:color w:val="auto"/>
              </w:rPr>
              <w:t>Benefits paid to participants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deductions</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NET ASSETS</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80"/>
              <w:spacing w:after="0"/>
              <w:rPr>
                <w:sz w:val="20"/>
                <w:szCs w:val="20"/>
                <w:color w:val="auto"/>
              </w:rPr>
            </w:pPr>
            <w:r>
              <w:rPr>
                <w:rFonts w:ascii="Arial" w:cs="Arial" w:eastAsia="Arial" w:hAnsi="Arial"/>
                <w:sz w:val="18"/>
                <w:szCs w:val="18"/>
                <w:color w:val="auto"/>
              </w:rPr>
              <w:t>Beginning of year</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80"/>
              <w:spacing w:after="0"/>
              <w:rPr>
                <w:sz w:val="20"/>
                <w:szCs w:val="20"/>
                <w:color w:val="auto"/>
              </w:rPr>
            </w:pPr>
            <w:r>
              <w:rPr>
                <w:rFonts w:ascii="Arial" w:cs="Arial" w:eastAsia="Arial" w:hAnsi="Arial"/>
                <w:sz w:val="18"/>
                <w:szCs w:val="18"/>
                <w:color w:val="auto"/>
              </w:rPr>
              <w:t>End of year</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134,744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4"/>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4"/>
          </w:tcPr>
          <w:p>
            <w:pPr>
              <w:ind w:left="566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-6049645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-6049645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2015, AND FOR THE YEAR ENDED DECEMBER 31, 2016</w:t>
      </w:r>
    </w:p>
    <w:p>
      <w:pPr>
        <w:spacing w:after="0" w:line="207" w:lineRule="exact"/>
        <w:rPr>
          <w:sz w:val="20"/>
          <w:szCs w:val="20"/>
          <w:color w:val="auto"/>
        </w:rPr>
      </w:pPr>
    </w:p>
    <w:p>
      <w:pPr>
        <w:ind w:left="440" w:right="9220" w:hanging="432"/>
        <w:spacing w:after="0" w:line="503" w:lineRule="auto"/>
        <w:tabs>
          <w:tab w:leader="none" w:pos="44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DESCRIPTION </w:t>
      </w:r>
      <w:r>
        <w:rPr>
          <w:rFonts w:ascii="Arial" w:cs="Arial" w:eastAsia="Arial" w:hAnsi="Arial"/>
          <w:sz w:val="18"/>
          <w:szCs w:val="18"/>
          <w:u w:val="single" w:color="auto"/>
          <w:color w:val="auto"/>
        </w:rPr>
        <w:t>General</w:t>
      </w:r>
    </w:p>
    <w:p>
      <w:pPr>
        <w:ind w:left="44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Comcast Spectacor 401(k) Plan (the “Plan”) provides only general information. Plan participants should refer to the Plan document and applicable amendments for a more complete description of the Plan’s provisions. Copies of these documents are available from the Plan sponsor, Comcast Spectacor, L.P. and its subsidiaries (“Spectacor”, the “Company” or the “Plan Sponsor”).</w:t>
      </w:r>
    </w:p>
    <w:p>
      <w:pPr>
        <w:spacing w:after="0" w:line="165" w:lineRule="exact"/>
        <w:rPr>
          <w:rFonts w:ascii="Arial" w:cs="Arial" w:eastAsia="Arial" w:hAnsi="Arial"/>
          <w:sz w:val="18"/>
          <w:szCs w:val="18"/>
          <w:b w:val="1"/>
          <w:bCs w:val="1"/>
          <w:color w:val="auto"/>
        </w:rPr>
      </w:pPr>
    </w:p>
    <w:p>
      <w:pPr>
        <w:ind w:left="44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effective date of the Plan is January 1, 1992. The Plan is a defined contribution plan qualified under Internal Revenue Code (the “Code”) Sections 401(a), 401(k) and 401(m) and is subject to the provisions of the Employee Retirement Income Security Act of 1974 (“ERISA”). The Plan covers “eligible employees,” who have completed the requisite period of service.</w:t>
      </w:r>
    </w:p>
    <w:p>
      <w:pPr>
        <w:spacing w:after="0" w:line="18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Fidelity Management Trust Company is the appointed Trustee of the Plan.</w:t>
      </w:r>
    </w:p>
    <w:p>
      <w:pPr>
        <w:spacing w:after="0" w:line="225" w:lineRule="exact"/>
        <w:rPr>
          <w:rFonts w:ascii="Arial" w:cs="Arial" w:eastAsia="Arial" w:hAnsi="Arial"/>
          <w:sz w:val="18"/>
          <w:szCs w:val="18"/>
          <w:b w:val="1"/>
          <w:bCs w:val="1"/>
          <w:color w:val="auto"/>
        </w:rPr>
      </w:pPr>
    </w:p>
    <w:p>
      <w:pPr>
        <w:ind w:left="44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Effective September 10, 2013, Comcast Corporation (“Comcast”) established the Comcast Corporation Employee Savings Plans Master Trust (“Master Trust”). The Plan’s assets were transferred into the Master Trust effective January 14, 2015. The Master Trust allows Comcast to have a uniform investment line-up across its various defined contribution plans while allowing varying provisions in plan design.</w:t>
      </w:r>
    </w:p>
    <w:p>
      <w:pPr>
        <w:sectPr>
          <w:pgSz w:w="11900" w:h="16880" w:orient="portrait"/>
          <w:cols w:equalWidth="0" w:num="1">
            <w:col w:w="11460"/>
          </w:cols>
          <w:pgMar w:left="240" w:top="125" w:right="199" w:bottom="0" w:gutter="0" w:footer="0" w:header="0"/>
        </w:sectPr>
      </w:pPr>
    </w:p>
    <w:bookmarkStart w:id="3" w:name="page4"/>
    <w:bookmarkEnd w:id="3"/>
    <w:p>
      <w:pPr>
        <w:ind w:left="440" w:right="100"/>
        <w:spacing w:after="0" w:line="255" w:lineRule="auto"/>
        <w:rPr>
          <w:sz w:val="20"/>
          <w:szCs w:val="20"/>
          <w:color w:val="auto"/>
        </w:rPr>
      </w:pPr>
      <w:r>
        <w:rPr>
          <w:rFonts w:ascii="Arial" w:cs="Arial" w:eastAsia="Arial" w:hAnsi="Arial"/>
          <w:sz w:val="18"/>
          <w:szCs w:val="18"/>
          <w:color w:val="auto"/>
        </w:rPr>
        <w:t>Full-time employees of the Company are eligible to participate in the Plan after completing three months of service. Part-time employees of the Company are eligible to participate in the Plan after completing 1,000 hours of service in a 12-month period. Eligible employees are automatically enrolled in the Plan at a contribution rate equal to 3% of eligible compensation on a pre-tax basis unless they opt out of participation. Automatically-enrolled participants may thereafter increase or decrease their contribution at any time. Contribution rates for participants who were automatically enrolled, on or after January 1, 2015, will increase 1% per year up to 10%, subject to certain limits imposed by the Code, unless a participant elects to opt out of the automatic increase program.</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entities participate in the Plan and are referred to collectively as the Company:</w:t>
      </w:r>
    </w:p>
    <w:p>
      <w:pPr>
        <w:spacing w:after="0" w:line="225" w:lineRule="exact"/>
        <w:rPr>
          <w:sz w:val="20"/>
          <w:szCs w:val="20"/>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 Spectacor,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Philadelphia Flyers,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 Spectacor Foundation</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Flyers Skate Zone,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Spectrum,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Spectacor, LLC</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Patron Solutions,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FPS Rinks,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Pilots II, Inc.</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Ed Snider Youth Hockey Foundation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40" w:hanging="28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Front Row Marketing Services,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Paciolan, Inc.</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Ovations Food Services,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Ovations Fanfare, L.P.</w:t>
      </w:r>
    </w:p>
    <w:p>
      <w:pPr>
        <w:spacing w:after="0" w:line="225"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On April 1, 2016, the Ovations Food Services, L.P. 401(k) Plan and the Ovations Fanfare, L.P. 401(k) Plan became participating companies in the Plan and the related assets were transferred into the Plan.</w:t>
      </w:r>
    </w:p>
    <w:p>
      <w:pPr>
        <w:spacing w:after="0" w:line="170" w:lineRule="exact"/>
        <w:rPr>
          <w:sz w:val="20"/>
          <w:szCs w:val="20"/>
          <w:color w:val="auto"/>
        </w:rPr>
      </w:pPr>
    </w:p>
    <w:p>
      <w:pPr>
        <w:ind w:left="440" w:right="120"/>
        <w:spacing w:after="0" w:line="342" w:lineRule="auto"/>
        <w:rPr>
          <w:sz w:val="20"/>
          <w:szCs w:val="20"/>
          <w:color w:val="auto"/>
        </w:rPr>
      </w:pPr>
      <w:r>
        <w:rPr>
          <w:rFonts w:ascii="Arial" w:cs="Arial" w:eastAsia="Arial" w:hAnsi="Arial"/>
          <w:sz w:val="16"/>
          <w:szCs w:val="16"/>
          <w:color w:val="auto"/>
        </w:rPr>
        <w:t>The maximum amount of eligible compensation that may be deferred is 50% (plus an additional 30% of eligible compensation for eligible employees aged 50 or above), subject to certain limits imposed by the Code. Effective January 1, 2012, a Roth contribution feature was added to the Plan.</w:t>
      </w:r>
    </w:p>
    <w:p>
      <w:pPr>
        <w:spacing w:after="0" w:line="124" w:lineRule="exact"/>
        <w:rPr>
          <w:sz w:val="20"/>
          <w:szCs w:val="20"/>
          <w:color w:val="auto"/>
        </w:rPr>
      </w:pPr>
    </w:p>
    <w:p>
      <w:pPr>
        <w:ind w:left="440" w:right="180"/>
        <w:spacing w:after="0" w:line="312" w:lineRule="auto"/>
        <w:rPr>
          <w:sz w:val="20"/>
          <w:szCs w:val="20"/>
          <w:color w:val="auto"/>
        </w:rPr>
      </w:pPr>
      <w:r>
        <w:rPr>
          <w:rFonts w:ascii="Arial" w:cs="Arial" w:eastAsia="Arial" w:hAnsi="Arial"/>
          <w:sz w:val="16"/>
          <w:szCs w:val="16"/>
          <w:color w:val="auto"/>
        </w:rPr>
        <w:t>Each participant’s account is credited with the participant’s elective deferral contribution, an allocation of the Company’s matching contribution, and Plan earnings, net of expenses. Allocations of the Company’s matching contributions are based on participant elective deferrals to the Plan. Upon enrollment, or as requested from the Plan Sponsor, participants can receive a description of each investment fund in the Plan Enrollment Guide.</w:t>
      </w:r>
    </w:p>
    <w:p>
      <w:pPr>
        <w:spacing w:after="0" w:line="147" w:lineRule="exact"/>
        <w:rPr>
          <w:sz w:val="20"/>
          <w:szCs w:val="20"/>
          <w:color w:val="auto"/>
        </w:rPr>
      </w:pPr>
    </w:p>
    <w:p>
      <w:pPr>
        <w:ind w:left="440" w:right="60"/>
        <w:spacing w:after="0" w:line="312" w:lineRule="auto"/>
        <w:rPr>
          <w:sz w:val="20"/>
          <w:szCs w:val="20"/>
          <w:color w:val="auto"/>
        </w:rPr>
      </w:pPr>
      <w:r>
        <w:rPr>
          <w:rFonts w:ascii="Arial" w:cs="Arial" w:eastAsia="Arial" w:hAnsi="Arial"/>
          <w:sz w:val="16"/>
          <w:szCs w:val="16"/>
          <w:color w:val="auto"/>
        </w:rPr>
        <w:t>Each participant has at all times a 100% non-forfeitable interest in the participant’s contributions and earnings attributable thereto. Company matching contributions for the Plan years beginning on or after January 1, 2005 are fully and immediately vested. Effective January 1, 2015, the Company matching contribution was amended and is equal to 100% of the first 5% of each participant’s eligible compensation for such payroll period.</w:t>
      </w:r>
    </w:p>
    <w:p>
      <w:pPr>
        <w:spacing w:after="0" w:line="147"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Sponsor. The participants in the Plan are assessed an administrative fee of $27 per Plan year per account.</w:t>
      </w:r>
    </w:p>
    <w:p>
      <w:pPr>
        <w:spacing w:after="0" w:line="187" w:lineRule="exact"/>
        <w:rPr>
          <w:sz w:val="20"/>
          <w:szCs w:val="20"/>
          <w:color w:val="auto"/>
        </w:rPr>
      </w:pPr>
    </w:p>
    <w:p>
      <w:pPr>
        <w:ind w:left="440" w:right="20"/>
        <w:spacing w:after="0" w:line="272" w:lineRule="auto"/>
        <w:rPr>
          <w:sz w:val="20"/>
          <w:szCs w:val="20"/>
          <w:color w:val="auto"/>
        </w:rPr>
      </w:pPr>
      <w:r>
        <w:rPr>
          <w:rFonts w:ascii="Arial" w:cs="Arial" w:eastAsia="Arial" w:hAnsi="Arial"/>
          <w:sz w:val="17"/>
          <w:szCs w:val="17"/>
          <w:color w:val="auto"/>
        </w:rPr>
        <w:t>Forfeitures, consisting of amounts contributed by the Company that are not fully vested upon a participant’s separation from service and amounts related to unclaimed Required Minimum Distributions as defined by the Code, shall be used to reduce the Company’s required contributions. Pending application of the forfeitures, the Company may direct the Trustee to hold the forfeitures in cash or under investment in a suspense account</w:t>
      </w:r>
      <w:r>
        <w:rPr>
          <w:rFonts w:ascii="Arial" w:cs="Arial" w:eastAsia="Arial" w:hAnsi="Arial"/>
          <w:sz w:val="16"/>
          <w:szCs w:val="16"/>
          <w:color w:val="auto"/>
        </w:rPr>
        <w:t>.</w:t>
      </w:r>
      <w:r>
        <w:rPr>
          <w:rFonts w:ascii="Arial" w:cs="Arial" w:eastAsia="Arial" w:hAnsi="Arial"/>
          <w:sz w:val="17"/>
          <w:szCs w:val="17"/>
          <w:color w:val="auto"/>
        </w:rPr>
        <w:t xml:space="preserve">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There were no forfeitures applied for the year ended December 31, 2016. Outstanding forfeitures not yet applied against Company contributions at December 31, 2016 and 2015 were $9,910 and $5,817, respectively.</w:t>
      </w:r>
    </w:p>
    <w:p>
      <w:pPr>
        <w:spacing w:after="0" w:line="178" w:lineRule="exact"/>
        <w:rPr>
          <w:sz w:val="20"/>
          <w:szCs w:val="20"/>
          <w:color w:val="auto"/>
        </w:rPr>
      </w:pPr>
    </w:p>
    <w:p>
      <w:pPr>
        <w:ind w:left="440" w:right="100"/>
        <w:spacing w:after="0" w:line="312" w:lineRule="auto"/>
        <w:rPr>
          <w:sz w:val="20"/>
          <w:szCs w:val="20"/>
          <w:color w:val="auto"/>
        </w:rPr>
      </w:pPr>
      <w:r>
        <w:rPr>
          <w:rFonts w:ascii="Arial" w:cs="Arial" w:eastAsia="Arial" w:hAnsi="Arial"/>
          <w:sz w:val="16"/>
          <w:szCs w:val="16"/>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w:t>
      </w:r>
    </w:p>
    <w:p>
      <w:pPr>
        <w:sectPr>
          <w:pgSz w:w="11900" w:h="16838" w:orient="portrait"/>
          <w:cols w:equalWidth="0" w:num="1">
            <w:col w:w="11340"/>
          </w:cols>
          <w:pgMar w:left="240" w:top="341" w:right="319" w:bottom="0" w:gutter="0" w:footer="0" w:header="0"/>
        </w:sectPr>
      </w:pPr>
    </w:p>
    <w:bookmarkStart w:id="4" w:name="page5"/>
    <w:bookmarkEnd w:id="4"/>
    <w:p>
      <w:pPr>
        <w:ind w:left="440" w:right="220"/>
        <w:spacing w:after="0" w:line="277" w:lineRule="auto"/>
        <w:rPr>
          <w:sz w:val="20"/>
          <w:szCs w:val="20"/>
          <w:color w:val="auto"/>
        </w:rPr>
      </w:pPr>
      <w:r>
        <w:rPr>
          <w:rFonts w:ascii="Arial" w:cs="Arial" w:eastAsia="Arial" w:hAnsi="Arial"/>
          <w:sz w:val="18"/>
          <w:szCs w:val="18"/>
          <w:color w:val="auto"/>
        </w:rPr>
        <w:t>to certain deferral rights under the Plan. The distribution alternatives permitted are a lump sum payment, annual, quarterly or monthly installments, a rollover into another qualified plan, or any combination of the foregoing.</w:t>
      </w:r>
    </w:p>
    <w:p>
      <w:pPr>
        <w:spacing w:after="0" w:line="170" w:lineRule="exact"/>
        <w:rPr>
          <w:sz w:val="20"/>
          <w:szCs w:val="20"/>
          <w:color w:val="auto"/>
        </w:rPr>
      </w:pPr>
    </w:p>
    <w:p>
      <w:pPr>
        <w:ind w:left="440" w:right="20"/>
        <w:spacing w:after="0" w:line="312" w:lineRule="auto"/>
        <w:rPr>
          <w:sz w:val="20"/>
          <w:szCs w:val="20"/>
          <w:color w:val="auto"/>
        </w:rPr>
      </w:pPr>
      <w:r>
        <w:rPr>
          <w:rFonts w:ascii="Arial" w:cs="Arial" w:eastAsia="Arial" w:hAnsi="Arial"/>
          <w:sz w:val="16"/>
          <w:szCs w:val="16"/>
          <w:color w:val="auto"/>
        </w:rPr>
        <w:t>Effective January 1, 2016, Comcast common stock was no longer available as an investment option under the Plan for new contributions, although participants were able to transfer all or a portion of their existing interest in Comcast common stock to a different investment option. As of January 12, 2017, all shares of Comcast common stock held in the Plan were liquidated and the proceeds were re-invested in other investment options.</w:t>
      </w:r>
    </w:p>
    <w:p>
      <w:pPr>
        <w:spacing w:after="0" w:line="143" w:lineRule="exact"/>
        <w:rPr>
          <w:sz w:val="20"/>
          <w:szCs w:val="20"/>
          <w:color w:val="auto"/>
        </w:rPr>
      </w:pPr>
    </w:p>
    <w:p>
      <w:pPr>
        <w:ind w:left="440" w:right="6260" w:hanging="432"/>
        <w:spacing w:after="0" w:line="503" w:lineRule="auto"/>
        <w:tabs>
          <w:tab w:leader="none" w:pos="44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u w:val="single" w:color="auto"/>
          <w:color w:val="auto"/>
        </w:rPr>
        <w:t>Basis of Accounting and Presentation</w:t>
      </w:r>
    </w:p>
    <w:p>
      <w:pPr>
        <w:ind w:left="4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in accordance with generally accepted accounting principles in the United States (“GAAP”).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225" w:lineRule="exact"/>
        <w:rPr>
          <w:sz w:val="20"/>
          <w:szCs w:val="20"/>
          <w:color w:val="auto"/>
        </w:rPr>
      </w:pPr>
    </w:p>
    <w:p>
      <w:pPr>
        <w:ind w:left="440" w:right="620"/>
        <w:spacing w:after="0" w:line="264" w:lineRule="auto"/>
        <w:rPr>
          <w:sz w:val="20"/>
          <w:szCs w:val="20"/>
          <w:color w:val="auto"/>
        </w:rPr>
      </w:pPr>
      <w:r>
        <w:rPr>
          <w:rFonts w:ascii="Arial" w:cs="Arial" w:eastAsia="Arial" w:hAnsi="Arial"/>
          <w:sz w:val="18"/>
          <w:szCs w:val="18"/>
          <w:color w:val="auto"/>
        </w:rPr>
        <w:t>The Plan’s investments are stated at fair value, except for investment contracts, which are reported at contract value (see below). Fair value of a financial instrument is the price that would be received to sell an asset or paid to transfer a liability in an orderly transaction between market participants at the measurement date. See Note 5 for discussion on fair value measurements.</w:t>
      </w:r>
    </w:p>
    <w:p>
      <w:pPr>
        <w:spacing w:after="0" w:line="181"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Investment contracts, such as those included in the Comcast Stable Value Fund, are required to be reported at contract value. Contract value is the relevant measure of fully benefit-responsive investment contracts since that is the amount participants would receive if they were to initiate permitted transactions under the terms of the Plan (see Note 4). As required by GAAP, the Statements of Net Assets Available for Benefits and the Statement of Changes in Net Assets Available for Benefits are presented on a contract value basis.</w:t>
      </w:r>
    </w:p>
    <w:p>
      <w:pPr>
        <w:spacing w:after="0" w:line="187" w:lineRule="exact"/>
        <w:rPr>
          <w:sz w:val="20"/>
          <w:szCs w:val="20"/>
          <w:color w:val="auto"/>
        </w:rPr>
      </w:pPr>
    </w:p>
    <w:p>
      <w:pPr>
        <w:ind w:left="440" w:right="120"/>
        <w:spacing w:after="0" w:line="312" w:lineRule="auto"/>
        <w:rPr>
          <w:sz w:val="20"/>
          <w:szCs w:val="20"/>
          <w:color w:val="auto"/>
        </w:rPr>
      </w:pPr>
      <w:r>
        <w:rPr>
          <w:rFonts w:ascii="Arial" w:cs="Arial" w:eastAsia="Arial" w:hAnsi="Arial"/>
          <w:sz w:val="16"/>
          <w:szCs w:val="16"/>
          <w:color w:val="auto"/>
        </w:rPr>
        <w:t>Net unrealized appreciation or depreciation in the financial statements reflects changes in fair value of investments held at year-end,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ind w:left="440" w:right="160"/>
        <w:spacing w:after="0" w:line="264" w:lineRule="auto"/>
        <w:rPr>
          <w:sz w:val="20"/>
          <w:szCs w:val="20"/>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financial statements.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Plan management to make estimates and assumptions that affect the reported amounts of assets, liabilities, and changes therein, and the related disclosure of contingent assets and liabilities. Actual results could differ from those estimates.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New Accounting Standards</w:t>
      </w:r>
    </w:p>
    <w:p>
      <w:pPr>
        <w:spacing w:after="0" w:line="225" w:lineRule="exact"/>
        <w:rPr>
          <w:sz w:val="20"/>
          <w:szCs w:val="20"/>
          <w:color w:val="auto"/>
        </w:rPr>
      </w:pPr>
    </w:p>
    <w:p>
      <w:pPr>
        <w:ind w:left="440" w:right="140"/>
        <w:spacing w:after="0" w:line="312" w:lineRule="auto"/>
        <w:rPr>
          <w:sz w:val="20"/>
          <w:szCs w:val="20"/>
          <w:color w:val="auto"/>
        </w:rPr>
      </w:pPr>
      <w:r>
        <w:rPr>
          <w:rFonts w:ascii="Arial" w:cs="Arial" w:eastAsia="Arial" w:hAnsi="Arial"/>
          <w:sz w:val="16"/>
          <w:szCs w:val="16"/>
          <w:color w:val="auto"/>
        </w:rPr>
        <w:t>In February 2017, the Financial Accounting Standards Board issued updated guidance to clarify presentation requirements for a plan’s interest in a master trust and require detailed disclosures of the plan’s interest in the master trust. As permitted by the updated guidance, the Plan has early adopted the updated standard and, as required, has applied it retrospectively. The adoption did not have a material impact on the financial statements.</w:t>
      </w:r>
    </w:p>
    <w:p>
      <w:pPr>
        <w:spacing w:after="0" w:line="14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440" w:right="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September 10, 2013, Comcast established the Master Trust to manage the assets of a number of Comcast and NBCUniversal Media, LLC (“NBCUniversal”) defined contribution plans. The Trustee was appointed by Comcast to hold, administer and invest the assets of the Master Trust. Effective January 14, 2015, Spectacor became a participating plan within the Master Trust and the related investment assets were transferred to the Master Trust. As of December 31, 2016, the Master Trust includes the investment assets of the Plan, Comcast Corporation Retirement-Investment Plan, NBCUniversal Capital Accumulation Plan, Leisure Arts, Inc. 401(k) Savings Plan, and Universal Orlando 401(k) Retirement Plan (“UO”), which effective October 3, 2016 became a participating plan within the Master Trust and the related UO investment assets were transferred to the Master Trust. Each of the plans in the Master Trust maintains a segregated asset portfolio within the Master Trust. Investment income, realized gains (losses) on sales of investments, unrealized appreciation (depreciation) of investments, other receipts, other disbursements and administrative expenses are allocated to the segregated asset portfolios within the Master Trust. In accordance with GAAP, the net change in value from participation in the Master Trust is reported as one line item in the Statement of Changes in Net Assets Available for Benefits and the Plan’s interest in the Master Trust is reported as a single line item in the Statements of Net Assets Available for Benefits.</w:t>
      </w:r>
    </w:p>
    <w:p>
      <w:pPr>
        <w:spacing w:after="0" w:line="182" w:lineRule="exact"/>
        <w:rPr>
          <w:rFonts w:ascii="Arial" w:cs="Arial" w:eastAsia="Arial" w:hAnsi="Arial"/>
          <w:sz w:val="18"/>
          <w:szCs w:val="18"/>
          <w:b w:val="1"/>
          <w:bCs w:val="1"/>
          <w:color w:val="auto"/>
        </w:rPr>
      </w:pPr>
    </w:p>
    <w:p>
      <w:pPr>
        <w:jc w:val="both"/>
        <w:ind w:left="440" w:right="80" w:hanging="1"/>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Because the Plan’s portfolio is segregated from the other plans that participate in the Master Trust, the Plan does not have an undivided interest in each investment in the Master Trust. Rather, the Plan has a specific percentage interest in each investment that differs from the overall percentage interest in the Master Trust.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32" w:gutter="0" w:footer="0" w:header="0"/>
        </w:sectPr>
      </w:pPr>
    </w:p>
    <w:bookmarkStart w:id="5" w:name="page6"/>
    <w:bookmarkEnd w:id="5"/>
    <w:p>
      <w:pPr>
        <w:spacing w:after="0" w:line="59"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The following is a summary of the Master Trust’s Net Assets, and the Plan’s divided interest in the Master Trust, as of December 31,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Plan’s Percent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Plan</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Master Trust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Participant-directed investments at fair value:</w:t>
            </w:r>
          </w:p>
        </w:tc>
        <w:tc>
          <w:tcPr>
            <w:tcW w:w="2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383,314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1,758,819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Separate accounts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1,495,577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46,348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collective trusts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3,985,381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49,807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21,321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 at contract value</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609,200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participant-directed investments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8,253,612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132,059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10,230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2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8,263,842</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132,095</w:t>
            </w:r>
          </w:p>
        </w:tc>
        <w:tc>
          <w:tcPr>
            <w:tcW w:w="2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0" w:type="dxa"/>
            <w:vAlign w:val="bottom"/>
            <w:gridSpan w:val="10"/>
          </w:tcPr>
          <w:p>
            <w:pPr>
              <w:ind w:left="640"/>
              <w:spacing w:after="0"/>
              <w:rPr>
                <w:sz w:val="20"/>
                <w:szCs w:val="20"/>
                <w:color w:val="auto"/>
              </w:rPr>
            </w:pPr>
            <w:r>
              <w:rPr>
                <w:rFonts w:ascii="Arial" w:cs="Arial" w:eastAsia="Arial" w:hAnsi="Arial"/>
                <w:sz w:val="18"/>
                <w:szCs w:val="18"/>
                <w:color w:val="auto"/>
                <w:w w:val="95"/>
              </w:rPr>
              <w:t>The following is a summary of the Master Trust’s Net Assets, and the Plan’s divided interest in the Master Trust, as of December 31, 2015 (in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640"/>
              <w:spacing w:after="0"/>
              <w:rPr>
                <w:sz w:val="20"/>
                <w:szCs w:val="20"/>
                <w:color w:val="auto"/>
              </w:rPr>
            </w:pPr>
            <w:r>
              <w:rPr>
                <w:rFonts w:ascii="Arial" w:cs="Arial" w:eastAsia="Arial" w:hAnsi="Arial"/>
                <w:sz w:val="18"/>
                <w:szCs w:val="18"/>
                <w:color w:val="auto"/>
              </w:rPr>
              <w:t>thousands):</w:t>
            </w: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Plan’s Percent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Plan</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Master Trust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Participant-directed investments at fair value:</w:t>
            </w:r>
          </w:p>
        </w:tc>
        <w:tc>
          <w:tcPr>
            <w:tcW w:w="2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32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448,422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1,389,991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Separate accounts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1,342,962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42,002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collective trusts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3,192,890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34,934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 at contract value</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540,069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participant-directed investments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6,932,839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109,282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6,934,607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109,640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77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right="320"/>
        <w:spacing w:after="0" w:line="277" w:lineRule="auto"/>
        <w:rPr>
          <w:sz w:val="20"/>
          <w:szCs w:val="20"/>
          <w:color w:val="auto"/>
        </w:rPr>
      </w:pPr>
      <w:r>
        <w:rPr>
          <w:rFonts w:ascii="Arial" w:cs="Arial" w:eastAsia="Arial" w:hAnsi="Arial"/>
          <w:sz w:val="18"/>
          <w:szCs w:val="18"/>
          <w:color w:val="auto"/>
        </w:rPr>
        <w:t>The following are the changes in net assets for the Master Trust as well as the Plan’s interest in the Master Trust net investment income for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Master Trust investment income:</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Net appreciation in fair value of investments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dividends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Transfers in</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Transfers out</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738,528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INCREASE IN NET ASSETS</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1,329,235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NET ASSETS: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year</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6,934,607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 of year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8,263,842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Plan’s interest in Master Trust net investment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60"/>
          </w:cols>
          <w:pgMar w:left="240" w:top="125" w:right="199" w:bottom="0" w:gutter="0" w:footer="0" w:header="0"/>
        </w:sectPr>
      </w:pPr>
    </w:p>
    <w:bookmarkStart w:id="6" w:name="page7"/>
    <w:bookmarkEnd w:id="6"/>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9780" w:type="dxa"/>
            <w:vAlign w:val="bottom"/>
          </w:tcPr>
          <w:p>
            <w:pPr>
              <w:spacing w:after="0"/>
              <w:rPr>
                <w:sz w:val="20"/>
                <w:szCs w:val="20"/>
                <w:color w:val="auto"/>
              </w:rPr>
            </w:pPr>
            <w:r>
              <w:rPr>
                <w:rFonts w:ascii="Arial" w:cs="Arial" w:eastAsia="Arial" w:hAnsi="Arial"/>
                <w:sz w:val="18"/>
                <w:szCs w:val="18"/>
                <w:color w:val="auto"/>
                <w:w w:val="94"/>
              </w:rPr>
              <w:t>Appreciation of the Plan’s investments during 2016, including investments purchased and sold, as well as held during the year (in</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10,213</w:t>
            </w:r>
          </w:p>
        </w:tc>
      </w:tr>
      <w:tr>
        <w:trPr>
          <w:trHeight w:val="217"/>
        </w:trPr>
        <w:tc>
          <w:tcPr>
            <w:tcW w:w="9780" w:type="dxa"/>
            <w:vAlign w:val="bottom"/>
          </w:tcPr>
          <w:p>
            <w:pPr>
              <w:ind w:left="180"/>
              <w:spacing w:after="0"/>
              <w:rPr>
                <w:sz w:val="20"/>
                <w:szCs w:val="20"/>
                <w:color w:val="auto"/>
              </w:rPr>
            </w:pPr>
            <w:r>
              <w:rPr>
                <w:rFonts w:ascii="Arial" w:cs="Arial" w:eastAsia="Arial" w:hAnsi="Arial"/>
                <w:sz w:val="18"/>
                <w:szCs w:val="18"/>
                <w:color w:val="auto"/>
              </w:rPr>
              <w:t>thousands):</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COMCAST STABLE VALUE FUND</w:t>
      </w:r>
    </w:p>
    <w:p>
      <w:pPr>
        <w:spacing w:after="0" w:line="229" w:lineRule="exact"/>
        <w:rPr>
          <w:rFonts w:ascii="Arial" w:cs="Arial" w:eastAsia="Arial" w:hAnsi="Arial"/>
          <w:sz w:val="18"/>
          <w:szCs w:val="18"/>
          <w:b w:val="1"/>
          <w:bCs w:val="1"/>
          <w:color w:val="auto"/>
        </w:rPr>
      </w:pPr>
    </w:p>
    <w:p>
      <w:pPr>
        <w:ind w:left="440" w:right="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146" w:lineRule="exact"/>
        <w:rPr>
          <w:rFonts w:ascii="Arial" w:cs="Arial" w:eastAsia="Arial" w:hAnsi="Arial"/>
          <w:sz w:val="18"/>
          <w:szCs w:val="18"/>
          <w:b w:val="1"/>
          <w:bCs w:val="1"/>
          <w:color w:val="auto"/>
        </w:rPr>
      </w:pPr>
    </w:p>
    <w:p>
      <w:pPr>
        <w:ind w:left="44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170" w:lineRule="exact"/>
        <w:rPr>
          <w:rFonts w:ascii="Arial" w:cs="Arial" w:eastAsia="Arial" w:hAnsi="Arial"/>
          <w:sz w:val="18"/>
          <w:szCs w:val="18"/>
          <w:b w:val="1"/>
          <w:bCs w:val="1"/>
          <w:color w:val="auto"/>
        </w:rPr>
      </w:pPr>
    </w:p>
    <w:p>
      <w:pPr>
        <w:ind w:left="44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4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hierarchy that prioritizes fair value measurements based on the types of inputs used for the various valuation techniques. The levels of the hierarchy are described below:</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Level 1</w:t>
      </w:r>
      <w:r>
        <w:rPr>
          <w:rFonts w:ascii="Arial" w:cs="Arial" w:eastAsia="Arial" w:hAnsi="Arial"/>
          <w:sz w:val="16"/>
          <w:szCs w:val="16"/>
          <w:color w:val="auto"/>
        </w:rPr>
        <w:t>Consists of financial instruments whose values are based on quoted market prices for identical financial instruments in an active market.</w:t>
      </w:r>
    </w:p>
    <w:p>
      <w:pPr>
        <w:spacing w:after="0" w:line="225" w:lineRule="exact"/>
        <w:rPr>
          <w:rFonts w:ascii="Arial" w:cs="Arial" w:eastAsia="Arial" w:hAnsi="Arial"/>
          <w:sz w:val="18"/>
          <w:szCs w:val="18"/>
          <w:b w:val="1"/>
          <w:bCs w:val="1"/>
          <w:color w:val="auto"/>
        </w:rPr>
      </w:pPr>
    </w:p>
    <w:p>
      <w:pPr>
        <w:ind w:left="1420" w:right="660" w:hanging="97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2Consists of financial instruments that are valued using models or other valuation methodologies. These models use inputs that are observable either directly or indirectly and include:</w:t>
      </w:r>
    </w:p>
    <w:p>
      <w:pPr>
        <w:spacing w:after="0" w:line="170" w:lineRule="exact"/>
        <w:rPr>
          <w:rFonts w:ascii="Arial" w:cs="Arial" w:eastAsia="Arial" w:hAnsi="Arial"/>
          <w:sz w:val="18"/>
          <w:szCs w:val="18"/>
          <w:b w:val="1"/>
          <w:bCs w:val="1"/>
          <w:color w:val="auto"/>
        </w:rPr>
      </w:pPr>
    </w:p>
    <w:p>
      <w:pPr>
        <w:ind w:left="1900" w:hanging="47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25" w:lineRule="exact"/>
        <w:rPr>
          <w:rFonts w:ascii="Arial" w:cs="Arial" w:eastAsia="Arial" w:hAnsi="Arial"/>
          <w:sz w:val="18"/>
          <w:szCs w:val="18"/>
          <w:color w:val="auto"/>
        </w:rPr>
      </w:pPr>
    </w:p>
    <w:p>
      <w:pPr>
        <w:ind w:left="1900" w:hanging="47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225" w:lineRule="exact"/>
        <w:rPr>
          <w:rFonts w:ascii="Arial" w:cs="Arial" w:eastAsia="Arial" w:hAnsi="Arial"/>
          <w:sz w:val="18"/>
          <w:szCs w:val="18"/>
          <w:color w:val="auto"/>
        </w:rPr>
      </w:pPr>
    </w:p>
    <w:p>
      <w:pPr>
        <w:ind w:left="1900" w:hanging="47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940" w:right="240" w:hanging="518"/>
        <w:spacing w:after="0" w:line="277" w:lineRule="auto"/>
        <w:tabs>
          <w:tab w:leader="none" w:pos="1899"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170" w:lineRule="exact"/>
        <w:rPr>
          <w:sz w:val="20"/>
          <w:szCs w:val="20"/>
          <w:color w:val="auto"/>
        </w:rPr>
      </w:pPr>
    </w:p>
    <w:p>
      <w:pPr>
        <w:ind w:left="1420" w:right="80" w:hanging="971"/>
        <w:spacing w:after="0" w:line="264" w:lineRule="auto"/>
        <w:tabs>
          <w:tab w:leader="none" w:pos="14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judgment or estimation.</w:t>
      </w:r>
    </w:p>
    <w:p>
      <w:pPr>
        <w:spacing w:after="0" w:line="181"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225" w:lineRule="exact"/>
        <w:rPr>
          <w:sz w:val="20"/>
          <w:szCs w:val="20"/>
          <w:color w:val="auto"/>
        </w:rPr>
      </w:pPr>
    </w:p>
    <w:p>
      <w:pPr>
        <w:ind w:left="880" w:right="700"/>
        <w:spacing w:after="0" w:line="277" w:lineRule="auto"/>
        <w:rPr>
          <w:sz w:val="20"/>
          <w:szCs w:val="20"/>
          <w:color w:val="auto"/>
        </w:rPr>
      </w:pPr>
      <w:r>
        <w:rPr>
          <w:rFonts w:ascii="Arial" w:cs="Arial" w:eastAsia="Arial" w:hAnsi="Arial"/>
          <w:sz w:val="18"/>
          <w:szCs w:val="18"/>
          <w:color w:val="auto"/>
        </w:rPr>
        <w:t>Common stock: Valued at the closing price reported on the last trading day of the Plan year on the active market on which the individual securities are traded, and accordingly, are classified as Level 1 investments.</w:t>
      </w:r>
    </w:p>
    <w:p>
      <w:pPr>
        <w:spacing w:after="0" w:line="170" w:lineRule="exact"/>
        <w:rPr>
          <w:sz w:val="20"/>
          <w:szCs w:val="20"/>
          <w:color w:val="auto"/>
        </w:rPr>
      </w:pPr>
    </w:p>
    <w:p>
      <w:pPr>
        <w:ind w:left="880" w:right="480"/>
        <w:spacing w:after="0" w:line="342" w:lineRule="auto"/>
        <w:rPr>
          <w:sz w:val="20"/>
          <w:szCs w:val="20"/>
          <w:color w:val="auto"/>
        </w:rPr>
      </w:pPr>
      <w:r>
        <w:rPr>
          <w:rFonts w:ascii="Arial" w:cs="Arial" w:eastAsia="Arial" w:hAnsi="Arial"/>
          <w:sz w:val="16"/>
          <w:szCs w:val="16"/>
          <w:color w:val="auto"/>
        </w:rPr>
        <w:t>Mutual funds: Valued at the closing price of shares held by the Plan at year-end. The mutual funds held by the Plan are classified as Level 1 investments as their investment values are based on quoted market prices for identical financial instruments in an active market.</w:t>
      </w:r>
    </w:p>
    <w:p>
      <w:pPr>
        <w:spacing w:after="0" w:line="124" w:lineRule="exact"/>
        <w:rPr>
          <w:sz w:val="20"/>
          <w:szCs w:val="20"/>
          <w:color w:val="auto"/>
        </w:rPr>
      </w:pPr>
    </w:p>
    <w:p>
      <w:pPr>
        <w:ind w:left="880" w:right="40"/>
        <w:spacing w:after="0" w:line="264" w:lineRule="auto"/>
        <w:rPr>
          <w:sz w:val="20"/>
          <w:szCs w:val="20"/>
          <w:color w:val="auto"/>
        </w:rPr>
      </w:pPr>
      <w:r>
        <w:rPr>
          <w:rFonts w:ascii="Arial" w:cs="Arial" w:eastAsia="Arial" w:hAnsi="Arial"/>
          <w:sz w:val="18"/>
          <w:szCs w:val="18"/>
          <w:color w:val="auto"/>
        </w:rPr>
        <w:t>Separate accounts, common collective trusts, and money market funds: Valued at the net asset value of shares held by the Plan at year-end. The net asset value as provided by the Trustee is used as a practical expedient to estimate fair value and, as a result, all are included in the investments measured at net asset value.</w:t>
      </w:r>
    </w:p>
    <w:p>
      <w:pPr>
        <w:spacing w:after="0" w:line="181" w:lineRule="exact"/>
        <w:rPr>
          <w:sz w:val="20"/>
          <w:szCs w:val="20"/>
          <w:color w:val="auto"/>
        </w:rPr>
      </w:pPr>
    </w:p>
    <w:p>
      <w:pPr>
        <w:ind w:left="440" w:right="240"/>
        <w:spacing w:after="0" w:line="279" w:lineRule="auto"/>
        <w:rPr>
          <w:sz w:val="20"/>
          <w:szCs w:val="20"/>
          <w:color w:val="auto"/>
        </w:rPr>
      </w:pPr>
      <w:r>
        <w:rPr>
          <w:rFonts w:ascii="Arial" w:cs="Arial" w:eastAsia="Arial" w:hAnsi="Arial"/>
          <w:sz w:val="17"/>
          <w:szCs w:val="17"/>
          <w:color w:val="auto"/>
        </w:rPr>
        <w:t>The methods described above may produce a calculated fair value that may not be indicative of net realizable value or reflective of future fair values. Furthermore, while the Plan believes these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as of December 31, 2016 and 2015.</w:t>
      </w:r>
    </w:p>
    <w:p>
      <w:pPr>
        <w:spacing w:after="0" w:line="171"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2016 and 2015, there were no transfers between levels.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by level, within the fair value hierarchy, the Master Trust’s investments at fair value as of</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December 31, 2016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383,314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1,758,819</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2,142,133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Investments measured at net asset value (a)</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5,502,279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2,142,133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7,644,412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0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840"/>
        <w:spacing w:after="0" w:line="277" w:lineRule="auto"/>
        <w:rPr>
          <w:sz w:val="20"/>
          <w:szCs w:val="20"/>
          <w:color w:val="auto"/>
        </w:rPr>
      </w:pPr>
      <w:r>
        <w:rPr>
          <w:rFonts w:ascii="Arial" w:cs="Arial" w:eastAsia="Arial" w:hAnsi="Arial"/>
          <w:sz w:val="18"/>
          <w:szCs w:val="18"/>
          <w:color w:val="auto"/>
        </w:rPr>
        <w:t>The table below sets forth by level, within the fair value hierarchy, the Master Trust’s investments at fair value as of December 31, 2015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1,389,991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1,838,413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Investments measured at net asset value (a)</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4,554,357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6,392,770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0" w:hanging="33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Certain investments that were measured at net asset value per share (or its equivalent) have not been classified in the fair value hierarchy.</w:t>
      </w:r>
    </w:p>
    <w:p>
      <w:pPr>
        <w:spacing w:after="0" w:line="236"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 FROM PARTICIPANTS AND HARDSHIP WITHDRAWALS</w:t>
      </w:r>
    </w:p>
    <w:p>
      <w:pPr>
        <w:spacing w:after="0" w:line="229" w:lineRule="exact"/>
        <w:rPr>
          <w:rFonts w:ascii="Arial" w:cs="Arial" w:eastAsia="Arial" w:hAnsi="Arial"/>
          <w:sz w:val="18"/>
          <w:szCs w:val="18"/>
          <w:b w:val="1"/>
          <w:bCs w:val="1"/>
          <w:color w:val="auto"/>
        </w:rPr>
      </w:pPr>
    </w:p>
    <w:p>
      <w:pPr>
        <w:ind w:left="44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Sponsor in accordance with applicable regulations issued by the Internal Revenue Service (“IRS”) and the Department of Labor (“DOL”). In general, a participant may borrow a minimum of $500 up to a maximum of the lesser of $50,000 or 50% of the participant’s non-forfeitable accrued benefit on the valuation date (as defined by the Plan) last preceding the date on which the loan request is processed by the Plan Sponsor. The maximum term of a loan made pursuant to the Plan is five years (loans with terms of greater than five years are permissible for the purchase of a primary residence or may exist under the Plan as a result of rollovers from merged plans).</w:t>
      </w:r>
    </w:p>
    <w:p>
      <w:pPr>
        <w:spacing w:after="0" w:line="158" w:lineRule="exact"/>
        <w:rPr>
          <w:rFonts w:ascii="Arial" w:cs="Arial" w:eastAsia="Arial" w:hAnsi="Arial"/>
          <w:sz w:val="18"/>
          <w:szCs w:val="18"/>
          <w:b w:val="1"/>
          <w:bCs w:val="1"/>
          <w:color w:val="auto"/>
        </w:rPr>
      </w:pPr>
    </w:p>
    <w:p>
      <w:pPr>
        <w:ind w:left="440"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Interest accrues at the rate of prime plus 1% as of the month the loan application is approved. Principal and interest are paid through payroll deductions or participant-initiated payments. Interest rates ranged from 4.25% to 9.75% as of December 31, 2016. Maturities on outstanding loans ranged from 2017 to 2046 as of December 31, 2016. Loan transactions are treated as a transfer between the investment fund and notes receivable from participants.</w:t>
      </w:r>
    </w:p>
    <w:p>
      <w:pPr>
        <w:spacing w:after="0" w:line="146" w:lineRule="exact"/>
        <w:rPr>
          <w:rFonts w:ascii="Arial" w:cs="Arial" w:eastAsia="Arial" w:hAnsi="Arial"/>
          <w:sz w:val="18"/>
          <w:szCs w:val="18"/>
          <w:b w:val="1"/>
          <w:bCs w:val="1"/>
          <w:color w:val="auto"/>
        </w:rPr>
      </w:pPr>
    </w:p>
    <w:p>
      <w:pPr>
        <w:ind w:left="4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in the year in which the default occurs.</w:t>
      </w:r>
    </w:p>
    <w:p>
      <w:pPr>
        <w:spacing w:after="0" w:line="170" w:lineRule="exact"/>
        <w:rPr>
          <w:rFonts w:ascii="Arial" w:cs="Arial" w:eastAsia="Arial" w:hAnsi="Arial"/>
          <w:sz w:val="18"/>
          <w:szCs w:val="18"/>
          <w:b w:val="1"/>
          <w:bCs w:val="1"/>
          <w:color w:val="auto"/>
        </w:rPr>
      </w:pPr>
    </w:p>
    <w:p>
      <w:pPr>
        <w:ind w:left="4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participant may withdraw all or a portion of his/her benefits derived from salary reduction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182"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44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2016 and 2015 and the increase in net assets available for benefits per the financial statements to the net income per the Form 5500 for the year ended December 31, 2016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receivable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Accrued interest on notes receivable from participants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16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134,510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 notes receivable from participants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per the Form 5500</w:t>
            </w:r>
          </w:p>
        </w:tc>
        <w:tc>
          <w:tcPr>
            <w:tcW w:w="1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356" w:right="199" w:bottom="0" w:gutter="0" w:footer="0" w:header="0"/>
        </w:sectPr>
      </w:pPr>
    </w:p>
    <w:bookmarkStart w:id="8" w:name="page9"/>
    <w:bookmarkEnd w:id="8"/>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Increase in net assets available for benefits per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Adjustment from contract value to fair value for fully benefit-responsive investment contracts—December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Adjustment from contract value to fair value for fully benefit-responsive investment contracts—December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Contributions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year accrued interest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Current year accrued interest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Form 5500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90"/>
        <w:spacing w:after="0"/>
        <w:rPr>
          <w:sz w:val="20"/>
          <w:szCs w:val="20"/>
          <w:color w:val="auto"/>
        </w:rPr>
      </w:pPr>
      <w:r>
        <w:rPr>
          <w:rFonts w:ascii="Arial" w:cs="Arial" w:eastAsia="Arial" w:hAnsi="Arial"/>
          <w:sz w:val="14"/>
          <w:szCs w:val="14"/>
          <w:b w:val="1"/>
          <w:bCs w:val="1"/>
          <w:color w:val="auto"/>
        </w:rPr>
        <w:t>December 31, 2016</w:t>
      </w:r>
    </w:p>
    <w:p>
      <w:pPr>
        <w:spacing w:after="0" w:line="9" w:lineRule="exact"/>
        <w:rPr>
          <w:sz w:val="20"/>
          <w:szCs w:val="20"/>
          <w:color w:val="auto"/>
        </w:rPr>
      </w:pPr>
    </w:p>
    <w:p>
      <w:pPr>
        <w:ind w:left="1210" w:hanging="1210"/>
        <w:spacing w:after="0"/>
        <w:tabs>
          <w:tab w:leader="none" w:pos="1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22,751</w:t>
      </w:r>
    </w:p>
    <w:p>
      <w:pPr>
        <w:spacing w:after="0" w:line="7" w:lineRule="exact"/>
        <w:rPr>
          <w:rFonts w:ascii="Arial" w:cs="Arial" w:eastAsia="Arial" w:hAnsi="Arial"/>
          <w:sz w:val="18"/>
          <w:szCs w:val="18"/>
          <w:color w:val="auto"/>
        </w:rPr>
      </w:pPr>
    </w:p>
    <w:p>
      <w:pPr>
        <w:ind w:left="153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(266)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w:t>
      </w:r>
    </w:p>
    <w:p>
      <w:pPr>
        <w:spacing w:after="0" w:line="224" w:lineRule="exact"/>
        <w:rPr>
          <w:sz w:val="20"/>
          <w:szCs w:val="20"/>
          <w:color w:val="auto"/>
        </w:rPr>
      </w:pPr>
    </w:p>
    <w:p>
      <w:pPr>
        <w:ind w:left="1210" w:hanging="1210"/>
        <w:spacing w:after="0"/>
        <w:tabs>
          <w:tab w:leader="none" w:pos="1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22,436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80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80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72" w:lineRule="exact"/>
        <w:rPr>
          <w:sz w:val="20"/>
          <w:szCs w:val="20"/>
          <w:color w:val="auto"/>
        </w:rPr>
      </w:pPr>
    </w:p>
    <w:p>
      <w:pPr>
        <w:sectPr>
          <w:pgSz w:w="11900" w:h="16849" w:orient="portrait"/>
          <w:cols w:equalWidth="0" w:num="2">
            <w:col w:w="8890" w:space="720"/>
            <w:col w:w="1810"/>
          </w:cols>
          <w:pgMar w:left="240" w:top="333" w:right="239" w:bottom="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b w:val="1"/>
          <w:bCs w:val="1"/>
          <w:color w:val="auto"/>
        </w:rPr>
      </w:pPr>
    </w:p>
    <w:p>
      <w:pPr>
        <w:ind w:left="4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Comcast Investment Committee, as Plan Administrator, has the authority to control and manage the operation and administration of the Plan and may delegate all or a portion of these responsibilities to one or more persons.</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EXEMPT PARTY-IN-INTEREST TRANSACTIONS</w:t>
      </w:r>
    </w:p>
    <w:p>
      <w:pPr>
        <w:spacing w:after="0" w:line="229" w:lineRule="exact"/>
        <w:rPr>
          <w:rFonts w:ascii="Arial" w:cs="Arial" w:eastAsia="Arial" w:hAnsi="Arial"/>
          <w:sz w:val="18"/>
          <w:szCs w:val="18"/>
          <w:b w:val="1"/>
          <w:bCs w:val="1"/>
          <w:color w:val="auto"/>
        </w:rPr>
      </w:pPr>
    </w:p>
    <w:p>
      <w:pPr>
        <w:ind w:left="4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Plan allows for transactions with certain parties who may perform services or have fiduciary responsibilities to the Plan, including the Company. Certain Plan investments are shares of various mutual funds that are owned and managed by the Trustee, who has been designated investment manager. The Plan invests in Comcast common stock (see Note 1) and issues loans to participants, which are secured by the vested balances in the participants’ accounts.</w:t>
      </w:r>
    </w:p>
    <w:p>
      <w:pPr>
        <w:spacing w:after="0" w:line="182" w:lineRule="exact"/>
        <w:rPr>
          <w:rFonts w:ascii="Arial" w:cs="Arial" w:eastAsia="Arial" w:hAnsi="Arial"/>
          <w:sz w:val="18"/>
          <w:szCs w:val="18"/>
          <w:b w:val="1"/>
          <w:bCs w:val="1"/>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44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Although no participating employer has expressed any intent to do so, each participating employer has the right under the Plan to discontinue its contributions and to terminate the Plan, with respect to its eligible employees, subject to the provisions of ERISA. Additionally, Spectacor has the right to terminate the Plan. In the event of Plan termination, participants will become fully vested in their accounts.</w:t>
      </w:r>
    </w:p>
    <w:p>
      <w:pPr>
        <w:spacing w:after="0" w:line="161" w:lineRule="exact"/>
        <w:rPr>
          <w:rFonts w:ascii="Arial" w:cs="Arial" w:eastAsia="Arial" w:hAnsi="Arial"/>
          <w:sz w:val="18"/>
          <w:szCs w:val="18"/>
          <w:b w:val="1"/>
          <w:bCs w:val="1"/>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229" w:lineRule="exact"/>
        <w:rPr>
          <w:rFonts w:ascii="Arial" w:cs="Arial" w:eastAsia="Arial" w:hAnsi="Arial"/>
          <w:sz w:val="18"/>
          <w:szCs w:val="18"/>
          <w:b w:val="1"/>
          <w:bCs w:val="1"/>
          <w:color w:val="auto"/>
        </w:rPr>
      </w:pPr>
    </w:p>
    <w:p>
      <w:pPr>
        <w:jc w:val="both"/>
        <w:ind w:left="1440" w:right="100" w:hanging="441"/>
        <w:spacing w:after="0" w:line="297" w:lineRule="auto"/>
        <w:tabs>
          <w:tab w:leader="none" w:pos="1430" w:val="left"/>
        </w:tabs>
        <w:numPr>
          <w:ilvl w:val="1"/>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Status of the Plan</w:t>
      </w:r>
      <w:r>
        <w:rPr>
          <w:rFonts w:ascii="Arial" w:cs="Arial" w:eastAsia="Arial" w:hAnsi="Arial"/>
          <w:sz w:val="16"/>
          <w:szCs w:val="16"/>
          <w:color w:val="auto"/>
        </w:rPr>
        <w:t>—The IRS made a favorable determination on the Plan through a letter dated July 8, 2013 stating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is qualified under Section 401(a) of the Code subject to the adoption of an amendment which was adopted on July 18, 2013 and was effective on various dates, the earliest being January 1, 2002. As a result, the Plan remains exempt from taxation. The Plan is required to operate in conformity with the Code to maintain its qualified status. The Plan Sponsor believes the Plan is being operated in compliance with the applicable requirements of the Code and no provision for income taxes has been included in the Plan’s financial statements.</w:t>
      </w:r>
    </w:p>
    <w:p>
      <w:pPr>
        <w:spacing w:after="0" w:line="158" w:lineRule="exact"/>
        <w:rPr>
          <w:rFonts w:ascii="Arial" w:cs="Arial" w:eastAsia="Arial" w:hAnsi="Arial"/>
          <w:sz w:val="16"/>
          <w:szCs w:val="16"/>
          <w:color w:val="auto"/>
        </w:rPr>
      </w:pPr>
    </w:p>
    <w:p>
      <w:pPr>
        <w:jc w:val="both"/>
        <w:ind w:left="1440" w:right="680" w:hanging="441"/>
        <w:spacing w:after="0" w:line="264" w:lineRule="auto"/>
        <w:tabs>
          <w:tab w:leader="none" w:pos="1444"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—Employer contributions and salary reduction contributions, as well as earnings on Plan assets,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not subject to federal income tax until distributed from a qualified plan that meets the requirements of Sections 401(a), 401(k) and 401(m) of the Code.</w:t>
      </w:r>
    </w:p>
    <w:p>
      <w:pPr>
        <w:spacing w:after="0" w:line="181" w:lineRule="exact"/>
        <w:rPr>
          <w:rFonts w:ascii="Arial" w:cs="Arial" w:eastAsia="Arial" w:hAnsi="Arial"/>
          <w:sz w:val="18"/>
          <w:szCs w:val="18"/>
          <w:color w:val="auto"/>
        </w:rPr>
      </w:pPr>
    </w:p>
    <w:p>
      <w:pPr>
        <w:ind w:left="1440" w:right="120" w:hanging="441"/>
        <w:spacing w:after="0" w:line="342" w:lineRule="auto"/>
        <w:tabs>
          <w:tab w:leader="none" w:pos="1448" w:val="left"/>
        </w:tabs>
        <w:numPr>
          <w:ilvl w:val="1"/>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Positions</w:t>
      </w:r>
      <w:r>
        <w:rPr>
          <w:rFonts w:ascii="Arial" w:cs="Arial" w:eastAsia="Arial" w:hAnsi="Arial"/>
          <w:sz w:val="16"/>
          <w:szCs w:val="16"/>
          <w:color w:val="auto"/>
        </w:rPr>
        <w:t>—The Plan is subject to routine audits by taxing jurisdictions; however, there are currently no audits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periods in progress. The Plan Sponsor believes it is no longer subject to income tax examinations for years prior to 2013.</w:t>
      </w:r>
    </w:p>
    <w:p>
      <w:pPr>
        <w:spacing w:after="0" w:line="119" w:lineRule="exact"/>
        <w:rPr>
          <w:rFonts w:ascii="Arial" w:cs="Arial" w:eastAsia="Arial" w:hAnsi="Arial"/>
          <w:sz w:val="16"/>
          <w:szCs w:val="16"/>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NON EXEMPT PARTY-IN-INTEREST TRANSACTIONS</w:t>
      </w:r>
    </w:p>
    <w:p>
      <w:pPr>
        <w:spacing w:after="0" w:line="229" w:lineRule="exact"/>
        <w:rPr>
          <w:rFonts w:ascii="Arial" w:cs="Arial" w:eastAsia="Arial" w:hAnsi="Arial"/>
          <w:sz w:val="18"/>
          <w:szCs w:val="18"/>
          <w:b w:val="1"/>
          <w:bCs w:val="1"/>
          <w:color w:val="auto"/>
        </w:rPr>
      </w:pPr>
    </w:p>
    <w:p>
      <w:pPr>
        <w:ind w:left="4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Plan years 2016, 2015, 2014, 2013, 2012 and 2011 the Company has not remitted certain participant contributions and loan repayments to the Trustee in a timely manner based on when the participant contributions and loan repayments were withheld from participant paychecks as required under DOL Regulation §2510.3-102.</w:t>
      </w:r>
    </w:p>
    <w:p>
      <w:pPr>
        <w:spacing w:after="0" w:line="181" w:lineRule="exact"/>
        <w:rPr>
          <w:sz w:val="20"/>
          <w:szCs w:val="20"/>
          <w:color w:val="auto"/>
        </w:rPr>
      </w:pPr>
    </w:p>
    <w:p>
      <w:pPr>
        <w:ind w:left="440" w:right="100"/>
        <w:spacing w:after="0" w:line="297" w:lineRule="auto"/>
        <w:rPr>
          <w:sz w:val="20"/>
          <w:szCs w:val="20"/>
          <w:color w:val="auto"/>
        </w:rPr>
      </w:pPr>
      <w:r>
        <w:rPr>
          <w:rFonts w:ascii="Arial" w:cs="Arial" w:eastAsia="Arial" w:hAnsi="Arial"/>
          <w:sz w:val="16"/>
          <w:szCs w:val="16"/>
          <w:color w:val="auto"/>
        </w:rPr>
        <w:t>On January 8, 2016, the Company filed IRS Form 5330 to report and pay an excise tax with respect to the Plan years 2015, 2014, 2013, 2012 and 2011 late remittances as required pursuant to Section 4975 of the Code. In addition, the Company submitted an application under the Voluntary Fiduciary Correction Program with the DOL and participant accounts were credited with the amount of investment income that would have been earned had the participant contributions been remitted on a timely basis. Such amounts are not material to the Plan’s financial statements. The Company will file the Form 5330 with the IRS to report and pay an excise tax with respect to the 2016 late remittances as required pursuant to Section 4975 of the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FORM 5500, SCHEDULE H—PART IV, LINE 4i—SCHEDULE OF ASSETS (HELD AT END OF YEAR) DECEMBER 31, 2016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FEIN #23-2303756</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PLAN #004</w:t>
      </w:r>
    </w:p>
    <w:p>
      <w:pPr>
        <w:spacing w:after="0" w:line="202" w:lineRule="exact"/>
        <w:rPr>
          <w:sz w:val="20"/>
          <w:szCs w:val="20"/>
          <w:color w:val="auto"/>
        </w:rPr>
      </w:pPr>
    </w:p>
    <w:p>
      <w:pPr>
        <w:spacing w:after="0"/>
        <w:tabs>
          <w:tab w:leader="none" w:pos="1640" w:val="left"/>
          <w:tab w:leader="none" w:pos="7080" w:val="left"/>
          <w:tab w:leader="none" w:pos="1008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4"/>
          <w:szCs w:val="14"/>
          <w:b w:val="1"/>
          <w:bCs w:val="1"/>
          <w:color w:val="auto"/>
        </w:rPr>
        <w:t>(b) Identity of Issue, Borrower, Lessor, or Similar Party</w:t>
      </w:r>
      <w:r>
        <w:rPr>
          <w:sz w:val="20"/>
          <w:szCs w:val="20"/>
          <w:color w:val="auto"/>
        </w:rPr>
        <w:tab/>
      </w:r>
      <w:r>
        <w:rPr>
          <w:rFonts w:ascii="Arial" w:cs="Arial" w:eastAsia="Arial" w:hAnsi="Arial"/>
          <w:sz w:val="14"/>
          <w:szCs w:val="14"/>
          <w:b w:val="1"/>
          <w:bCs w:val="1"/>
          <w:color w:val="auto"/>
        </w:rPr>
        <w:t>(c) Description of</w:t>
      </w:r>
      <w:r>
        <w:rPr>
          <w:sz w:val="20"/>
          <w:szCs w:val="20"/>
          <w:color w:val="auto"/>
        </w:rPr>
        <w:tab/>
      </w:r>
      <w:r>
        <w:rPr>
          <w:rFonts w:ascii="Arial" w:cs="Arial" w:eastAsia="Arial" w:hAnsi="Arial"/>
          <w:sz w:val="13"/>
          <w:szCs w:val="13"/>
          <w:b w:val="1"/>
          <w:bCs w:val="1"/>
          <w:color w:val="auto"/>
        </w:rPr>
        <w:t>(e) Current</w:t>
      </w:r>
    </w:p>
    <w:p>
      <w:pPr>
        <w:ind w:left="7280"/>
        <w:spacing w:after="0" w:line="226" w:lineRule="auto"/>
        <w:tabs>
          <w:tab w:leader="none" w:pos="10240" w:val="left"/>
        </w:tabs>
        <w:rPr>
          <w:sz w:val="20"/>
          <w:szCs w:val="20"/>
          <w:color w:val="auto"/>
        </w:rPr>
      </w:pPr>
      <w:r>
        <w:rPr>
          <w:rFonts w:ascii="Arial" w:cs="Arial" w:eastAsia="Arial" w:hAnsi="Arial"/>
          <w:sz w:val="14"/>
          <w:szCs w:val="14"/>
          <w:b w:val="1"/>
          <w:bCs w:val="1"/>
          <w:color w:val="auto"/>
        </w:rPr>
        <w:t>Investment,</w:t>
      </w:r>
      <w:r>
        <w:rPr>
          <w:sz w:val="20"/>
          <w:szCs w:val="20"/>
          <w:color w:val="auto"/>
        </w:rPr>
        <w:tab/>
      </w:r>
      <w:r>
        <w:rPr>
          <w:rFonts w:ascii="Arial" w:cs="Arial" w:eastAsia="Arial" w:hAnsi="Arial"/>
          <w:sz w:val="14"/>
          <w:szCs w:val="14"/>
          <w:b w:val="1"/>
          <w:bCs w:val="1"/>
          <w:color w:val="auto"/>
        </w:rPr>
        <w:t>Value</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Including Maturity Date,</w:t>
      </w:r>
    </w:p>
    <w:p>
      <w:pPr>
        <w:sectPr>
          <w:pgSz w:w="11900" w:h="16849" w:orient="portrait"/>
          <w:cols w:equalWidth="0" w:num="1">
            <w:col w:w="11420"/>
          </w:cols>
          <w:pgMar w:left="240" w:top="333"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gridSpan w:val="3"/>
          </w:tcPr>
          <w:p>
            <w:pPr>
              <w:jc w:val="center"/>
              <w:ind w:right="648"/>
              <w:spacing w:after="0"/>
              <w:rPr>
                <w:sz w:val="20"/>
                <w:szCs w:val="20"/>
                <w:color w:val="auto"/>
              </w:rPr>
            </w:pPr>
            <w:r>
              <w:rPr>
                <w:rFonts w:ascii="Arial" w:cs="Arial" w:eastAsia="Arial" w:hAnsi="Arial"/>
                <w:sz w:val="14"/>
                <w:szCs w:val="14"/>
                <w:b w:val="1"/>
                <w:bCs w:val="1"/>
                <w:color w:val="auto"/>
                <w:w w:val="94"/>
              </w:rPr>
              <w:t>Rate of Interest, Collateral,</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60" w:type="dxa"/>
            <w:vAlign w:val="bottom"/>
            <w:gridSpan w:val="3"/>
          </w:tcPr>
          <w:p>
            <w:pPr>
              <w:jc w:val="center"/>
              <w:ind w:right="668"/>
              <w:spacing w:after="0" w:line="149" w:lineRule="exact"/>
              <w:rPr>
                <w:sz w:val="20"/>
                <w:szCs w:val="20"/>
                <w:color w:val="auto"/>
              </w:rPr>
            </w:pPr>
            <w:r>
              <w:rPr>
                <w:rFonts w:ascii="Arial" w:cs="Arial" w:eastAsia="Arial" w:hAnsi="Arial"/>
                <w:sz w:val="14"/>
                <w:szCs w:val="14"/>
                <w:b w:val="1"/>
                <w:bCs w:val="1"/>
                <w:color w:val="auto"/>
                <w:w w:val="94"/>
              </w:rPr>
              <w:t>Par, or</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gridSpan w:val="3"/>
          </w:tcPr>
          <w:p>
            <w:pPr>
              <w:jc w:val="center"/>
              <w:ind w:right="668"/>
              <w:spacing w:after="0"/>
              <w:rPr>
                <w:sz w:val="20"/>
                <w:szCs w:val="20"/>
                <w:color w:val="auto"/>
              </w:rPr>
            </w:pPr>
            <w:r>
              <w:rPr>
                <w:rFonts w:ascii="Arial" w:cs="Arial" w:eastAsia="Arial" w:hAnsi="Arial"/>
                <w:sz w:val="14"/>
                <w:szCs w:val="14"/>
                <w:b w:val="1"/>
                <w:bCs w:val="1"/>
                <w:color w:val="auto"/>
                <w:w w:val="98"/>
              </w:rPr>
              <w:t>Maturity Value</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shd w:val="clear" w:color="auto" w:fill="CCEEFF"/>
          </w:tcPr>
          <w:p>
            <w:pPr>
              <w:jc w:val="right"/>
              <w:ind w:right="570"/>
              <w:spacing w:after="0" w:line="201" w:lineRule="exact"/>
              <w:rPr>
                <w:sz w:val="20"/>
                <w:szCs w:val="20"/>
                <w:color w:val="auto"/>
              </w:rPr>
            </w:pPr>
            <w:r>
              <w:rPr>
                <w:rFonts w:ascii="Arial" w:cs="Arial" w:eastAsia="Arial" w:hAnsi="Arial"/>
                <w:sz w:val="18"/>
                <w:szCs w:val="18"/>
                <w:color w:val="auto"/>
                <w:w w:val="84"/>
              </w:rPr>
              <w:t>*</w:t>
            </w:r>
          </w:p>
        </w:tc>
        <w:tc>
          <w:tcPr>
            <w:tcW w:w="516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Interest in Comcast Corporation Employee Savings Plans</w:t>
            </w:r>
          </w:p>
        </w:tc>
        <w:tc>
          <w:tcPr>
            <w:tcW w:w="3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1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Master Trust</w:t>
            </w:r>
          </w:p>
        </w:tc>
        <w:tc>
          <w:tcPr>
            <w:tcW w:w="416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0" w:type="dxa"/>
            <w:vAlign w:val="bottom"/>
            <w:shd w:val="clear" w:color="auto" w:fill="CCEEFF"/>
          </w:tcPr>
          <w:p>
            <w:pPr>
              <w:jc w:val="right"/>
              <w:ind w:right="570"/>
              <w:spacing w:after="0" w:line="201" w:lineRule="exact"/>
              <w:rPr>
                <w:sz w:val="20"/>
                <w:szCs w:val="20"/>
                <w:color w:val="auto"/>
              </w:rPr>
            </w:pPr>
            <w:r>
              <w:rPr>
                <w:rFonts w:ascii="Arial" w:cs="Arial" w:eastAsia="Arial" w:hAnsi="Arial"/>
                <w:sz w:val="18"/>
                <w:szCs w:val="18"/>
                <w:color w:val="auto"/>
                <w:w w:val="84"/>
              </w:rPr>
              <w:t>*</w:t>
            </w:r>
          </w:p>
        </w:tc>
        <w:tc>
          <w:tcPr>
            <w:tcW w:w="516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Notes receivable from participants (principal balance plus</w:t>
            </w:r>
          </w:p>
        </w:tc>
        <w:tc>
          <w:tcPr>
            <w:tcW w:w="4160" w:type="dxa"/>
            <w:vAlign w:val="bottom"/>
            <w:gridSpan w:val="3"/>
            <w:shd w:val="clear" w:color="auto" w:fill="CCEEFF"/>
          </w:tcPr>
          <w:p>
            <w:pPr>
              <w:jc w:val="center"/>
              <w:ind w:right="668"/>
              <w:spacing w:after="0" w:line="201" w:lineRule="exact"/>
              <w:rPr>
                <w:sz w:val="20"/>
                <w:szCs w:val="20"/>
                <w:color w:val="auto"/>
              </w:rPr>
            </w:pPr>
            <w:r>
              <w:rPr>
                <w:rFonts w:ascii="Arial" w:cs="Arial" w:eastAsia="Arial" w:hAnsi="Arial"/>
                <w:sz w:val="18"/>
                <w:szCs w:val="18"/>
                <w:color w:val="auto"/>
                <w:w w:val="91"/>
              </w:rPr>
              <w:t>Interest rates from 4.25% - 9.75%; maturities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1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accrued but unpaid interest)</w:t>
            </w:r>
          </w:p>
        </w:tc>
        <w:tc>
          <w:tcPr>
            <w:tcW w:w="4160" w:type="dxa"/>
            <w:vAlign w:val="bottom"/>
            <w:gridSpan w:val="3"/>
            <w:shd w:val="clear" w:color="auto" w:fill="CCEEFF"/>
          </w:tcPr>
          <w:p>
            <w:pPr>
              <w:jc w:val="center"/>
              <w:ind w:right="668"/>
              <w:spacing w:after="0"/>
              <w:rPr>
                <w:sz w:val="20"/>
                <w:szCs w:val="20"/>
                <w:color w:val="auto"/>
              </w:rPr>
            </w:pPr>
            <w:r>
              <w:rPr>
                <w:rFonts w:ascii="Arial" w:cs="Arial" w:eastAsia="Arial" w:hAnsi="Arial"/>
                <w:sz w:val="18"/>
                <w:szCs w:val="18"/>
                <w:color w:val="auto"/>
                <w:w w:val="91"/>
              </w:rPr>
              <w:t>from 2017 to 2046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*Represents a party-in-interest to the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Column (d) omitted as all investments are participant directed.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27"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b w:val="1"/>
          <w:bCs w:val="1"/>
          <w:color w:val="auto"/>
        </w:rPr>
        <w:t>FORM 5500, SCHEDULE H—PART IV—LINE 4a—SCHEDULE OF DELINQUENT PARTICIPANT CONTRIBUTIONS FOR THE YEARS ENDED DECEMBER 31, 2016, 2015, 2014, 2013, 2012 and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FEIN #23-2303756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#004</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Total that Constitute Nonexempt Prohibited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rPr>
              <w:t>Transactions</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Contributions</w:t>
            </w:r>
          </w:p>
        </w:tc>
        <w:tc>
          <w:tcPr>
            <w:tcW w:w="140" w:type="dxa"/>
            <w:vAlign w:val="bottom"/>
          </w:tcPr>
          <w:p>
            <w:pPr>
              <w:spacing w:after="0"/>
              <w:rPr>
                <w:sz w:val="10"/>
                <w:szCs w:val="10"/>
                <w:color w:val="auto"/>
              </w:rPr>
            </w:pPr>
          </w:p>
        </w:tc>
        <w:tc>
          <w:tcPr>
            <w:tcW w:w="13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Contributions</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 Fully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Contributions</w:t>
            </w: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Pending</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Corrected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Corrected</w:t>
            </w:r>
          </w:p>
        </w:tc>
        <w:tc>
          <w:tcPr>
            <w:tcW w:w="14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Correction</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VFCP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 Corrected</w:t>
            </w: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Outside VFCP</w:t>
            </w:r>
          </w:p>
        </w:tc>
        <w:tc>
          <w:tcPr>
            <w:tcW w:w="14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VFCP</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PTE 2002-51*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Participant Contributions</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 December 31, 2016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w:t>
            </w:r>
          </w:p>
        </w:tc>
        <w:tc>
          <w:tcPr>
            <w:tcW w:w="1260" w:type="dxa"/>
            <w:vAlign w:val="bottom"/>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 December 31, 2015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w:t>
            </w:r>
          </w:p>
        </w:tc>
        <w:tc>
          <w:tcPr>
            <w:tcW w:w="1360" w:type="dxa"/>
            <w:vAlign w:val="bottom"/>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 December 31, 2014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w:t>
            </w:r>
          </w:p>
        </w:tc>
        <w:tc>
          <w:tcPr>
            <w:tcW w:w="1360" w:type="dxa"/>
            <w:vAlign w:val="bottom"/>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 December 31, 2013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1360" w:type="dxa"/>
            <w:vAlign w:val="bottom"/>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 December 31, 2012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360" w:type="dxa"/>
            <w:vAlign w:val="bottom"/>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 December 31, 2011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360" w:type="dxa"/>
            <w:vAlign w:val="bottom"/>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Prohibited Transaction Exemption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333-101295 of Comcast Corporation on Form S-8 of our report dated June 16, 2017, relating to the financial statements and supplemental schedules of the Comcast Spectacor 401(k) Plan, appearing in this Annual Report on Form 11-K of the Comcast Spectacor 401(k) Plan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20"/>
          </w:cols>
          <w:pgMar w:left="240" w:top="104" w:right="239" w:bottom="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COMCAST SPECTACOR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16, 2017</w:t>
      </w:r>
    </w:p>
    <w:p>
      <w:pPr>
        <w:spacing w:after="0" w:line="9"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C. Murdock</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Senior Vice President, Chief Accounting Officer and Controller</w:t>
      </w:r>
    </w:p>
    <w:p>
      <w:pPr>
        <w:spacing w:after="0" w:line="2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5715</wp:posOffset>
            </wp:positionV>
            <wp:extent cx="3319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00"/>
      </w:cols>
      <w:pgMar w:left="240" w:top="12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4"/>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2019-12-06T18:06:03Z</dcterms:created>
  <dcterms:modified xsi:type="dcterms:W3CDTF">2019-12-06T18:06:03Z</dcterms:modified>
</cp:coreProperties>
</file>