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760"/>
        <w:spacing w:after="0"/>
        <w:rPr>
          <w:sz w:val="20"/>
          <w:szCs w:val="20"/>
          <w:color w:val="auto"/>
        </w:rPr>
      </w:pPr>
      <w:r>
        <w:rPr>
          <w:rFonts w:ascii="Arial" w:cs="Arial" w:eastAsia="Arial" w:hAnsi="Arial"/>
          <w:sz w:val="13"/>
          <w:szCs w:val="13"/>
          <w:color w:val="auto"/>
        </w:rPr>
        <w:t>Filed by Comcast Corporation</w:t>
      </w:r>
    </w:p>
    <w:p>
      <w:pPr>
        <w:spacing w:after="0" w:line="6" w:lineRule="exact"/>
        <w:rPr>
          <w:sz w:val="24"/>
          <w:szCs w:val="24"/>
          <w:color w:val="auto"/>
        </w:rPr>
      </w:pPr>
    </w:p>
    <w:p>
      <w:pPr>
        <w:ind w:left="9500"/>
        <w:spacing w:after="0"/>
        <w:rPr>
          <w:sz w:val="20"/>
          <w:szCs w:val="20"/>
          <w:color w:val="auto"/>
        </w:rPr>
      </w:pPr>
      <w:r>
        <w:rPr>
          <w:rFonts w:ascii="Arial" w:cs="Arial" w:eastAsia="Arial" w:hAnsi="Arial"/>
          <w:sz w:val="13"/>
          <w:szCs w:val="13"/>
          <w:color w:val="auto"/>
        </w:rPr>
        <w:t>(Commission File No.: 001-32871)</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3"/>
          <w:szCs w:val="13"/>
          <w:color w:val="auto"/>
        </w:rPr>
        <w:t>Pursuant to Rule 425 of the Securities Act of 1933</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3"/>
          <w:szCs w:val="13"/>
          <w:color w:val="auto"/>
        </w:rPr>
        <w:t>and deemed filed pursuant to Rule 14a-12</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3"/>
          <w:szCs w:val="13"/>
          <w:color w:val="auto"/>
        </w:rPr>
        <w:t>of the Securities Exchange Act of 1934</w:t>
      </w:r>
    </w:p>
    <w:p>
      <w:pPr>
        <w:spacing w:after="0" w:line="161" w:lineRule="exact"/>
        <w:rPr>
          <w:sz w:val="24"/>
          <w:szCs w:val="24"/>
          <w:color w:val="auto"/>
        </w:rPr>
      </w:pPr>
    </w:p>
    <w:p>
      <w:pPr>
        <w:jc w:val="right"/>
        <w:spacing w:after="0"/>
        <w:rPr>
          <w:sz w:val="20"/>
          <w:szCs w:val="20"/>
          <w:color w:val="auto"/>
        </w:rPr>
      </w:pPr>
      <w:r>
        <w:rPr>
          <w:rFonts w:ascii="Arial" w:cs="Arial" w:eastAsia="Arial" w:hAnsi="Arial"/>
          <w:sz w:val="13"/>
          <w:szCs w:val="13"/>
          <w:color w:val="auto"/>
        </w:rPr>
        <w:t>Subject Company: Time Warner Cable Inc.</w:t>
      </w:r>
    </w:p>
    <w:p>
      <w:pPr>
        <w:spacing w:after="0" w:line="199" w:lineRule="exact"/>
        <w:rPr>
          <w:sz w:val="24"/>
          <w:szCs w:val="24"/>
          <w:color w:val="auto"/>
        </w:rPr>
      </w:pPr>
    </w:p>
    <w:p>
      <w:pPr>
        <w:ind w:left="8740"/>
        <w:spacing w:after="0"/>
        <w:rPr>
          <w:sz w:val="20"/>
          <w:szCs w:val="20"/>
          <w:color w:val="auto"/>
        </w:rPr>
      </w:pPr>
      <w:r>
        <w:rPr>
          <w:rFonts w:ascii="Arial" w:cs="Arial" w:eastAsia="Arial" w:hAnsi="Arial"/>
          <w:sz w:val="12"/>
          <w:szCs w:val="12"/>
          <w:color w:val="auto"/>
        </w:rPr>
        <w:t>Commission File No. for Registration Statement</w:t>
      </w:r>
    </w:p>
    <w:p>
      <w:pPr>
        <w:spacing w:after="0" w:line="17" w:lineRule="exact"/>
        <w:rPr>
          <w:sz w:val="24"/>
          <w:szCs w:val="24"/>
          <w:color w:val="auto"/>
        </w:rPr>
      </w:pPr>
    </w:p>
    <w:p>
      <w:pPr>
        <w:ind w:left="8300"/>
        <w:spacing w:after="0"/>
        <w:rPr>
          <w:sz w:val="20"/>
          <w:szCs w:val="20"/>
          <w:color w:val="auto"/>
        </w:rPr>
      </w:pPr>
      <w:r>
        <w:rPr>
          <w:rFonts w:ascii="Arial" w:cs="Arial" w:eastAsia="Arial" w:hAnsi="Arial"/>
          <w:sz w:val="12"/>
          <w:szCs w:val="12"/>
          <w:color w:val="auto"/>
        </w:rPr>
        <w:t>on Form S-4 filed by Comcast Corporation: 333-194698</w:t>
      </w:r>
    </w:p>
    <w:p>
      <w:pPr>
        <w:spacing w:after="0" w:line="211" w:lineRule="exact"/>
        <w:rPr>
          <w:sz w:val="24"/>
          <w:szCs w:val="24"/>
          <w:color w:val="auto"/>
        </w:rPr>
      </w:pPr>
    </w:p>
    <w:p>
      <w:pPr>
        <w:spacing w:after="0"/>
        <w:rPr>
          <w:sz w:val="20"/>
          <w:szCs w:val="20"/>
          <w:color w:val="auto"/>
        </w:rPr>
      </w:pPr>
      <w:r>
        <w:rPr>
          <w:rFonts w:ascii="Arial" w:cs="Arial" w:eastAsia="Arial" w:hAnsi="Arial"/>
          <w:sz w:val="13"/>
          <w:szCs w:val="13"/>
          <w:color w:val="auto"/>
        </w:rPr>
        <w:t>The following is an online advertisement of Comcast: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237490</wp:posOffset>
            </wp:positionV>
            <wp:extent cx="7045325" cy="31013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45325" cy="31013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Important Information For Investors And Shareholders</w:t>
      </w:r>
    </w:p>
    <w:p>
      <w:pPr>
        <w:spacing w:after="0" w:line="215" w:lineRule="exact"/>
        <w:rPr>
          <w:sz w:val="24"/>
          <w:szCs w:val="24"/>
          <w:color w:val="auto"/>
        </w:rPr>
      </w:pPr>
    </w:p>
    <w:p>
      <w:pPr>
        <w:ind w:right="40"/>
        <w:spacing w:after="0" w:line="249" w:lineRule="auto"/>
        <w:rPr>
          <w:sz w:val="20"/>
          <w:szCs w:val="20"/>
          <w:color w:val="auto"/>
        </w:rPr>
      </w:pPr>
      <w:r>
        <w:rPr>
          <w:rFonts w:ascii="Arial" w:cs="Arial" w:eastAsia="Arial" w:hAnsi="Arial"/>
          <w:sz w:val="13"/>
          <w:szCs w:val="13"/>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193" w:lineRule="exact"/>
        <w:rPr>
          <w:sz w:val="24"/>
          <w:szCs w:val="24"/>
          <w:color w:val="auto"/>
        </w:rPr>
      </w:pPr>
    </w:p>
    <w:p>
      <w:pPr>
        <w:ind w:right="60"/>
        <w:spacing w:after="0" w:line="250" w:lineRule="auto"/>
        <w:rPr>
          <w:sz w:val="20"/>
          <w:szCs w:val="20"/>
          <w:color w:val="auto"/>
        </w:rPr>
      </w:pPr>
      <w:r>
        <w:rPr>
          <w:rFonts w:ascii="Arial" w:cs="Arial" w:eastAsia="Arial" w:hAnsi="Arial"/>
          <w:sz w:val="13"/>
          <w:szCs w:val="13"/>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288925</wp:posOffset>
            </wp:positionV>
            <wp:extent cx="7291705" cy="19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1705" cy="19050"/>
                    </a:xfrm>
                    <a:prstGeom prst="rect">
                      <a:avLst/>
                    </a:prstGeom>
                    <a:noFill/>
                  </pic:spPr>
                </pic:pic>
              </a:graphicData>
            </a:graphic>
          </wp:anchor>
        </w:drawing>
      </w:r>
    </w:p>
    <w:p>
      <w:pPr>
        <w:sectPr>
          <w:pgSz w:w="11900" w:h="16838" w:orient="portrait"/>
          <w:cols w:equalWidth="0" w:num="1">
            <w:col w:w="11480"/>
          </w:cols>
          <w:pgMar w:left="220" w:top="391" w:right="199" w:bottom="1440" w:gutter="0" w:footer="0" w:header="0"/>
        </w:sectPr>
      </w:pPr>
    </w:p>
    <w:bookmarkStart w:id="1" w:name="page2"/>
    <w:bookmarkEnd w:id="1"/>
    <w:p>
      <w:pPr>
        <w:ind w:right="80"/>
        <w:spacing w:after="0" w:line="257" w:lineRule="auto"/>
        <w:rPr>
          <w:sz w:val="20"/>
          <w:szCs w:val="20"/>
          <w:color w:val="auto"/>
        </w:rPr>
      </w:pPr>
      <w:r>
        <w:rPr>
          <w:rFonts w:ascii="Arial" w:cs="Arial" w:eastAsia="Arial" w:hAnsi="Arial"/>
          <w:sz w:val="13"/>
          <w:szCs w:val="13"/>
          <w:color w:val="auto"/>
        </w:rPr>
        <w:t>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184" w:lineRule="exact"/>
        <w:rPr>
          <w:sz w:val="20"/>
          <w:szCs w:val="20"/>
          <w:color w:val="auto"/>
        </w:rPr>
      </w:pPr>
    </w:p>
    <w:p>
      <w:pPr>
        <w:ind w:right="220"/>
        <w:spacing w:after="0" w:line="257" w:lineRule="auto"/>
        <w:rPr>
          <w:sz w:val="20"/>
          <w:szCs w:val="20"/>
          <w:color w:val="auto"/>
        </w:rPr>
      </w:pPr>
      <w:r>
        <w:rPr>
          <w:rFonts w:ascii="Arial" w:cs="Arial" w:eastAsia="Arial" w:hAnsi="Arial"/>
          <w:sz w:val="13"/>
          <w:szCs w:val="13"/>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184"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and its proxy statement for its 2014 annual meeting of stockholders, which was filed with the SEC on April 29, 2014. Information about the directors and executive officers of Comcast is set forth in its Annual Report on Form 10-K for the year ended December 31, 2013, which was filed with the SEC on February 12, 2014, and its proxy statement for its 2014 annual meeting of stockholders, which was filed with the SEC on April 11, 2014. Information about the directors and executive officers of Charter is set forth in its Annual Report on Form 10-K for the year ended December 31, 2013, which was filed with the SEC on February 21, 2014, and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Cautionary Statement Regarding Forward-Looking Statements</w:t>
      </w:r>
    </w:p>
    <w:p>
      <w:pPr>
        <w:spacing w:after="0" w:line="215" w:lineRule="exact"/>
        <w:rPr>
          <w:sz w:val="20"/>
          <w:szCs w:val="20"/>
          <w:color w:val="auto"/>
        </w:rPr>
      </w:pPr>
    </w:p>
    <w:p>
      <w:pPr>
        <w:ind w:right="20"/>
        <w:spacing w:after="0" w:line="272" w:lineRule="auto"/>
        <w:rPr>
          <w:sz w:val="20"/>
          <w:szCs w:val="20"/>
          <w:color w:val="auto"/>
        </w:rPr>
      </w:pPr>
      <w:r>
        <w:rPr>
          <w:rFonts w:ascii="Arial" w:cs="Arial" w:eastAsia="Arial" w:hAnsi="Arial"/>
          <w:sz w:val="12"/>
          <w:szCs w:val="12"/>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308610</wp:posOffset>
            </wp:positionV>
            <wp:extent cx="729170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1705" cy="19050"/>
                    </a:xfrm>
                    <a:prstGeom prst="rect">
                      <a:avLst/>
                    </a:prstGeom>
                    <a:noFill/>
                  </pic:spPr>
                </pic:pic>
              </a:graphicData>
            </a:graphic>
          </wp:anchor>
        </w:drawing>
      </w:r>
    </w:p>
    <w:p>
      <w:pPr>
        <w:sectPr>
          <w:pgSz w:w="11900" w:h="16838" w:orient="portrait"/>
          <w:cols w:equalWidth="0" w:num="1">
            <w:col w:w="11460"/>
          </w:cols>
          <w:pgMar w:left="220" w:top="614" w:right="21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3"/>
          <w:szCs w:val="13"/>
          <w:color w:val="auto"/>
        </w:rPr>
        <w:t>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400050</wp:posOffset>
            </wp:positionV>
            <wp:extent cx="730440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04405" cy="19050"/>
                    </a:xfrm>
                    <a:prstGeom prst="rect">
                      <a:avLst/>
                    </a:prstGeom>
                    <a:noFill/>
                  </pic:spPr>
                </pic:pic>
              </a:graphicData>
            </a:graphic>
          </wp:anchor>
        </w:drawing>
      </w:r>
    </w:p>
    <w:sectPr>
      <w:pgSz w:w="11900" w:h="16838" w:orient="portrait"/>
      <w:cols w:equalWidth="0" w:num="1">
        <w:col w:w="11420"/>
      </w:cols>
      <w:pgMar w:left="220" w:top="61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2019-12-16T12:20:24Z</dcterms:created>
  <dcterms:modified xsi:type="dcterms:W3CDTF">2019-12-16T12:20:24Z</dcterms:modified>
</cp:coreProperties>
</file>