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7180" w:type="dxa"/>
            <w:vAlign w:val="bottom"/>
            <w:gridSpan w:val="4"/>
          </w:tcPr>
          <w:p>
            <w:pPr>
              <w:jc w:val="center"/>
              <w:ind w:left="3552"/>
              <w:spacing w:after="0"/>
              <w:rPr>
                <w:sz w:val="20"/>
                <w:szCs w:val="20"/>
                <w:color w:val="auto"/>
              </w:rPr>
            </w:pPr>
            <w:r>
              <w:rPr>
                <w:rFonts w:ascii="Arial" w:cs="Arial" w:eastAsia="Arial" w:hAnsi="Arial"/>
                <w:sz w:val="18"/>
                <w:szCs w:val="18"/>
                <w:b w:val="1"/>
                <w:bCs w:val="1"/>
                <w:color w:val="auto"/>
                <w:w w:val="89"/>
              </w:rPr>
              <w:t>For the quarterly period ended March 31, 2013</w:t>
            </w:r>
          </w:p>
        </w:tc>
      </w:tr>
      <w:tr>
        <w:trPr>
          <w:trHeight w:val="284"/>
        </w:trPr>
        <w:tc>
          <w:tcPr>
            <w:tcW w:w="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20" w:type="dxa"/>
            <w:vAlign w:val="bottom"/>
          </w:tcPr>
          <w:p>
            <w:pPr>
              <w:jc w:val="center"/>
              <w:ind w:left="472"/>
              <w:spacing w:after="0"/>
              <w:rPr>
                <w:sz w:val="20"/>
                <w:szCs w:val="20"/>
                <w:color w:val="auto"/>
              </w:rPr>
            </w:pPr>
            <w:r>
              <w:rPr>
                <w:rFonts w:ascii="Arial" w:cs="Arial" w:eastAsia="Arial" w:hAnsi="Arial"/>
                <w:sz w:val="18"/>
                <w:szCs w:val="18"/>
                <w:b w:val="1"/>
                <w:bCs w:val="1"/>
                <w:color w:val="auto"/>
                <w:w w:val="96"/>
              </w:rPr>
              <w:t>OR</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4"/>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180" w:type="dxa"/>
            <w:vAlign w:val="bottom"/>
            <w:gridSpan w:val="4"/>
          </w:tcPr>
          <w:p>
            <w:pPr>
              <w:ind w:left="160"/>
              <w:spacing w:after="0"/>
              <w:rPr>
                <w:sz w:val="20"/>
                <w:szCs w:val="20"/>
                <w:color w:val="auto"/>
              </w:rPr>
            </w:pPr>
            <w:r>
              <w:rPr>
                <w:rFonts w:ascii="Arial" w:cs="Arial" w:eastAsia="Arial" w:hAnsi="Arial"/>
                <w:sz w:val="18"/>
                <w:szCs w:val="18"/>
                <w:b w:val="1"/>
                <w:bCs w:val="1"/>
                <w:color w:val="auto"/>
                <w:w w:val="92"/>
              </w:rPr>
              <w:t>Transition Report pursuant to Section 13 or 15(d) of the Securities Exchange Act of 1934</w:t>
            </w:r>
          </w:p>
        </w:tc>
      </w:tr>
      <w:tr>
        <w:trPr>
          <w:trHeight w:val="264"/>
        </w:trPr>
        <w:tc>
          <w:tcPr>
            <w:tcW w:w="300" w:type="dxa"/>
            <w:vAlign w:val="bottom"/>
          </w:tcPr>
          <w:p>
            <w:pPr>
              <w:spacing w:after="0"/>
              <w:rPr>
                <w:sz w:val="22"/>
                <w:szCs w:val="22"/>
                <w:color w:val="auto"/>
              </w:rPr>
            </w:pPr>
          </w:p>
        </w:tc>
        <w:tc>
          <w:tcPr>
            <w:tcW w:w="6040" w:type="dxa"/>
            <w:vAlign w:val="bottom"/>
            <w:gridSpan w:val="2"/>
          </w:tcPr>
          <w:p>
            <w:pPr>
              <w:ind w:left="3240"/>
              <w:spacing w:after="0"/>
              <w:rPr>
                <w:sz w:val="20"/>
                <w:szCs w:val="20"/>
                <w:color w:val="auto"/>
              </w:rPr>
            </w:pPr>
            <w:r>
              <w:rPr>
                <w:rFonts w:ascii="Arial" w:cs="Arial" w:eastAsia="Arial" w:hAnsi="Arial"/>
                <w:sz w:val="18"/>
                <w:szCs w:val="18"/>
                <w:b w:val="1"/>
                <w:bCs w:val="1"/>
                <w:color w:val="auto"/>
              </w:rPr>
              <w:t>For the Transition Period from</w:t>
            </w:r>
          </w:p>
        </w:tc>
        <w:tc>
          <w:tcPr>
            <w:tcW w:w="1140" w:type="dxa"/>
            <w:vAlign w:val="bottom"/>
            <w:gridSpan w:val="2"/>
          </w:tcPr>
          <w:p>
            <w:pPr>
              <w:ind w:left="480"/>
              <w:spacing w:after="0"/>
              <w:rPr>
                <w:sz w:val="20"/>
                <w:szCs w:val="20"/>
                <w:color w:val="auto"/>
              </w:rPr>
            </w:pPr>
            <w:r>
              <w:rPr>
                <w:rFonts w:ascii="Arial" w:cs="Arial" w:eastAsia="Arial" w:hAnsi="Arial"/>
                <w:sz w:val="18"/>
                <w:szCs w:val="18"/>
                <w:b w:val="1"/>
                <w:bCs w:val="1"/>
                <w:color w:val="auto"/>
              </w:rPr>
              <w:t>to</w:t>
            </w:r>
          </w:p>
        </w:tc>
      </w:tr>
      <w:tr>
        <w:trPr>
          <w:trHeight w:val="284"/>
        </w:trPr>
        <w:tc>
          <w:tcPr>
            <w:tcW w:w="300" w:type="dxa"/>
            <w:vAlign w:val="bottom"/>
          </w:tcPr>
          <w:p>
            <w:pPr>
              <w:spacing w:after="0"/>
              <w:rPr>
                <w:sz w:val="24"/>
                <w:szCs w:val="24"/>
                <w:color w:val="auto"/>
              </w:rPr>
            </w:pPr>
          </w:p>
        </w:tc>
        <w:tc>
          <w:tcPr>
            <w:tcW w:w="7180" w:type="dxa"/>
            <w:vAlign w:val="bottom"/>
            <w:gridSpan w:val="4"/>
          </w:tcPr>
          <w:p>
            <w:pPr>
              <w:jc w:val="center"/>
              <w:ind w:left="3552"/>
              <w:spacing w:after="0"/>
              <w:rPr>
                <w:sz w:val="20"/>
                <w:szCs w:val="20"/>
                <w:color w:val="auto"/>
              </w:rPr>
            </w:pPr>
            <w:r>
              <w:rPr>
                <w:rFonts w:ascii="Arial" w:cs="Arial" w:eastAsia="Arial" w:hAnsi="Arial"/>
                <w:sz w:val="18"/>
                <w:szCs w:val="18"/>
                <w:b w:val="1"/>
                <w:bCs w:val="1"/>
                <w:color w:val="auto"/>
                <w:w w:val="88"/>
              </w:rPr>
              <w:t>Commission File Number 333-174175</w:t>
            </w:r>
          </w:p>
        </w:tc>
      </w:tr>
      <w:tr>
        <w:trPr>
          <w:trHeight w:val="164"/>
        </w:trPr>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bl>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NBCUniversal Media, LLC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480" w:type="dxa"/>
        <w:tblCellMar>
          <w:top w:w="0" w:type="dxa"/>
          <w:left w:w="0" w:type="dxa"/>
          <w:bottom w:w="0" w:type="dxa"/>
          <w:right w:w="0" w:type="dxa"/>
        </w:tblCellMar>
      </w:tblP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6"/>
              </w:rPr>
              <w:t>DELAWARE</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14-1682529</w:t>
            </w:r>
          </w:p>
        </w:tc>
      </w:tr>
      <w:tr>
        <w:trPr>
          <w:trHeight w:val="216"/>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(State or other jurisdiction of</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0"/>
              </w:rPr>
              <w:t>(I.R.S. Employer</w:t>
            </w:r>
          </w:p>
        </w:tc>
      </w:t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incorporation or organization)</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4"/>
              </w:rPr>
              <w:t>Identification No.)</w:t>
            </w:r>
          </w:p>
        </w:tc>
      </w:tr>
      <w:tr>
        <w:trPr>
          <w:trHeight w:val="420"/>
        </w:trPr>
        <w:tc>
          <w:tcPr>
            <w:tcW w:w="4660" w:type="dxa"/>
            <w:vAlign w:val="bottom"/>
          </w:tcPr>
          <w:p>
            <w:pPr>
              <w:jc w:val="center"/>
              <w:ind w:right="1792"/>
              <w:spacing w:after="0"/>
              <w:rPr>
                <w:sz w:val="20"/>
                <w:szCs w:val="20"/>
                <w:color w:val="auto"/>
              </w:rPr>
            </w:pPr>
            <w:r>
              <w:rPr>
                <w:rFonts w:ascii="Arial" w:cs="Arial" w:eastAsia="Arial" w:hAnsi="Arial"/>
                <w:sz w:val="18"/>
                <w:szCs w:val="18"/>
                <w:b w:val="1"/>
                <w:bCs w:val="1"/>
                <w:color w:val="auto"/>
                <w:w w:val="88"/>
              </w:rPr>
              <w:t>30 Rockefeller Plaza,</w:t>
            </w:r>
          </w:p>
        </w:tc>
        <w:tc>
          <w:tcPr>
            <w:tcW w:w="3200" w:type="dxa"/>
            <w:vAlign w:val="bottom"/>
          </w:tcPr>
          <w:p>
            <w:pPr>
              <w:spacing w:after="0"/>
              <w:rPr>
                <w:sz w:val="24"/>
                <w:szCs w:val="24"/>
                <w:color w:val="auto"/>
              </w:rPr>
            </w:pPr>
          </w:p>
        </w:tc>
      </w:tr>
      <w:tr>
        <w:trPr>
          <w:trHeight w:val="236"/>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2"/>
              </w:rPr>
              <w:t>New York, NY</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10112-0015</w:t>
            </w:r>
          </w:p>
        </w:tc>
      </w:tr>
      <w:tr>
        <w:trPr>
          <w:trHeight w:val="222"/>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90"/>
              </w:rPr>
              <w:t>(Address of principal executive offices)</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52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ind w:left="5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practical date: Not applicable</w:t>
      </w:r>
    </w:p>
    <w:p>
      <w:pPr>
        <w:spacing w:after="0" w:line="71"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20" w:type="dxa"/>
            <w:vAlign w:val="bottom"/>
            <w:gridSpan w:val="15"/>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6800" w:type="dxa"/>
            <w:vAlign w:val="bottom"/>
            <w:gridSpan w:val="9"/>
          </w:tcPr>
          <w:p>
            <w:pPr>
              <w:spacing w:after="0"/>
              <w:rPr>
                <w:sz w:val="12"/>
                <w:szCs w:val="12"/>
                <w:color w:val="auto"/>
              </w:rPr>
            </w:pPr>
          </w:p>
        </w:tc>
        <w:tc>
          <w:tcPr>
            <w:tcW w:w="138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940" w:type="dxa"/>
            <w:vAlign w:val="bottom"/>
            <w:gridSpan w:val="13"/>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 as of March 31, 2013 and December 31, 2012 (Unaudited)</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940" w:type="dxa"/>
            <w:vAlign w:val="bottom"/>
            <w:gridSpan w:val="13"/>
          </w:tcPr>
          <w:p>
            <w:pPr>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Condensed Consolidated Statement of Income for the Three Months Ended March 31, 2013 and 2012 (Unaudited)</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940" w:type="dxa"/>
            <w:vAlign w:val="bottom"/>
            <w:gridSpan w:val="13"/>
          </w:tcPr>
          <w:p>
            <w:pPr>
              <w:spacing w:after="0" w:line="129" w:lineRule="exact"/>
              <w:rPr>
                <w:rFonts w:ascii="Arial" w:cs="Arial" w:eastAsia="Arial" w:hAnsi="Arial"/>
                <w:sz w:val="14"/>
                <w:szCs w:val="14"/>
                <w:color w:val="0000EE"/>
                <w:w w:val="97"/>
              </w:rPr>
            </w:pPr>
            <w:hyperlink w:anchor="page5">
              <w:r>
                <w:rPr>
                  <w:rFonts w:ascii="Arial" w:cs="Arial" w:eastAsia="Arial" w:hAnsi="Arial"/>
                  <w:sz w:val="14"/>
                  <w:szCs w:val="14"/>
                  <w:color w:val="0000EE"/>
                  <w:w w:val="97"/>
                </w:rPr>
                <w:t>Condensed Consolidated Statement of Comprehensive Income for the Three Months Ended March 31, 2013 and 2012 (Unaudited)</w:t>
              </w:r>
            </w:hyperlink>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20" w:type="dxa"/>
            <w:vAlign w:val="bottom"/>
            <w:tcBorders>
              <w:top w:val="single" w:sz="8" w:color="0000EE"/>
              <w:bottom w:val="single" w:sz="8" w:color="0000EE"/>
            </w:tcBorders>
            <w:gridSpan w:val="10"/>
          </w:tcPr>
          <w:p>
            <w:pPr>
              <w:spacing w:after="0" w:line="129"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 of Cash Flows for the Three Months Ended March 31, 2013 and 2012 (Unaudited)</w:t>
              </w:r>
            </w:hyperlink>
          </w:p>
        </w:tc>
        <w:tc>
          <w:tcPr>
            <w:tcW w:w="640" w:type="dxa"/>
            <w:vAlign w:val="bottom"/>
            <w:tcBorders>
              <w:top w:val="single" w:sz="8" w:color="0000EE"/>
            </w:tcBorders>
            <w:gridSpan w:val="2"/>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940" w:type="dxa"/>
            <w:vAlign w:val="bottom"/>
            <w:gridSpan w:val="13"/>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Three Months Ended March 31, 2013 and 2012 (Unaudited)</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78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160" w:type="dxa"/>
            <w:vAlign w:val="bottom"/>
            <w:gridSpan w:val="2"/>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6"/>
          </w:tcPr>
          <w:p>
            <w:pPr>
              <w:spacing w:after="0" w:line="129" w:lineRule="exact"/>
              <w:rPr>
                <w:rFonts w:ascii="Arial" w:cs="Arial" w:eastAsia="Arial" w:hAnsi="Arial"/>
                <w:sz w:val="14"/>
                <w:szCs w:val="14"/>
                <w:color w:val="0000EE"/>
                <w:w w:val="88"/>
              </w:rPr>
            </w:pPr>
            <w:hyperlink w:anchor="page16">
              <w:r>
                <w:rPr>
                  <w:rFonts w:ascii="Arial" w:cs="Arial" w:eastAsia="Arial" w:hAnsi="Arial"/>
                  <w:sz w:val="14"/>
                  <w:szCs w:val="14"/>
                  <w:color w:val="0000EE"/>
                  <w:w w:val="88"/>
                </w:rPr>
                <w:t>Management’s Discussion and Analysis of Financial Condition and</w:t>
              </w:r>
            </w:hyperlink>
          </w:p>
        </w:tc>
        <w:tc>
          <w:tcPr>
            <w:tcW w:w="4260" w:type="dxa"/>
            <w:vAlign w:val="bottom"/>
            <w:gridSpan w:val="7"/>
          </w:tcPr>
          <w:p>
            <w:pPr>
              <w:spacing w:after="0" w:line="129" w:lineRule="exact"/>
              <w:rPr>
                <w:rFonts w:ascii="Arial" w:cs="Arial" w:eastAsia="Arial" w:hAnsi="Arial"/>
                <w:sz w:val="14"/>
                <w:szCs w:val="14"/>
                <w:color w:val="0000EE"/>
              </w:rPr>
            </w:pPr>
            <w:hyperlink w:anchor="page16">
              <w:r>
                <w:rPr>
                  <w:rFonts w:ascii="Arial" w:cs="Arial" w:eastAsia="Arial" w:hAnsi="Arial"/>
                  <w:sz w:val="14"/>
                  <w:szCs w:val="14"/>
                  <w:color w:val="0000EE"/>
                </w:rPr>
                <w:t>Results of Operations</w:t>
              </w:r>
            </w:hyperlink>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484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23">
              <w:r>
                <w:rPr>
                  <w:rFonts w:ascii="Arial" w:cs="Arial" w:eastAsia="Arial" w:hAnsi="Arial"/>
                  <w:sz w:val="14"/>
                  <w:szCs w:val="14"/>
                  <w:color w:val="0000EE"/>
                </w:rPr>
                <w:t>Controls and Procedures</w:t>
              </w:r>
            </w:hyperlink>
          </w:p>
        </w:tc>
        <w:tc>
          <w:tcPr>
            <w:tcW w:w="3100" w:type="dxa"/>
            <w:vAlign w:val="bottom"/>
            <w:gridSpan w:val="6"/>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29"/>
        </w:trPr>
        <w:tc>
          <w:tcPr>
            <w:tcW w:w="2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9"/>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7940" w:type="dxa"/>
            <w:vAlign w:val="bottom"/>
            <w:gridSpan w:val="13"/>
          </w:tcPr>
          <w:p>
            <w:pPr>
              <w:spacing w:after="0" w:line="148" w:lineRule="exact"/>
              <w:rPr>
                <w:rFonts w:ascii="Arial" w:cs="Arial" w:eastAsia="Arial" w:hAnsi="Arial"/>
                <w:sz w:val="14"/>
                <w:szCs w:val="14"/>
                <w:color w:val="0000EE"/>
              </w:rPr>
            </w:pPr>
            <w:hyperlink w:anchor="page24">
              <w:r>
                <w:rPr>
                  <w:rFonts w:ascii="Arial" w:cs="Arial" w:eastAsia="Arial" w:hAnsi="Arial"/>
                  <w:sz w:val="14"/>
                  <w:szCs w:val="14"/>
                  <w:color w:val="0000EE"/>
                </w:rPr>
                <w:t>Legal Proceedings</w:t>
              </w:r>
            </w:hyperlink>
          </w:p>
        </w:tc>
        <w:tc>
          <w:tcPr>
            <w:tcW w:w="1380" w:type="dxa"/>
            <w:vAlign w:val="bottom"/>
          </w:tcPr>
          <w:p>
            <w:pPr>
              <w:jc w:val="right"/>
              <w:spacing w:after="0" w:line="148"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Risk Factors</w:t>
              </w:r>
            </w:hyperlink>
          </w:p>
        </w:tc>
        <w:tc>
          <w:tcPr>
            <w:tcW w:w="6940" w:type="dxa"/>
            <w:vAlign w:val="bottom"/>
            <w:gridSpan w:val="10"/>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24">
              <w:r>
                <w:rPr>
                  <w:rFonts w:ascii="Arial" w:cs="Arial" w:eastAsia="Arial" w:hAnsi="Arial"/>
                  <w:sz w:val="14"/>
                  <w:szCs w:val="14"/>
                  <w:color w:val="0000EE"/>
                </w:rPr>
                <w:t>Exhibits</w:t>
              </w:r>
            </w:hyperlink>
          </w:p>
        </w:tc>
        <w:tc>
          <w:tcPr>
            <w:tcW w:w="7260" w:type="dxa"/>
            <w:vAlign w:val="bottom"/>
            <w:gridSpan w:val="11"/>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29"/>
        </w:trPr>
        <w:tc>
          <w:tcPr>
            <w:tcW w:w="2100" w:type="dxa"/>
            <w:vAlign w:val="bottom"/>
            <w:gridSpan w:val="3"/>
          </w:tcPr>
          <w:p>
            <w:pPr>
              <w:spacing w:after="0" w:line="129" w:lineRule="exact"/>
              <w:rPr>
                <w:rFonts w:ascii="Arial" w:cs="Arial" w:eastAsia="Arial" w:hAnsi="Arial"/>
                <w:sz w:val="14"/>
                <w:szCs w:val="14"/>
                <w:b w:val="1"/>
                <w:bCs w:val="1"/>
                <w:color w:val="0000EE"/>
              </w:rPr>
            </w:pPr>
            <w:hyperlink w:anchor="page26">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tcPr>
          <w:p>
            <w:pPr>
              <w:jc w:val="right"/>
              <w:spacing w:after="0" w:line="12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This Quarterly Report on Form 10-Q is for the three months ended March 31, 2013.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NBCUniversal Media, LLC and its consolidated subsidiaries as “NBCUniversal,” “we,” “us” and “our;” NBCUniversal, LLC as “NBCUniversal Holdings;” Comcast Corporation as “Comcast;” and General Electric Company as “GE.”</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55" w:lineRule="exact"/>
        <w:rPr>
          <w:sz w:val="20"/>
          <w:szCs w:val="20"/>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success depends on consumer acceptance of our content, which is difficult to predict, and our businesses may be adversely affected if our content fails to achieve sufficient consumer acceptance or our costs to create or acquire content increase</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800" w:type="dxa"/>
            <w:vAlign w:val="bottom"/>
            <w:gridSpan w:val="2"/>
          </w:tcPr>
          <w:p>
            <w:pPr>
              <w:ind w:left="1880"/>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r>
      <w:tr>
        <w:trPr>
          <w:trHeight w:val="173"/>
        </w:trPr>
        <w:tc>
          <w:tcPr>
            <w:tcW w:w="7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60" w:type="dxa"/>
            <w:vAlign w:val="bottom"/>
          </w:tcPr>
          <w:p>
            <w:pPr>
              <w:spacing w:after="0"/>
              <w:rPr>
                <w:sz w:val="15"/>
                <w:szCs w:val="15"/>
                <w:color w:val="auto"/>
              </w:rPr>
            </w:pPr>
          </w:p>
        </w:tc>
        <w:tc>
          <w:tcPr>
            <w:tcW w:w="840" w:type="dxa"/>
            <w:vAlign w:val="bottom"/>
          </w:tcPr>
          <w:p>
            <w:pPr>
              <w:jc w:val="right"/>
              <w:ind w:right="433"/>
              <w:spacing w:after="0"/>
              <w:rPr>
                <w:sz w:val="20"/>
                <w:szCs w:val="20"/>
                <w:color w:val="auto"/>
              </w:rPr>
            </w:pPr>
            <w:r>
              <w:rPr>
                <w:rFonts w:ascii="Arial" w:cs="Arial" w:eastAsia="Arial" w:hAnsi="Arial"/>
                <w:sz w:val="14"/>
                <w:szCs w:val="14"/>
                <w:color w:val="auto"/>
                <w:w w:val="96"/>
              </w:rPr>
              <w:t>2013</w:t>
            </w:r>
          </w:p>
        </w:tc>
        <w:tc>
          <w:tcPr>
            <w:tcW w:w="480" w:type="dxa"/>
            <w:vAlign w:val="bottom"/>
          </w:tcPr>
          <w:p>
            <w:pPr>
              <w:spacing w:after="0"/>
              <w:rPr>
                <w:sz w:val="15"/>
                <w:szCs w:val="15"/>
                <w:color w:val="auto"/>
              </w:rPr>
            </w:pPr>
          </w:p>
        </w:tc>
        <w:tc>
          <w:tcPr>
            <w:tcW w:w="700" w:type="dxa"/>
            <w:vAlign w:val="bottom"/>
          </w:tcPr>
          <w:p>
            <w:pPr>
              <w:jc w:val="right"/>
              <w:ind w:right="273"/>
              <w:spacing w:after="0"/>
              <w:rPr>
                <w:sz w:val="20"/>
                <w:szCs w:val="20"/>
                <w:color w:val="auto"/>
              </w:rPr>
            </w:pPr>
            <w:r>
              <w:rPr>
                <w:rFonts w:ascii="Arial" w:cs="Arial" w:eastAsia="Arial" w:hAnsi="Arial"/>
                <w:sz w:val="14"/>
                <w:szCs w:val="14"/>
                <w:color w:val="auto"/>
              </w:rPr>
              <w:t>2012</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960" w:type="dxa"/>
            <w:vAlign w:val="bottom"/>
            <w:shd w:val="clear" w:color="auto" w:fill="E5E5E5"/>
          </w:tcPr>
          <w:p>
            <w:pPr>
              <w:ind w:left="18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1,003</w:t>
            </w:r>
          </w:p>
        </w:tc>
        <w:tc>
          <w:tcPr>
            <w:tcW w:w="4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5,921</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3,831</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4,028</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840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844</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638</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607</w:t>
            </w: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6,312</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11,400</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4,643</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5,041</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Note receivable from Comcast</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Investments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1,293</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1,266</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$1,213 and $1,083</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6,792</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5,381</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14,780</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14,770</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 net of accumulated amortization of $3,432 and $3,238</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15,259</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15,420</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1,120</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1,184</w:t>
            </w:r>
          </w:p>
        </w:tc>
      </w:tr>
      <w:tr>
        <w:trPr>
          <w:trHeight w:val="217"/>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1960" w:type="dxa"/>
            <w:vAlign w:val="bottom"/>
            <w:tcBorders>
              <w:bottom w:val="single" w:sz="8" w:color="auto"/>
            </w:tcBorders>
            <w:shd w:val="clear" w:color="auto" w:fill="E5E5E5"/>
          </w:tcPr>
          <w:p>
            <w:pPr>
              <w:ind w:left="186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b w:val="1"/>
                <w:bCs w:val="1"/>
                <w:color w:val="auto"/>
                <w:w w:val="83"/>
              </w:rPr>
              <w:t>50,599</w:t>
            </w:r>
          </w:p>
        </w:tc>
        <w:tc>
          <w:tcPr>
            <w:tcW w:w="48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54,462</w:t>
            </w:r>
          </w:p>
        </w:tc>
      </w:tr>
      <w:tr>
        <w:trPr>
          <w:trHeight w:val="309"/>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960" w:type="dxa"/>
            <w:vAlign w:val="bottom"/>
          </w:tcPr>
          <w:p>
            <w:pPr>
              <w:ind w:left="18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2,038</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2,348</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1,469</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1,350</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Program obligations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488</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561</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1,148</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1,288</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19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5,948</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6,238</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11,145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11,231</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821</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862</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3,322</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3,746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128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28,890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31,900</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(87)</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28,803</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31,835</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432</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419</w:t>
            </w: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19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w w:val="83"/>
              </w:rPr>
              <w:t>29,235</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32,254</w:t>
            </w:r>
          </w:p>
        </w:tc>
      </w:tr>
      <w:tr>
        <w:trPr>
          <w:trHeight w:val="217"/>
        </w:trPr>
        <w:tc>
          <w:tcPr>
            <w:tcW w:w="2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96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83"/>
              </w:rPr>
              <w:t>50,599</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54,462</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3"/>
          </w:tcPr>
          <w:p>
            <w:pPr>
              <w:jc w:val="right"/>
              <w:ind w:right="253"/>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575"/>
              <w:spacing w:after="0" w:line="142"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540" w:type="dxa"/>
            <w:vAlign w:val="bottom"/>
          </w:tcPr>
          <w:p>
            <w:pPr>
              <w:jc w:val="right"/>
              <w:ind w:right="153"/>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w w:val="93"/>
              </w:rPr>
              <w:t>5,340</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93"/>
              </w:rPr>
              <w:t>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w w:val="93"/>
              </w:rPr>
              <w:t>2,701</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3"/>
              </w:rPr>
              <w:t>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w w:val="93"/>
              </w:rPr>
              <w:t>1,168</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w w:val="93"/>
              </w:rPr>
              <w:t>4,731</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4,971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11</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960" w:type="dxa"/>
            <w:vAlign w:val="bottom"/>
          </w:tcPr>
          <w:p>
            <w:pPr>
              <w:jc w:val="right"/>
              <w:ind w:right="435"/>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355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385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60" w:type="dxa"/>
            <w:vAlign w:val="bottom"/>
            <w:gridSpan w:val="3"/>
          </w:tcPr>
          <w:p>
            <w:pPr>
              <w:jc w:val="right"/>
              <w:ind w:right="315"/>
              <w:spacing w:after="0"/>
              <w:rPr>
                <w:sz w:val="20"/>
                <w:szCs w:val="20"/>
                <w:color w:val="auto"/>
              </w:rPr>
            </w:pPr>
            <w:r>
              <w:rPr>
                <w:rFonts w:ascii="Arial" w:cs="Arial" w:eastAsia="Arial" w:hAnsi="Arial"/>
                <w:sz w:val="14"/>
                <w:szCs w:val="14"/>
                <w:color w:val="auto"/>
              </w:rPr>
              <w:t>Three Months Ended</w:t>
            </w:r>
          </w:p>
        </w:tc>
      </w:tr>
      <w:tr>
        <w:trPr>
          <w:trHeight w:val="172"/>
        </w:trPr>
        <w:tc>
          <w:tcPr>
            <w:tcW w:w="8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w w:val="92"/>
              </w:rPr>
              <w:t>March 31</w:t>
            </w:r>
          </w:p>
        </w:tc>
        <w:tc>
          <w:tcPr>
            <w:tcW w:w="520" w:type="dxa"/>
            <w:vAlign w:val="bottom"/>
            <w:tcBorders>
              <w:bottom w:val="single" w:sz="8" w:color="auto"/>
            </w:tcBorders>
          </w:tcPr>
          <w:p>
            <w:pPr>
              <w:spacing w:after="0"/>
              <w:rPr>
                <w:sz w:val="14"/>
                <w:szCs w:val="14"/>
                <w:color w:val="auto"/>
              </w:rPr>
            </w:pPr>
          </w:p>
        </w:tc>
      </w:tr>
      <w:tr>
        <w:trPr>
          <w:trHeight w:val="143"/>
        </w:trPr>
        <w:tc>
          <w:tcPr>
            <w:tcW w:w="89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7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4"/>
                <w:szCs w:val="14"/>
                <w:color w:val="auto"/>
                <w:w w:val="83"/>
              </w:rPr>
              <w:t>2013</w:t>
            </w: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5"/>
              <w:spacing w:after="0" w:line="143" w:lineRule="exact"/>
              <w:rPr>
                <w:sz w:val="20"/>
                <w:szCs w:val="20"/>
                <w:color w:val="auto"/>
              </w:rPr>
            </w:pPr>
            <w:r>
              <w:rPr>
                <w:rFonts w:ascii="Arial" w:cs="Arial" w:eastAsia="Arial" w:hAnsi="Arial"/>
                <w:sz w:val="14"/>
                <w:szCs w:val="14"/>
                <w:color w:val="auto"/>
                <w:w w:val="89"/>
              </w:rPr>
              <w:t>2012</w:t>
            </w:r>
          </w:p>
        </w:tc>
      </w:tr>
      <w:tr>
        <w:trPr>
          <w:trHeight w:val="210"/>
        </w:trPr>
        <w:tc>
          <w:tcPr>
            <w:tcW w:w="89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411</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417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720" w:type="dxa"/>
            <w:vAlign w:val="bottom"/>
          </w:tcPr>
          <w:p>
            <w:pPr>
              <w:spacing w:after="0"/>
              <w:rPr>
                <w:sz w:val="18"/>
                <w:szCs w:val="18"/>
                <w:color w:val="auto"/>
              </w:rPr>
            </w:pP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940" w:type="dxa"/>
            <w:vAlign w:val="bottom"/>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7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7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r>
      <w:tr>
        <w:trPr>
          <w:trHeight w:val="216"/>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r>
      <w:tr>
        <w:trPr>
          <w:trHeight w:val="210"/>
        </w:trPr>
        <w:tc>
          <w:tcPr>
            <w:tcW w:w="894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389</w:t>
            </w:r>
          </w:p>
        </w:tc>
        <w:tc>
          <w:tcPr>
            <w:tcW w:w="7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418</w:t>
            </w:r>
          </w:p>
        </w:tc>
      </w:tr>
      <w:tr>
        <w:trPr>
          <w:trHeight w:val="216"/>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7"/>
        </w:trPr>
        <w:tc>
          <w:tcPr>
            <w:tcW w:w="8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333</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386</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2"/>
          </w:tcPr>
          <w:p>
            <w:pPr>
              <w:jc w:val="right"/>
              <w:ind w:right="27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1520" w:type="dxa"/>
            <w:vAlign w:val="bottom"/>
          </w:tcPr>
          <w:p>
            <w:pPr>
              <w:jc w:val="right"/>
              <w:ind w:right="595"/>
              <w:spacing w:after="0" w:line="142" w:lineRule="exact"/>
              <w:rPr>
                <w:sz w:val="20"/>
                <w:szCs w:val="20"/>
                <w:color w:val="auto"/>
              </w:rPr>
            </w:pPr>
            <w:r>
              <w:rPr>
                <w:rFonts w:ascii="Arial" w:cs="Arial" w:eastAsia="Arial" w:hAnsi="Arial"/>
                <w:sz w:val="14"/>
                <w:szCs w:val="14"/>
                <w:color w:val="auto"/>
              </w:rPr>
              <w:t>2013</w:t>
            </w:r>
          </w:p>
        </w:tc>
        <w:tc>
          <w:tcPr>
            <w:tcW w:w="66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520" w:type="dxa"/>
            <w:vAlign w:val="bottom"/>
            <w:tcBorders>
              <w:top w:val="single" w:sz="8" w:color="auto"/>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b w:val="1"/>
                <w:bCs w:val="1"/>
                <w:color w:val="auto"/>
              </w:rPr>
              <w:t>$ 1,105</w:t>
            </w:r>
          </w:p>
        </w:tc>
        <w:tc>
          <w:tcPr>
            <w:tcW w:w="66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$ 1,037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52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(263)</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(26)</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 of 30 Rockefeller Plaza properties</w:t>
            </w:r>
          </w:p>
        </w:tc>
        <w:tc>
          <w:tcPr>
            <w:tcW w:w="152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(1,311)</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Note receivable issued to Comcast</w:t>
            </w: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(400)</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52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(37)</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(9)</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52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(2,046)</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152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Repurchases and repayments of debt</w:t>
            </w: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(88)</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Redemption Transaction distribution</w:t>
            </w:r>
          </w:p>
        </w:tc>
        <w:tc>
          <w:tcPr>
            <w:tcW w:w="152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(3,200)</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(48)</w:t>
            </w: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Settlement of Station Venture liability</w:t>
            </w:r>
          </w:p>
        </w:tc>
        <w:tc>
          <w:tcPr>
            <w:tcW w:w="152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(602)</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(39)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52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(3,977)</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520" w:type="dxa"/>
            <w:vAlign w:val="bottom"/>
          </w:tcPr>
          <w:p>
            <w:pPr>
              <w:jc w:val="right"/>
              <w:ind w:right="375"/>
              <w:spacing w:after="0"/>
              <w:rPr>
                <w:sz w:val="20"/>
                <w:szCs w:val="20"/>
                <w:color w:val="auto"/>
              </w:rPr>
            </w:pPr>
            <w:r>
              <w:rPr>
                <w:rFonts w:ascii="Arial" w:cs="Arial" w:eastAsia="Arial" w:hAnsi="Arial"/>
                <w:sz w:val="18"/>
                <w:szCs w:val="18"/>
                <w:color w:val="auto"/>
              </w:rPr>
              <w:t>(4,918)</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52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rPr>
              <w:t>5,921</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$ 1,003</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$ 1,174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4600" w:type="dxa"/>
            <w:vAlign w:val="bottom"/>
          </w:tcPr>
          <w:p>
            <w:pPr>
              <w:spacing w:after="0"/>
              <w:rPr>
                <w:sz w:val="12"/>
                <w:szCs w:val="12"/>
                <w:color w:val="auto"/>
              </w:rPr>
            </w:pPr>
          </w:p>
        </w:tc>
        <w:tc>
          <w:tcPr>
            <w:tcW w:w="1760" w:type="dxa"/>
            <w:vAlign w:val="bottom"/>
            <w:tcBorders>
              <w:right w:val="single" w:sz="8" w:color="auto"/>
            </w:tcBorders>
            <w:gridSpan w:val="2"/>
          </w:tcPr>
          <w:p>
            <w:pPr>
              <w:jc w:val="right"/>
              <w:ind w:right="674"/>
              <w:spacing w:after="0" w:line="149" w:lineRule="exact"/>
              <w:rPr>
                <w:sz w:val="20"/>
                <w:szCs w:val="20"/>
                <w:color w:val="auto"/>
              </w:rPr>
            </w:pPr>
            <w:r>
              <w:rPr>
                <w:rFonts w:ascii="Arial" w:cs="Arial" w:eastAsia="Arial" w:hAnsi="Arial"/>
                <w:sz w:val="14"/>
                <w:szCs w:val="14"/>
                <w:color w:val="auto"/>
              </w:rPr>
              <w:t>Redeemable</w:t>
            </w: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center"/>
              <w:ind w:right="415"/>
              <w:spacing w:after="0" w:line="149" w:lineRule="exact"/>
              <w:rPr>
                <w:sz w:val="20"/>
                <w:szCs w:val="20"/>
                <w:color w:val="auto"/>
              </w:rPr>
            </w:pPr>
            <w:r>
              <w:rPr>
                <w:rFonts w:ascii="Arial" w:cs="Arial" w:eastAsia="Arial" w:hAnsi="Arial"/>
                <w:sz w:val="14"/>
                <w:szCs w:val="14"/>
                <w:color w:val="auto"/>
                <w:w w:val="91"/>
              </w:rPr>
              <w:t>Other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4600" w:type="dxa"/>
            <w:vAlign w:val="bottom"/>
          </w:tcPr>
          <w:p>
            <w:pPr>
              <w:spacing w:after="0"/>
              <w:rPr>
                <w:sz w:val="12"/>
                <w:szCs w:val="12"/>
                <w:color w:val="auto"/>
              </w:rPr>
            </w:pPr>
          </w:p>
        </w:tc>
        <w:tc>
          <w:tcPr>
            <w:tcW w:w="176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132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Member’s</w:t>
            </w:r>
          </w:p>
        </w:tc>
        <w:tc>
          <w:tcPr>
            <w:tcW w:w="14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Comprehensive</w:t>
            </w: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Noncontrolling</w:t>
            </w:r>
          </w:p>
        </w:tc>
        <w:tc>
          <w:tcPr>
            <w:tcW w:w="940" w:type="dxa"/>
            <w:vAlign w:val="bottom"/>
          </w:tcPr>
          <w:p>
            <w:pPr>
              <w:jc w:val="right"/>
              <w:ind w:right="175"/>
              <w:spacing w:after="0" w:line="149" w:lineRule="exact"/>
              <w:rPr>
                <w:sz w:val="20"/>
                <w:szCs w:val="20"/>
                <w:color w:val="auto"/>
              </w:rPr>
            </w:pPr>
            <w:r>
              <w:rPr>
                <w:rFonts w:ascii="Arial" w:cs="Arial" w:eastAsia="Arial" w:hAnsi="Arial"/>
                <w:sz w:val="14"/>
                <w:szCs w:val="14"/>
                <w:color w:val="auto"/>
              </w:rPr>
              <w:t>Total</w:t>
            </w:r>
          </w:p>
        </w:tc>
      </w:tr>
      <w:tr>
        <w:trPr>
          <w:trHeight w:val="159"/>
        </w:trPr>
        <w:tc>
          <w:tcPr>
            <w:tcW w:w="46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jc w:val="right"/>
              <w:ind w:right="774"/>
              <w:spacing w:after="0" w:line="159" w:lineRule="exact"/>
              <w:rPr>
                <w:sz w:val="20"/>
                <w:szCs w:val="20"/>
                <w:color w:val="auto"/>
              </w:rPr>
            </w:pPr>
            <w:r>
              <w:rPr>
                <w:rFonts w:ascii="Arial" w:cs="Arial" w:eastAsia="Arial" w:hAnsi="Arial"/>
                <w:sz w:val="14"/>
                <w:szCs w:val="14"/>
                <w:color w:val="auto"/>
                <w:w w:val="89"/>
              </w:rPr>
              <w:t>Interests</w:t>
            </w:r>
          </w:p>
        </w:tc>
        <w:tc>
          <w:tcPr>
            <w:tcW w:w="1320" w:type="dxa"/>
            <w:vAlign w:val="bottom"/>
            <w:tcBorders>
              <w:bottom w:val="single" w:sz="8" w:color="auto"/>
            </w:tcBorders>
          </w:tcPr>
          <w:p>
            <w:pPr>
              <w:jc w:val="right"/>
              <w:ind w:right="315"/>
              <w:spacing w:after="0" w:line="159" w:lineRule="exact"/>
              <w:rPr>
                <w:sz w:val="20"/>
                <w:szCs w:val="20"/>
                <w:color w:val="auto"/>
              </w:rPr>
            </w:pPr>
            <w:r>
              <w:rPr>
                <w:rFonts w:ascii="Arial" w:cs="Arial" w:eastAsia="Arial" w:hAnsi="Arial"/>
                <w:sz w:val="14"/>
                <w:szCs w:val="14"/>
                <w:color w:val="auto"/>
              </w:rPr>
              <w:t>Capital</w:t>
            </w:r>
          </w:p>
        </w:tc>
        <w:tc>
          <w:tcPr>
            <w:tcW w:w="142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Income (Loss)</w:t>
            </w: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4"/>
              <w:spacing w:after="0" w:line="159" w:lineRule="exact"/>
              <w:rPr>
                <w:sz w:val="20"/>
                <w:szCs w:val="20"/>
                <w:color w:val="auto"/>
              </w:rPr>
            </w:pPr>
            <w:r>
              <w:rPr>
                <w:rFonts w:ascii="Arial" w:cs="Arial" w:eastAsia="Arial" w:hAnsi="Arial"/>
                <w:sz w:val="14"/>
                <w:szCs w:val="14"/>
                <w:color w:val="auto"/>
                <w:w w:val="89"/>
              </w:rPr>
              <w:t>Interests</w:t>
            </w:r>
          </w:p>
        </w:tc>
        <w:tc>
          <w:tcPr>
            <w:tcW w:w="940" w:type="dxa"/>
            <w:vAlign w:val="bottom"/>
            <w:tcBorders>
              <w:bottom w:val="single" w:sz="8" w:color="auto"/>
            </w:tcBorders>
          </w:tcPr>
          <w:p>
            <w:pPr>
              <w:jc w:val="right"/>
              <w:ind w:right="135"/>
              <w:spacing w:after="0" w:line="159" w:lineRule="exact"/>
              <w:rPr>
                <w:sz w:val="20"/>
                <w:szCs w:val="20"/>
                <w:color w:val="auto"/>
              </w:rPr>
            </w:pPr>
            <w:r>
              <w:rPr>
                <w:rFonts w:ascii="Arial" w:cs="Arial" w:eastAsia="Arial" w:hAnsi="Arial"/>
                <w:sz w:val="14"/>
                <w:szCs w:val="14"/>
                <w:color w:val="auto"/>
              </w:rPr>
              <w:t>Equity</w:t>
            </w:r>
          </w:p>
        </w:tc>
      </w:tr>
      <w:tr>
        <w:trPr>
          <w:trHeight w:val="210"/>
        </w:trPr>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2012</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184</w:t>
            </w:r>
          </w:p>
        </w:tc>
        <w:tc>
          <w:tcPr>
            <w:tcW w:w="13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$29,798</w:t>
            </w:r>
          </w:p>
        </w:tc>
        <w:tc>
          <w:tcPr>
            <w:tcW w:w="4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(78)</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361</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$30,081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Compensation plans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w:t>
            </w:r>
          </w:p>
        </w:tc>
      </w:tr>
      <w:tr>
        <w:trPr>
          <w:trHeight w:val="208"/>
        </w:trPr>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w w:val="96"/>
              </w:rPr>
              <w:t>Contributions from (distributions to) noncontrolling interests,</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r>
      <w:tr>
        <w:trPr>
          <w:trHeight w:val="224"/>
        </w:trPr>
        <w:tc>
          <w:tcPr>
            <w:tcW w:w="46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net</w:t>
            </w:r>
          </w:p>
        </w:tc>
        <w:tc>
          <w:tcPr>
            <w:tcW w:w="400" w:type="dxa"/>
            <w:vAlign w:val="bottom"/>
            <w:shd w:val="clear" w:color="auto" w:fill="E5E5E5"/>
          </w:tcPr>
          <w:p>
            <w:pPr>
              <w:spacing w:after="0"/>
              <w:rPr>
                <w:sz w:val="19"/>
                <w:szCs w:val="19"/>
                <w:color w:val="auto"/>
              </w:rPr>
            </w:pPr>
          </w:p>
        </w:tc>
        <w:tc>
          <w:tcPr>
            <w:tcW w:w="136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(47)</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5"/>
              </w:rPr>
              <w:t>Purchases of subsidiary shares from noncontrolling interests</w:t>
            </w:r>
          </w:p>
        </w:tc>
        <w:tc>
          <w:tcPr>
            <w:tcW w:w="400" w:type="dxa"/>
            <w:vAlign w:val="bottom"/>
          </w:tcPr>
          <w:p>
            <w:pPr>
              <w:spacing w:after="0"/>
              <w:rPr>
                <w:sz w:val="18"/>
                <w:szCs w:val="18"/>
                <w:color w:val="auto"/>
              </w:rPr>
            </w:pPr>
          </w:p>
        </w:tc>
        <w:tc>
          <w:tcPr>
            <w:tcW w:w="136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(47)</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4</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(24)</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w:t>
            </w:r>
          </w:p>
        </w:tc>
      </w:tr>
      <w:tr>
        <w:trPr>
          <w:trHeight w:val="216"/>
        </w:trPr>
        <w:tc>
          <w:tcPr>
            <w:tcW w:w="4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8</w:t>
            </w:r>
          </w:p>
        </w:tc>
        <w:tc>
          <w:tcPr>
            <w:tcW w:w="13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385</w:t>
            </w:r>
          </w:p>
        </w:tc>
        <w:tc>
          <w:tcPr>
            <w:tcW w:w="4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24</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409</w:t>
            </w:r>
          </w:p>
        </w:tc>
      </w:tr>
      <w:tr>
        <w:trPr>
          <w:trHeight w:val="217"/>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2012</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135</w:t>
            </w: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$30,190</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(77)</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314</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$30,427</w:t>
            </w:r>
          </w:p>
        </w:tc>
      </w:tr>
      <w:tr>
        <w:trPr>
          <w:trHeight w:val="216"/>
        </w:trPr>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2013</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131</w:t>
            </w:r>
          </w:p>
        </w:tc>
        <w:tc>
          <w:tcPr>
            <w:tcW w:w="13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$31,900</w:t>
            </w:r>
          </w:p>
        </w:tc>
        <w:tc>
          <w:tcPr>
            <w:tcW w:w="4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(65)</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419</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$32,254</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Compensation plans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w:t>
            </w:r>
          </w:p>
        </w:tc>
      </w:tr>
      <w:tr>
        <w:trPr>
          <w:trHeight w:val="216"/>
        </w:trPr>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(3,200)</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(3,200)</w:t>
            </w:r>
          </w:p>
        </w:tc>
      </w:tr>
      <w:tr>
        <w:trPr>
          <w:trHeight w:val="208"/>
        </w:trPr>
        <w:tc>
          <w:tcPr>
            <w:tcW w:w="4600" w:type="dxa"/>
            <w:vAlign w:val="bottom"/>
          </w:tcPr>
          <w:p>
            <w:pPr>
              <w:spacing w:after="0"/>
              <w:rPr>
                <w:sz w:val="20"/>
                <w:szCs w:val="20"/>
                <w:color w:val="auto"/>
              </w:rPr>
            </w:pPr>
            <w:r>
              <w:rPr>
                <w:rFonts w:ascii="Arial" w:cs="Arial" w:eastAsia="Arial" w:hAnsi="Arial"/>
                <w:sz w:val="18"/>
                <w:szCs w:val="18"/>
                <w:color w:val="auto"/>
                <w:w w:val="96"/>
              </w:rPr>
              <w:t>Contributions from (distributions to) noncontrolling interests,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4600" w:type="dxa"/>
            <w:vAlign w:val="bottom"/>
          </w:tcPr>
          <w:p>
            <w:pPr>
              <w:ind w:left="220"/>
              <w:spacing w:after="0"/>
              <w:rPr>
                <w:sz w:val="20"/>
                <w:szCs w:val="20"/>
                <w:color w:val="auto"/>
              </w:rPr>
            </w:pPr>
            <w:r>
              <w:rPr>
                <w:rFonts w:ascii="Arial" w:cs="Arial" w:eastAsia="Arial" w:hAnsi="Arial"/>
                <w:sz w:val="18"/>
                <w:szCs w:val="18"/>
                <w:color w:val="auto"/>
              </w:rPr>
              <w:t>net</w:t>
            </w:r>
          </w:p>
        </w:tc>
        <w:tc>
          <w:tcPr>
            <w:tcW w:w="400" w:type="dxa"/>
            <w:vAlign w:val="bottom"/>
          </w:tcPr>
          <w:p>
            <w:pPr>
              <w:spacing w:after="0"/>
              <w:rPr>
                <w:sz w:val="19"/>
                <w:szCs w:val="19"/>
                <w:color w:val="auto"/>
              </w:rPr>
            </w:pPr>
          </w:p>
        </w:tc>
        <w:tc>
          <w:tcPr>
            <w:tcW w:w="136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(9)</w:t>
            </w: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(39)</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8"/>
        </w:trPr>
        <w:tc>
          <w:tcPr>
            <w:tcW w:w="46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(172)</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2</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355</w:t>
            </w:r>
          </w:p>
        </w:tc>
        <w:tc>
          <w:tcPr>
            <w:tcW w:w="4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50</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405</w:t>
            </w:r>
          </w:p>
        </w:tc>
      </w:tr>
      <w:tr>
        <w:trPr>
          <w:trHeight w:val="217"/>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2013</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128</w:t>
            </w: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$28,890</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(87)</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432</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$29,235</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2012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to conform to classifications used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Significant Transactions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2013, Comcast acquired GE’s 49% common equity interest in NBCUniversal Holdings for approximately $16.7 billion (the “Redemption Transaction”). In addition to this transaction, we purchased from GE certain properties we occupy at 30 Rockefeller Plaza in New York City and CNBC’s headquarters in Englewood Cliffs, New Jersey for approximately $1.4 billion.</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consideration for these transactions consisted of $11.4 billion of cash on hand (of which we funded $4.6 billion); $4 billion of senior debt securities issued by NBCUniversal Enterprise, Inc. (“NBCUniversal Enterprise”), a holding company whose principal assets are its interests in NBCUniversal Holdings; $750 million of cash funded through Comcast’s commercial paper program; $1.25 billion of borrowings under NBCUniversal Enterprise’s credit facility, which has replaced our credit facility; and $725 million aggregate liquidation preference of Series A cumulative preferred stock of NBCUniversal Enterprise. After the close of the transaction, GE sold the interests in NBCUniversal Enterprise’s senior debt securities and preferred stock it acquired in the Redemption Transaction to unaffiliated third parties.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close of the Redemption Transaction, Comcast owns 96% of NBCUniversal Holdings’ common units and NBCUniversal Enterprise owns the remaining 4%. NBCUniversal Enterprise is now a consolidated subsidiary of Comcast, but we do not have any ownership interests in NBCUniversal Enterprise. NBCUniversal Enterprise also owns all of NBCUniversal Holdings’ newly issued preferred units with a $9.4 billion aggregate liquidation preference. NBCUniversal Holdings is required to make payments to NBCUniversal Enterprise at an initial rate of 8.25% per annum on the $9.4 billion aggregate liquidation preference of the preferred units payable quarterly beginning on June 1, 2013. On March 1, 2018, and thereafter on every fifth anniversary of such date, this rate will reset to 7.44% plus the yield on actively traded United States Treasury securities having a five year maturity. NBCUniversal Holdings has the right to redeem all of the preferred units during the thirty day period beginning on March 1, 2018, and NBCUniversal Enterprise has the right to cause NBCUniversal Holdings to redeem 15% of its preferred units during the thirty day period beginning on March 19, 2020. The price and units in a redemption initiated by either party will be based on the liquidation preference plus accrued but unpaid dividends, adjusted, in the case of an exercise of NBCUniversal Enterprise’s right, to the extent the equity value of NBCUniversal Holdings is less than the liquidation preference. Our cash flows will be the primary source of funding the required payments for the NBCUniversal Holdings preferred units.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Related Party Transactions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ordinary course of our business, we enter into transactions with Comcast. Following the close of the Redemption Transaction and the subsequent sale of NBCUniversal Enterprise’s preferred stock and senior notes by GE to unaffiliated third parties, we no longer consider GE to be a related party. We generate revenue from Comcast primarily from the distribution of our cable network programming and, to a lesser extent, the sale of advertising and our owned programming, and we incur expenses primarily related to various support services provided by Comcast to us.</w:t>
      </w:r>
    </w:p>
    <w:p>
      <w:pPr>
        <w:spacing w:after="0" w:line="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19, 2013, as part of the Comcast cash management process, we and Comcast entered into a revolving credit agreement, under which we can borrow up to $3 billion from Comcast and Comcast can borrow up to $3 billion from us. Amounts owed by Comcast to us under the revolving credit agreement are presented under the caption “note receivable from Comcast” in our condensed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The interest rate on the note receivable from Comcast as of March 31, 2013 was 1.28%.</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transactions with Comcast and its consolidated subsidiaries that are included in our condensed consolidated financial statements. The amounts related to transactions with GE and its consolidated subsidiaries, other than the transactions discussed in Note 2, were not material for the periods presented.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2"/>
          </w:tcPr>
          <w:p>
            <w:pPr>
              <w:ind w:left="400"/>
              <w:spacing w:after="0"/>
              <w:rPr>
                <w:sz w:val="20"/>
                <w:szCs w:val="20"/>
                <w:color w:val="auto"/>
              </w:rPr>
            </w:pPr>
            <w:r>
              <w:rPr>
                <w:rFonts w:ascii="Arial" w:cs="Arial" w:eastAsia="Arial" w:hAnsi="Arial"/>
                <w:sz w:val="14"/>
                <w:szCs w:val="14"/>
                <w:color w:val="auto"/>
              </w:rPr>
              <w:t>March 31,</w:t>
            </w: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w w:val="95"/>
              </w:rPr>
              <w:t>December 31,</w:t>
            </w:r>
          </w:p>
        </w:tc>
      </w:tr>
      <w:tr>
        <w:trPr>
          <w:trHeight w:val="173"/>
        </w:trPr>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color w:val="auto"/>
                <w:w w:val="89"/>
              </w:rPr>
              <w:t>2013</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2012</w:t>
            </w:r>
          </w:p>
        </w:tc>
      </w:tr>
      <w:tr>
        <w:trPr>
          <w:trHeight w:val="210"/>
        </w:trPr>
        <w:tc>
          <w:tcPr>
            <w:tcW w:w="812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Receivables, net</w:t>
            </w:r>
          </w:p>
        </w:tc>
        <w:tc>
          <w:tcPr>
            <w:tcW w:w="660" w:type="dxa"/>
            <w:vAlign w:val="bottom"/>
          </w:tcPr>
          <w:p>
            <w:pPr>
              <w:spacing w:after="0"/>
              <w:rPr>
                <w:sz w:val="18"/>
                <w:szCs w:val="18"/>
                <w:color w:val="auto"/>
              </w:rPr>
            </w:pP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1"/>
              <w:spacing w:after="0"/>
              <w:rPr>
                <w:sz w:val="20"/>
                <w:szCs w:val="20"/>
                <w:color w:val="auto"/>
              </w:rPr>
            </w:pPr>
            <w:r>
              <w:rPr>
                <w:rFonts w:ascii="Arial" w:cs="Arial" w:eastAsia="Arial" w:hAnsi="Arial"/>
                <w:sz w:val="18"/>
                <w:szCs w:val="18"/>
                <w:color w:val="auto"/>
              </w:rPr>
              <w:t>209</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204</w:t>
            </w:r>
          </w:p>
        </w:tc>
      </w:tr>
      <w:tr>
        <w:trPr>
          <w:trHeight w:val="216"/>
        </w:trPr>
        <w:tc>
          <w:tcPr>
            <w:tcW w:w="81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Note receivable from Comcast</w:t>
            </w: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ind w:left="3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5E5E5"/>
          </w:tcPr>
          <w:p>
            <w:pPr>
              <w:jc w:val="right"/>
              <w:ind w:right="541"/>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60" w:type="dxa"/>
            <w:vAlign w:val="bottom"/>
          </w:tcPr>
          <w:p>
            <w:pPr>
              <w:spacing w:after="0"/>
              <w:rPr>
                <w:sz w:val="18"/>
                <w:szCs w:val="18"/>
                <w:color w:val="auto"/>
              </w:rPr>
            </w:pP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1"/>
              <w:spacing w:after="0"/>
              <w:rPr>
                <w:sz w:val="20"/>
                <w:szCs w:val="20"/>
                <w:color w:val="auto"/>
              </w:rPr>
            </w:pPr>
            <w:r>
              <w:rPr>
                <w:rFonts w:ascii="Arial" w:cs="Arial" w:eastAsia="Arial" w:hAnsi="Arial"/>
                <w:sz w:val="18"/>
                <w:szCs w:val="18"/>
                <w:color w:val="auto"/>
              </w:rPr>
              <w:t>62</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25</w:t>
            </w:r>
          </w:p>
        </w:tc>
      </w:tr>
      <w:tr>
        <w:trPr>
          <w:trHeight w:val="216"/>
        </w:trPr>
        <w:tc>
          <w:tcPr>
            <w:tcW w:w="812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5E5E5"/>
          </w:tcPr>
          <w:p>
            <w:pPr>
              <w:jc w:val="right"/>
              <w:ind w:right="541"/>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w:t>
            </w:r>
          </w:p>
        </w:tc>
      </w:tr>
      <w:tr>
        <w:trPr>
          <w:trHeight w:val="397"/>
        </w:trPr>
        <w:tc>
          <w:tcPr>
            <w:tcW w:w="8120" w:type="dxa"/>
            <w:vAlign w:val="bottom"/>
            <w:gridSpan w:val="2"/>
          </w:tcPr>
          <w:p>
            <w:pPr>
              <w:ind w:left="3760"/>
              <w:spacing w:after="0"/>
              <w:rPr>
                <w:sz w:val="20"/>
                <w:szCs w:val="20"/>
                <w:color w:val="auto"/>
              </w:rPr>
            </w:pPr>
            <w:r>
              <w:rPr>
                <w:rFonts w:ascii="Arial" w:cs="Arial" w:eastAsia="Arial" w:hAnsi="Arial"/>
                <w:sz w:val="18"/>
                <w:szCs w:val="18"/>
                <w:b w:val="1"/>
                <w:bCs w:val="1"/>
                <w:color w:val="auto"/>
              </w:rPr>
              <w:t>Condensed Consolidated Statement of Income</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1"/>
        </w:trPr>
        <w:tc>
          <w:tcPr>
            <w:tcW w:w="7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w w:val="99"/>
              </w:rPr>
              <w:t>Three Months Ended</w:t>
            </w:r>
          </w:p>
        </w:tc>
        <w:tc>
          <w:tcPr>
            <w:tcW w:w="720" w:type="dxa"/>
            <w:vAlign w:val="bottom"/>
          </w:tcPr>
          <w:p>
            <w:pPr>
              <w:spacing w:after="0"/>
              <w:rPr>
                <w:sz w:val="22"/>
                <w:szCs w:val="22"/>
                <w:color w:val="auto"/>
              </w:rPr>
            </w:pPr>
          </w:p>
        </w:tc>
      </w:tr>
      <w:tr>
        <w:trPr>
          <w:trHeight w:val="173"/>
        </w:trPr>
        <w:tc>
          <w:tcPr>
            <w:tcW w:w="76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March 31</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42"/>
        </w:trPr>
        <w:tc>
          <w:tcPr>
            <w:tcW w:w="76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7"/>
              <w:spacing w:after="0" w:line="143" w:lineRule="exact"/>
              <w:rPr>
                <w:sz w:val="20"/>
                <w:szCs w:val="20"/>
                <w:color w:val="auto"/>
              </w:rPr>
            </w:pPr>
            <w:r>
              <w:rPr>
                <w:rFonts w:ascii="Arial" w:cs="Arial" w:eastAsia="Arial" w:hAnsi="Arial"/>
                <w:sz w:val="14"/>
                <w:szCs w:val="14"/>
                <w:color w:val="auto"/>
              </w:rPr>
              <w:t>2012</w:t>
            </w:r>
          </w:p>
        </w:tc>
      </w:tr>
      <w:tr>
        <w:trPr>
          <w:trHeight w:val="210"/>
        </w:trPr>
        <w:tc>
          <w:tcPr>
            <w:tcW w:w="812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6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812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81"/>
              <w:spacing w:after="0"/>
              <w:rPr>
                <w:sz w:val="20"/>
                <w:szCs w:val="20"/>
                <w:color w:val="auto"/>
              </w:rPr>
            </w:pPr>
            <w:r>
              <w:rPr>
                <w:rFonts w:ascii="Arial" w:cs="Arial" w:eastAsia="Arial" w:hAnsi="Arial"/>
                <w:sz w:val="18"/>
                <w:szCs w:val="18"/>
                <w:color w:val="auto"/>
              </w:rPr>
              <w:t>352</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320</w:t>
            </w:r>
          </w:p>
        </w:tc>
      </w:tr>
      <w:tr>
        <w:trPr>
          <w:trHeight w:val="216"/>
        </w:trPr>
        <w:tc>
          <w:tcPr>
            <w:tcW w:w="812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gridSpan w:val="2"/>
            <w:shd w:val="clear" w:color="auto" w:fill="E5E5E5"/>
          </w:tcPr>
          <w:p>
            <w:pPr>
              <w:jc w:val="right"/>
              <w:ind w:right="821"/>
              <w:spacing w:after="0"/>
              <w:rPr>
                <w:sz w:val="20"/>
                <w:szCs w:val="20"/>
                <w:color w:val="auto"/>
              </w:rPr>
            </w:pPr>
            <w:r>
              <w:rPr>
                <w:rFonts w:ascii="Arial" w:cs="Arial" w:eastAsia="Arial" w:hAnsi="Arial"/>
                <w:sz w:val="18"/>
                <w:szCs w:val="18"/>
                <w:color w:val="auto"/>
              </w:rPr>
              <w:t>(62)</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74"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In addition to the transactions above, we make distributions to NBCUniversal Holdings on a periodic basis to enable its indirect owners to meet their obligations to pay taxes on taxable income generated by our businesses. We also will make quarterly distributions to NBCUniversal Holdings to enable it to make its required quarterly payments at an initial annual rate of 8.25% on the $9.4 billion aggregate liquidation preference of preferred units. Following the close of the Redemption Transaction, none of these distributions to NBCUniversal Holdings will be attributable to GE.</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Redemption Transaction, we also made a distribution of $3.2 billion to NBCUniversal Holdings to fund a portion of the Redemption Transaction. This distribution is presented separately in our condensed consolidated statement of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000" w:type="dxa"/>
            <w:vAlign w:val="bottom"/>
            <w:gridSpan w:val="2"/>
          </w:tcPr>
          <w:p>
            <w:pPr>
              <w:ind w:left="3060"/>
              <w:spacing w:after="0"/>
              <w:rPr>
                <w:sz w:val="20"/>
                <w:szCs w:val="20"/>
                <w:color w:val="auto"/>
              </w:rPr>
            </w:pPr>
            <w:r>
              <w:rPr>
                <w:rFonts w:ascii="Arial" w:cs="Arial" w:eastAsia="Arial" w:hAnsi="Arial"/>
                <w:sz w:val="14"/>
                <w:szCs w:val="14"/>
                <w:color w:val="auto"/>
              </w:rPr>
              <w:t>March 31,</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73"/>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w w:val="89"/>
              </w:rPr>
              <w:t>2013</w:t>
            </w: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2012</w:t>
            </w:r>
          </w:p>
        </w:tc>
      </w:tr>
      <w:tr>
        <w:trPr>
          <w:trHeight w:val="210"/>
        </w:trPr>
        <w:tc>
          <w:tcPr>
            <w:tcW w:w="6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180" w:type="dxa"/>
            <w:vAlign w:val="bottom"/>
          </w:tcPr>
          <w:p>
            <w:pPr>
              <w:ind w:left="30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4"/>
              <w:spacing w:after="0"/>
              <w:rPr>
                <w:sz w:val="20"/>
                <w:szCs w:val="20"/>
                <w:color w:val="auto"/>
              </w:rPr>
            </w:pPr>
            <w:r>
              <w:rPr>
                <w:rFonts w:ascii="Arial" w:cs="Arial" w:eastAsia="Arial" w:hAnsi="Arial"/>
                <w:sz w:val="18"/>
                <w:szCs w:val="18"/>
                <w:color w:val="auto"/>
                <w:w w:val="93"/>
              </w:rPr>
              <w:t>1,362</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1,472</w:t>
            </w:r>
          </w:p>
        </w:tc>
      </w:tr>
      <w:tr>
        <w:trPr>
          <w:trHeight w:val="216"/>
        </w:trPr>
        <w:tc>
          <w:tcPr>
            <w:tcW w:w="6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151</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99</w:t>
            </w:r>
          </w:p>
        </w:tc>
      </w:tr>
      <w:tr>
        <w:trPr>
          <w:trHeight w:val="216"/>
        </w:trPr>
        <w:tc>
          <w:tcPr>
            <w:tcW w:w="6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849</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1,048</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2,362</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2,619</w:t>
            </w: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1,065</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1,124</w:t>
            </w:r>
          </w:p>
        </w:tc>
      </w:tr>
      <w:tr>
        <w:trPr>
          <w:trHeight w:val="216"/>
        </w:trPr>
        <w:tc>
          <w:tcPr>
            <w:tcW w:w="6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320</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334</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1,385</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1,458</w:t>
            </w: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3"/>
              </w:rPr>
              <w:t>1,736</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1,808</w:t>
            </w:r>
          </w:p>
        </w:tc>
      </w:tr>
      <w:tr>
        <w:trPr>
          <w:trHeight w:val="210"/>
        </w:trPr>
        <w:tc>
          <w:tcPr>
            <w:tcW w:w="6200" w:type="dxa"/>
            <w:vAlign w:val="bottom"/>
            <w:shd w:val="clear" w:color="auto" w:fill="E5E5E5"/>
          </w:tcPr>
          <w:p>
            <w:pPr>
              <w:spacing w:after="0"/>
              <w:rPr>
                <w:sz w:val="18"/>
                <w:szCs w:val="18"/>
                <w:color w:val="auto"/>
              </w:rPr>
            </w:pPr>
          </w:p>
        </w:tc>
        <w:tc>
          <w:tcPr>
            <w:tcW w:w="31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5,483</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5,885</w:t>
            </w: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840</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844</w:t>
            </w:r>
          </w:p>
        </w:tc>
      </w:tr>
      <w:tr>
        <w:trPr>
          <w:trHeight w:val="217"/>
        </w:trPr>
        <w:tc>
          <w:tcPr>
            <w:tcW w:w="6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180" w:type="dxa"/>
            <w:vAlign w:val="bottom"/>
            <w:tcBorders>
              <w:bottom w:val="single" w:sz="8" w:color="auto"/>
            </w:tcBorders>
            <w:shd w:val="clear" w:color="auto" w:fill="E5E5E5"/>
          </w:tcPr>
          <w:p>
            <w:pPr>
              <w:ind w:left="306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b w:val="1"/>
                <w:bCs w:val="1"/>
                <w:color w:val="auto"/>
                <w:w w:val="93"/>
              </w:rPr>
              <w:t>4,643</w:t>
            </w:r>
          </w:p>
        </w:tc>
        <w:tc>
          <w:tcPr>
            <w:tcW w:w="5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5,041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560" w:type="dxa"/>
            <w:vAlign w:val="bottom"/>
            <w:gridSpan w:val="2"/>
          </w:tcPr>
          <w:p>
            <w:pPr>
              <w:ind w:left="3640"/>
              <w:spacing w:after="0"/>
              <w:rPr>
                <w:sz w:val="20"/>
                <w:szCs w:val="20"/>
                <w:color w:val="auto"/>
              </w:rPr>
            </w:pPr>
            <w:r>
              <w:rPr>
                <w:rFonts w:ascii="Arial" w:cs="Arial" w:eastAsia="Arial" w:hAnsi="Arial"/>
                <w:sz w:val="14"/>
                <w:szCs w:val="14"/>
                <w:color w:val="auto"/>
              </w:rPr>
              <w:t>March 31,</w:t>
            </w: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w w:val="95"/>
              </w:rPr>
              <w:t>December 31,</w:t>
            </w:r>
          </w:p>
        </w:tc>
      </w:tr>
      <w:tr>
        <w:trPr>
          <w:trHeight w:val="173"/>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7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w w:val="89"/>
              </w:rPr>
              <w:t>2013</w:t>
            </w: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2012</w:t>
            </w:r>
          </w:p>
        </w:tc>
      </w:tr>
      <w:tr>
        <w:trPr>
          <w:trHeight w:val="210"/>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3740" w:type="dxa"/>
            <w:vAlign w:val="bottom"/>
            <w:shd w:val="clear" w:color="auto" w:fill="E5E5E5"/>
          </w:tcPr>
          <w:p>
            <w:pPr>
              <w:ind w:left="36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17</w:t>
            </w:r>
          </w:p>
        </w:tc>
        <w:tc>
          <w:tcPr>
            <w:tcW w:w="54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Equity Method:</w:t>
            </w:r>
          </w:p>
        </w:tc>
        <w:tc>
          <w:tcPr>
            <w:tcW w:w="3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6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37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474</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471</w:t>
            </w:r>
          </w:p>
        </w:tc>
      </w:tr>
      <w:tr>
        <w:trPr>
          <w:trHeight w:val="216"/>
        </w:trPr>
        <w:tc>
          <w:tcPr>
            <w:tcW w:w="5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572</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545</w:t>
            </w:r>
          </w:p>
        </w:tc>
      </w:tr>
      <w:tr>
        <w:trPr>
          <w:trHeight w:val="210"/>
        </w:trPr>
        <w:tc>
          <w:tcPr>
            <w:tcW w:w="5620" w:type="dxa"/>
            <w:vAlign w:val="bottom"/>
            <w:shd w:val="clear" w:color="auto" w:fill="E5E5E5"/>
          </w:tcPr>
          <w:p>
            <w:pPr>
              <w:spacing w:after="0"/>
              <w:rPr>
                <w:sz w:val="18"/>
                <w:szCs w:val="18"/>
                <w:color w:val="auto"/>
              </w:rPr>
            </w:pPr>
          </w:p>
        </w:tc>
        <w:tc>
          <w:tcPr>
            <w:tcW w:w="37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w w:val="97"/>
              </w:rPr>
              <w:t>1,046</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1,016</w:t>
            </w:r>
          </w:p>
        </w:tc>
      </w:tr>
      <w:tr>
        <w:trPr>
          <w:trHeight w:val="216"/>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3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230</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229</w:t>
            </w:r>
          </w:p>
        </w:tc>
      </w:tr>
      <w:tr>
        <w:trPr>
          <w:trHeight w:val="217"/>
        </w:trPr>
        <w:tc>
          <w:tcPr>
            <w:tcW w:w="5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investments</w:t>
            </w:r>
          </w:p>
        </w:tc>
        <w:tc>
          <w:tcPr>
            <w:tcW w:w="3740" w:type="dxa"/>
            <w:vAlign w:val="bottom"/>
            <w:tcBorders>
              <w:bottom w:val="single" w:sz="8" w:color="auto"/>
            </w:tcBorders>
            <w:shd w:val="clear" w:color="auto" w:fill="E5E5E5"/>
          </w:tcPr>
          <w:p>
            <w:pPr>
              <w:ind w:left="362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w w:val="97"/>
              </w:rPr>
              <w:t>1,293</w:t>
            </w:r>
          </w:p>
        </w:tc>
        <w:tc>
          <w:tcPr>
            <w:tcW w:w="54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1,266</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previously held an equity interest in Station Venture Holdings, LLC (“Station Venture”), a nonconsolidated variable interest entity, and the remaining equity interests in Station Venture were held by LIN TV, Corp. Station Venture was the obligor on an $816 million senior secured note (the “Station Venture note”) that was due in 2023 to General Electric Capital Corporation (“GECC”) as servicer. The Station Venture note, among other things, was collateralized by substantially all of the assets of Station Venture and Station Venture Operations, LP (“Station LP”). Station LP was a less than wholly owned consolidated subsidiary of ours. In connection with Comcast’s acquisition of its controlling interest in NBCUniversal Holdings on January 28, 2011, a liability of $482 million was recorded to noncurrent liabilities in Comcast’s allocation of purchase price, which represented the fair value of the net assets of Station LP. In February 2013, Comcast closed an agreement with GE, GECC and LIN TV under which, among other things, we purchased the Station Venture note from GECC for $602 million, representing the agreed upon fair value of the assets of Station LP. As of the closing date of the transaction, the $482 million recorded liability was effectively settled and Station Venture and Station LP became wholly owned subsidiaries. We now consolidate Station Venture and the Station Venture note is eliminated in consolidation. Due to the related party nature of this transaction, the excess of the purchase price of the Station Venture note over the recorded amount of the liability was recorded to member’s capital.</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Other Debt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2013, our debt had an estimated fair value of $12.4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Redemption Transaction, on March 19, 2013, NBCUniversal Enterprise amended and restated our existing credit agreement to, among other things, substitute NBCUniversal Enterprise for us as the sole borrower to the revolving credit facility. As a result, we no longer have a revolving credit facility with third-party banks. Following the amendments to our credit agreement, our commercial paper program was terminated. In March 2013, we entered into a revolving credit agreement with Comcast. See Note 3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March 27, 2013, we, Comcast and four of Comcast’s wholly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a result, we guaranteed $30.6 billion of outstanding debt securities of Comcast and the cable guarantors as of March 31, 2013. In March 2013, we also fully and unconditionally guaranteed the $6.25 billion Comcast revolving credit facility.</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however, guarantee the obligations of NBCUniversal Enterprise with respect to its $4 billion aggregate principal amount of senior notes, $1.35 billion credit facility or $725 million liquidation preference of Series A cumulative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Fair Value as of</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775"/>
              <w:spacing w:after="0" w:line="142" w:lineRule="exact"/>
              <w:rPr>
                <w:sz w:val="20"/>
                <w:szCs w:val="20"/>
                <w:color w:val="auto"/>
              </w:rPr>
            </w:pPr>
            <w:r>
              <w:rPr>
                <w:rFonts w:ascii="Arial" w:cs="Arial" w:eastAsia="Arial" w:hAnsi="Arial"/>
                <w:sz w:val="14"/>
                <w:szCs w:val="14"/>
                <w:color w:val="auto"/>
              </w:rPr>
              <w:t>March 31, 2013</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w w:val="92"/>
              </w:rPr>
              <w:t>December 31, 2012</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gridSpan w:val="2"/>
          </w:tcPr>
          <w:p>
            <w:pPr>
              <w:ind w:left="500"/>
              <w:spacing w:after="0" w:line="142" w:lineRule="exact"/>
              <w:rPr>
                <w:sz w:val="20"/>
                <w:szCs w:val="20"/>
                <w:color w:val="auto"/>
              </w:rPr>
            </w:pPr>
            <w:r>
              <w:rPr>
                <w:rFonts w:ascii="Arial" w:cs="Arial" w:eastAsia="Arial" w:hAnsi="Arial"/>
                <w:sz w:val="14"/>
                <w:szCs w:val="14"/>
                <w:color w:val="auto"/>
              </w:rPr>
              <w:t>Level 1</w:t>
            </w:r>
          </w:p>
        </w:tc>
        <w:tc>
          <w:tcPr>
            <w:tcW w:w="1060" w:type="dxa"/>
            <w:vAlign w:val="bottom"/>
            <w:tcBorders>
              <w:bottom w:val="single" w:sz="8" w:color="auto"/>
            </w:tcBorders>
            <w:gridSpan w:val="2"/>
          </w:tcPr>
          <w:p>
            <w:pPr>
              <w:jc w:val="right"/>
              <w:ind w:right="235"/>
              <w:spacing w:after="0" w:line="142" w:lineRule="exact"/>
              <w:rPr>
                <w:sz w:val="20"/>
                <w:szCs w:val="20"/>
                <w:color w:val="auto"/>
              </w:rPr>
            </w:pPr>
            <w:r>
              <w:rPr>
                <w:rFonts w:ascii="Arial" w:cs="Arial" w:eastAsia="Arial" w:hAnsi="Arial"/>
                <w:sz w:val="14"/>
                <w:szCs w:val="14"/>
                <w:color w:val="auto"/>
              </w:rPr>
              <w:t>Level 2</w:t>
            </w:r>
          </w:p>
        </w:tc>
        <w:tc>
          <w:tcPr>
            <w:tcW w:w="1300" w:type="dxa"/>
            <w:vAlign w:val="bottom"/>
            <w:tcBorders>
              <w:bottom w:val="single" w:sz="8" w:color="auto"/>
            </w:tcBorders>
            <w:gridSpan w:val="2"/>
          </w:tcPr>
          <w:p>
            <w:pPr>
              <w:jc w:val="right"/>
              <w:ind w:right="475"/>
              <w:spacing w:after="0" w:line="142" w:lineRule="exact"/>
              <w:rPr>
                <w:sz w:val="20"/>
                <w:szCs w:val="20"/>
                <w:color w:val="auto"/>
              </w:rPr>
            </w:pPr>
            <w:r>
              <w:rPr>
                <w:rFonts w:ascii="Arial" w:cs="Arial" w:eastAsia="Arial" w:hAnsi="Arial"/>
                <w:sz w:val="14"/>
                <w:szCs w:val="14"/>
                <w:color w:val="auto"/>
              </w:rPr>
              <w:t>Level 3</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color w:val="auto"/>
                <w:w w:val="89"/>
              </w:rPr>
              <w:t>Total</w:t>
            </w: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5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5"/>
              <w:spacing w:after="0"/>
              <w:rPr>
                <w:sz w:val="20"/>
                <w:szCs w:val="20"/>
                <w:color w:val="auto"/>
              </w:rPr>
            </w:pPr>
            <w:r>
              <w:rPr>
                <w:rFonts w:ascii="Arial" w:cs="Arial" w:eastAsia="Arial" w:hAnsi="Arial"/>
                <w:sz w:val="18"/>
                <w:szCs w:val="18"/>
                <w:color w:val="auto"/>
              </w:rPr>
              <w:t>27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5"/>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5"/>
              <w:spacing w:after="0"/>
              <w:rPr>
                <w:sz w:val="20"/>
                <w:szCs w:val="20"/>
                <w:color w:val="auto"/>
              </w:rPr>
            </w:pPr>
            <w:r>
              <w:rPr>
                <w:rFonts w:ascii="Arial" w:cs="Arial" w:eastAsia="Arial" w:hAnsi="Arial"/>
                <w:sz w:val="18"/>
                <w:szCs w:val="18"/>
                <w:color w:val="auto"/>
              </w:rPr>
              <w:t>27</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56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660" w:type="dxa"/>
            <w:vAlign w:val="bottom"/>
            <w:shd w:val="clear" w:color="auto" w:fill="E5E5E5"/>
          </w:tcPr>
          <w:p>
            <w:pPr>
              <w:spacing w:after="0"/>
              <w:rPr>
                <w:sz w:val="18"/>
                <w:szCs w:val="18"/>
                <w:color w:val="auto"/>
              </w:rPr>
            </w:pPr>
          </w:p>
        </w:tc>
        <w:tc>
          <w:tcPr>
            <w:tcW w:w="5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17</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17</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17</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5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61</w:t>
            </w:r>
          </w:p>
        </w:tc>
        <w:tc>
          <w:tcPr>
            <w:tcW w:w="5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9"/>
        </w:trPr>
        <w:tc>
          <w:tcPr>
            <w:tcW w:w="5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66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w w:val="84"/>
              </w:rPr>
              <w:t>1,080</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88"/>
              </w:rPr>
              <w:t>1,080</w:t>
            </w:r>
          </w:p>
        </w:tc>
        <w:tc>
          <w:tcPr>
            <w:tcW w:w="5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18</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5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w w:val="84"/>
              </w:rPr>
              <w:t>1,080</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88"/>
              </w:rPr>
              <w:t>1,098</w:t>
            </w:r>
          </w:p>
        </w:tc>
        <w:tc>
          <w:tcPr>
            <w:tcW w:w="5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contractual obligations in the table above are primarily based on certain expected future discounted cash flows, the determination of which involves the use of significant unobservable inputs. The most significant unobservable inputs we use are our estimates of the future revenue we expect to generate from certain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our entities. The discount rates used in the measurements of fair value were between 11% and 14% and are based on the underlying risk associated with our estimate of future revenue, as well as the terms of the respective contracts. The fair value adjustments to these contractual obligations are sensitive to the assumptions related to future revenue, as well as to current interest rates, and therefore, the adjustments are recorded to other income (expense), net in our condensed consolidated statement of income.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40" w:type="dxa"/>
            <w:vAlign w:val="bottom"/>
          </w:tcPr>
          <w:p>
            <w:pPr>
              <w:spacing w:after="0"/>
              <w:rPr>
                <w:sz w:val="20"/>
                <w:szCs w:val="20"/>
                <w:color w:val="auto"/>
              </w:rPr>
            </w:pPr>
          </w:p>
        </w:tc>
        <w:tc>
          <w:tcPr>
            <w:tcW w:w="8280" w:type="dxa"/>
            <w:vAlign w:val="bottom"/>
          </w:tcPr>
          <w:p>
            <w:pPr>
              <w:jc w:val="right"/>
              <w:ind w:right="4132"/>
              <w:spacing w:after="0"/>
              <w:rPr>
                <w:sz w:val="20"/>
                <w:szCs w:val="20"/>
                <w:color w:val="auto"/>
              </w:rPr>
            </w:pPr>
            <w:r>
              <w:rPr>
                <w:rFonts w:ascii="Arial" w:cs="Arial" w:eastAsia="Arial" w:hAnsi="Arial"/>
                <w:sz w:val="18"/>
                <w:szCs w:val="18"/>
                <w:b w:val="1"/>
                <w:bCs w:val="1"/>
                <w:color w:val="auto"/>
              </w:rPr>
              <w:t>Changes in Contractual Obligations</w:t>
            </w:r>
          </w:p>
        </w:tc>
      </w:tr>
      <w:tr>
        <w:trPr>
          <w:trHeight w:val="367"/>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280" w:type="dxa"/>
            <w:vAlign w:val="bottom"/>
            <w:tcBorders>
              <w:bottom w:val="single" w:sz="8" w:color="auto"/>
            </w:tcBorders>
          </w:tcPr>
          <w:p>
            <w:pPr>
              <w:spacing w:after="0"/>
              <w:rPr>
                <w:sz w:val="24"/>
                <w:szCs w:val="24"/>
                <w:color w:val="auto"/>
              </w:rPr>
            </w:pPr>
          </w:p>
        </w:tc>
      </w:tr>
      <w:tr>
        <w:trPr>
          <w:trHeight w:val="210"/>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2012</w:t>
            </w:r>
          </w:p>
        </w:tc>
        <w:tc>
          <w:tcPr>
            <w:tcW w:w="82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$1,055</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Fair value adjustments</w:t>
            </w:r>
          </w:p>
        </w:tc>
        <w:tc>
          <w:tcPr>
            <w:tcW w:w="828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3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8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w:t>
            </w:r>
          </w:p>
        </w:tc>
      </w:tr>
      <w:tr>
        <w:trPr>
          <w:trHeight w:val="21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2013</w:t>
            </w:r>
          </w:p>
        </w:tc>
        <w:tc>
          <w:tcPr>
            <w:tcW w:w="8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$1,080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assets and liabilities that we are required to record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fair value of a production is determined using Level 3 inputs, primarily an analysis of future expected cash flows. Adjustments to capitalized film production costs of $66 million and $25 million were recorded during the three months ended March 31, 2013 and 2012,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restricted share units (“RSUs”) to certain employees and directors as part of its approach to long-term incentive compensation. Certain of our employees participate in these plans and the expense associated with their participation is settled in cash with Comcast.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Expense—Comcast Equity Awards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gridSpan w:val="2"/>
          </w:tcPr>
          <w:p>
            <w:pPr>
              <w:jc w:val="right"/>
              <w:ind w:right="79"/>
              <w:spacing w:after="0"/>
              <w:rPr>
                <w:sz w:val="20"/>
                <w:szCs w:val="20"/>
                <w:color w:val="auto"/>
              </w:rPr>
            </w:pPr>
            <w:r>
              <w:rPr>
                <w:rFonts w:ascii="Arial" w:cs="Arial" w:eastAsia="Arial" w:hAnsi="Arial"/>
                <w:sz w:val="14"/>
                <w:szCs w:val="14"/>
                <w:color w:val="auto"/>
              </w:rPr>
              <w:t>Three Months Ended</w:t>
            </w:r>
          </w:p>
        </w:tc>
        <w:tc>
          <w:tcPr>
            <w:tcW w:w="720" w:type="dxa"/>
            <w:vAlign w:val="bottom"/>
          </w:tcPr>
          <w:p>
            <w:pPr>
              <w:spacing w:after="0"/>
              <w:rPr>
                <w:sz w:val="14"/>
                <w:szCs w:val="14"/>
                <w:color w:val="auto"/>
              </w:rPr>
            </w:pPr>
          </w:p>
        </w:tc>
      </w:tr>
      <w:tr>
        <w:trPr>
          <w:trHeight w:val="172"/>
        </w:trPr>
        <w:tc>
          <w:tcPr>
            <w:tcW w:w="76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4"/>
                <w:szCs w:val="14"/>
                <w:color w:val="auto"/>
              </w:rPr>
            </w:pPr>
          </w:p>
        </w:tc>
      </w:tr>
      <w:tr>
        <w:trPr>
          <w:trHeight w:val="143"/>
        </w:trPr>
        <w:tc>
          <w:tcPr>
            <w:tcW w:w="76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9"/>
              <w:spacing w:after="0" w:line="143" w:lineRule="exact"/>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6"/>
              <w:spacing w:after="0" w:line="143" w:lineRule="exact"/>
              <w:rPr>
                <w:sz w:val="20"/>
                <w:szCs w:val="20"/>
                <w:color w:val="auto"/>
              </w:rPr>
            </w:pPr>
            <w:r>
              <w:rPr>
                <w:rFonts w:ascii="Arial" w:cs="Arial" w:eastAsia="Arial" w:hAnsi="Arial"/>
                <w:sz w:val="14"/>
                <w:szCs w:val="14"/>
                <w:color w:val="auto"/>
              </w:rPr>
              <w:t>2012</w:t>
            </w:r>
          </w:p>
        </w:tc>
      </w:tr>
      <w:tr>
        <w:trPr>
          <w:trHeight w:val="210"/>
        </w:trPr>
        <w:tc>
          <w:tcPr>
            <w:tcW w:w="762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59"/>
              <w:spacing w:after="0"/>
              <w:rPr>
                <w:sz w:val="20"/>
                <w:szCs w:val="20"/>
                <w:color w:val="auto"/>
              </w:rPr>
            </w:pPr>
            <w:r>
              <w:rPr>
                <w:rFonts w:ascii="Arial" w:cs="Arial" w:eastAsia="Arial" w:hAnsi="Arial"/>
                <w:sz w:val="18"/>
                <w:szCs w:val="18"/>
                <w:color w:val="auto"/>
              </w:rPr>
              <w:t>3</w:t>
            </w:r>
          </w:p>
        </w:tc>
        <w:tc>
          <w:tcPr>
            <w:tcW w:w="114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Restricted share units</w:t>
            </w:r>
          </w:p>
        </w:tc>
        <w:tc>
          <w:tcPr>
            <w:tcW w:w="11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6</w:t>
            </w:r>
          </w:p>
        </w:tc>
      </w:tr>
      <w:tr>
        <w:trPr>
          <w:trHeight w:val="216"/>
        </w:trPr>
        <w:tc>
          <w:tcPr>
            <w:tcW w:w="7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11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9"/>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w:t>
            </w:r>
          </w:p>
        </w:tc>
      </w:tr>
      <w:tr>
        <w:trPr>
          <w:trHeight w:val="217"/>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12</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5520" w:type="dxa"/>
            <w:vAlign w:val="bottom"/>
            <w:gridSpan w:val="2"/>
          </w:tcPr>
          <w:p>
            <w:pPr>
              <w:ind w:left="4600"/>
              <w:spacing w:after="0"/>
              <w:rPr>
                <w:sz w:val="20"/>
                <w:szCs w:val="20"/>
                <w:color w:val="auto"/>
              </w:rPr>
            </w:pPr>
            <w:r>
              <w:rPr>
                <w:rFonts w:ascii="Arial" w:cs="Arial" w:eastAsia="Arial" w:hAnsi="Arial"/>
                <w:sz w:val="14"/>
                <w:szCs w:val="14"/>
                <w:color w:val="auto"/>
              </w:rPr>
              <w:t>March 31,</w:t>
            </w: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w w:val="95"/>
              </w:rPr>
              <w:t>December 31,</w:t>
            </w:r>
          </w:p>
        </w:tc>
      </w:tr>
      <w:tr>
        <w:trPr>
          <w:trHeight w:val="173"/>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w w:val="89"/>
              </w:rPr>
              <w:t>2013</w:t>
            </w: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2012</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4700" w:type="dxa"/>
            <w:vAlign w:val="bottom"/>
            <w:shd w:val="clear" w:color="auto" w:fill="E5E5E5"/>
          </w:tcPr>
          <w:p>
            <w:pPr>
              <w:ind w:left="45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w w:val="97"/>
              </w:rPr>
              <w:t>4,172</w:t>
            </w:r>
          </w:p>
        </w:tc>
        <w:tc>
          <w:tcPr>
            <w:tcW w:w="54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4,381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4700" w:type="dxa"/>
            <w:vAlign w:val="bottom"/>
          </w:tcPr>
          <w:p>
            <w:pPr>
              <w:spacing w:after="0"/>
              <w:rPr>
                <w:sz w:val="18"/>
                <w:szCs w:val="18"/>
                <w:color w:val="auto"/>
              </w:rPr>
            </w:pPr>
          </w:p>
        </w:tc>
        <w:tc>
          <w:tcPr>
            <w:tcW w:w="820" w:type="dxa"/>
            <w:vAlign w:val="bottom"/>
          </w:tcPr>
          <w:p>
            <w:pPr>
              <w:jc w:val="right"/>
              <w:ind w:right="276"/>
              <w:spacing w:after="0"/>
              <w:rPr>
                <w:sz w:val="20"/>
                <w:szCs w:val="20"/>
                <w:color w:val="auto"/>
              </w:rPr>
            </w:pPr>
            <w:r>
              <w:rPr>
                <w:rFonts w:ascii="Arial" w:cs="Arial" w:eastAsia="Arial" w:hAnsi="Arial"/>
                <w:sz w:val="18"/>
                <w:szCs w:val="18"/>
                <w:color w:val="auto"/>
              </w:rPr>
              <w:t>289</w:t>
            </w:r>
          </w:p>
        </w:tc>
        <w:tc>
          <w:tcPr>
            <w:tcW w:w="5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307</w:t>
            </w:r>
          </w:p>
        </w:tc>
      </w:tr>
      <w:tr>
        <w:trPr>
          <w:trHeight w:val="216"/>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47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52</w:t>
            </w:r>
          </w:p>
        </w:tc>
        <w:tc>
          <w:tcPr>
            <w:tcW w:w="5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46</w:t>
            </w:r>
          </w:p>
        </w:tc>
      </w:tr>
      <w:tr>
        <w:trPr>
          <w:trHeight w:val="21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470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w w:val="97"/>
              </w:rPr>
              <w:t>3,831</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4,028</w:t>
            </w:r>
          </w:p>
        </w:tc>
      </w:tr>
      <w:tr>
        <w:trPr>
          <w:trHeight w:val="363"/>
        </w:trPr>
        <w:tc>
          <w:tcPr>
            <w:tcW w:w="4660" w:type="dxa"/>
            <w:vAlign w:val="bottom"/>
          </w:tcPr>
          <w:p>
            <w:pPr>
              <w:spacing w:after="0"/>
              <w:rPr>
                <w:sz w:val="24"/>
                <w:szCs w:val="24"/>
                <w:color w:val="auto"/>
              </w:rPr>
            </w:pPr>
          </w:p>
        </w:tc>
        <w:tc>
          <w:tcPr>
            <w:tcW w:w="4700" w:type="dxa"/>
            <w:vAlign w:val="bottom"/>
          </w:tcPr>
          <w:p>
            <w:pPr>
              <w:jc w:val="right"/>
              <w:ind w:right="3457"/>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2"/>
          </w:tcPr>
          <w:p>
            <w:pPr>
              <w:jc w:val="right"/>
              <w:ind w:right="696"/>
              <w:spacing w:after="0"/>
              <w:rPr>
                <w:sz w:val="20"/>
                <w:szCs w:val="20"/>
                <w:color w:val="auto"/>
              </w:rPr>
            </w:pPr>
            <w:r>
              <w:rPr>
                <w:rFonts w:ascii="Arial" w:cs="Arial" w:eastAsia="Arial" w:hAnsi="Arial"/>
                <w:sz w:val="14"/>
                <w:szCs w:val="14"/>
                <w:color w:val="auto"/>
              </w:rPr>
              <w:t>March 31,</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March 31,</w:t>
            </w:r>
          </w:p>
        </w:tc>
      </w:tr>
      <w:tr>
        <w:trPr>
          <w:trHeight w:val="173"/>
        </w:trPr>
        <w:tc>
          <w:tcPr>
            <w:tcW w:w="7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836"/>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96"/>
              </w:rPr>
              <w:t>2012</w:t>
            </w:r>
          </w:p>
        </w:tc>
      </w:tr>
      <w:tr>
        <w:trPr>
          <w:trHeight w:val="210"/>
        </w:trPr>
        <w:tc>
          <w:tcPr>
            <w:tcW w:w="79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derivative financial instruments</w:t>
            </w: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696"/>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jc w:val="right"/>
              <w:ind w:right="636"/>
              <w:spacing w:after="0"/>
              <w:rPr>
                <w:sz w:val="20"/>
                <w:szCs w:val="20"/>
                <w:color w:val="auto"/>
              </w:rPr>
            </w:pPr>
            <w:r>
              <w:rPr>
                <w:rFonts w:ascii="Arial" w:cs="Arial" w:eastAsia="Arial" w:hAnsi="Arial"/>
                <w:sz w:val="18"/>
                <w:szCs w:val="18"/>
                <w:color w:val="auto"/>
                <w:w w:val="87"/>
              </w:rPr>
              <w:t>(50)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9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9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636"/>
              <w:spacing w:after="0"/>
              <w:rPr>
                <w:sz w:val="20"/>
                <w:szCs w:val="20"/>
                <w:color w:val="auto"/>
              </w:rPr>
            </w:pPr>
            <w:r>
              <w:rPr>
                <w:rFonts w:ascii="Arial" w:cs="Arial" w:eastAsia="Arial" w:hAnsi="Arial"/>
                <w:sz w:val="18"/>
                <w:szCs w:val="18"/>
                <w:color w:val="auto"/>
                <w:w w:val="87"/>
              </w:rPr>
              <w:t>(37)</w:t>
            </w:r>
          </w:p>
        </w:tc>
        <w:tc>
          <w:tcPr>
            <w:tcW w:w="1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7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87"/>
              </w:rPr>
              <w:t>(87)</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r>
      <w:tr>
        <w:trPr>
          <w:trHeight w:val="403"/>
        </w:trPr>
        <w:tc>
          <w:tcPr>
            <w:tcW w:w="7940" w:type="dxa"/>
            <w:vAlign w:val="bottom"/>
            <w:gridSpan w:val="2"/>
          </w:tcPr>
          <w:p>
            <w:pPr>
              <w:ind w:left="3960"/>
              <w:spacing w:after="0"/>
              <w:rPr>
                <w:sz w:val="20"/>
                <w:szCs w:val="20"/>
                <w:color w:val="auto"/>
              </w:rPr>
            </w:pPr>
            <w:r>
              <w:rPr>
                <w:rFonts w:ascii="Arial" w:cs="Arial" w:eastAsia="Arial" w:hAnsi="Arial"/>
                <w:sz w:val="18"/>
                <w:szCs w:val="18"/>
                <w:b w:val="1"/>
                <w:bCs w:val="1"/>
                <w:color w:val="auto"/>
              </w:rPr>
              <w:t>Net Cash Provided by Operating Activities</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1"/>
        </w:trPr>
        <w:tc>
          <w:tcPr>
            <w:tcW w:w="7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7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March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3"/>
        </w:trPr>
        <w:tc>
          <w:tcPr>
            <w:tcW w:w="794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8"/>
              <w:spacing w:after="0" w:line="143" w:lineRule="exact"/>
              <w:rPr>
                <w:sz w:val="20"/>
                <w:szCs w:val="20"/>
                <w:color w:val="auto"/>
              </w:rPr>
            </w:pPr>
            <w:r>
              <w:rPr>
                <w:rFonts w:ascii="Arial" w:cs="Arial" w:eastAsia="Arial" w:hAnsi="Arial"/>
                <w:sz w:val="14"/>
                <w:szCs w:val="14"/>
                <w:color w:val="auto"/>
              </w:rPr>
              <w:t>2013</w:t>
            </w:r>
          </w:p>
        </w:tc>
        <w:tc>
          <w:tcPr>
            <w:tcW w:w="10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100"/>
              <w:spacing w:after="0" w:line="143" w:lineRule="exact"/>
              <w:rPr>
                <w:sz w:val="20"/>
                <w:szCs w:val="20"/>
                <w:color w:val="auto"/>
              </w:rPr>
            </w:pPr>
            <w:r>
              <w:rPr>
                <w:rFonts w:ascii="Arial" w:cs="Arial" w:eastAsia="Arial" w:hAnsi="Arial"/>
                <w:sz w:val="14"/>
                <w:szCs w:val="14"/>
                <w:color w:val="auto"/>
              </w:rPr>
              <w:t>2012</w:t>
            </w:r>
          </w:p>
        </w:tc>
      </w:tr>
      <w:tr>
        <w:trPr>
          <w:trHeight w:val="210"/>
        </w:trPr>
        <w:tc>
          <w:tcPr>
            <w:tcW w:w="79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411</w:t>
            </w:r>
          </w:p>
        </w:tc>
        <w:tc>
          <w:tcPr>
            <w:tcW w:w="10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417</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9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344</w:t>
            </w:r>
          </w:p>
        </w:tc>
        <w:tc>
          <w:tcPr>
            <w:tcW w:w="10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312</w:t>
            </w: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92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1,956</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2,146</w:t>
            </w:r>
          </w:p>
        </w:tc>
      </w:tr>
      <w:tr>
        <w:trPr>
          <w:trHeight w:val="216"/>
        </w:trPr>
        <w:tc>
          <w:tcPr>
            <w:tcW w:w="79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Noncash compensation expense</w:t>
            </w: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7</w:t>
            </w:r>
          </w:p>
        </w:tc>
        <w:tc>
          <w:tcPr>
            <w:tcW w:w="10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w:t>
            </w: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Equity in net income of investees, net</w:t>
            </w: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9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72</w:t>
            </w: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92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9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9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current and noncurrent receivables, net</w:t>
            </w: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204</w:t>
            </w:r>
          </w:p>
        </w:tc>
        <w:tc>
          <w:tcPr>
            <w:tcW w:w="10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Change in film and television costs</w:t>
            </w:r>
          </w:p>
        </w:tc>
        <w:tc>
          <w:tcPr>
            <w:tcW w:w="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(1,567)</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(1,941)</w:t>
            </w:r>
          </w:p>
        </w:tc>
      </w:tr>
      <w:tr>
        <w:trPr>
          <w:trHeight w:val="216"/>
        </w:trPr>
        <w:tc>
          <w:tcPr>
            <w:tcW w:w="79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920" w:type="dxa"/>
            <w:vAlign w:val="bottom"/>
            <w:shd w:val="clear" w:color="auto" w:fill="E5E5E5"/>
          </w:tcPr>
          <w:p>
            <w:pPr>
              <w:spacing w:after="0"/>
              <w:rPr>
                <w:sz w:val="18"/>
                <w:szCs w:val="18"/>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(283)</w:t>
            </w:r>
          </w:p>
        </w:tc>
        <w:tc>
          <w:tcPr>
            <w:tcW w:w="10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w:t>
            </w:r>
          </w:p>
        </w:tc>
      </w:tr>
      <w:tr>
        <w:trPr>
          <w:trHeight w:val="216"/>
        </w:trPr>
        <w:tc>
          <w:tcPr>
            <w:tcW w:w="79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329</w:t>
            </w:r>
          </w:p>
        </w:tc>
      </w:tr>
      <w:tr>
        <w:trPr>
          <w:trHeight w:val="217"/>
        </w:trPr>
        <w:tc>
          <w:tcPr>
            <w:tcW w:w="79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1,105</w:t>
            </w:r>
          </w:p>
        </w:tc>
        <w:tc>
          <w:tcPr>
            <w:tcW w:w="10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1,037</w:t>
            </w:r>
          </w:p>
        </w:tc>
      </w:tr>
      <w:tr>
        <w:trPr>
          <w:trHeight w:val="403"/>
        </w:trPr>
        <w:tc>
          <w:tcPr>
            <w:tcW w:w="7940" w:type="dxa"/>
            <w:vAlign w:val="bottom"/>
            <w:gridSpan w:val="2"/>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61"/>
        </w:trPr>
        <w:tc>
          <w:tcPr>
            <w:tcW w:w="7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20" w:type="dxa"/>
            <w:vAlign w:val="bottom"/>
            <w:gridSpan w:val="2"/>
          </w:tcPr>
          <w:p>
            <w:pPr>
              <w:jc w:val="right"/>
              <w:ind w:right="56"/>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73"/>
        </w:trPr>
        <w:tc>
          <w:tcPr>
            <w:tcW w:w="7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w w:val="92"/>
              </w:rPr>
              <w:t>March 31</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42"/>
        </w:trPr>
        <w:tc>
          <w:tcPr>
            <w:tcW w:w="76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8"/>
              <w:spacing w:after="0" w:line="143" w:lineRule="exact"/>
              <w:rPr>
                <w:sz w:val="20"/>
                <w:szCs w:val="20"/>
                <w:color w:val="auto"/>
              </w:rPr>
            </w:pPr>
            <w:r>
              <w:rPr>
                <w:rFonts w:ascii="Arial" w:cs="Arial" w:eastAsia="Arial" w:hAnsi="Arial"/>
                <w:sz w:val="14"/>
                <w:szCs w:val="14"/>
                <w:color w:val="auto"/>
                <w:w w:val="89"/>
              </w:rPr>
              <w:t>2013</w:t>
            </w:r>
          </w:p>
        </w:tc>
        <w:tc>
          <w:tcPr>
            <w:tcW w:w="10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73"/>
              <w:spacing w:after="0" w:line="143" w:lineRule="exact"/>
              <w:rPr>
                <w:sz w:val="20"/>
                <w:szCs w:val="20"/>
                <w:color w:val="auto"/>
              </w:rPr>
            </w:pPr>
            <w:r>
              <w:rPr>
                <w:rFonts w:ascii="Arial" w:cs="Arial" w:eastAsia="Arial" w:hAnsi="Arial"/>
                <w:sz w:val="14"/>
                <w:szCs w:val="14"/>
                <w:color w:val="auto"/>
              </w:rPr>
              <w:t>2012</w:t>
            </w:r>
          </w:p>
        </w:tc>
      </w:tr>
      <w:tr>
        <w:trPr>
          <w:trHeight w:val="210"/>
        </w:trPr>
        <w:tc>
          <w:tcPr>
            <w:tcW w:w="79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9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20</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w:t>
            </w:r>
          </w:p>
        </w:tc>
      </w:tr>
      <w:tr>
        <w:trPr>
          <w:trHeight w:val="216"/>
        </w:trPr>
        <w:tc>
          <w:tcPr>
            <w:tcW w:w="7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55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Receivables Monetization</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monetize certain of our accounts receivable under programs with a syndicate of banks. We transfer, at fair value, a significant portion of our accounts receivable that are to be monetized to NBCUniversal Receivables Funding LLC (“Funding LLC”), a wholly owned subsidiary of ours. The operating activities of Funding LLC are restricted to the transfer and sale of the monetized receivables to a third-party syndicate of banks. Due to these restrictions, Funding LLC is considered a variable interest entity, which we consolidate because we are the primary beneficiary. The assets and liabilities of this entity primarily represent the receivables and cash receipts that are not yet remitted to the programs as of the balance sheet date.</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included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March 31, 2013 and December 31, 2012.</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responsible for servicing the receivables and remitting collections to the purchasers under the monetization programs. We perform this service for a fee that is equal to the prevailing market rate for such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services. As a result, no servicing asset or liability has been recorded on our condensed consolidated balance sheet as of March 31, 2013 and December 31,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servicing fees are recorded as a component of net (loss) gain on sale.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cash payments on transfers that are included within net cash provided by operating activities in our condensed consolidated statement of cash flows were $339 million and $90 million for the three months ended March 31, 2013 and 2012, respectively. The receivables monetization program did not have a material effect on our condensed consolidated statement of income for the periods presented.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600" w:type="dxa"/>
            <w:vAlign w:val="bottom"/>
            <w:gridSpan w:val="2"/>
          </w:tcPr>
          <w:p>
            <w:pPr>
              <w:ind w:left="3620"/>
              <w:spacing w:after="0"/>
              <w:rPr>
                <w:sz w:val="20"/>
                <w:szCs w:val="20"/>
                <w:color w:val="auto"/>
              </w:rPr>
            </w:pPr>
            <w:r>
              <w:rPr>
                <w:rFonts w:ascii="Arial" w:cs="Arial" w:eastAsia="Arial" w:hAnsi="Arial"/>
                <w:sz w:val="14"/>
                <w:szCs w:val="14"/>
                <w:color w:val="auto"/>
              </w:rPr>
              <w:t>March 31,</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73"/>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w w:val="89"/>
              </w:rPr>
              <w:t>2013</w:t>
            </w: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2012</w:t>
            </w:r>
          </w:p>
        </w:tc>
      </w:tr>
      <w:tr>
        <w:trPr>
          <w:trHeight w:val="210"/>
        </w:trPr>
        <w:tc>
          <w:tcPr>
            <w:tcW w:w="554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3720" w:type="dxa"/>
            <w:vAlign w:val="bottom"/>
            <w:shd w:val="clear" w:color="auto" w:fill="E5E5E5"/>
          </w:tcPr>
          <w:p>
            <w:pPr>
              <w:ind w:left="36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E5E5"/>
          </w:tcPr>
          <w:p>
            <w:pPr>
              <w:jc w:val="right"/>
              <w:ind w:right="339"/>
              <w:spacing w:after="0"/>
              <w:rPr>
                <w:sz w:val="20"/>
                <w:szCs w:val="20"/>
                <w:color w:val="auto"/>
              </w:rPr>
            </w:pPr>
            <w:r>
              <w:rPr>
                <w:rFonts w:ascii="Arial" w:cs="Arial" w:eastAsia="Arial" w:hAnsi="Arial"/>
                <w:sz w:val="18"/>
                <w:szCs w:val="18"/>
                <w:color w:val="auto"/>
              </w:rPr>
              <w:t>681</w:t>
            </w:r>
          </w:p>
        </w:tc>
        <w:tc>
          <w:tcPr>
            <w:tcW w:w="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791</w:t>
            </w:r>
          </w:p>
        </w:tc>
      </w:tr>
      <w:tr>
        <w:trPr>
          <w:trHeight w:val="216"/>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3720" w:type="dxa"/>
            <w:vAlign w:val="bottom"/>
            <w:tcBorders>
              <w:bottom w:val="single" w:sz="8" w:color="auto"/>
            </w:tcBorders>
          </w:tcPr>
          <w:p>
            <w:pPr>
              <w:ind w:left="36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rPr>
              <w:t>239</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274</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$620 million and $882 million payable to our monetization programs as of March 31, 2013 and December 31, 2012, respectively. These amounts represent cash receipts that were not yet remitted to the monetization programs as of the balance sheet date and are recorded to accounts payable and accrued expenses related to trade creditors.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our cable television production operations, and our related digital media properties.</w:t>
      </w:r>
    </w:p>
    <w:p>
      <w:pPr>
        <w:spacing w:after="0" w:line="25" w:lineRule="exact"/>
        <w:rPr>
          <w:rFonts w:ascii="Arial" w:cs="Arial" w:eastAsia="Arial" w:hAnsi="Arial"/>
          <w:sz w:val="18"/>
          <w:szCs w:val="18"/>
          <w:color w:val="auto"/>
        </w:rPr>
      </w:pPr>
    </w:p>
    <w:p>
      <w:pPr>
        <w:ind w:left="1020" w:right="1240" w:hanging="215"/>
        <w:spacing w:after="0" w:line="32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color w:val="auto"/>
              </w:rPr>
              <w:t>Three Months Ended March 31, 2013</w:t>
            </w: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500" w:type="dxa"/>
            <w:vAlign w:val="bottom"/>
          </w:tcPr>
          <w:p>
            <w:pPr>
              <w:spacing w:after="0"/>
              <w:rPr>
                <w:sz w:val="10"/>
                <w:szCs w:val="10"/>
                <w:color w:val="auto"/>
              </w:rPr>
            </w:pPr>
          </w:p>
        </w:tc>
        <w:tc>
          <w:tcPr>
            <w:tcW w:w="1740" w:type="dxa"/>
            <w:vAlign w:val="bottom"/>
            <w:gridSpan w:val="2"/>
            <w:vMerge w:val="restart"/>
          </w:tcPr>
          <w:p>
            <w:pPr>
              <w:ind w:left="70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620" w:type="dxa"/>
            <w:vAlign w:val="bottom"/>
            <w:gridSpan w:val="2"/>
          </w:tcPr>
          <w:p>
            <w:pPr>
              <w:jc w:val="right"/>
              <w:ind w:right="374"/>
              <w:spacing w:after="0" w:line="115" w:lineRule="exact"/>
              <w:rPr>
                <w:sz w:val="20"/>
                <w:szCs w:val="20"/>
                <w:color w:val="auto"/>
              </w:rPr>
            </w:pPr>
            <w:r>
              <w:rPr>
                <w:rFonts w:ascii="Arial" w:cs="Arial" w:eastAsia="Arial" w:hAnsi="Arial"/>
                <w:sz w:val="12"/>
                <w:szCs w:val="12"/>
                <w:color w:val="auto"/>
              </w:rPr>
              <w:t>Operating Income (Loss) Before</w:t>
            </w:r>
          </w:p>
        </w:tc>
        <w:tc>
          <w:tcPr>
            <w:tcW w:w="1780" w:type="dxa"/>
            <w:vAlign w:val="bottom"/>
            <w:gridSpan w:val="2"/>
          </w:tcPr>
          <w:p>
            <w:pPr>
              <w:ind w:left="380"/>
              <w:spacing w:after="0" w:line="115" w:lineRule="exact"/>
              <w:rPr>
                <w:sz w:val="20"/>
                <w:szCs w:val="20"/>
                <w:color w:val="auto"/>
              </w:rPr>
            </w:pPr>
            <w:r>
              <w:rPr>
                <w:rFonts w:ascii="Arial" w:cs="Arial" w:eastAsia="Arial" w:hAnsi="Arial"/>
                <w:sz w:val="12"/>
                <w:szCs w:val="12"/>
                <w:color w:val="auto"/>
              </w:rPr>
              <w:t>Depreciation and</w:t>
            </w:r>
          </w:p>
        </w:tc>
        <w:tc>
          <w:tcPr>
            <w:tcW w:w="460" w:type="dxa"/>
            <w:vAlign w:val="bottom"/>
          </w:tcPr>
          <w:p>
            <w:pPr>
              <w:spacing w:after="0"/>
              <w:rPr>
                <w:sz w:val="10"/>
                <w:szCs w:val="10"/>
                <w:color w:val="auto"/>
              </w:rPr>
            </w:pPr>
          </w:p>
        </w:tc>
        <w:tc>
          <w:tcPr>
            <w:tcW w:w="1120" w:type="dxa"/>
            <w:vAlign w:val="bottom"/>
          </w:tcPr>
          <w:p>
            <w:pPr>
              <w:jc w:val="right"/>
              <w:ind w:right="475"/>
              <w:spacing w:after="0" w:line="115" w:lineRule="exact"/>
              <w:rPr>
                <w:sz w:val="20"/>
                <w:szCs w:val="20"/>
                <w:color w:val="auto"/>
              </w:rPr>
            </w:pPr>
            <w:r>
              <w:rPr>
                <w:rFonts w:ascii="Arial" w:cs="Arial" w:eastAsia="Arial" w:hAnsi="Arial"/>
                <w:sz w:val="12"/>
                <w:szCs w:val="12"/>
                <w:color w:val="auto"/>
              </w:rPr>
              <w:t>Operating</w:t>
            </w:r>
          </w:p>
        </w:tc>
        <w:tc>
          <w:tcPr>
            <w:tcW w:w="520" w:type="dxa"/>
            <w:vAlign w:val="bottom"/>
          </w:tcPr>
          <w:p>
            <w:pPr>
              <w:spacing w:after="0"/>
              <w:rPr>
                <w:sz w:val="10"/>
                <w:szCs w:val="10"/>
                <w:color w:val="auto"/>
              </w:rPr>
            </w:pPr>
          </w:p>
        </w:tc>
        <w:tc>
          <w:tcPr>
            <w:tcW w:w="680" w:type="dxa"/>
            <w:vAlign w:val="bottom"/>
          </w:tcPr>
          <w:p>
            <w:pPr>
              <w:jc w:val="right"/>
              <w:ind w:right="175"/>
              <w:spacing w:after="0" w:line="115" w:lineRule="exact"/>
              <w:rPr>
                <w:sz w:val="20"/>
                <w:szCs w:val="20"/>
                <w:color w:val="auto"/>
              </w:rPr>
            </w:pPr>
            <w:r>
              <w:rPr>
                <w:rFonts w:ascii="Arial" w:cs="Arial" w:eastAsia="Arial" w:hAnsi="Arial"/>
                <w:sz w:val="12"/>
                <w:szCs w:val="12"/>
                <w:color w:val="auto"/>
              </w:rPr>
              <w:t>Capital</w:t>
            </w:r>
          </w:p>
        </w:tc>
        <w:tc>
          <w:tcPr>
            <w:tcW w:w="0" w:type="dxa"/>
            <w:vAlign w:val="bottom"/>
          </w:tcPr>
          <w:p>
            <w:pPr>
              <w:spacing w:after="0"/>
              <w:rPr>
                <w:sz w:val="1"/>
                <w:szCs w:val="1"/>
                <w:color w:val="auto"/>
              </w:rPr>
            </w:pPr>
          </w:p>
        </w:tc>
      </w:tr>
      <w:tr>
        <w:trPr>
          <w:trHeight w:val="176"/>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gridSpan w:val="2"/>
            <w:vMerge w:val="continue"/>
          </w:tcPr>
          <w:p>
            <w:pPr>
              <w:spacing w:after="0"/>
              <w:rPr>
                <w:sz w:val="15"/>
                <w:szCs w:val="15"/>
                <w:color w:val="auto"/>
              </w:rPr>
            </w:pPr>
          </w:p>
        </w:tc>
        <w:tc>
          <w:tcPr>
            <w:tcW w:w="2620" w:type="dxa"/>
            <w:vAlign w:val="bottom"/>
            <w:tcBorders>
              <w:bottom w:val="single" w:sz="8" w:color="auto"/>
            </w:tcBorders>
            <w:gridSpan w:val="2"/>
          </w:tcPr>
          <w:p>
            <w:pPr>
              <w:ind w:left="38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w w:val="89"/>
              </w:rPr>
              <w:t>Amortization</w:t>
            </w:r>
          </w:p>
        </w:tc>
        <w:tc>
          <w:tcPr>
            <w:tcW w:w="15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Income (Loss)</w:t>
            </w:r>
          </w:p>
        </w:tc>
        <w:tc>
          <w:tcPr>
            <w:tcW w:w="12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50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40" w:type="dxa"/>
            <w:vAlign w:val="bottom"/>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97"/>
              </w:rPr>
              <w:t>2,225</w:t>
            </w:r>
          </w:p>
        </w:tc>
        <w:tc>
          <w:tcPr>
            <w:tcW w:w="9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E5E5E5"/>
          </w:tcPr>
          <w:p>
            <w:pPr>
              <w:jc w:val="right"/>
              <w:ind w:right="354"/>
              <w:spacing w:after="0"/>
              <w:rPr>
                <w:sz w:val="20"/>
                <w:szCs w:val="20"/>
                <w:color w:val="auto"/>
              </w:rPr>
            </w:pPr>
            <w:r>
              <w:rPr>
                <w:rFonts w:ascii="Arial" w:cs="Arial" w:eastAsia="Arial" w:hAnsi="Arial"/>
                <w:sz w:val="18"/>
                <w:szCs w:val="18"/>
                <w:color w:val="auto"/>
              </w:rPr>
              <w:t>859</w:t>
            </w:r>
          </w:p>
        </w:tc>
        <w:tc>
          <w:tcPr>
            <w:tcW w:w="480" w:type="dxa"/>
            <w:vAlign w:val="bottom"/>
            <w:shd w:val="clear" w:color="auto" w:fill="E5E5E5"/>
          </w:tcPr>
          <w:p>
            <w:pPr>
              <w:ind w:left="38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184</w:t>
            </w:r>
          </w:p>
        </w:tc>
        <w:tc>
          <w:tcPr>
            <w:tcW w:w="460" w:type="dxa"/>
            <w:vAlign w:val="bottom"/>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675</w:t>
            </w:r>
          </w:p>
        </w:tc>
        <w:tc>
          <w:tcPr>
            <w:tcW w:w="5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Broadcast Television</w:t>
            </w:r>
          </w:p>
        </w:tc>
        <w:tc>
          <w:tcPr>
            <w:tcW w:w="840" w:type="dxa"/>
            <w:vAlign w:val="bottom"/>
          </w:tcPr>
          <w:p>
            <w:pPr>
              <w:spacing w:after="0"/>
              <w:rPr>
                <w:sz w:val="18"/>
                <w:szCs w:val="18"/>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w w:val="97"/>
              </w:rPr>
              <w:t>1,517</w:t>
            </w:r>
          </w:p>
        </w:tc>
        <w:tc>
          <w:tcPr>
            <w:tcW w:w="920" w:type="dxa"/>
            <w:vAlign w:val="bottom"/>
          </w:tcPr>
          <w:p>
            <w:pPr>
              <w:spacing w:after="0"/>
              <w:rPr>
                <w:sz w:val="18"/>
                <w:szCs w:val="18"/>
                <w:color w:val="auto"/>
              </w:rPr>
            </w:pPr>
          </w:p>
        </w:tc>
        <w:tc>
          <w:tcPr>
            <w:tcW w:w="1700" w:type="dxa"/>
            <w:vAlign w:val="bottom"/>
          </w:tcPr>
          <w:p>
            <w:pPr>
              <w:jc w:val="right"/>
              <w:ind w:right="294"/>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1300" w:type="dxa"/>
            <w:vAlign w:val="bottom"/>
          </w:tcPr>
          <w:p>
            <w:pPr>
              <w:jc w:val="right"/>
              <w:ind w:right="395"/>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8"/>
                <w:szCs w:val="18"/>
                <w:color w:val="auto"/>
              </w:rPr>
            </w:pPr>
          </w:p>
        </w:tc>
        <w:tc>
          <w:tcPr>
            <w:tcW w:w="1120" w:type="dxa"/>
            <w:vAlign w:val="bottom"/>
          </w:tcPr>
          <w:p>
            <w:pPr>
              <w:jc w:val="right"/>
              <w:ind w:right="295"/>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50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97"/>
              </w:rPr>
              <w:t>1,216</w:t>
            </w:r>
          </w:p>
        </w:tc>
        <w:tc>
          <w:tcPr>
            <w:tcW w:w="920" w:type="dxa"/>
            <w:vAlign w:val="bottom"/>
            <w:shd w:val="clear" w:color="auto" w:fill="E5E5E5"/>
          </w:tcPr>
          <w:p>
            <w:pPr>
              <w:spacing w:after="0"/>
              <w:rPr>
                <w:sz w:val="18"/>
                <w:szCs w:val="18"/>
                <w:color w:val="auto"/>
              </w:rPr>
            </w:pPr>
          </w:p>
        </w:tc>
        <w:tc>
          <w:tcPr>
            <w:tcW w:w="1700" w:type="dxa"/>
            <w:vAlign w:val="bottom"/>
            <w:shd w:val="clear" w:color="auto" w:fill="E5E5E5"/>
          </w:tcPr>
          <w:p>
            <w:pPr>
              <w:jc w:val="right"/>
              <w:ind w:right="354"/>
              <w:spacing w:after="0"/>
              <w:rPr>
                <w:sz w:val="20"/>
                <w:szCs w:val="20"/>
                <w:color w:val="auto"/>
              </w:rPr>
            </w:pPr>
            <w:r>
              <w:rPr>
                <w:rFonts w:ascii="Arial" w:cs="Arial" w:eastAsia="Arial" w:hAnsi="Arial"/>
                <w:sz w:val="18"/>
                <w:szCs w:val="18"/>
                <w:color w:val="auto"/>
              </w:rPr>
              <w:t>69</w:t>
            </w:r>
          </w:p>
        </w:tc>
        <w:tc>
          <w:tcPr>
            <w:tcW w:w="48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4</w:t>
            </w:r>
          </w:p>
        </w:tc>
        <w:tc>
          <w:tcPr>
            <w:tcW w:w="46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65</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Theme Parks</w:t>
            </w:r>
          </w:p>
        </w:tc>
        <w:tc>
          <w:tcPr>
            <w:tcW w:w="840" w:type="dxa"/>
            <w:vAlign w:val="bottom"/>
          </w:tcPr>
          <w:p>
            <w:pPr>
              <w:spacing w:after="0"/>
              <w:rPr>
                <w:sz w:val="18"/>
                <w:szCs w:val="18"/>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462</w:t>
            </w:r>
          </w:p>
        </w:tc>
        <w:tc>
          <w:tcPr>
            <w:tcW w:w="920" w:type="dxa"/>
            <w:vAlign w:val="bottom"/>
          </w:tcPr>
          <w:p>
            <w:pPr>
              <w:spacing w:after="0"/>
              <w:rPr>
                <w:sz w:val="18"/>
                <w:szCs w:val="18"/>
                <w:color w:val="auto"/>
              </w:rPr>
            </w:pPr>
          </w:p>
        </w:tc>
        <w:tc>
          <w:tcPr>
            <w:tcW w:w="1700" w:type="dxa"/>
            <w:vAlign w:val="bottom"/>
          </w:tcPr>
          <w:p>
            <w:pPr>
              <w:jc w:val="right"/>
              <w:ind w:right="354"/>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1300" w:type="dxa"/>
            <w:vAlign w:val="bottom"/>
          </w:tcPr>
          <w:p>
            <w:pPr>
              <w:jc w:val="right"/>
              <w:ind w:right="395"/>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8"/>
                <w:szCs w:val="18"/>
                <w:color w:val="auto"/>
              </w:rPr>
            </w:pPr>
          </w:p>
        </w:tc>
        <w:tc>
          <w:tcPr>
            <w:tcW w:w="1120" w:type="dxa"/>
            <w:vAlign w:val="bottom"/>
          </w:tcPr>
          <w:p>
            <w:pPr>
              <w:jc w:val="right"/>
              <w:ind w:right="355"/>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50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9</w:t>
            </w:r>
          </w:p>
        </w:tc>
        <w:tc>
          <w:tcPr>
            <w:tcW w:w="920" w:type="dxa"/>
            <w:vAlign w:val="bottom"/>
            <w:shd w:val="clear" w:color="auto" w:fill="E5E5E5"/>
          </w:tcPr>
          <w:p>
            <w:pPr>
              <w:spacing w:after="0"/>
              <w:rPr>
                <w:sz w:val="18"/>
                <w:szCs w:val="18"/>
                <w:color w:val="auto"/>
              </w:rPr>
            </w:pPr>
          </w:p>
        </w:tc>
        <w:tc>
          <w:tcPr>
            <w:tcW w:w="170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(112)</w:t>
            </w:r>
          </w:p>
        </w:tc>
        <w:tc>
          <w:tcPr>
            <w:tcW w:w="48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59</w:t>
            </w:r>
          </w:p>
        </w:tc>
        <w:tc>
          <w:tcPr>
            <w:tcW w:w="46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(171)</w:t>
            </w: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(89)</w:t>
            </w:r>
          </w:p>
        </w:tc>
        <w:tc>
          <w:tcPr>
            <w:tcW w:w="9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color w:val="auto"/>
                <w:w w:val="97"/>
              </w:rPr>
              <w:t>5,340</w:t>
            </w:r>
          </w:p>
        </w:tc>
        <w:tc>
          <w:tcPr>
            <w:tcW w:w="92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953</w:t>
            </w:r>
          </w:p>
        </w:tc>
        <w:tc>
          <w:tcPr>
            <w:tcW w:w="48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color w:val="auto"/>
              </w:rPr>
              <w:t>344</w:t>
            </w:r>
          </w:p>
        </w:tc>
        <w:tc>
          <w:tcPr>
            <w:tcW w:w="46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color w:val="auto"/>
              </w:rPr>
              <w:t>609</w:t>
            </w:r>
          </w:p>
        </w:tc>
        <w:tc>
          <w:tcPr>
            <w:tcW w:w="52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363"/>
        </w:trPr>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jc w:val="right"/>
              <w:ind w:right="954"/>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color w:val="auto"/>
              </w:rPr>
              <w:t>Three Months Ended March 31, 2012</w:t>
            </w: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1720" w:type="dxa"/>
            <w:vAlign w:val="bottom"/>
            <w:gridSpan w:val="2"/>
            <w:vMerge w:val="restart"/>
          </w:tcPr>
          <w:p>
            <w:pPr>
              <w:ind w:left="6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620" w:type="dxa"/>
            <w:vAlign w:val="bottom"/>
            <w:gridSpan w:val="2"/>
          </w:tcPr>
          <w:p>
            <w:pPr>
              <w:jc w:val="right"/>
              <w:ind w:right="375"/>
              <w:spacing w:after="0" w:line="115" w:lineRule="exact"/>
              <w:rPr>
                <w:sz w:val="20"/>
                <w:szCs w:val="20"/>
                <w:color w:val="auto"/>
              </w:rPr>
            </w:pPr>
            <w:r>
              <w:rPr>
                <w:rFonts w:ascii="Arial" w:cs="Arial" w:eastAsia="Arial" w:hAnsi="Arial"/>
                <w:sz w:val="12"/>
                <w:szCs w:val="12"/>
                <w:color w:val="auto"/>
              </w:rPr>
              <w:t>Operating Income (Loss) Before</w:t>
            </w:r>
          </w:p>
        </w:tc>
        <w:tc>
          <w:tcPr>
            <w:tcW w:w="1760" w:type="dxa"/>
            <w:vAlign w:val="bottom"/>
            <w:gridSpan w:val="2"/>
          </w:tcPr>
          <w:p>
            <w:pPr>
              <w:ind w:left="380"/>
              <w:spacing w:after="0" w:line="115" w:lineRule="exact"/>
              <w:rPr>
                <w:sz w:val="20"/>
                <w:szCs w:val="20"/>
                <w:color w:val="auto"/>
              </w:rPr>
            </w:pPr>
            <w:r>
              <w:rPr>
                <w:rFonts w:ascii="Arial" w:cs="Arial" w:eastAsia="Arial" w:hAnsi="Arial"/>
                <w:sz w:val="12"/>
                <w:szCs w:val="12"/>
                <w:color w:val="auto"/>
              </w:rPr>
              <w:t>Depreciation and</w:t>
            </w:r>
          </w:p>
        </w:tc>
        <w:tc>
          <w:tcPr>
            <w:tcW w:w="480" w:type="dxa"/>
            <w:vAlign w:val="bottom"/>
          </w:tcPr>
          <w:p>
            <w:pPr>
              <w:spacing w:after="0"/>
              <w:rPr>
                <w:sz w:val="10"/>
                <w:szCs w:val="10"/>
                <w:color w:val="auto"/>
              </w:rPr>
            </w:pPr>
          </w:p>
        </w:tc>
        <w:tc>
          <w:tcPr>
            <w:tcW w:w="1120" w:type="dxa"/>
            <w:vAlign w:val="bottom"/>
          </w:tcPr>
          <w:p>
            <w:pPr>
              <w:jc w:val="right"/>
              <w:ind w:right="475"/>
              <w:spacing w:after="0" w:line="115" w:lineRule="exact"/>
              <w:rPr>
                <w:sz w:val="20"/>
                <w:szCs w:val="20"/>
                <w:color w:val="auto"/>
              </w:rPr>
            </w:pPr>
            <w:r>
              <w:rPr>
                <w:rFonts w:ascii="Arial" w:cs="Arial" w:eastAsia="Arial" w:hAnsi="Arial"/>
                <w:sz w:val="12"/>
                <w:szCs w:val="12"/>
                <w:color w:val="auto"/>
              </w:rPr>
              <w:t>Operating</w:t>
            </w:r>
          </w:p>
        </w:tc>
        <w:tc>
          <w:tcPr>
            <w:tcW w:w="500" w:type="dxa"/>
            <w:vAlign w:val="bottom"/>
          </w:tcPr>
          <w:p>
            <w:pPr>
              <w:spacing w:after="0"/>
              <w:rPr>
                <w:sz w:val="10"/>
                <w:szCs w:val="10"/>
                <w:color w:val="auto"/>
              </w:rPr>
            </w:pPr>
          </w:p>
        </w:tc>
        <w:tc>
          <w:tcPr>
            <w:tcW w:w="680" w:type="dxa"/>
            <w:vAlign w:val="bottom"/>
          </w:tcPr>
          <w:p>
            <w:pPr>
              <w:jc w:val="right"/>
              <w:ind w:right="175"/>
              <w:spacing w:after="0" w:line="115" w:lineRule="exact"/>
              <w:rPr>
                <w:sz w:val="20"/>
                <w:szCs w:val="20"/>
                <w:color w:val="auto"/>
              </w:rPr>
            </w:pPr>
            <w:r>
              <w:rPr>
                <w:rFonts w:ascii="Arial" w:cs="Arial" w:eastAsia="Arial" w:hAnsi="Arial"/>
                <w:sz w:val="12"/>
                <w:szCs w:val="12"/>
                <w:color w:val="auto"/>
              </w:rPr>
              <w:t>Capital</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20" w:type="dxa"/>
            <w:vAlign w:val="bottom"/>
            <w:tcBorders>
              <w:bottom w:val="single" w:sz="8" w:color="auto"/>
            </w:tcBorders>
            <w:gridSpan w:val="2"/>
            <w:vMerge w:val="continue"/>
          </w:tcPr>
          <w:p>
            <w:pPr>
              <w:spacing w:after="0"/>
              <w:rPr>
                <w:sz w:val="15"/>
                <w:szCs w:val="15"/>
                <w:color w:val="auto"/>
              </w:rPr>
            </w:pPr>
          </w:p>
        </w:tc>
        <w:tc>
          <w:tcPr>
            <w:tcW w:w="2620" w:type="dxa"/>
            <w:vAlign w:val="bottom"/>
            <w:tcBorders>
              <w:bottom w:val="single" w:sz="8" w:color="auto"/>
            </w:tcBorders>
            <w:gridSpan w:val="2"/>
          </w:tcPr>
          <w:p>
            <w:pPr>
              <w:ind w:left="38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w w:val="89"/>
              </w:rPr>
              <w:t>Amortization</w:t>
            </w:r>
          </w:p>
        </w:tc>
        <w:tc>
          <w:tcPr>
            <w:tcW w:w="16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Income (Loss)</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54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40" w:type="dxa"/>
            <w:vAlign w:val="bottom"/>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2,128</w:t>
            </w:r>
          </w:p>
        </w:tc>
        <w:tc>
          <w:tcPr>
            <w:tcW w:w="116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809</w:t>
            </w:r>
          </w:p>
        </w:tc>
        <w:tc>
          <w:tcPr>
            <w:tcW w:w="480" w:type="dxa"/>
            <w:vAlign w:val="bottom"/>
            <w:shd w:val="clear" w:color="auto" w:fill="E5E5E5"/>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176</w:t>
            </w:r>
          </w:p>
        </w:tc>
        <w:tc>
          <w:tcPr>
            <w:tcW w:w="480" w:type="dxa"/>
            <w:vAlign w:val="bottom"/>
            <w:shd w:val="clear" w:color="auto" w:fill="E5E5E5"/>
          </w:tcPr>
          <w:p>
            <w:pPr>
              <w:ind w:left="3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633</w:t>
            </w:r>
          </w:p>
        </w:tc>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Broadcast Television</w:t>
            </w:r>
          </w:p>
        </w:tc>
        <w:tc>
          <w:tcPr>
            <w:tcW w:w="84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1,861</w:t>
            </w:r>
          </w:p>
        </w:tc>
        <w:tc>
          <w:tcPr>
            <w:tcW w:w="1160" w:type="dxa"/>
            <w:vAlign w:val="bottom"/>
          </w:tcPr>
          <w:p>
            <w:pPr>
              <w:spacing w:after="0"/>
              <w:rPr>
                <w:sz w:val="18"/>
                <w:szCs w:val="18"/>
                <w:color w:val="auto"/>
              </w:rPr>
            </w:pPr>
          </w:p>
        </w:tc>
        <w:tc>
          <w:tcPr>
            <w:tcW w:w="1460" w:type="dxa"/>
            <w:vAlign w:val="bottom"/>
          </w:tcPr>
          <w:p>
            <w:pPr>
              <w:jc w:val="right"/>
              <w:ind w:right="295"/>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1280" w:type="dxa"/>
            <w:vAlign w:val="bottom"/>
          </w:tcPr>
          <w:p>
            <w:pPr>
              <w:jc w:val="right"/>
              <w:ind w:right="355"/>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1120" w:type="dxa"/>
            <w:vAlign w:val="bottom"/>
          </w:tcPr>
          <w:p>
            <w:pPr>
              <w:jc w:val="right"/>
              <w:ind w:right="295"/>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54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1,192</w:t>
            </w:r>
          </w:p>
        </w:tc>
        <w:tc>
          <w:tcPr>
            <w:tcW w:w="11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4</w:t>
            </w:r>
          </w:p>
        </w:tc>
        <w:tc>
          <w:tcPr>
            <w:tcW w:w="48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2</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Theme Parks</w:t>
            </w:r>
          </w:p>
        </w:tc>
        <w:tc>
          <w:tcPr>
            <w:tcW w:w="84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412</w:t>
            </w:r>
          </w:p>
        </w:tc>
        <w:tc>
          <w:tcPr>
            <w:tcW w:w="1160" w:type="dxa"/>
            <w:vAlign w:val="bottom"/>
          </w:tcPr>
          <w:p>
            <w:pPr>
              <w:spacing w:after="0"/>
              <w:rPr>
                <w:sz w:val="18"/>
                <w:szCs w:val="18"/>
                <w:color w:val="auto"/>
              </w:rPr>
            </w:pPr>
          </w:p>
        </w:tc>
        <w:tc>
          <w:tcPr>
            <w:tcW w:w="1460" w:type="dxa"/>
            <w:vAlign w:val="bottom"/>
          </w:tcPr>
          <w:p>
            <w:pPr>
              <w:jc w:val="right"/>
              <w:ind w:right="335"/>
              <w:spacing w:after="0"/>
              <w:rPr>
                <w:sz w:val="20"/>
                <w:szCs w:val="20"/>
                <w:color w:val="auto"/>
              </w:rPr>
            </w:pPr>
            <w:r>
              <w:rPr>
                <w:rFonts w:ascii="Arial" w:cs="Arial" w:eastAsia="Arial" w:hAnsi="Arial"/>
                <w:sz w:val="18"/>
                <w:szCs w:val="18"/>
                <w:color w:val="auto"/>
              </w:rPr>
              <w:t>157</w:t>
            </w:r>
          </w:p>
        </w:tc>
        <w:tc>
          <w:tcPr>
            <w:tcW w:w="480" w:type="dxa"/>
            <w:vAlign w:val="bottom"/>
          </w:tcPr>
          <w:p>
            <w:pPr>
              <w:spacing w:after="0"/>
              <w:rPr>
                <w:sz w:val="18"/>
                <w:szCs w:val="18"/>
                <w:color w:val="auto"/>
              </w:rPr>
            </w:pPr>
          </w:p>
        </w:tc>
        <w:tc>
          <w:tcPr>
            <w:tcW w:w="1280" w:type="dxa"/>
            <w:vAlign w:val="bottom"/>
          </w:tcPr>
          <w:p>
            <w:pPr>
              <w:jc w:val="right"/>
              <w:ind w:right="355"/>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1120" w:type="dxa"/>
            <w:vAlign w:val="bottom"/>
          </w:tcPr>
          <w:p>
            <w:pPr>
              <w:jc w:val="right"/>
              <w:ind w:right="355"/>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54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(146)</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48</w:t>
            </w:r>
          </w:p>
        </w:tc>
        <w:tc>
          <w:tcPr>
            <w:tcW w:w="48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(194)</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(133)</w:t>
            </w:r>
          </w:p>
        </w:tc>
        <w:tc>
          <w:tcPr>
            <w:tcW w:w="1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color w:val="auto"/>
                <w:w w:val="97"/>
              </w:rPr>
              <w:t>5,472</w:t>
            </w:r>
          </w:p>
        </w:tc>
        <w:tc>
          <w:tcPr>
            <w:tcW w:w="11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813</w:t>
            </w:r>
          </w:p>
        </w:tc>
        <w:tc>
          <w:tcPr>
            <w:tcW w:w="48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color w:val="auto"/>
              </w:rPr>
              <w:t>312</w:t>
            </w:r>
          </w:p>
        </w:tc>
        <w:tc>
          <w:tcPr>
            <w:tcW w:w="48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color w:val="auto"/>
              </w:rPr>
              <w:t>501</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Headquarters and Other activities included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leading media and entertainment company that develops, produces and distributes entertainment, news and information, sports and other content for global audiences.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Networks segment consists primarily of our national cable networks, which provide entertainment, news and information, and sports programming, our regional sports and news networks, our international cable networks, our cable television production operations, and our related digital media properties, which are primarily brand-aligned and other websites. Our Cable Networks segment generates revenue primarily from the distribution of our cable network programming to multichannel video providers, the sale of advertising and the licensing of our owned programming.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our broadcast television production operations, and our related digital media properties, which are primarily brand-aligned websites. Our Broadcast Television segment generates revenue primarily from the sale of advertising and the licensing and sale of our owned programming.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We also develop, produce and license live stage plays. Our Filmed Entertainment segment generates revenue primarily from the worldwide distribution of our owned and acquired films and the licensing and sale of our owned and acquired films. Our Filmed Entertainment segment also generates revenue from producing and licensing live stage plays and distributing filmed entertainment produced by third parties.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 Our Theme Parks segment generates revenue primarily from theme park attendance and per capita spending at our Universal theme parks in Orlando and Hollywood, as well as from licensing and other fees. Per capita spending includes ticket price and in-park spending on food, beverages and merchandise.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business interests primarily include equity method investments, such as The Weather Channel Holding Corp. For information on the performance of our equity method investments, see “Consolidated Other Income (Expense) Items, Net” below and refer to the “Equity in Net Income of Investees, Net” heading within that section.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2013, Comcast acquired GE’s 49% common equity interest in NBCUniversal Holdings for approximately $16.7 billion (the “Redemption Transaction”). In addition to this transaction, we purchased from GE certain properties we occupy at 30 Rockefeller Plaza in New York City and CNBC’s headquarters in Englewood Cliffs, New Jersey for approximately $1.4 billion.</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total consideration for these transactions consisted of $11.4 billion of cash on hand (of which we funded $4.6 billion); $4 billion of senior debt securities issued by NBCUniversal Enterprise, Inc. (“NBCUniversal Enterprise”),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holding company whose principal assets are its interests in NBCUniversal Holdings; $750 million of cash funded through Comcast’s commercial paper program; $1.25 billion of borrowings under NBCUniversal Enterprise’s credit facility, which has replaced our credit facility; and $725 million aggregate liquidation preference of Series A cumulative preferred stock of NBCUniversal Enterprise. After the close of the transaction, GE sold the interests in NBCUniversal Enterprise’s senior debt securities and preferred stock it acquired in the Redemption Transaction to unaffiliated third parties. Following the close of the Redemption Transaction, Comcast owns 96% of NBCUniversal Holdings’ common units and NBCUniversal Enterprise owns the remaining 4%. NBCUniversal Enterprise is now a consolidated subsidiary of Comcast, but we do not have any ownership interests in NBCUniversal Enterprise. NBCUniversal Enterprise also owns all of NBCUniversal Holdings’ newly issued preferred units with a $9.4 billion aggregate liquidation preference.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gridSpan w:val="3"/>
          </w:tcPr>
          <w:p>
            <w:pPr>
              <w:jc w:val="right"/>
              <w:ind w:right="534"/>
              <w:spacing w:after="0"/>
              <w:rPr>
                <w:sz w:val="20"/>
                <w:szCs w:val="20"/>
                <w:color w:val="auto"/>
              </w:rPr>
            </w:pPr>
            <w:r>
              <w:rPr>
                <w:rFonts w:ascii="Arial" w:cs="Arial" w:eastAsia="Arial" w:hAnsi="Arial"/>
                <w:sz w:val="14"/>
                <w:szCs w:val="14"/>
                <w:color w:val="auto"/>
                <w:w w:val="97"/>
              </w:rPr>
              <w:t>Three Months Ended</w:t>
            </w:r>
          </w:p>
        </w:tc>
        <w:tc>
          <w:tcPr>
            <w:tcW w:w="1160" w:type="dxa"/>
            <w:vAlign w:val="bottom"/>
          </w:tcPr>
          <w:p>
            <w:pPr>
              <w:jc w:val="right"/>
              <w:ind w:right="255"/>
              <w:spacing w:after="0"/>
              <w:rPr>
                <w:sz w:val="20"/>
                <w:szCs w:val="20"/>
                <w:color w:val="auto"/>
              </w:rPr>
            </w:pPr>
            <w:r>
              <w:rPr>
                <w:rFonts w:ascii="Arial" w:cs="Arial" w:eastAsia="Arial" w:hAnsi="Arial"/>
                <w:sz w:val="14"/>
                <w:szCs w:val="14"/>
                <w:color w:val="auto"/>
              </w:rPr>
              <w:t>Increase/</w:t>
            </w:r>
          </w:p>
        </w:tc>
      </w:tr>
      <w:tr>
        <w:trPr>
          <w:trHeight w:val="173"/>
        </w:trPr>
        <w:tc>
          <w:tcPr>
            <w:tcW w:w="77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(Decrease)</w:t>
            </w:r>
          </w:p>
        </w:tc>
      </w:tr>
      <w:tr>
        <w:trPr>
          <w:trHeight w:val="237"/>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color w:val="auto"/>
                <w:w w:val="83"/>
              </w:rPr>
              <w:t>2013</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w w:val="83"/>
              </w:rPr>
              <w:t>2012</w:t>
            </w:r>
          </w:p>
        </w:tc>
        <w:tc>
          <w:tcPr>
            <w:tcW w:w="1160" w:type="dxa"/>
            <w:vAlign w:val="bottom"/>
            <w:tcBorders>
              <w:bottom w:val="single" w:sz="8" w:color="auto"/>
            </w:tcBorders>
          </w:tcPr>
          <w:p>
            <w:pPr>
              <w:spacing w:after="0"/>
              <w:rPr>
                <w:sz w:val="20"/>
                <w:szCs w:val="20"/>
                <w:color w:val="auto"/>
              </w:rPr>
            </w:pPr>
          </w:p>
        </w:tc>
      </w:tr>
      <w:tr>
        <w:trPr>
          <w:trHeight w:val="210"/>
        </w:trPr>
        <w:tc>
          <w:tcPr>
            <w:tcW w:w="7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w w:val="88"/>
              </w:rPr>
              <w:t>5,340</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8"/>
              </w:rPr>
              <w:t>5,472</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and production</w:t>
            </w:r>
          </w:p>
        </w:tc>
        <w:tc>
          <w:tcPr>
            <w:tcW w:w="6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w w:val="88"/>
              </w:rPr>
              <w:t>2,701</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8"/>
              </w:rPr>
              <w:t>2,950</w:t>
            </w:r>
          </w:p>
        </w:tc>
        <w:tc>
          <w:tcPr>
            <w:tcW w:w="11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(8.4)</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Other operating and administrative</w:t>
            </w:r>
          </w:p>
        </w:tc>
        <w:tc>
          <w:tcPr>
            <w:tcW w:w="640" w:type="dxa"/>
            <w:vAlign w:val="bottom"/>
          </w:tcPr>
          <w:p>
            <w:pPr>
              <w:spacing w:after="0"/>
              <w:rPr>
                <w:sz w:val="18"/>
                <w:szCs w:val="18"/>
                <w:color w:val="auto"/>
              </w:rPr>
            </w:pPr>
          </w:p>
        </w:tc>
        <w:tc>
          <w:tcPr>
            <w:tcW w:w="1020" w:type="dxa"/>
            <w:vAlign w:val="bottom"/>
          </w:tcPr>
          <w:p>
            <w:pPr>
              <w:jc w:val="right"/>
              <w:ind w:right="516"/>
              <w:spacing w:after="0"/>
              <w:rPr>
                <w:sz w:val="20"/>
                <w:szCs w:val="20"/>
                <w:color w:val="auto"/>
              </w:rPr>
            </w:pPr>
            <w:r>
              <w:rPr>
                <w:rFonts w:ascii="Arial" w:cs="Arial" w:eastAsia="Arial" w:hAnsi="Arial"/>
                <w:sz w:val="18"/>
                <w:szCs w:val="18"/>
                <w:color w:val="auto"/>
                <w:w w:val="88"/>
              </w:rPr>
              <w:t>1,168</w:t>
            </w:r>
          </w:p>
        </w:tc>
        <w:tc>
          <w:tcPr>
            <w:tcW w:w="140" w:type="dxa"/>
            <w:vAlign w:val="bottom"/>
          </w:tcPr>
          <w:p>
            <w:pPr>
              <w:spacing w:after="0"/>
              <w:rPr>
                <w:sz w:val="18"/>
                <w:szCs w:val="18"/>
                <w:color w:val="auto"/>
              </w:rPr>
            </w:pPr>
          </w:p>
        </w:tc>
        <w:tc>
          <w:tcPr>
            <w:tcW w:w="760" w:type="dxa"/>
            <w:vAlign w:val="bottom"/>
          </w:tcPr>
          <w:p>
            <w:pPr>
              <w:jc w:val="right"/>
              <w:ind w:right="254"/>
              <w:spacing w:after="0"/>
              <w:rPr>
                <w:sz w:val="20"/>
                <w:szCs w:val="20"/>
                <w:color w:val="auto"/>
              </w:rPr>
            </w:pPr>
            <w:r>
              <w:rPr>
                <w:rFonts w:ascii="Arial" w:cs="Arial" w:eastAsia="Arial" w:hAnsi="Arial"/>
                <w:sz w:val="18"/>
                <w:szCs w:val="18"/>
                <w:color w:val="auto"/>
                <w:w w:val="88"/>
              </w:rPr>
              <w:t>1,110</w:t>
            </w:r>
          </w:p>
        </w:tc>
        <w:tc>
          <w:tcPr>
            <w:tcW w:w="1160" w:type="dxa"/>
            <w:vAlign w:val="bottom"/>
          </w:tcPr>
          <w:p>
            <w:pPr>
              <w:jc w:val="right"/>
              <w:ind w:right="195"/>
              <w:spacing w:after="0"/>
              <w:rPr>
                <w:sz w:val="20"/>
                <w:szCs w:val="20"/>
                <w:color w:val="auto"/>
              </w:rPr>
            </w:pPr>
            <w:r>
              <w:rPr>
                <w:rFonts w:ascii="Arial" w:cs="Arial" w:eastAsia="Arial" w:hAnsi="Arial"/>
                <w:sz w:val="18"/>
                <w:szCs w:val="18"/>
                <w:color w:val="auto"/>
              </w:rPr>
              <w:t>5.2</w:t>
            </w:r>
          </w:p>
        </w:tc>
      </w:tr>
      <w:tr>
        <w:trPr>
          <w:trHeight w:val="216"/>
        </w:trPr>
        <w:tc>
          <w:tcPr>
            <w:tcW w:w="7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6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599</w:t>
            </w:r>
          </w:p>
        </w:tc>
        <w:tc>
          <w:tcPr>
            <w:tcW w:w="11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(13.5)</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1020" w:type="dxa"/>
            <w:vAlign w:val="bottom"/>
          </w:tcPr>
          <w:p>
            <w:pPr>
              <w:jc w:val="right"/>
              <w:ind w:right="516"/>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760" w:type="dxa"/>
            <w:vAlign w:val="bottom"/>
          </w:tcPr>
          <w:p>
            <w:pPr>
              <w:jc w:val="right"/>
              <w:ind w:right="254"/>
              <w:spacing w:after="0"/>
              <w:rPr>
                <w:sz w:val="20"/>
                <w:szCs w:val="20"/>
                <w:color w:val="auto"/>
              </w:rPr>
            </w:pPr>
            <w:r>
              <w:rPr>
                <w:rFonts w:ascii="Arial" w:cs="Arial" w:eastAsia="Arial" w:hAnsi="Arial"/>
                <w:sz w:val="18"/>
                <w:szCs w:val="18"/>
                <w:color w:val="auto"/>
              </w:rPr>
              <w:t>130</w:t>
            </w:r>
          </w:p>
        </w:tc>
        <w:tc>
          <w:tcPr>
            <w:tcW w:w="1160" w:type="dxa"/>
            <w:vAlign w:val="bottom"/>
          </w:tcPr>
          <w:p>
            <w:pPr>
              <w:jc w:val="right"/>
              <w:ind w:right="195"/>
              <w:spacing w:after="0"/>
              <w:rPr>
                <w:sz w:val="20"/>
                <w:szCs w:val="20"/>
                <w:color w:val="auto"/>
              </w:rPr>
            </w:pPr>
            <w:r>
              <w:rPr>
                <w:rFonts w:ascii="Arial" w:cs="Arial" w:eastAsia="Arial" w:hAnsi="Arial"/>
                <w:sz w:val="18"/>
                <w:szCs w:val="18"/>
                <w:color w:val="auto"/>
              </w:rPr>
              <w:t>16.0</w:t>
            </w:r>
          </w:p>
        </w:tc>
      </w:tr>
      <w:tr>
        <w:trPr>
          <w:trHeight w:val="216"/>
        </w:trPr>
        <w:tc>
          <w:tcPr>
            <w:tcW w:w="77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color w:val="auto"/>
              </w:rPr>
              <w:t>193</w:t>
            </w: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182</w:t>
            </w:r>
          </w:p>
        </w:tc>
        <w:tc>
          <w:tcPr>
            <w:tcW w:w="11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5.8</w:t>
            </w:r>
          </w:p>
        </w:tc>
      </w:tr>
      <w:tr>
        <w:trPr>
          <w:trHeight w:val="210"/>
        </w:trPr>
        <w:tc>
          <w:tcPr>
            <w:tcW w:w="7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88"/>
              </w:rPr>
              <w:t>4,731</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8"/>
              </w:rPr>
              <w:t>4,971</w:t>
            </w: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(4.9)</w:t>
            </w:r>
          </w:p>
        </w:tc>
      </w:tr>
      <w:tr>
        <w:trPr>
          <w:trHeight w:val="210"/>
        </w:trPr>
        <w:tc>
          <w:tcPr>
            <w:tcW w:w="7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501</w:t>
            </w:r>
          </w:p>
        </w:tc>
        <w:tc>
          <w:tcPr>
            <w:tcW w:w="11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21.7</w:t>
            </w:r>
          </w:p>
        </w:tc>
      </w:tr>
      <w:tr>
        <w:trPr>
          <w:trHeight w:val="216"/>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items, net</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(157)</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(44)</w:t>
            </w: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NM</w:t>
            </w:r>
          </w:p>
        </w:tc>
      </w:tr>
      <w:tr>
        <w:trPr>
          <w:trHeight w:val="210"/>
        </w:trPr>
        <w:tc>
          <w:tcPr>
            <w:tcW w:w="770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457</w:t>
            </w:r>
          </w:p>
        </w:tc>
        <w:tc>
          <w:tcPr>
            <w:tcW w:w="11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(1.0)</w:t>
            </w:r>
          </w:p>
        </w:tc>
      </w:tr>
      <w:tr>
        <w:trPr>
          <w:trHeight w:val="216"/>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(40)</w:t>
            </w: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2.3</w:t>
            </w:r>
          </w:p>
        </w:tc>
      </w:tr>
      <w:tr>
        <w:trPr>
          <w:trHeight w:val="210"/>
        </w:trPr>
        <w:tc>
          <w:tcPr>
            <w:tcW w:w="770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417</w:t>
            </w:r>
          </w:p>
        </w:tc>
        <w:tc>
          <w:tcPr>
            <w:tcW w:w="11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(1.3)</w:t>
            </w:r>
          </w:p>
        </w:tc>
      </w:tr>
      <w:tr>
        <w:trPr>
          <w:trHeight w:val="216"/>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(32)</w:t>
            </w: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74.9</w:t>
            </w:r>
          </w:p>
        </w:tc>
      </w:tr>
      <w:tr>
        <w:trPr>
          <w:trHeight w:val="217"/>
        </w:trPr>
        <w:tc>
          <w:tcPr>
            <w:tcW w:w="7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b w:val="1"/>
                <w:bCs w:val="1"/>
                <w:color w:val="auto"/>
              </w:rPr>
              <w:t>355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b w:val="1"/>
                <w:bCs w:val="1"/>
                <w:color w:val="auto"/>
              </w:rPr>
              <w:t>385</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(7.6)%</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of our businesses is subject to seasonal and cyclical variations. Revenue and operating costs and expenses in our Broadcast Television segment are cyclical as a result of our periodic broadcasts of the Olympic Games and the Super Bowl. Our advertising revenue and programming and production costs decreased for the three months ended March 31, 2013 primarily due to the broadcast of the 2012 Super Bowl in February 2012. All of the revenue and operating costs and expenses associated with our broadcast of the 2012 Super Bowl are reported in our Broadcast Television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Consolidated revenue decreased for the three months ended March 31, 2013 compared to the same period in 2012 primarily due to a decrease in revenue in our Broadcast Television segment due to our broadcast of the 2012 Super Bowl in the prior year period, partially offset by increases in our Cable Networks, Theme Parks and Filmed Entertainment segments. Revenue for our segments is discussed separately below under the heading “Segment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Consolidated costs and expenses, excluding depreciation and amortization (consolidated “operating costs and expenses”), decreased for the three months ended March 31, 2013 compared to the same period in 2012 primarily due to decreases in programming and production costs in our Broadcast Television segment due to the broadcast of the 2012 Super Bowl in the prior year period. Excluding the impact of the 2012 Super Bowl in the prior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 consolidated operating costs and expenses decreased due to decreases in our Broadcast Television and Filmed Entertainment segments, partially offset by increases in our Cable Networks and Theme Parks segments. Operating costs and expenses for our segments are discussed separately below under the heading “Segment Operating Results.”</w:t>
      </w:r>
    </w:p>
    <w:p>
      <w:pPr>
        <w:spacing w:after="0" w:line="4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 xml:space="preserve">Consolidated depreciation and amortization expense for the three months ended March 31, 2013 increased compared to the same period in 2012 primarily due to the incremental depreciation expense related to higher capital expenditures, including the </w:t>
      </w:r>
      <w:r>
        <w:rPr>
          <w:rFonts w:ascii="Arial" w:cs="Arial" w:eastAsia="Arial" w:hAnsi="Arial"/>
          <w:sz w:val="16"/>
          <w:szCs w:val="16"/>
          <w:i w:val="1"/>
          <w:iCs w:val="1"/>
          <w:color w:val="auto"/>
        </w:rPr>
        <w:t>Transformers</w:t>
      </w:r>
      <w:r>
        <w:rPr>
          <w:rFonts w:ascii="Arial" w:cs="Arial" w:eastAsia="Arial" w:hAnsi="Arial"/>
          <w:sz w:val="16"/>
          <w:szCs w:val="16"/>
          <w:color w:val="auto"/>
        </w:rPr>
        <w:t xml:space="preserve"> attraction at Universal Hollywood.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the business segment footnote to our condensed consolidated financial statements (see Note 11 to our condensed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Reclassifications have been made to our condensed consolidated financial statements for the prior year to conform to classifications used in the current period. Operating costs and expenses for each of our Cable Networks, Broadcast Television and Filmed Entertainment segments have been expanded to present programming and production costs, other operating and administrative costs, and advertising, marketing and promotion costs.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gridSpan w:val="3"/>
          </w:tcPr>
          <w:p>
            <w:pPr>
              <w:jc w:val="right"/>
              <w:ind w:right="534"/>
              <w:spacing w:after="0"/>
              <w:rPr>
                <w:sz w:val="20"/>
                <w:szCs w:val="20"/>
                <w:color w:val="auto"/>
              </w:rPr>
            </w:pPr>
            <w:r>
              <w:rPr>
                <w:rFonts w:ascii="Arial" w:cs="Arial" w:eastAsia="Arial" w:hAnsi="Arial"/>
                <w:sz w:val="14"/>
                <w:szCs w:val="14"/>
                <w:color w:val="auto"/>
                <w:w w:val="99"/>
              </w:rPr>
              <w:t>Three Months Ended</w:t>
            </w:r>
          </w:p>
        </w:tc>
        <w:tc>
          <w:tcPr>
            <w:tcW w:w="420" w:type="dxa"/>
            <w:vAlign w:val="bottom"/>
          </w:tcPr>
          <w:p>
            <w:pPr>
              <w:spacing w:after="0"/>
              <w:rPr>
                <w:sz w:val="14"/>
                <w:szCs w:val="14"/>
                <w:color w:val="auto"/>
              </w:rPr>
            </w:pPr>
          </w:p>
        </w:tc>
        <w:tc>
          <w:tcPr>
            <w:tcW w:w="1520" w:type="dxa"/>
            <w:vAlign w:val="bottom"/>
            <w:gridSpan w:val="2"/>
          </w:tcPr>
          <w:p>
            <w:pPr>
              <w:jc w:val="right"/>
              <w:ind w:right="654"/>
              <w:spacing w:after="0"/>
              <w:rPr>
                <w:sz w:val="20"/>
                <w:szCs w:val="20"/>
                <w:color w:val="auto"/>
              </w:rPr>
            </w:pPr>
            <w:r>
              <w:rPr>
                <w:rFonts w:ascii="Arial" w:cs="Arial" w:eastAsia="Arial" w:hAnsi="Arial"/>
                <w:sz w:val="14"/>
                <w:szCs w:val="14"/>
                <w:color w:val="auto"/>
              </w:rPr>
              <w:t>Increase/</w:t>
            </w:r>
          </w:p>
        </w:tc>
      </w:tr>
      <w:tr>
        <w:trPr>
          <w:trHeight w:val="172"/>
        </w:trPr>
        <w:tc>
          <w:tcPr>
            <w:tcW w:w="5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(Decrease)</w:t>
            </w:r>
          </w:p>
        </w:tc>
      </w:tr>
      <w:tr>
        <w:trPr>
          <w:trHeight w:val="143"/>
        </w:trPr>
        <w:tc>
          <w:tcPr>
            <w:tcW w:w="51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56"/>
              <w:spacing w:after="0" w:line="143" w:lineRule="exact"/>
              <w:rPr>
                <w:sz w:val="20"/>
                <w:szCs w:val="20"/>
                <w:color w:val="auto"/>
              </w:rPr>
            </w:pPr>
            <w:r>
              <w:rPr>
                <w:rFonts w:ascii="Arial" w:cs="Arial" w:eastAsia="Arial" w:hAnsi="Arial"/>
                <w:sz w:val="14"/>
                <w:szCs w:val="14"/>
                <w:color w:val="auto"/>
                <w:w w:val="89"/>
              </w:rPr>
              <w:t>2013</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4"/>
              <w:spacing w:after="0" w:line="143" w:lineRule="exact"/>
              <w:rPr>
                <w:sz w:val="20"/>
                <w:szCs w:val="20"/>
                <w:color w:val="auto"/>
              </w:rPr>
            </w:pPr>
            <w:r>
              <w:rPr>
                <w:rFonts w:ascii="Arial" w:cs="Arial" w:eastAsia="Arial" w:hAnsi="Arial"/>
                <w:sz w:val="14"/>
                <w:szCs w:val="14"/>
                <w:color w:val="auto"/>
                <w:w w:val="89"/>
              </w:rPr>
              <w:t>2012</w:t>
            </w: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37"/>
              <w:spacing w:after="0" w:line="143"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54"/>
              <w:spacing w:after="0" w:line="143" w:lineRule="exact"/>
              <w:rPr>
                <w:sz w:val="20"/>
                <w:szCs w:val="20"/>
                <w:color w:val="auto"/>
              </w:rPr>
            </w:pPr>
            <w:r>
              <w:rPr>
                <w:rFonts w:ascii="Arial" w:cs="Arial" w:eastAsia="Arial" w:hAnsi="Arial"/>
                <w:sz w:val="14"/>
                <w:szCs w:val="14"/>
                <w:color w:val="auto"/>
              </w:rPr>
              <w:t>%</w:t>
            </w:r>
          </w:p>
        </w:tc>
      </w:tr>
      <w:tr>
        <w:trPr>
          <w:trHeight w:val="210"/>
        </w:trPr>
        <w:tc>
          <w:tcPr>
            <w:tcW w:w="5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6"/>
              <w:spacing w:after="0"/>
              <w:rPr>
                <w:sz w:val="20"/>
                <w:szCs w:val="20"/>
                <w:color w:val="auto"/>
              </w:rPr>
            </w:pPr>
            <w:r>
              <w:rPr>
                <w:rFonts w:ascii="Arial" w:cs="Arial" w:eastAsia="Arial" w:hAnsi="Arial"/>
                <w:sz w:val="18"/>
                <w:szCs w:val="18"/>
                <w:color w:val="auto"/>
                <w:w w:val="93"/>
              </w:rPr>
              <w:t>2,225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54"/>
              <w:spacing w:after="0"/>
              <w:rPr>
                <w:sz w:val="20"/>
                <w:szCs w:val="20"/>
                <w:color w:val="auto"/>
              </w:rPr>
            </w:pPr>
            <w:r>
              <w:rPr>
                <w:rFonts w:ascii="Arial" w:cs="Arial" w:eastAsia="Arial" w:hAnsi="Arial"/>
                <w:sz w:val="18"/>
                <w:szCs w:val="18"/>
                <w:color w:val="auto"/>
                <w:w w:val="93"/>
              </w:rPr>
              <w:t>2,128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7"/>
              <w:spacing w:after="0"/>
              <w:rPr>
                <w:sz w:val="20"/>
                <w:szCs w:val="20"/>
                <w:color w:val="auto"/>
              </w:rPr>
            </w:pPr>
            <w:r>
              <w:rPr>
                <w:rFonts w:ascii="Arial" w:cs="Arial" w:eastAsia="Arial" w:hAnsi="Arial"/>
                <w:sz w:val="18"/>
                <w:szCs w:val="18"/>
                <w:color w:val="auto"/>
              </w:rPr>
              <w:t>97</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4.6%</w:t>
            </w:r>
          </w:p>
        </w:tc>
      </w:tr>
      <w:tr>
        <w:trPr>
          <w:trHeight w:val="216"/>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1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w w:val="93"/>
              </w:rPr>
              <w:t>1,517</w:t>
            </w: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3"/>
              </w:rPr>
              <w:t>1,861</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w w:val="90"/>
              </w:rPr>
              <w:t>(344)</w:t>
            </w:r>
          </w:p>
        </w:tc>
        <w:tc>
          <w:tcPr>
            <w:tcW w:w="9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(18.5)</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ind w:right="516"/>
              <w:spacing w:after="0"/>
              <w:rPr>
                <w:sz w:val="20"/>
                <w:szCs w:val="20"/>
                <w:color w:val="auto"/>
              </w:rPr>
            </w:pPr>
            <w:r>
              <w:rPr>
                <w:rFonts w:ascii="Arial" w:cs="Arial" w:eastAsia="Arial" w:hAnsi="Arial"/>
                <w:sz w:val="18"/>
                <w:szCs w:val="18"/>
                <w:color w:val="auto"/>
                <w:w w:val="93"/>
              </w:rPr>
              <w:t>1,216</w:t>
            </w:r>
          </w:p>
        </w:tc>
        <w:tc>
          <w:tcPr>
            <w:tcW w:w="12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8"/>
                <w:szCs w:val="18"/>
                <w:color w:val="auto"/>
                <w:w w:val="93"/>
              </w:rPr>
              <w:t>1,192</w:t>
            </w:r>
          </w:p>
        </w:tc>
        <w:tc>
          <w:tcPr>
            <w:tcW w:w="420" w:type="dxa"/>
            <w:vAlign w:val="bottom"/>
          </w:tcPr>
          <w:p>
            <w:pPr>
              <w:spacing w:after="0"/>
              <w:rPr>
                <w:sz w:val="18"/>
                <w:szCs w:val="18"/>
                <w:color w:val="auto"/>
              </w:rPr>
            </w:pPr>
          </w:p>
        </w:tc>
        <w:tc>
          <w:tcPr>
            <w:tcW w:w="560" w:type="dxa"/>
            <w:vAlign w:val="bottom"/>
          </w:tcPr>
          <w:p>
            <w:pPr>
              <w:jc w:val="right"/>
              <w:ind w:right="137"/>
              <w:spacing w:after="0"/>
              <w:rPr>
                <w:sz w:val="20"/>
                <w:szCs w:val="20"/>
                <w:color w:val="auto"/>
              </w:rPr>
            </w:pPr>
            <w:r>
              <w:rPr>
                <w:rFonts w:ascii="Arial" w:cs="Arial" w:eastAsia="Arial" w:hAnsi="Arial"/>
                <w:sz w:val="18"/>
                <w:szCs w:val="18"/>
                <w:color w:val="auto"/>
              </w:rPr>
              <w:t>24</w:t>
            </w:r>
          </w:p>
        </w:tc>
        <w:tc>
          <w:tcPr>
            <w:tcW w:w="960" w:type="dxa"/>
            <w:vAlign w:val="bottom"/>
          </w:tcPr>
          <w:p>
            <w:pPr>
              <w:jc w:val="right"/>
              <w:ind w:right="254"/>
              <w:spacing w:after="0"/>
              <w:rPr>
                <w:sz w:val="20"/>
                <w:szCs w:val="20"/>
                <w:color w:val="auto"/>
              </w:rPr>
            </w:pPr>
            <w:r>
              <w:rPr>
                <w:rFonts w:ascii="Arial" w:cs="Arial" w:eastAsia="Arial" w:hAnsi="Arial"/>
                <w:sz w:val="18"/>
                <w:szCs w:val="18"/>
                <w:color w:val="auto"/>
              </w:rPr>
              <w:t>2.0</w:t>
            </w:r>
          </w:p>
        </w:tc>
      </w:tr>
      <w:tr>
        <w:trPr>
          <w:trHeight w:val="216"/>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1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412</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50</w:t>
            </w:r>
          </w:p>
        </w:tc>
        <w:tc>
          <w:tcPr>
            <w:tcW w:w="9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12.2</w:t>
            </w:r>
          </w:p>
        </w:tc>
      </w:tr>
      <w:tr>
        <w:trPr>
          <w:trHeight w:val="216"/>
        </w:trPr>
        <w:tc>
          <w:tcPr>
            <w:tcW w:w="51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1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(121)</w:t>
            </w: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41</w:t>
            </w: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NM</w:t>
            </w:r>
          </w:p>
        </w:tc>
      </w:tr>
      <w:tr>
        <w:trPr>
          <w:trHeight w:val="217"/>
        </w:trPr>
        <w:tc>
          <w:tcPr>
            <w:tcW w:w="5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42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b w:val="1"/>
                <w:bCs w:val="1"/>
                <w:color w:val="auto"/>
                <w:w w:val="93"/>
              </w:rPr>
              <w:t>5,340</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b w:val="1"/>
                <w:bCs w:val="1"/>
                <w:color w:val="auto"/>
                <w:w w:val="93"/>
              </w:rPr>
              <w:t>5,472</w:t>
            </w:r>
          </w:p>
        </w:tc>
        <w:tc>
          <w:tcPr>
            <w:tcW w:w="980" w:type="dxa"/>
            <w:vAlign w:val="bottom"/>
            <w:tcBorders>
              <w:bottom w:val="single" w:sz="8" w:color="auto"/>
            </w:tcBorders>
            <w:gridSpan w:val="2"/>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 (132)</w:t>
            </w:r>
          </w:p>
        </w:tc>
        <w:tc>
          <w:tcPr>
            <w:tcW w:w="9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(2.4)%</w:t>
            </w:r>
          </w:p>
        </w:tc>
      </w:tr>
      <w:tr>
        <w:trPr>
          <w:trHeight w:val="310"/>
        </w:trPr>
        <w:tc>
          <w:tcPr>
            <w:tcW w:w="5120" w:type="dxa"/>
            <w:vAlign w:val="bottom"/>
          </w:tcPr>
          <w:p>
            <w:pPr>
              <w:spacing w:after="0"/>
              <w:rPr>
                <w:sz w:val="20"/>
                <w:szCs w:val="20"/>
                <w:color w:val="auto"/>
              </w:rPr>
            </w:pPr>
            <w:r>
              <w:rPr>
                <w:rFonts w:ascii="Arial" w:cs="Arial" w:eastAsia="Arial" w:hAnsi="Arial"/>
                <w:sz w:val="18"/>
                <w:szCs w:val="18"/>
                <w:b w:val="1"/>
                <w:bCs w:val="1"/>
                <w:color w:val="auto"/>
                <w:w w:val="96"/>
              </w:rPr>
              <w:t>Operating income (loss) before depreciation and amortization</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7"/>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4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809</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50</w:t>
            </w:r>
          </w:p>
        </w:tc>
        <w:tc>
          <w:tcPr>
            <w:tcW w:w="9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6.2%</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ind w:right="45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560" w:type="dxa"/>
            <w:vAlign w:val="bottom"/>
          </w:tcPr>
          <w:p>
            <w:pPr>
              <w:jc w:val="right"/>
              <w:ind w:right="77"/>
              <w:spacing w:after="0"/>
              <w:rPr>
                <w:sz w:val="20"/>
                <w:szCs w:val="20"/>
                <w:color w:val="auto"/>
              </w:rPr>
            </w:pPr>
            <w:r>
              <w:rPr>
                <w:rFonts w:ascii="Arial" w:cs="Arial" w:eastAsia="Arial" w:hAnsi="Arial"/>
                <w:sz w:val="18"/>
                <w:szCs w:val="18"/>
                <w:color w:val="auto"/>
              </w:rPr>
              <w:t>(21)</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(158.8)</w:t>
            </w:r>
          </w:p>
        </w:tc>
      </w:tr>
      <w:tr>
        <w:trPr>
          <w:trHeight w:val="216"/>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8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69</w:t>
            </w: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6</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63</w:t>
            </w:r>
          </w:p>
        </w:tc>
        <w:tc>
          <w:tcPr>
            <w:tcW w:w="9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NM</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ind w:right="516"/>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560" w:type="dxa"/>
            <w:vAlign w:val="bottom"/>
          </w:tcPr>
          <w:p>
            <w:pPr>
              <w:jc w:val="right"/>
              <w:ind w:right="137"/>
              <w:spacing w:after="0"/>
              <w:rPr>
                <w:sz w:val="20"/>
                <w:szCs w:val="20"/>
                <w:color w:val="auto"/>
              </w:rPr>
            </w:pPr>
            <w:r>
              <w:rPr>
                <w:rFonts w:ascii="Arial" w:cs="Arial" w:eastAsia="Arial" w:hAnsi="Arial"/>
                <w:sz w:val="18"/>
                <w:szCs w:val="18"/>
                <w:color w:val="auto"/>
              </w:rPr>
              <w:t>16</w:t>
            </w:r>
          </w:p>
        </w:tc>
        <w:tc>
          <w:tcPr>
            <w:tcW w:w="960" w:type="dxa"/>
            <w:vAlign w:val="bottom"/>
          </w:tcPr>
          <w:p>
            <w:pPr>
              <w:jc w:val="right"/>
              <w:ind w:right="254"/>
              <w:spacing w:after="0"/>
              <w:rPr>
                <w:sz w:val="20"/>
                <w:szCs w:val="20"/>
                <w:color w:val="auto"/>
              </w:rPr>
            </w:pPr>
            <w:r>
              <w:rPr>
                <w:rFonts w:ascii="Arial" w:cs="Arial" w:eastAsia="Arial" w:hAnsi="Arial"/>
                <w:sz w:val="18"/>
                <w:szCs w:val="18"/>
                <w:color w:val="auto"/>
              </w:rPr>
              <w:t>10.3</w:t>
            </w:r>
          </w:p>
        </w:tc>
      </w:tr>
      <w:tr>
        <w:trPr>
          <w:trHeight w:val="216"/>
        </w:trPr>
        <w:tc>
          <w:tcPr>
            <w:tcW w:w="51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18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456"/>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(145)</w:t>
            </w:r>
          </w:p>
        </w:tc>
        <w:tc>
          <w:tcPr>
            <w:tcW w:w="4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32</w:t>
            </w:r>
          </w:p>
        </w:tc>
        <w:tc>
          <w:tcPr>
            <w:tcW w:w="96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NM</w:t>
            </w:r>
          </w:p>
        </w:tc>
      </w:tr>
      <w:tr>
        <w:trPr>
          <w:trHeight w:val="217"/>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Total operating income before depreciation and amortization</w:t>
            </w:r>
          </w:p>
        </w:tc>
        <w:tc>
          <w:tcPr>
            <w:tcW w:w="2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b w:val="1"/>
                <w:bCs w:val="1"/>
                <w:color w:val="auto"/>
              </w:rPr>
              <w:t>953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813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140</w:t>
            </w: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17.2%</w:t>
            </w:r>
          </w:p>
        </w:tc>
      </w:tr>
      <w:tr>
        <w:trPr>
          <w:trHeight w:val="363"/>
        </w:trPr>
        <w:tc>
          <w:tcPr>
            <w:tcW w:w="5120" w:type="dxa"/>
            <w:vAlign w:val="bottom"/>
          </w:tcPr>
          <w:p>
            <w:pPr>
              <w:spacing w:after="0"/>
              <w:rPr>
                <w:sz w:val="24"/>
                <w:szCs w:val="24"/>
                <w:color w:val="auto"/>
              </w:rPr>
            </w:pPr>
          </w:p>
        </w:tc>
        <w:tc>
          <w:tcPr>
            <w:tcW w:w="1800" w:type="dxa"/>
            <w:vAlign w:val="bottom"/>
          </w:tcPr>
          <w:p>
            <w:pPr>
              <w:jc w:val="right"/>
              <w:ind w:right="1012"/>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3"/>
          </w:tcPr>
          <w:p>
            <w:pPr>
              <w:jc w:val="right"/>
              <w:ind w:right="474"/>
              <w:spacing w:after="0"/>
              <w:rPr>
                <w:sz w:val="20"/>
                <w:szCs w:val="20"/>
                <w:color w:val="auto"/>
              </w:rPr>
            </w:pPr>
            <w:r>
              <w:rPr>
                <w:rFonts w:ascii="Arial" w:cs="Arial" w:eastAsia="Arial" w:hAnsi="Arial"/>
                <w:sz w:val="14"/>
                <w:szCs w:val="14"/>
                <w:color w:val="auto"/>
                <w:w w:val="99"/>
              </w:rPr>
              <w:t>Three Months Ended</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Increase/</w:t>
            </w:r>
          </w:p>
        </w:tc>
        <w:tc>
          <w:tcPr>
            <w:tcW w:w="6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w w:val="89"/>
              </w:rPr>
              <w:t>March 31</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(Decrease)</w:t>
            </w:r>
          </w:p>
        </w:tc>
        <w:tc>
          <w:tcPr>
            <w:tcW w:w="620" w:type="dxa"/>
            <w:vAlign w:val="bottom"/>
            <w:tcBorders>
              <w:bottom w:val="single" w:sz="8" w:color="auto"/>
            </w:tcBorders>
          </w:tcPr>
          <w:p>
            <w:pPr>
              <w:spacing w:after="0"/>
              <w:rPr>
                <w:sz w:val="14"/>
                <w:szCs w:val="14"/>
                <w:color w:val="auto"/>
              </w:rPr>
            </w:pPr>
          </w:p>
        </w:tc>
      </w:tr>
      <w:tr>
        <w:trPr>
          <w:trHeight w:val="143"/>
        </w:trPr>
        <w:tc>
          <w:tcPr>
            <w:tcW w:w="696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2"/>
                <w:szCs w:val="12"/>
                <w:color w:val="auto"/>
              </w:rPr>
            </w:pPr>
          </w:p>
        </w:tc>
        <w:tc>
          <w:tcPr>
            <w:tcW w:w="460" w:type="dxa"/>
            <w:vAlign w:val="bottom"/>
          </w:tcPr>
          <w:p>
            <w:pPr>
              <w:jc w:val="right"/>
              <w:ind w:right="76"/>
              <w:spacing w:after="0" w:line="143" w:lineRule="exact"/>
              <w:rPr>
                <w:sz w:val="20"/>
                <w:szCs w:val="20"/>
                <w:color w:val="auto"/>
              </w:rPr>
            </w:pPr>
            <w:r>
              <w:rPr>
                <w:rFonts w:ascii="Arial" w:cs="Arial" w:eastAsia="Arial" w:hAnsi="Arial"/>
                <w:sz w:val="14"/>
                <w:szCs w:val="14"/>
                <w:color w:val="auto"/>
                <w:w w:val="89"/>
              </w:rPr>
              <w:t>2013</w:t>
            </w:r>
          </w:p>
        </w:tc>
        <w:tc>
          <w:tcPr>
            <w:tcW w:w="700" w:type="dxa"/>
            <w:vAlign w:val="bottom"/>
          </w:tcPr>
          <w:p>
            <w:pPr>
              <w:spacing w:after="0"/>
              <w:rPr>
                <w:sz w:val="12"/>
                <w:szCs w:val="12"/>
                <w:color w:val="auto"/>
              </w:rPr>
            </w:pPr>
          </w:p>
        </w:tc>
        <w:tc>
          <w:tcPr>
            <w:tcW w:w="720" w:type="dxa"/>
            <w:vAlign w:val="bottom"/>
          </w:tcPr>
          <w:p>
            <w:pPr>
              <w:jc w:val="right"/>
              <w:ind w:right="354"/>
              <w:spacing w:after="0" w:line="143" w:lineRule="exact"/>
              <w:rPr>
                <w:sz w:val="20"/>
                <w:szCs w:val="20"/>
                <w:color w:val="auto"/>
              </w:rPr>
            </w:pPr>
            <w:r>
              <w:rPr>
                <w:rFonts w:ascii="Arial" w:cs="Arial" w:eastAsia="Arial" w:hAnsi="Arial"/>
                <w:sz w:val="14"/>
                <w:szCs w:val="14"/>
                <w:color w:val="auto"/>
                <w:w w:val="83"/>
              </w:rPr>
              <w:t>2012</w:t>
            </w:r>
          </w:p>
        </w:tc>
        <w:tc>
          <w:tcPr>
            <w:tcW w:w="460" w:type="dxa"/>
            <w:vAlign w:val="bottom"/>
          </w:tcPr>
          <w:p>
            <w:pPr>
              <w:spacing w:after="0"/>
              <w:rPr>
                <w:sz w:val="12"/>
                <w:szCs w:val="12"/>
                <w:color w:val="auto"/>
              </w:rPr>
            </w:pPr>
          </w:p>
        </w:tc>
        <w:tc>
          <w:tcPr>
            <w:tcW w:w="880" w:type="dxa"/>
            <w:vAlign w:val="bottom"/>
          </w:tcPr>
          <w:p>
            <w:pPr>
              <w:jc w:val="right"/>
              <w:ind w:right="677"/>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354"/>
              <w:spacing w:after="0" w:line="143"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1,241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1,143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77"/>
              <w:spacing w:after="0"/>
              <w:rPr>
                <w:sz w:val="20"/>
                <w:szCs w:val="20"/>
                <w:color w:val="auto"/>
              </w:rPr>
            </w:pPr>
            <w:r>
              <w:rPr>
                <w:rFonts w:ascii="Arial" w:cs="Arial" w:eastAsia="Arial" w:hAnsi="Arial"/>
                <w:sz w:val="18"/>
                <w:szCs w:val="18"/>
                <w:color w:val="auto"/>
              </w:rPr>
              <w:t>98</w:t>
            </w: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69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6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828</w:t>
            </w: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807</w:t>
            </w:r>
          </w:p>
        </w:tc>
        <w:tc>
          <w:tcPr>
            <w:tcW w:w="4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21</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69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178</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(22)</w:t>
            </w: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89"/>
              </w:rPr>
              <w:t>(11.9)</w:t>
            </w:r>
          </w:p>
        </w:tc>
      </w:tr>
      <w:tr>
        <w:trPr>
          <w:trHeight w:val="210"/>
        </w:trPr>
        <w:tc>
          <w:tcPr>
            <w:tcW w:w="20" w:type="dxa"/>
            <w:vAlign w:val="bottom"/>
          </w:tcPr>
          <w:p>
            <w:pPr>
              <w:spacing w:after="0"/>
              <w:rPr>
                <w:sz w:val="18"/>
                <w:szCs w:val="18"/>
                <w:color w:val="auto"/>
              </w:rPr>
            </w:pPr>
          </w:p>
        </w:tc>
        <w:tc>
          <w:tcPr>
            <w:tcW w:w="69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6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2,225</w:t>
            </w: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88"/>
              </w:rPr>
              <w:t>2,128</w:t>
            </w:r>
          </w:p>
        </w:tc>
        <w:tc>
          <w:tcPr>
            <w:tcW w:w="4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97</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6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908</w:t>
            </w: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887</w:t>
            </w:r>
          </w:p>
        </w:tc>
        <w:tc>
          <w:tcPr>
            <w:tcW w:w="4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21</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338</w:t>
            </w:r>
          </w:p>
        </w:tc>
        <w:tc>
          <w:tcPr>
            <w:tcW w:w="70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880" w:type="dxa"/>
            <w:vAlign w:val="bottom"/>
          </w:tcPr>
          <w:p>
            <w:pPr>
              <w:jc w:val="right"/>
              <w:ind w:right="477"/>
              <w:spacing w:after="0"/>
              <w:rPr>
                <w:sz w:val="20"/>
                <w:szCs w:val="20"/>
                <w:color w:val="auto"/>
              </w:rPr>
            </w:pPr>
            <w:r>
              <w:rPr>
                <w:rFonts w:ascii="Arial" w:cs="Arial" w:eastAsia="Arial" w:hAnsi="Arial"/>
                <w:sz w:val="18"/>
                <w:szCs w:val="18"/>
                <w:color w:val="auto"/>
              </w:rPr>
              <w:t>27</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69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6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120</w:t>
            </w:r>
          </w:p>
        </w:tc>
        <w:tc>
          <w:tcPr>
            <w:tcW w:w="7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121</w:t>
            </w:r>
          </w:p>
        </w:tc>
        <w:tc>
          <w:tcPr>
            <w:tcW w:w="4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(0.5)</w:t>
            </w:r>
          </w:p>
        </w:tc>
      </w:tr>
      <w:tr>
        <w:trPr>
          <w:trHeight w:val="210"/>
        </w:trPr>
        <w:tc>
          <w:tcPr>
            <w:tcW w:w="20" w:type="dxa"/>
            <w:vAlign w:val="bottom"/>
          </w:tcPr>
          <w:p>
            <w:pPr>
              <w:spacing w:after="0"/>
              <w:rPr>
                <w:sz w:val="18"/>
                <w:szCs w:val="18"/>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1,366</w:t>
            </w: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88"/>
              </w:rPr>
              <w:t>1,319</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47</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3.6</w:t>
            </w:r>
          </w:p>
        </w:tc>
      </w:tr>
      <w:tr>
        <w:trPr>
          <w:trHeight w:val="217"/>
        </w:trPr>
        <w:tc>
          <w:tcPr>
            <w:tcW w:w="20" w:type="dxa"/>
            <w:vAlign w:val="bottom"/>
          </w:tcPr>
          <w:p>
            <w:pPr>
              <w:spacing w:after="0"/>
              <w:rPr>
                <w:sz w:val="18"/>
                <w:szCs w:val="18"/>
                <w:color w:val="auto"/>
              </w:rPr>
            </w:pPr>
          </w:p>
        </w:tc>
        <w:tc>
          <w:tcPr>
            <w:tcW w:w="6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859</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809</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477"/>
              <w:spacing w:after="0"/>
              <w:rPr>
                <w:sz w:val="20"/>
                <w:szCs w:val="20"/>
                <w:color w:val="auto"/>
              </w:rPr>
            </w:pPr>
            <w:r>
              <w:rPr>
                <w:rFonts w:ascii="Arial" w:cs="Arial" w:eastAsia="Arial" w:hAnsi="Arial"/>
                <w:sz w:val="18"/>
                <w:szCs w:val="18"/>
                <w:b w:val="1"/>
                <w:bCs w:val="1"/>
                <w:color w:val="auto"/>
              </w:rPr>
              <w:t>50</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6.2%</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Our Cable Networks revenue increased for the three months ended March 31, 2013 compared to the same period in 2012 due to increases in distribution revenue and advertising revenue, partially offset by a decrease in content licensing and other revenue. The increase in distribution revenue was primarily due to increases in the contractual rates charged under distribution agreements, and the increase in advertising revenue was primarily due to increases in the price and volume of advertising units sold, partially offset by declines in audience ratings at certain of our cable networks. The decrease in content licensing and other revenue was primarily due to a reduction in the licensing of our owned content at certain of our cable networks.</w:t>
      </w:r>
    </w:p>
    <w:p>
      <w:pPr>
        <w:spacing w:after="0" w:line="2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three months ended March 31, 2013 and 2012, 14% and 13%, respectively, of our Cable Networks segment revenue was generated from transactions with Comcast.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Operating costs and expenses increased for the three months ended March 31, 2013 compared to the same period in 2012 primarily due to increases in programming and production costs and other operating and administrative expenses. The increase in programming and production costs was primarily due to continued investment in original programming at certain of our cable networks, partially offset by lower sports programming costs in the current period. The increase in other operating and administrative costs was primarily associated with higher employee benefit costs.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gridSpan w:val="3"/>
          </w:tcPr>
          <w:p>
            <w:pPr>
              <w:jc w:val="right"/>
              <w:ind w:right="514"/>
              <w:spacing w:after="0"/>
              <w:rPr>
                <w:sz w:val="20"/>
                <w:szCs w:val="20"/>
                <w:color w:val="auto"/>
              </w:rPr>
            </w:pPr>
            <w:r>
              <w:rPr>
                <w:rFonts w:ascii="Arial" w:cs="Arial" w:eastAsia="Arial" w:hAnsi="Arial"/>
                <w:sz w:val="14"/>
                <w:szCs w:val="14"/>
                <w:color w:val="auto"/>
                <w:w w:val="99"/>
              </w:rPr>
              <w:t>Three Months Ended</w:t>
            </w:r>
          </w:p>
        </w:tc>
        <w:tc>
          <w:tcPr>
            <w:tcW w:w="1920" w:type="dxa"/>
            <w:vAlign w:val="bottom"/>
            <w:gridSpan w:val="2"/>
          </w:tcPr>
          <w:p>
            <w:pPr>
              <w:jc w:val="right"/>
              <w:ind w:right="654"/>
              <w:spacing w:after="0"/>
              <w:rPr>
                <w:sz w:val="20"/>
                <w:szCs w:val="20"/>
                <w:color w:val="auto"/>
              </w:rPr>
            </w:pPr>
            <w:r>
              <w:rPr>
                <w:rFonts w:ascii="Arial" w:cs="Arial" w:eastAsia="Arial" w:hAnsi="Arial"/>
                <w:sz w:val="14"/>
                <w:szCs w:val="14"/>
                <w:color w:val="auto"/>
              </w:rPr>
              <w:t>Increase/</w:t>
            </w:r>
          </w:p>
        </w:tc>
      </w:tr>
      <w:tr>
        <w:trPr>
          <w:trHeight w:val="17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(Decrease)</w:t>
            </w:r>
          </w:p>
        </w:tc>
      </w:tr>
      <w:tr>
        <w:trPr>
          <w:trHeight w:val="143"/>
        </w:trPr>
        <w:tc>
          <w:tcPr>
            <w:tcW w:w="48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2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right"/>
              <w:ind w:right="637"/>
              <w:spacing w:after="0" w:line="143" w:lineRule="exact"/>
              <w:rPr>
                <w:sz w:val="20"/>
                <w:szCs w:val="20"/>
                <w:color w:val="auto"/>
              </w:rPr>
            </w:pPr>
            <w:r>
              <w:rPr>
                <w:rFonts w:ascii="Arial" w:cs="Arial" w:eastAsia="Arial" w:hAnsi="Arial"/>
                <w:sz w:val="14"/>
                <w:szCs w:val="14"/>
                <w:color w:val="auto"/>
                <w:w w:val="89"/>
              </w:rPr>
              <w:t>2013</w:t>
            </w:r>
          </w:p>
        </w:tc>
        <w:tc>
          <w:tcPr>
            <w:tcW w:w="140" w:type="dxa"/>
            <w:vAlign w:val="bottom"/>
          </w:tcPr>
          <w:p>
            <w:pPr>
              <w:spacing w:after="0"/>
              <w:rPr>
                <w:sz w:val="12"/>
                <w:szCs w:val="12"/>
                <w:color w:val="auto"/>
              </w:rPr>
            </w:pPr>
          </w:p>
        </w:tc>
        <w:tc>
          <w:tcPr>
            <w:tcW w:w="760" w:type="dxa"/>
            <w:vAlign w:val="bottom"/>
          </w:tcPr>
          <w:p>
            <w:pPr>
              <w:jc w:val="right"/>
              <w:ind w:right="394"/>
              <w:spacing w:after="0" w:line="143" w:lineRule="exact"/>
              <w:rPr>
                <w:sz w:val="20"/>
                <w:szCs w:val="20"/>
                <w:color w:val="auto"/>
              </w:rPr>
            </w:pPr>
            <w:r>
              <w:rPr>
                <w:rFonts w:ascii="Arial" w:cs="Arial" w:eastAsia="Arial" w:hAnsi="Arial"/>
                <w:sz w:val="14"/>
                <w:szCs w:val="14"/>
                <w:color w:val="auto"/>
                <w:w w:val="83"/>
              </w:rPr>
              <w:t>2012</w:t>
            </w:r>
          </w:p>
        </w:tc>
        <w:tc>
          <w:tcPr>
            <w:tcW w:w="960" w:type="dxa"/>
            <w:vAlign w:val="bottom"/>
          </w:tcPr>
          <w:p>
            <w:pPr>
              <w:jc w:val="right"/>
              <w:ind w:right="337"/>
              <w:spacing w:after="0" w:line="14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454"/>
              <w:spacing w:after="0" w:line="143" w:lineRule="exact"/>
              <w:rPr>
                <w:sz w:val="20"/>
                <w:szCs w:val="20"/>
                <w:color w:val="auto"/>
              </w:rPr>
            </w:pPr>
            <w:r>
              <w:rPr>
                <w:rFonts w:ascii="Arial" w:cs="Arial" w:eastAsia="Arial" w:hAnsi="Arial"/>
                <w:sz w:val="14"/>
                <w:szCs w:val="14"/>
                <w:color w:val="auto"/>
              </w:rPr>
              <w:t>%</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1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97"/>
              <w:spacing w:after="0"/>
              <w:rPr>
                <w:sz w:val="20"/>
                <w:szCs w:val="20"/>
                <w:color w:val="auto"/>
              </w:rPr>
            </w:pPr>
            <w:r>
              <w:rPr>
                <w:rFonts w:ascii="Arial" w:cs="Arial" w:eastAsia="Arial" w:hAnsi="Arial"/>
                <w:sz w:val="18"/>
                <w:szCs w:val="18"/>
                <w:color w:val="auto"/>
              </w:rPr>
              <w:t>952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w w:val="88"/>
              </w:rPr>
              <w:t>1,273</w:t>
            </w: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 (321)</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48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21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457</w:t>
            </w:r>
          </w:p>
        </w:tc>
        <w:tc>
          <w:tcPr>
            <w:tcW w:w="9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(60)</w:t>
            </w:r>
          </w:p>
        </w:tc>
        <w:tc>
          <w:tcPr>
            <w:tcW w:w="9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131</w:t>
            </w: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37</w:t>
            </w: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28.4</w:t>
            </w:r>
          </w:p>
        </w:tc>
      </w:tr>
      <w:tr>
        <w:trPr>
          <w:trHeight w:val="210"/>
        </w:trPr>
        <w:tc>
          <w:tcPr>
            <w:tcW w:w="20" w:type="dxa"/>
            <w:vAlign w:val="bottom"/>
          </w:tcPr>
          <w:p>
            <w:pPr>
              <w:spacing w:after="0"/>
              <w:rPr>
                <w:sz w:val="18"/>
                <w:szCs w:val="18"/>
                <w:color w:val="auto"/>
              </w:rPr>
            </w:pPr>
          </w:p>
        </w:tc>
        <w:tc>
          <w:tcPr>
            <w:tcW w:w="48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1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w w:val="93"/>
              </w:rPr>
              <w:t>1,517</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8"/>
              </w:rPr>
              <w:t>1,861</w:t>
            </w:r>
          </w:p>
        </w:tc>
        <w:tc>
          <w:tcPr>
            <w:tcW w:w="9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(344)</w:t>
            </w:r>
          </w:p>
        </w:tc>
        <w:tc>
          <w:tcPr>
            <w:tcW w:w="9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1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w w:val="93"/>
              </w:rPr>
              <w:t>1,160</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8"/>
              </w:rPr>
              <w:t>1,495</w:t>
            </w:r>
          </w:p>
        </w:tc>
        <w:tc>
          <w:tcPr>
            <w:tcW w:w="9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(335)</w:t>
            </w:r>
          </w:p>
        </w:tc>
        <w:tc>
          <w:tcPr>
            <w:tcW w:w="9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(22.4)</w:t>
            </w: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497"/>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760" w:type="dxa"/>
            <w:vAlign w:val="bottom"/>
          </w:tcPr>
          <w:p>
            <w:pPr>
              <w:jc w:val="right"/>
              <w:ind w:right="254"/>
              <w:spacing w:after="0"/>
              <w:rPr>
                <w:sz w:val="20"/>
                <w:szCs w:val="20"/>
                <w:color w:val="auto"/>
              </w:rPr>
            </w:pPr>
            <w:r>
              <w:rPr>
                <w:rFonts w:ascii="Arial" w:cs="Arial" w:eastAsia="Arial" w:hAnsi="Arial"/>
                <w:sz w:val="18"/>
                <w:szCs w:val="18"/>
                <w:color w:val="auto"/>
              </w:rPr>
              <w:t>283</w:t>
            </w:r>
          </w:p>
        </w:tc>
        <w:tc>
          <w:tcPr>
            <w:tcW w:w="960" w:type="dxa"/>
            <w:vAlign w:val="bottom"/>
          </w:tcPr>
          <w:p>
            <w:pPr>
              <w:jc w:val="right"/>
              <w:ind w:right="137"/>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254"/>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1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97</w:t>
            </w:r>
          </w:p>
        </w:tc>
        <w:tc>
          <w:tcPr>
            <w:tcW w:w="9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w:t>
            </w:r>
          </w:p>
        </w:tc>
        <w:tc>
          <w:tcPr>
            <w:tcW w:w="96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w w:val="93"/>
              </w:rPr>
              <w:t>1,552</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8"/>
              </w:rPr>
              <w:t>1,875</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(323)</w:t>
            </w: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(17.2)</w:t>
            </w:r>
          </w:p>
        </w:tc>
      </w:tr>
      <w:tr>
        <w:trPr>
          <w:trHeight w:val="230"/>
        </w:trPr>
        <w:tc>
          <w:tcPr>
            <w:tcW w:w="20" w:type="dxa"/>
            <w:vAlign w:val="bottom"/>
          </w:tcPr>
          <w:p>
            <w:pPr>
              <w:spacing w:after="0"/>
              <w:rPr>
                <w:sz w:val="20"/>
                <w:szCs w:val="20"/>
                <w:color w:val="auto"/>
              </w:rPr>
            </w:pPr>
          </w:p>
        </w:tc>
        <w:tc>
          <w:tcPr>
            <w:tcW w:w="4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274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b w:val="1"/>
                <w:bCs w:val="1"/>
                <w:color w:val="auto"/>
              </w:rPr>
              <w:t>(35)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(14)</w:t>
            </w:r>
          </w:p>
        </w:tc>
        <w:tc>
          <w:tcPr>
            <w:tcW w:w="96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  (21)</w:t>
            </w:r>
          </w:p>
        </w:tc>
        <w:tc>
          <w:tcPr>
            <w:tcW w:w="9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(158.8)%</w:t>
            </w:r>
          </w:p>
        </w:tc>
      </w:tr>
      <w:tr>
        <w:trPr>
          <w:trHeight w:val="36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140" w:type="dxa"/>
            <w:vAlign w:val="bottom"/>
          </w:tcPr>
          <w:p>
            <w:pPr>
              <w:jc w:val="right"/>
              <w:ind w:right="1072"/>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revenue decreased for the three months ended March 31, 2013 compared to the same period in 2012 primarily due to the broadcast of the NFL’s 2012 Super Bowl in the prior year period. Excluding $259 million of revenue associated with the broadcast of the Super Bowl in the prior year period, Broadcast Television revenue decreased 5.3% primarily due to lower advertising revenue related to a decline in audience ratings and a decrease in content licensing revenue, which was primarily due to the timing of licensing agreements. These decreases were partially offset by an increase in other revenue generated from fees collected under our retransmission consent agreements.</w:t>
      </w:r>
    </w:p>
    <w:p>
      <w:pPr>
        <w:spacing w:after="0" w:line="4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three months ended March 31, 2013 and 2012, $35 million and $17 million, respectively, of our content licensing revenue was generated from transactions with Comcast.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costs and expenses decreased for the three months ended March 31, 2013 compared to the same period in 2012 primarily due to the broadcast of the 2012 Super Bowl in the prior year period. Excluding the impact of the Super Bowl broadcast in the prior year period, operating costs and expenses decreased primarily due to lower programming and production costs as a result of the timing of the airing of certain primetime shows compared to the same period in the prior year.</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3"/>
          </w:tcPr>
          <w:p>
            <w:pPr>
              <w:jc w:val="right"/>
              <w:ind w:right="474"/>
              <w:spacing w:after="0"/>
              <w:rPr>
                <w:sz w:val="20"/>
                <w:szCs w:val="20"/>
                <w:color w:val="auto"/>
              </w:rPr>
            </w:pPr>
            <w:r>
              <w:rPr>
                <w:rFonts w:ascii="Arial" w:cs="Arial" w:eastAsia="Arial" w:hAnsi="Arial"/>
                <w:sz w:val="14"/>
                <w:szCs w:val="14"/>
                <w:color w:val="auto"/>
                <w:w w:val="97"/>
              </w:rPr>
              <w:t>Three Months Ended</w:t>
            </w:r>
          </w:p>
        </w:tc>
        <w:tc>
          <w:tcPr>
            <w:tcW w:w="42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4"/>
                <w:szCs w:val="14"/>
                <w:color w:val="auto"/>
              </w:rPr>
              <w:t>Increase/</w:t>
            </w:r>
          </w:p>
        </w:tc>
        <w:tc>
          <w:tcPr>
            <w:tcW w:w="640" w:type="dxa"/>
            <w:vAlign w:val="bottom"/>
          </w:tcPr>
          <w:p>
            <w:pPr>
              <w:spacing w:after="0"/>
              <w:rPr>
                <w:sz w:val="14"/>
                <w:szCs w:val="14"/>
                <w:color w:val="auto"/>
              </w:rPr>
            </w:pPr>
          </w:p>
        </w:tc>
      </w:tr>
      <w:tr>
        <w:trPr>
          <w:trHeight w:val="172"/>
        </w:trPr>
        <w:tc>
          <w:tcPr>
            <w:tcW w:w="6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w w:val="89"/>
              </w:rPr>
              <w:t>March 31</w:t>
            </w: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(Decrease)</w:t>
            </w:r>
          </w:p>
        </w:tc>
        <w:tc>
          <w:tcPr>
            <w:tcW w:w="640" w:type="dxa"/>
            <w:vAlign w:val="bottom"/>
            <w:tcBorders>
              <w:bottom w:val="single" w:sz="8" w:color="auto"/>
            </w:tcBorders>
          </w:tcPr>
          <w:p>
            <w:pPr>
              <w:spacing w:after="0"/>
              <w:rPr>
                <w:sz w:val="14"/>
                <w:szCs w:val="14"/>
                <w:color w:val="auto"/>
              </w:rPr>
            </w:pPr>
          </w:p>
        </w:tc>
      </w:tr>
      <w:tr>
        <w:trPr>
          <w:trHeight w:val="143"/>
        </w:trPr>
        <w:tc>
          <w:tcPr>
            <w:tcW w:w="68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3" w:lineRule="exact"/>
              <w:rPr>
                <w:sz w:val="20"/>
                <w:szCs w:val="20"/>
                <w:color w:val="auto"/>
              </w:rPr>
            </w:pPr>
            <w:r>
              <w:rPr>
                <w:rFonts w:ascii="Arial" w:cs="Arial" w:eastAsia="Arial" w:hAnsi="Arial"/>
                <w:sz w:val="14"/>
                <w:szCs w:val="14"/>
                <w:color w:val="auto"/>
                <w:w w:val="89"/>
              </w:rPr>
              <w:t>2013</w:t>
            </w: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3" w:lineRule="exact"/>
              <w:rPr>
                <w:sz w:val="20"/>
                <w:szCs w:val="20"/>
                <w:color w:val="auto"/>
              </w:rPr>
            </w:pPr>
            <w:r>
              <w:rPr>
                <w:rFonts w:ascii="Arial" w:cs="Arial" w:eastAsia="Arial" w:hAnsi="Arial"/>
                <w:sz w:val="14"/>
                <w:szCs w:val="14"/>
                <w:color w:val="auto"/>
                <w:w w:val="89"/>
              </w:rPr>
              <w:t>2012</w:t>
            </w: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97"/>
              <w:spacing w:after="0" w:line="143"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314"/>
              <w:spacing w:after="0" w:line="143" w:lineRule="exact"/>
              <w:rPr>
                <w:sz w:val="20"/>
                <w:szCs w:val="20"/>
                <w:color w:val="auto"/>
              </w:rPr>
            </w:pPr>
            <w:r>
              <w:rPr>
                <w:rFonts w:ascii="Arial" w:cs="Arial" w:eastAsia="Arial" w:hAnsi="Arial"/>
                <w:sz w:val="14"/>
                <w:szCs w:val="14"/>
                <w:color w:val="auto"/>
              </w:rPr>
              <w:t>%</w:t>
            </w:r>
          </w:p>
        </w:tc>
      </w:tr>
      <w:tr>
        <w:trPr>
          <w:trHeight w:val="210"/>
        </w:trPr>
        <w:tc>
          <w:tcPr>
            <w:tcW w:w="6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301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97"/>
              <w:spacing w:after="0"/>
              <w:rPr>
                <w:sz w:val="20"/>
                <w:szCs w:val="20"/>
                <w:color w:val="auto"/>
              </w:rPr>
            </w:pPr>
            <w:r>
              <w:rPr>
                <w:rFonts w:ascii="Arial" w:cs="Arial" w:eastAsia="Arial" w:hAnsi="Arial"/>
                <w:sz w:val="18"/>
                <w:szCs w:val="18"/>
                <w:color w:val="auto"/>
              </w:rPr>
              <w:t>12</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8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438</w:t>
            </w:r>
          </w:p>
        </w:tc>
        <w:tc>
          <w:tcPr>
            <w:tcW w:w="6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401</w:t>
            </w:r>
          </w:p>
        </w:tc>
        <w:tc>
          <w:tcPr>
            <w:tcW w:w="42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597"/>
              <w:spacing w:after="0"/>
              <w:rPr>
                <w:sz w:val="20"/>
                <w:szCs w:val="20"/>
                <w:color w:val="auto"/>
              </w:rPr>
            </w:pPr>
            <w:r>
              <w:rPr>
                <w:rFonts w:ascii="Arial" w:cs="Arial" w:eastAsia="Arial" w:hAnsi="Arial"/>
                <w:sz w:val="18"/>
                <w:szCs w:val="18"/>
                <w:color w:val="auto"/>
              </w:rPr>
              <w:t>37</w:t>
            </w: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9.2</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371</w:t>
            </w:r>
          </w:p>
        </w:tc>
        <w:tc>
          <w:tcPr>
            <w:tcW w:w="68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380</w:t>
            </w:r>
          </w:p>
        </w:tc>
        <w:tc>
          <w:tcPr>
            <w:tcW w:w="420" w:type="dxa"/>
            <w:vAlign w:val="bottom"/>
          </w:tcPr>
          <w:p>
            <w:pPr>
              <w:spacing w:after="0"/>
              <w:rPr>
                <w:sz w:val="18"/>
                <w:szCs w:val="18"/>
                <w:color w:val="auto"/>
              </w:rPr>
            </w:pPr>
          </w:p>
        </w:tc>
        <w:tc>
          <w:tcPr>
            <w:tcW w:w="1040" w:type="dxa"/>
            <w:vAlign w:val="bottom"/>
          </w:tcPr>
          <w:p>
            <w:pPr>
              <w:jc w:val="right"/>
              <w:ind w:right="537"/>
              <w:spacing w:after="0"/>
              <w:rPr>
                <w:sz w:val="20"/>
                <w:szCs w:val="20"/>
                <w:color w:val="auto"/>
              </w:rPr>
            </w:pPr>
            <w:r>
              <w:rPr>
                <w:rFonts w:ascii="Arial" w:cs="Arial" w:eastAsia="Arial" w:hAnsi="Arial"/>
                <w:sz w:val="18"/>
                <w:szCs w:val="18"/>
                <w:color w:val="auto"/>
              </w:rPr>
              <w:t>(9)</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(2.2)</w:t>
            </w:r>
          </w:p>
        </w:tc>
      </w:tr>
      <w:tr>
        <w:trPr>
          <w:trHeight w:val="216"/>
        </w:trPr>
        <w:tc>
          <w:tcPr>
            <w:tcW w:w="68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w:t>
            </w:r>
          </w:p>
        </w:tc>
        <w:tc>
          <w:tcPr>
            <w:tcW w:w="6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110</w:t>
            </w:r>
          </w:p>
        </w:tc>
        <w:tc>
          <w:tcPr>
            <w:tcW w:w="42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537"/>
              <w:spacing w:after="0"/>
              <w:rPr>
                <w:sz w:val="20"/>
                <w:szCs w:val="20"/>
                <w:color w:val="auto"/>
              </w:rPr>
            </w:pPr>
            <w:r>
              <w:rPr>
                <w:rFonts w:ascii="Arial" w:cs="Arial" w:eastAsia="Arial" w:hAnsi="Arial"/>
                <w:sz w:val="18"/>
                <w:szCs w:val="18"/>
                <w:color w:val="auto"/>
              </w:rPr>
              <w:t>(16)</w:t>
            </w: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(15.4)</w:t>
            </w: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1,216</w:t>
            </w:r>
          </w:p>
        </w:tc>
        <w:tc>
          <w:tcPr>
            <w:tcW w:w="68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1,192</w:t>
            </w:r>
          </w:p>
        </w:tc>
        <w:tc>
          <w:tcPr>
            <w:tcW w:w="420" w:type="dxa"/>
            <w:vAlign w:val="bottom"/>
          </w:tcPr>
          <w:p>
            <w:pPr>
              <w:spacing w:after="0"/>
              <w:rPr>
                <w:sz w:val="18"/>
                <w:szCs w:val="18"/>
                <w:color w:val="auto"/>
              </w:rPr>
            </w:pPr>
          </w:p>
        </w:tc>
        <w:tc>
          <w:tcPr>
            <w:tcW w:w="1040" w:type="dxa"/>
            <w:vAlign w:val="bottom"/>
          </w:tcPr>
          <w:p>
            <w:pPr>
              <w:jc w:val="right"/>
              <w:ind w:right="597"/>
              <w:spacing w:after="0"/>
              <w:rPr>
                <w:sz w:val="20"/>
                <w:szCs w:val="20"/>
                <w:color w:val="auto"/>
              </w:rPr>
            </w:pPr>
            <w:r>
              <w:rPr>
                <w:rFonts w:ascii="Arial" w:cs="Arial" w:eastAsia="Arial" w:hAnsi="Arial"/>
                <w:sz w:val="18"/>
                <w:szCs w:val="18"/>
                <w:color w:val="auto"/>
              </w:rPr>
              <w:t>24</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2.0</w:t>
            </w:r>
          </w:p>
        </w:tc>
      </w:tr>
      <w:tr>
        <w:trPr>
          <w:trHeight w:val="216"/>
        </w:trPr>
        <w:tc>
          <w:tcPr>
            <w:tcW w:w="6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698</w:t>
            </w:r>
          </w:p>
        </w:tc>
        <w:tc>
          <w:tcPr>
            <w:tcW w:w="68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642</w:t>
            </w:r>
          </w:p>
        </w:tc>
        <w:tc>
          <w:tcPr>
            <w:tcW w:w="420" w:type="dxa"/>
            <w:vAlign w:val="bottom"/>
          </w:tcPr>
          <w:p>
            <w:pPr>
              <w:spacing w:after="0"/>
              <w:rPr>
                <w:sz w:val="18"/>
                <w:szCs w:val="18"/>
                <w:color w:val="auto"/>
              </w:rPr>
            </w:pPr>
          </w:p>
        </w:tc>
        <w:tc>
          <w:tcPr>
            <w:tcW w:w="1040" w:type="dxa"/>
            <w:vAlign w:val="bottom"/>
          </w:tcPr>
          <w:p>
            <w:pPr>
              <w:jc w:val="right"/>
              <w:ind w:right="597"/>
              <w:spacing w:after="0"/>
              <w:rPr>
                <w:sz w:val="20"/>
                <w:szCs w:val="20"/>
                <w:color w:val="auto"/>
              </w:rPr>
            </w:pPr>
            <w:r>
              <w:rPr>
                <w:rFonts w:ascii="Arial" w:cs="Arial" w:eastAsia="Arial" w:hAnsi="Arial"/>
                <w:sz w:val="18"/>
                <w:szCs w:val="18"/>
                <w:color w:val="auto"/>
              </w:rPr>
              <w:t>56</w:t>
            </w:r>
          </w:p>
        </w:tc>
        <w:tc>
          <w:tcPr>
            <w:tcW w:w="640" w:type="dxa"/>
            <w:vAlign w:val="bottom"/>
          </w:tcPr>
          <w:p>
            <w:pPr>
              <w:jc w:val="right"/>
              <w:ind w:right="114"/>
              <w:spacing w:after="0"/>
              <w:rPr>
                <w:sz w:val="20"/>
                <w:szCs w:val="20"/>
                <w:color w:val="auto"/>
              </w:rPr>
            </w:pPr>
            <w:r>
              <w:rPr>
                <w:rFonts w:ascii="Arial" w:cs="Arial" w:eastAsia="Arial" w:hAnsi="Arial"/>
                <w:sz w:val="18"/>
                <w:szCs w:val="18"/>
                <w:color w:val="auto"/>
              </w:rPr>
              <w:t>8.7</w:t>
            </w:r>
          </w:p>
        </w:tc>
      </w:tr>
      <w:tr>
        <w:trPr>
          <w:trHeight w:val="216"/>
        </w:trPr>
        <w:tc>
          <w:tcPr>
            <w:tcW w:w="68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168</w:t>
            </w:r>
          </w:p>
        </w:tc>
        <w:tc>
          <w:tcPr>
            <w:tcW w:w="6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597"/>
              <w:spacing w:after="0"/>
              <w:rPr>
                <w:sz w:val="20"/>
                <w:szCs w:val="20"/>
                <w:color w:val="auto"/>
              </w:rPr>
            </w:pPr>
            <w:r>
              <w:rPr>
                <w:rFonts w:ascii="Arial" w:cs="Arial" w:eastAsia="Arial" w:hAnsi="Arial"/>
                <w:sz w:val="18"/>
                <w:szCs w:val="18"/>
                <w:color w:val="auto"/>
              </w:rPr>
              <w:t>7</w:t>
            </w:r>
          </w:p>
        </w:tc>
        <w:tc>
          <w:tcPr>
            <w:tcW w:w="6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4.1</w:t>
            </w:r>
          </w:p>
        </w:tc>
      </w:tr>
      <w:tr>
        <w:trPr>
          <w:trHeight w:val="216"/>
        </w:trPr>
        <w:tc>
          <w:tcPr>
            <w:tcW w:w="68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383</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95"/>
              </w:rPr>
              <w:t>(102)</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(26.6)</w:t>
            </w:r>
          </w:p>
        </w:tc>
      </w:tr>
      <w:tr>
        <w:trPr>
          <w:trHeight w:val="210"/>
        </w:trPr>
        <w:tc>
          <w:tcPr>
            <w:tcW w:w="6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1,147</w:t>
            </w:r>
          </w:p>
        </w:tc>
        <w:tc>
          <w:tcPr>
            <w:tcW w:w="6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w w:val="88"/>
              </w:rPr>
              <w:t>1,186</w:t>
            </w:r>
          </w:p>
        </w:tc>
        <w:tc>
          <w:tcPr>
            <w:tcW w:w="42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537"/>
              <w:spacing w:after="0"/>
              <w:rPr>
                <w:sz w:val="20"/>
                <w:szCs w:val="20"/>
                <w:color w:val="auto"/>
              </w:rPr>
            </w:pPr>
            <w:r>
              <w:rPr>
                <w:rFonts w:ascii="Arial" w:cs="Arial" w:eastAsia="Arial" w:hAnsi="Arial"/>
                <w:sz w:val="18"/>
                <w:szCs w:val="18"/>
                <w:color w:val="auto"/>
              </w:rPr>
              <w:t>(39)</w:t>
            </w: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(3.3)</w:t>
            </w:r>
          </w:p>
        </w:tc>
      </w:tr>
      <w:tr>
        <w:trPr>
          <w:trHeight w:val="217"/>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597"/>
              <w:spacing w:after="0"/>
              <w:rPr>
                <w:sz w:val="20"/>
                <w:szCs w:val="20"/>
                <w:color w:val="auto"/>
              </w:rPr>
            </w:pPr>
            <w:r>
              <w:rPr>
                <w:rFonts w:ascii="Arial" w:cs="Arial" w:eastAsia="Arial" w:hAnsi="Arial"/>
                <w:sz w:val="18"/>
                <w:szCs w:val="18"/>
                <w:b w:val="1"/>
                <w:bCs w:val="1"/>
                <w:color w:val="auto"/>
              </w:rPr>
              <w:t>63</w:t>
            </w: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NM</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Filmed Entertainment revenue increased slightly for the three months ended March 31, 2013 compared to the same period in 2012 primarily due to an increase in content licensing revenue and the continued strong box office performance of </w:t>
      </w:r>
      <w:r>
        <w:rPr>
          <w:rFonts w:ascii="Arial" w:cs="Arial" w:eastAsia="Arial" w:hAnsi="Arial"/>
          <w:sz w:val="18"/>
          <w:szCs w:val="18"/>
          <w:i w:val="1"/>
          <w:iCs w:val="1"/>
          <w:color w:val="auto"/>
        </w:rPr>
        <w:t>Les Miserables</w:t>
      </w:r>
      <w:r>
        <w:rPr>
          <w:rFonts w:ascii="Arial" w:cs="Arial" w:eastAsia="Arial" w:hAnsi="Arial"/>
          <w:sz w:val="18"/>
          <w:szCs w:val="18"/>
          <w:color w:val="auto"/>
        </w:rPr>
        <w:t xml:space="preserve">, as well as our current quarter releases of </w:t>
      </w:r>
      <w:r>
        <w:rPr>
          <w:rFonts w:ascii="Arial" w:cs="Arial" w:eastAsia="Arial" w:hAnsi="Arial"/>
          <w:sz w:val="18"/>
          <w:szCs w:val="18"/>
          <w:i w:val="1"/>
          <w:iCs w:val="1"/>
          <w:color w:val="auto"/>
        </w:rPr>
        <w:t>Identity Thief</w:t>
      </w:r>
      <w:r>
        <w:rPr>
          <w:rFonts w:ascii="Arial" w:cs="Arial" w:eastAsia="Arial" w:hAnsi="Arial"/>
          <w:sz w:val="18"/>
          <w:szCs w:val="18"/>
          <w:color w:val="auto"/>
        </w:rPr>
        <w:t xml:space="preserve"> and </w:t>
      </w:r>
      <w:r>
        <w:rPr>
          <w:rFonts w:ascii="Arial" w:cs="Arial" w:eastAsia="Arial" w:hAnsi="Arial"/>
          <w:sz w:val="18"/>
          <w:szCs w:val="18"/>
          <w:i w:val="1"/>
          <w:iCs w:val="1"/>
          <w:color w:val="auto"/>
        </w:rPr>
        <w:t>Mama</w:t>
      </w:r>
      <w:r>
        <w:rPr>
          <w:rFonts w:ascii="Arial" w:cs="Arial" w:eastAsia="Arial" w:hAnsi="Arial"/>
          <w:sz w:val="18"/>
          <w:szCs w:val="18"/>
          <w:color w:val="auto"/>
        </w:rPr>
        <w:t>, partially offset by a decrease in other revenue. The increase in content licensing revenue was primarily due to our successful 2012 theatrical releases that were made available to licensees in the current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costs and expenses decreased for the three months ended March 31, 2013 compared to the same period in 2012 primarily due to lower advertising, marketing and promotion expenses partially offset by an increase in programming and production costs. The decrease in advertising, marketing and promotion expenses was primarily due to fewer theatrical releases in the current period as compared to 2012. The increase in programming and production costs was primarily due to higher amortization of film costs, including films in production.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3"/>
          </w:tcPr>
          <w:p>
            <w:pPr>
              <w:ind w:left="140"/>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ind w:right="642"/>
              <w:spacing w:after="0"/>
              <w:rPr>
                <w:sz w:val="20"/>
                <w:szCs w:val="20"/>
                <w:color w:val="auto"/>
              </w:rPr>
            </w:pPr>
            <w:r>
              <w:rPr>
                <w:rFonts w:ascii="Arial" w:cs="Arial" w:eastAsia="Arial" w:hAnsi="Arial"/>
                <w:sz w:val="14"/>
                <w:szCs w:val="14"/>
                <w:color w:val="auto"/>
                <w:w w:val="83"/>
              </w:rPr>
              <w:t>Increase/</w:t>
            </w:r>
          </w:p>
        </w:tc>
      </w:tr>
      <w:tr>
        <w:trPr>
          <w:trHeight w:val="172"/>
        </w:trPr>
        <w:tc>
          <w:tcPr>
            <w:tcW w:w="68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w w:val="89"/>
              </w:rPr>
              <w:t>March 31</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642"/>
              <w:spacing w:after="0"/>
              <w:rPr>
                <w:sz w:val="20"/>
                <w:szCs w:val="20"/>
                <w:color w:val="auto"/>
              </w:rPr>
            </w:pPr>
            <w:r>
              <w:rPr>
                <w:rFonts w:ascii="Arial" w:cs="Arial" w:eastAsia="Arial" w:hAnsi="Arial"/>
                <w:sz w:val="14"/>
                <w:szCs w:val="14"/>
                <w:color w:val="auto"/>
                <w:w w:val="86"/>
              </w:rPr>
              <w:t>(Decrease)</w:t>
            </w:r>
          </w:p>
        </w:tc>
      </w:tr>
      <w:tr>
        <w:trPr>
          <w:trHeight w:val="143"/>
        </w:trPr>
        <w:tc>
          <w:tcPr>
            <w:tcW w:w="68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7"/>
              <w:spacing w:after="0" w:line="143" w:lineRule="exact"/>
              <w:rPr>
                <w:sz w:val="20"/>
                <w:szCs w:val="20"/>
                <w:color w:val="auto"/>
              </w:rPr>
            </w:pPr>
            <w:r>
              <w:rPr>
                <w:rFonts w:ascii="Arial" w:cs="Arial" w:eastAsia="Arial" w:hAnsi="Arial"/>
                <w:sz w:val="14"/>
                <w:szCs w:val="14"/>
                <w:color w:val="auto"/>
                <w:w w:val="89"/>
              </w:rPr>
              <w:t>2012</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37"/>
              <w:spacing w:after="0" w:line="14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62"/>
              <w:spacing w:after="0" w:line="143" w:lineRule="exact"/>
              <w:rPr>
                <w:sz w:val="20"/>
                <w:szCs w:val="20"/>
                <w:color w:val="auto"/>
              </w:rPr>
            </w:pPr>
            <w:r>
              <w:rPr>
                <w:rFonts w:ascii="Arial" w:cs="Arial" w:eastAsia="Arial" w:hAnsi="Arial"/>
                <w:sz w:val="14"/>
                <w:szCs w:val="14"/>
                <w:color w:val="auto"/>
              </w:rPr>
              <w:t>%</w:t>
            </w: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ind w:left="160"/>
              <w:spacing w:after="0"/>
              <w:rPr>
                <w:sz w:val="20"/>
                <w:szCs w:val="20"/>
                <w:color w:val="auto"/>
              </w:rPr>
            </w:pPr>
            <w:r>
              <w:rPr>
                <w:rFonts w:ascii="Arial" w:cs="Arial" w:eastAsia="Arial" w:hAnsi="Arial"/>
                <w:sz w:val="18"/>
                <w:szCs w:val="18"/>
                <w:color w:val="auto"/>
                <w:w w:val="86"/>
              </w:rPr>
              <w:t>462</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412</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1320" w:type="dxa"/>
            <w:vAlign w:val="bottom"/>
            <w:shd w:val="clear" w:color="auto" w:fill="E5E5E5"/>
          </w:tcPr>
          <w:p>
            <w:pPr>
              <w:ind w:left="780"/>
              <w:spacing w:after="0"/>
              <w:rPr>
                <w:sz w:val="20"/>
                <w:szCs w:val="20"/>
                <w:color w:val="auto"/>
              </w:rPr>
            </w:pPr>
            <w:r>
              <w:rPr>
                <w:rFonts w:ascii="Arial" w:cs="Arial" w:eastAsia="Arial" w:hAnsi="Arial"/>
                <w:sz w:val="18"/>
                <w:szCs w:val="18"/>
                <w:color w:val="auto"/>
              </w:rPr>
              <w:t>12.2%</w:t>
            </w:r>
          </w:p>
        </w:tc>
      </w:tr>
      <w:tr>
        <w:trPr>
          <w:trHeight w:val="216"/>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6"/>
              </w:rPr>
              <w:t>289</w:t>
            </w: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255</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3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13.3</w:t>
            </w:r>
          </w:p>
        </w:tc>
      </w:tr>
      <w:tr>
        <w:trPr>
          <w:trHeight w:val="217"/>
        </w:trPr>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86"/>
              </w:rPr>
              <w:t>173</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157</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16</w:t>
            </w:r>
          </w:p>
        </w:tc>
        <w:tc>
          <w:tcPr>
            <w:tcW w:w="1320" w:type="dxa"/>
            <w:vAlign w:val="bottom"/>
            <w:tcBorders>
              <w:bottom w:val="single" w:sz="8" w:color="auto"/>
            </w:tcBorders>
            <w:shd w:val="clear" w:color="auto" w:fill="E5E5E5"/>
          </w:tcPr>
          <w:p>
            <w:pPr>
              <w:ind w:left="780"/>
              <w:spacing w:after="0"/>
              <w:rPr>
                <w:sz w:val="20"/>
                <w:szCs w:val="20"/>
                <w:color w:val="auto"/>
              </w:rPr>
            </w:pPr>
            <w:r>
              <w:rPr>
                <w:rFonts w:ascii="Arial" w:cs="Arial" w:eastAsia="Arial" w:hAnsi="Arial"/>
                <w:sz w:val="18"/>
                <w:szCs w:val="18"/>
                <w:b w:val="1"/>
                <w:bCs w:val="1"/>
                <w:color w:val="auto"/>
              </w:rPr>
              <w:t>10.3%</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segment revenue increased for the three months ended March 31, 2013 compared to the same period in 2012 primarily due to higher guest attendance at our Orlando and Hollywood theme parks which included the benefit from the timing of holidays in the current year period, as well as increases in per capita spending.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segment operating costs and expenses increased for the three months ended March 31, 2013 compared to the same period in 2012 primarily due to additional costs at our Orlando and Hollywood theme parks associated with the increases in attendance and per capita spending, as well an increase in costs to support new attractions.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income before depreciation and amortization for headquarters, other and eliminations decreased for the three months ended March 31, 2013 compared to the same period in 2012 primarily due to lower employee benefit costs.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gridSpan w:val="2"/>
          </w:tcPr>
          <w:p>
            <w:pPr>
              <w:jc w:val="right"/>
              <w:ind w:right="39"/>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14"/>
                <w:szCs w:val="14"/>
                <w:color w:val="auto"/>
              </w:rPr>
            </w:pPr>
          </w:p>
        </w:tc>
      </w:tr>
      <w:tr>
        <w:trPr>
          <w:trHeight w:val="172"/>
        </w:trPr>
        <w:tc>
          <w:tcPr>
            <w:tcW w:w="77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w w:val="99"/>
              </w:rPr>
              <w:t>March 31</w:t>
            </w:r>
          </w:p>
        </w:tc>
        <w:tc>
          <w:tcPr>
            <w:tcW w:w="740" w:type="dxa"/>
            <w:vAlign w:val="bottom"/>
            <w:tcBorders>
              <w:bottom w:val="single" w:sz="8" w:color="auto"/>
            </w:tcBorders>
          </w:tcPr>
          <w:p>
            <w:pPr>
              <w:spacing w:after="0"/>
              <w:rPr>
                <w:sz w:val="14"/>
                <w:szCs w:val="14"/>
                <w:color w:val="auto"/>
              </w:rPr>
            </w:pPr>
          </w:p>
        </w:tc>
      </w:tr>
      <w:tr>
        <w:trPr>
          <w:trHeight w:val="143"/>
        </w:trPr>
        <w:tc>
          <w:tcPr>
            <w:tcW w:w="77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8"/>
              <w:spacing w:after="0" w:line="143" w:lineRule="exact"/>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6"/>
              <w:spacing w:after="0" w:line="143" w:lineRule="exact"/>
              <w:rPr>
                <w:sz w:val="20"/>
                <w:szCs w:val="20"/>
                <w:color w:val="auto"/>
              </w:rPr>
            </w:pPr>
            <w:r>
              <w:rPr>
                <w:rFonts w:ascii="Arial" w:cs="Arial" w:eastAsia="Arial" w:hAnsi="Arial"/>
                <w:sz w:val="14"/>
                <w:szCs w:val="14"/>
                <w:color w:val="auto"/>
              </w:rPr>
              <w:t>2012</w:t>
            </w:r>
          </w:p>
        </w:tc>
      </w:tr>
      <w:tr>
        <w:trPr>
          <w:trHeight w:val="210"/>
        </w:trPr>
        <w:tc>
          <w:tcPr>
            <w:tcW w:w="774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(129)</w:t>
            </w:r>
          </w:p>
        </w:tc>
        <w:tc>
          <w:tcPr>
            <w:tcW w:w="104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8"/>
                <w:szCs w:val="18"/>
                <w:color w:val="auto"/>
              </w:rPr>
            </w:pPr>
          </w:p>
        </w:tc>
        <w:tc>
          <w:tcPr>
            <w:tcW w:w="800" w:type="dxa"/>
            <w:vAlign w:val="bottom"/>
          </w:tcPr>
          <w:p>
            <w:pPr>
              <w:jc w:val="right"/>
              <w:ind w:right="78"/>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6</w:t>
            </w:r>
          </w:p>
        </w:tc>
      </w:tr>
      <w:tr>
        <w:trPr>
          <w:trHeight w:val="216"/>
        </w:trPr>
        <w:tc>
          <w:tcPr>
            <w:tcW w:w="774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of investees, net</w:t>
            </w:r>
          </w:p>
        </w:tc>
        <w:tc>
          <w:tcPr>
            <w:tcW w:w="11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11</w:t>
            </w:r>
          </w:p>
        </w:tc>
        <w:tc>
          <w:tcPr>
            <w:tcW w:w="10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73</w:t>
            </w:r>
          </w:p>
        </w:tc>
      </w:tr>
      <w:tr>
        <w:trPr>
          <w:trHeight w:val="216"/>
        </w:trPr>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(45)</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7"/>
        </w:trPr>
        <w:tc>
          <w:tcPr>
            <w:tcW w:w="7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(157)</w:t>
            </w:r>
          </w:p>
        </w:tc>
        <w:tc>
          <w:tcPr>
            <w:tcW w:w="104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(44)</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increased for the three months ended March 31, 2013 compared to the same period in 2012 primarily due to the interest associated with our $2 billion aggregate principal amount of senior notes issued in October 2012.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Investees,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equity in net income of investees, net for the three months ended March 31, 2013 compared to the same period in 2012 was primarily due to the sale of our equity interest in A&amp;E Television Networks in August 2012.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change in other income (expense), net for the three months ended March 31, 2013 compared to the same period in 2012 was primarily due to higher fair value adjustments to contractual obligations that are associated with financial interests held by third parties in certain of our businesses.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and payments for the NBCUniversal Holdings preferred units described below, through our cash flows from operating activities, existing cash, cash equivalents and investments, our ability to be funded by our revolving credit agreement with Comcast, and our ability to obtain future external financing.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Following the close of the Redemption Transaction, NBCUniversal Holdings is required to make payments to NBCUniversal Enterprise at an initial rate of 8.25% per annum on the $9.4 billion aggregate liquidation preference of the preferred units payable quarterly beginning on June 1, 2013. On March 1, 2018, and thereafter on every fifth anniversary of such date, this rate will reset to 7.44% plus the yield on actively traded United States Treasury securities having a five year maturity. NBCUniversal Holdings has the right to redeem all of the preferred units during the thirty day period beginning on March 1, 2018, and NBCUniversal Enterprise has the right to cause NBCUniversal Holdings to redeem 15% of its preferred units during the thirty day period beginning on March 19, 2020. The price and units in a redemption initiated by either party will be based on the liquidation preference plus accrued but unpaid dividends, adjusted, in the case of an exercise of NBCUniversal Enterprise’s right, to the extent the equity value of NBCUniversal Holdings is less than the liquidation preference. Our cash flows will be the primary source of funding for the required payments and any future redemption of the NBCUniversal Holdings preferred units.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14"/>
                <w:szCs w:val="14"/>
                <w:color w:val="auto"/>
              </w:rPr>
            </w:pPr>
          </w:p>
        </w:tc>
      </w:tr>
      <w:tr>
        <w:trPr>
          <w:trHeight w:val="172"/>
        </w:trPr>
        <w:tc>
          <w:tcPr>
            <w:tcW w:w="79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w w:val="99"/>
              </w:rPr>
              <w:t>March 31</w:t>
            </w:r>
          </w:p>
        </w:tc>
        <w:tc>
          <w:tcPr>
            <w:tcW w:w="740" w:type="dxa"/>
            <w:vAlign w:val="bottom"/>
            <w:tcBorders>
              <w:bottom w:val="single" w:sz="8" w:color="auto"/>
            </w:tcBorders>
          </w:tcPr>
          <w:p>
            <w:pPr>
              <w:spacing w:after="0"/>
              <w:rPr>
                <w:sz w:val="14"/>
                <w:szCs w:val="14"/>
                <w:color w:val="auto"/>
              </w:rPr>
            </w:pPr>
          </w:p>
        </w:tc>
      </w:tr>
      <w:tr>
        <w:trPr>
          <w:trHeight w:val="143"/>
        </w:trPr>
        <w:tc>
          <w:tcPr>
            <w:tcW w:w="79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6"/>
              <w:spacing w:after="0" w:line="143" w:lineRule="exact"/>
              <w:rPr>
                <w:sz w:val="20"/>
                <w:szCs w:val="20"/>
                <w:color w:val="auto"/>
              </w:rPr>
            </w:pPr>
            <w:r>
              <w:rPr>
                <w:rFonts w:ascii="Arial" w:cs="Arial" w:eastAsia="Arial" w:hAnsi="Arial"/>
                <w:sz w:val="14"/>
                <w:szCs w:val="14"/>
                <w:color w:val="auto"/>
              </w:rPr>
              <w:t>2013</w:t>
            </w:r>
          </w:p>
        </w:tc>
        <w:tc>
          <w:tcPr>
            <w:tcW w:w="9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4"/>
              <w:spacing w:after="0" w:line="143" w:lineRule="exact"/>
              <w:rPr>
                <w:sz w:val="20"/>
                <w:szCs w:val="20"/>
                <w:color w:val="auto"/>
              </w:rPr>
            </w:pPr>
            <w:r>
              <w:rPr>
                <w:rFonts w:ascii="Arial" w:cs="Arial" w:eastAsia="Arial" w:hAnsi="Arial"/>
                <w:sz w:val="14"/>
                <w:szCs w:val="14"/>
                <w:color w:val="auto"/>
              </w:rPr>
              <w:t>2012</w:t>
            </w:r>
          </w:p>
        </w:tc>
      </w:tr>
      <w:tr>
        <w:trPr>
          <w:trHeight w:val="210"/>
        </w:trPr>
        <w:tc>
          <w:tcPr>
            <w:tcW w:w="79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609</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501</w:t>
            </w:r>
          </w:p>
        </w:tc>
      </w:tr>
      <w:tr>
        <w:trPr>
          <w:trHeight w:val="216"/>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344</w:t>
            </w: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312</w:t>
            </w:r>
          </w:p>
        </w:tc>
      </w:tr>
      <w:tr>
        <w:trPr>
          <w:trHeight w:val="210"/>
        </w:trPr>
        <w:tc>
          <w:tcPr>
            <w:tcW w:w="79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0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953</w:t>
            </w:r>
          </w:p>
        </w:tc>
        <w:tc>
          <w:tcPr>
            <w:tcW w:w="9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813</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Noncash compensation</w:t>
            </w:r>
          </w:p>
        </w:tc>
        <w:tc>
          <w:tcPr>
            <w:tcW w:w="100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16"/>
        </w:trPr>
        <w:tc>
          <w:tcPr>
            <w:tcW w:w="7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227</w:t>
            </w:r>
          </w:p>
        </w:tc>
        <w:tc>
          <w:tcPr>
            <w:tcW w:w="9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209</w:t>
            </w:r>
          </w:p>
        </w:tc>
      </w:tr>
      <w:tr>
        <w:trPr>
          <w:trHeight w:val="210"/>
        </w:trPr>
        <w:tc>
          <w:tcPr>
            <w:tcW w:w="794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00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1,187</w:t>
            </w:r>
          </w:p>
        </w:tc>
        <w:tc>
          <w:tcPr>
            <w:tcW w:w="98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1,025</w:t>
            </w:r>
          </w:p>
        </w:tc>
      </w:tr>
      <w:tr>
        <w:trPr>
          <w:trHeight w:val="216"/>
        </w:trPr>
        <w:tc>
          <w:tcPr>
            <w:tcW w:w="794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0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98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Proceeds from investments and other</w:t>
            </w:r>
          </w:p>
        </w:tc>
        <w:tc>
          <w:tcPr>
            <w:tcW w:w="10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51</w:t>
            </w:r>
          </w:p>
        </w:tc>
      </w:tr>
      <w:tr>
        <w:trPr>
          <w:trHeight w:val="217"/>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1,105</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1,037</w:t>
            </w:r>
          </w:p>
        </w:tc>
      </w:tr>
    </w:tbl>
    <w:p>
      <w:pPr>
        <w:spacing w:after="0" w:line="5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changes in operating assets and liabilities for the three months ended March 31, 2013 compared to the same period in 2012 were primarily related to the timing of receipts for our accounts receivables and a decrease in film and television costs, partially offset by the timing of payments for our monetization program and other operating items.</w:t>
      </w:r>
    </w:p>
    <w:p>
      <w:pPr>
        <w:spacing w:after="0" w:line="4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changes in proceeds from investments and other for the three months ended March 31, 2013 compared to the same period in 2012 were primarily related to a reduction in cash received from investees following the sale of our equity interest in A&amp;E Television Networks LLC in August 2012.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2013 consisted primarily of our acquisition of the 30 Rockefeller Plaza properties from GE, our issuance of a note receivable to Comcast and cash paid for capital expenditures. The increase in capital expenditures primarily relates to our Theme Parks segment.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for the three months ended March 31, 2013 consisted primarily of distributions of $3.2 billion to NBCUniversal Holdings in connection with the Redemption Transaction and the effective settlement of the Station Venture liability.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Related Party Credit Agreements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Redemption Transaction, on March 19, 2013, NBCUniversal Enterprise amended and restated our existing credit agreement to, among other things, substitute NBCUniversal Enterprise for us as the sole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borrower to the revolving credit facility. As a result, we no longer have a revolving credit facility with third-party banks. Following the amendments to our credit agreement, our commercial paper program was terminated.</w:t>
      </w:r>
    </w:p>
    <w:p>
      <w:pPr>
        <w:spacing w:after="0" w:line="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19, 2013, as part of the Comcast cash management process, we and Comcast entered into a revolving credit agreement, under which we can borrow up to $3 billion from Comcast and Comcast can borrow up to $3 billion from us. Amounts owed by Comcast to us under the revolving credit agreement are presented under the caption “note receivable from Comcast” in our condensed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The interest rate on the note receivable from Comcast as of March 31, 2013 was 1.28%. As of March 31, 2013, the amount outstanding under the note receivable from Comcast was $400 million. As of March 31, 2013, the amount available to us for borrowings under the Comcast revolving credit agreement was $3 billion.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 Structure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March 27, 2013, we, Comcast and four of Comcast’s wholly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a result, we guaranteed $30.6 billion of outstanding debt securities of Comcast and the cable guarantors as of March 31, 2013. In March 2013, we also fully and unconditionally guaranteed the $6.25 billion Comcast revolving credit facility.</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however, guarantee the obligations of NBCUniversal Enterprise with respect to its $4 billion aggregate principal amount of senior notes, $1.35 billion credit facility or $725 million liquidation preference of Series A cumulative preferred stock.</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2012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and costly and could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2012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color w:val="auto"/>
              </w:rPr>
              <w:t>Exhibit</w:t>
            </w:r>
          </w:p>
        </w:tc>
        <w:tc>
          <w:tcPr>
            <w:tcW w:w="10800" w:type="dxa"/>
            <w:vAlign w:val="bottom"/>
          </w:tcPr>
          <w:p>
            <w:pPr>
              <w:spacing w:after="0"/>
              <w:rPr>
                <w:sz w:val="14"/>
                <w:szCs w:val="14"/>
                <w:color w:val="auto"/>
              </w:rPr>
            </w:pPr>
          </w:p>
        </w:tc>
      </w:tr>
      <w:tr>
        <w:trPr>
          <w:trHeight w:val="173"/>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w:t>
            </w:r>
          </w:p>
        </w:tc>
        <w:tc>
          <w:tcPr>
            <w:tcW w:w="10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Description</w:t>
            </w:r>
          </w:p>
        </w:tc>
      </w:tr>
      <w:tr>
        <w:trPr>
          <w:trHeight w:val="201"/>
        </w:trPr>
        <w:tc>
          <w:tcPr>
            <w:tcW w:w="620" w:type="dxa"/>
            <w:vAlign w:val="bottom"/>
          </w:tcPr>
          <w:p>
            <w:pPr>
              <w:spacing w:after="0" w:line="201" w:lineRule="exact"/>
              <w:rPr>
                <w:sz w:val="20"/>
                <w:szCs w:val="20"/>
                <w:color w:val="auto"/>
              </w:rPr>
            </w:pPr>
            <w:r>
              <w:rPr>
                <w:rFonts w:ascii="Arial" w:cs="Arial" w:eastAsia="Arial" w:hAnsi="Arial"/>
                <w:sz w:val="18"/>
                <w:szCs w:val="18"/>
                <w:color w:val="auto"/>
              </w:rPr>
              <w:t>2.1</w:t>
            </w:r>
          </w:p>
        </w:tc>
        <w:tc>
          <w:tcPr>
            <w:tcW w:w="10800" w:type="dxa"/>
            <w:vAlign w:val="bottom"/>
          </w:tcPr>
          <w:p>
            <w:pPr>
              <w:ind w:left="220"/>
              <w:spacing w:after="0" w:line="201" w:lineRule="exact"/>
              <w:rPr>
                <w:sz w:val="20"/>
                <w:szCs w:val="20"/>
                <w:color w:val="auto"/>
              </w:rPr>
            </w:pPr>
            <w:r>
              <w:rPr>
                <w:rFonts w:ascii="Arial" w:cs="Arial" w:eastAsia="Arial" w:hAnsi="Arial"/>
                <w:sz w:val="18"/>
                <w:szCs w:val="18"/>
                <w:color w:val="auto"/>
                <w:w w:val="97"/>
              </w:rPr>
              <w:t>Transaction Agreement, dated February 12, 2013, by and among Comcast Corporation, General Electric Company, NBCUniversal, LLC,</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97"/>
              </w:rPr>
              <w:t>NBCUniversal Media, LLC, National Broadcasting Company Holding, Inc. and Navy Holdings, Inc. (n/k/a/ NBCUniversal Enterprise, Inc.)</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2.1 of the Quarterly Report on Form 10-Q of Comcast Corporation for the quarter ended March 31, 2013).</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2.2</w:t>
            </w:r>
          </w:p>
        </w:tc>
        <w:tc>
          <w:tcPr>
            <w:tcW w:w="10800" w:type="dxa"/>
            <w:vAlign w:val="bottom"/>
          </w:tcPr>
          <w:p>
            <w:pPr>
              <w:ind w:left="220"/>
              <w:spacing w:after="0"/>
              <w:rPr>
                <w:sz w:val="20"/>
                <w:szCs w:val="20"/>
                <w:color w:val="auto"/>
              </w:rPr>
            </w:pPr>
            <w:r>
              <w:rPr>
                <w:rFonts w:ascii="Arial" w:cs="Arial" w:eastAsia="Arial" w:hAnsi="Arial"/>
                <w:sz w:val="18"/>
                <w:szCs w:val="18"/>
                <w:color w:val="auto"/>
                <w:w w:val="89"/>
              </w:rPr>
              <w:t>Amendment to Transaction Agreement, dated March 19, 2013, by and among Comcast Corporation, General Electric Company, NBCUniversal, LLC,</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97"/>
              </w:rPr>
              <w:t>NBCUniversal Media, LLC, National Broadcasting Company Holding, Inc. and Navy Holdings, Inc. (n/k/a/ NBCUniversal Enterprise, Inc.)</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2.2 of the Quarterly Report on Form 10-Q of Comcast Corporation for the quarter ended March 31, 2013).</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2.3</w:t>
            </w:r>
          </w:p>
        </w:tc>
        <w:tc>
          <w:tcPr>
            <w:tcW w:w="10800" w:type="dxa"/>
            <w:vAlign w:val="bottom"/>
          </w:tcPr>
          <w:p>
            <w:pPr>
              <w:ind w:left="220"/>
              <w:spacing w:after="0"/>
              <w:rPr>
                <w:sz w:val="20"/>
                <w:szCs w:val="20"/>
                <w:color w:val="auto"/>
              </w:rPr>
            </w:pPr>
            <w:r>
              <w:rPr>
                <w:rFonts w:ascii="Arial" w:cs="Arial" w:eastAsia="Arial" w:hAnsi="Arial"/>
                <w:sz w:val="18"/>
                <w:szCs w:val="18"/>
                <w:color w:val="auto"/>
              </w:rPr>
              <w:t>Purchase and Sale Agreement, dated as of February 12, 2013, between 30RC Trust and NBCUniversal Atlas LLC.</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tcPr>
          <w:p>
            <w:pPr>
              <w:ind w:left="220"/>
              <w:spacing w:after="0"/>
              <w:rPr>
                <w:sz w:val="20"/>
                <w:szCs w:val="20"/>
                <w:color w:val="auto"/>
              </w:rPr>
            </w:pPr>
            <w:r>
              <w:rPr>
                <w:rFonts w:ascii="Arial" w:cs="Arial" w:eastAsia="Arial" w:hAnsi="Arial"/>
                <w:sz w:val="18"/>
                <w:szCs w:val="18"/>
                <w:color w:val="auto"/>
                <w:w w:val="88"/>
              </w:rPr>
              <w:t>Indenture, dated January 7, 2003, between Comcast Corporation, the subsidiary guarantor party thereto, and The Bank of New York Mellon (f/k/a The</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92"/>
              </w:rPr>
              <w:t>Bank of New York), as trustee (incorporated by reference to Exhibit 4.4 to the Annual Report on Form 10-K of Comcast Corporation for the year</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rPr>
              <w:t>ended December 31, 2008).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tcPr>
          <w:p>
            <w:pPr>
              <w:ind w:left="220"/>
              <w:spacing w:after="0"/>
              <w:rPr>
                <w:sz w:val="20"/>
                <w:szCs w:val="20"/>
                <w:color w:val="auto"/>
              </w:rPr>
            </w:pPr>
            <w:r>
              <w:rPr>
                <w:rFonts w:ascii="Arial" w:cs="Arial" w:eastAsia="Arial" w:hAnsi="Arial"/>
                <w:sz w:val="18"/>
                <w:szCs w:val="18"/>
                <w:color w:val="auto"/>
                <w:w w:val="87"/>
              </w:rPr>
              <w:t>Supplemental Indenture, dated March 25, 2003, to the Indenture between Comcast Corporation, the subsidiary guarantors party thereto, and The Bank</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90"/>
              </w:rPr>
              <w:t>of New York Mellon (f/k/a The Bank of New York), as trustee, dated January 7, 2003 (incorporated by reference to Exhibit 4.5 to the Annual Report</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rPr>
              <w:t>on Form 10-K of Comcast Corporation for the year ended December 31, 2008).</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4.3</w:t>
            </w:r>
          </w:p>
        </w:tc>
        <w:tc>
          <w:tcPr>
            <w:tcW w:w="10800" w:type="dxa"/>
            <w:vAlign w:val="bottom"/>
          </w:tcPr>
          <w:p>
            <w:pPr>
              <w:ind w:left="220"/>
              <w:spacing w:after="0"/>
              <w:rPr>
                <w:sz w:val="20"/>
                <w:szCs w:val="20"/>
                <w:color w:val="auto"/>
              </w:rPr>
            </w:pPr>
            <w:r>
              <w:rPr>
                <w:rFonts w:ascii="Arial" w:cs="Arial" w:eastAsia="Arial" w:hAnsi="Arial"/>
                <w:sz w:val="18"/>
                <w:szCs w:val="18"/>
                <w:color w:val="auto"/>
                <w:w w:val="88"/>
              </w:rPr>
              <w:t>Second Supplemental Indenture, dated August 31, 2009, to the Indenture between Comcast Corporation, the subsidiary guarantors party thereto, and</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93"/>
              </w:rPr>
              <w:t>The Bank of New York Mellon, as Trustee, dated January 7, 2003, as supplemented by a First Supplemental Indenture dated March 25, 2003</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rPr>
              <w:t>(incorporated by reference to Exhibit 4.1 to the Current Report on Form 8-K of Comcast Corporation filed on September 2, 2009).</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4.4</w:t>
            </w:r>
          </w:p>
        </w:tc>
        <w:tc>
          <w:tcPr>
            <w:tcW w:w="10800" w:type="dxa"/>
            <w:vAlign w:val="bottom"/>
          </w:tcPr>
          <w:p>
            <w:pPr>
              <w:ind w:left="220"/>
              <w:spacing w:after="0"/>
              <w:rPr>
                <w:sz w:val="20"/>
                <w:szCs w:val="20"/>
                <w:color w:val="auto"/>
              </w:rPr>
            </w:pPr>
            <w:r>
              <w:rPr>
                <w:rFonts w:ascii="Arial" w:cs="Arial" w:eastAsia="Arial" w:hAnsi="Arial"/>
                <w:sz w:val="18"/>
                <w:szCs w:val="18"/>
                <w:color w:val="auto"/>
                <w:w w:val="87"/>
              </w:rPr>
              <w:t>Third Supplemental Indenture, dated March 27, 2013, to the Indenture between Comcast Corporation, the subsidiary guarantors party thereto, and The</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88"/>
              </w:rPr>
              <w:t>Bank of New York Mellon (f/k/a The Bank of New York), as trustee, dated January 7, 2003, as supplemented by a First Supplemental Indenture dated</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90"/>
              </w:rPr>
              <w:t>March 25, 2003 and a Second Supplemental Indenture dated August 31, 2009 (incorporated by reference to Exhibit 4.4 of the Quarterly Report on</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rPr>
              <w:t>Form 10-Q of Comcast Corporation for the quarter ended March 31, 2013).</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4.5</w:t>
            </w:r>
          </w:p>
        </w:tc>
        <w:tc>
          <w:tcPr>
            <w:tcW w:w="10800" w:type="dxa"/>
            <w:vAlign w:val="bottom"/>
          </w:tcPr>
          <w:p>
            <w:pPr>
              <w:ind w:left="220"/>
              <w:spacing w:after="0"/>
              <w:rPr>
                <w:sz w:val="20"/>
                <w:szCs w:val="20"/>
                <w:color w:val="auto"/>
              </w:rPr>
            </w:pPr>
            <w:r>
              <w:rPr>
                <w:rFonts w:ascii="Arial" w:cs="Arial" w:eastAsia="Arial" w:hAnsi="Arial"/>
                <w:sz w:val="18"/>
                <w:szCs w:val="18"/>
                <w:color w:val="auto"/>
                <w:w w:val="90"/>
              </w:rPr>
              <w:t>First Supplemental Indenture, dated March 27, 2013, to the Indenture between NBCUniversal Media, LLC (f/k/a NBC Universal, Inc.) and The Bank</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w w:val="92"/>
              </w:rPr>
              <w:t>of New York Mellon, as trustee, dated April 30, 2010 (incorporated by reference to Exhibit 4.3 of the Quarterly Report on Form 10-Q of Comcast</w:t>
            </w:r>
          </w:p>
        </w:tc>
      </w:tr>
      <w:tr>
        <w:trPr>
          <w:trHeight w:val="216"/>
        </w:trPr>
        <w:tc>
          <w:tcPr>
            <w:tcW w:w="620" w:type="dxa"/>
            <w:vAlign w:val="bottom"/>
          </w:tcPr>
          <w:p>
            <w:pPr>
              <w:spacing w:after="0"/>
              <w:rPr>
                <w:sz w:val="18"/>
                <w:szCs w:val="18"/>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rPr>
              <w:t>Corporation for the quarter ended March 31, 2013).</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800" w:type="dxa"/>
            <w:vAlign w:val="bottom"/>
          </w:tcPr>
          <w:p>
            <w:pPr>
              <w:ind w:left="220"/>
              <w:spacing w:after="0"/>
              <w:rPr>
                <w:sz w:val="20"/>
                <w:szCs w:val="20"/>
                <w:color w:val="auto"/>
              </w:rPr>
            </w:pPr>
            <w:r>
              <w:rPr>
                <w:rFonts w:ascii="Arial" w:cs="Arial" w:eastAsia="Arial" w:hAnsi="Arial"/>
                <w:sz w:val="18"/>
                <w:szCs w:val="18"/>
                <w:color w:val="auto"/>
                <w:w w:val="90"/>
              </w:rPr>
              <w:t>Second Amended and Restated Limited Liability Company Agreement of NBCUniversal, LLC, dated March 19, 2013 (incorporated by reference to</w:t>
            </w:r>
          </w:p>
        </w:tc>
      </w:tr>
      <w:tr>
        <w:trPr>
          <w:trHeight w:val="222"/>
        </w:trPr>
        <w:tc>
          <w:tcPr>
            <w:tcW w:w="620" w:type="dxa"/>
            <w:vAlign w:val="bottom"/>
          </w:tcPr>
          <w:p>
            <w:pPr>
              <w:spacing w:after="0"/>
              <w:rPr>
                <w:sz w:val="19"/>
                <w:szCs w:val="19"/>
                <w:color w:val="auto"/>
              </w:rPr>
            </w:pPr>
          </w:p>
        </w:tc>
        <w:tc>
          <w:tcPr>
            <w:tcW w:w="10800" w:type="dxa"/>
            <w:vAlign w:val="bottom"/>
          </w:tcPr>
          <w:p>
            <w:pPr>
              <w:ind w:left="220"/>
              <w:spacing w:after="0"/>
              <w:rPr>
                <w:sz w:val="20"/>
                <w:szCs w:val="20"/>
                <w:color w:val="auto"/>
              </w:rPr>
            </w:pPr>
            <w:r>
              <w:rPr>
                <w:rFonts w:ascii="Arial" w:cs="Arial" w:eastAsia="Arial" w:hAnsi="Arial"/>
                <w:sz w:val="18"/>
                <w:szCs w:val="18"/>
                <w:color w:val="auto"/>
              </w:rPr>
              <w:t>Exhibit 10.2 of the Quarterly Report on Form 10-Q of Comcast Corporation for the quarter ended March 31, 2013).</w:t>
            </w:r>
          </w:p>
        </w:tc>
      </w:tr>
      <w:tr>
        <w:trPr>
          <w:trHeight w:val="365"/>
        </w:trPr>
        <w:tc>
          <w:tcPr>
            <w:tcW w:w="620" w:type="dxa"/>
            <w:vAlign w:val="bottom"/>
          </w:tcPr>
          <w:p>
            <w:pPr>
              <w:spacing w:after="0"/>
              <w:rPr>
                <w:sz w:val="24"/>
                <w:szCs w:val="24"/>
                <w:color w:val="auto"/>
              </w:rPr>
            </w:pPr>
          </w:p>
        </w:tc>
        <w:tc>
          <w:tcPr>
            <w:tcW w:w="10800" w:type="dxa"/>
            <w:vAlign w:val="bottom"/>
          </w:tcPr>
          <w:p>
            <w:pPr>
              <w:ind w:left="500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840" w:hanging="836"/>
        <w:spacing w:after="0" w:line="249" w:lineRule="auto"/>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Credit Agreement, dated as of June 6, 2012, among Comcast Corporation, Comcast Cable Communications, LLC, the Financial Institutions party thereto and JP Morgan Chase Bank, N.A., as Administrative Agent and the Issuing Lender (incorporated by reference to Exhibit 10.1 to the Quarterly Report on Form 10-Q of Comcast Corporation for the quarter ended June 30, 2012).</w:t>
      </w:r>
    </w:p>
    <w:p>
      <w:pPr>
        <w:spacing w:after="0" w:line="3" w:lineRule="exact"/>
        <w:rPr>
          <w:sz w:val="20"/>
          <w:szCs w:val="20"/>
          <w:color w:val="auto"/>
        </w:rPr>
      </w:pP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of Principal Executive Officer and Principal Financial Officer pursuant to Section 302 of the Sarbanes-Oxley Act of 2002.</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40" w:hanging="832"/>
        <w:spacing w:after="0" w:line="253"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Quarterly Report on Form 10-Q for the three months ended March 31, 2013, filed with the Securities and Exchange Commission on May 1, 2013,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May 1, 2013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PURCHASE AND SALE AGREEMENT</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February 12, 2013</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30RC TRUST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f/k/a NBC TRUST NO. 1996A,</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statutory business trust,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Seller,</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NBCUNIVERSAL ATLAS LLC,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Purchaser</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Purchase and Sale of</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Certain Condominium Units at 30 Rockefeller Plaza</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0220"/>
          </w:cols>
          <w:pgMar w:left="14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c>
          <w:tcPr>
            <w:tcW w:w="0" w:type="dxa"/>
            <w:vAlign w:val="bottom"/>
          </w:tcPr>
          <w:p>
            <w:pPr>
              <w:spacing w:after="0"/>
              <w:rPr>
                <w:sz w:val="1"/>
                <w:szCs w:val="1"/>
                <w:color w:val="auto"/>
              </w:rPr>
            </w:pPr>
          </w:p>
        </w:tc>
      </w:tr>
      <w:tr>
        <w:trPr>
          <w:trHeight w:val="377"/>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9940" w:type="dxa"/>
            <w:vAlign w:val="bottom"/>
            <w:gridSpan w:val="3"/>
          </w:tcPr>
          <w:p>
            <w:pPr>
              <w:jc w:val="center"/>
              <w:ind w:right="7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NTERPRETATIONS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Definitions and Interpretations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jc w:val="center"/>
              <w:ind w:right="422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URCHASE AND</w:t>
            </w:r>
            <w:r>
              <w:rPr>
                <w:rFonts w:ascii="Arial" w:cs="Arial" w:eastAsia="Arial" w:hAnsi="Arial"/>
                <w:sz w:val="18"/>
                <w:szCs w:val="18"/>
                <w:color w:val="auto"/>
                <w:w w:val="99"/>
              </w:rPr>
              <w:t xml:space="preserve"> S</w:t>
            </w:r>
            <w:r>
              <w:rPr>
                <w:rFonts w:ascii="Arial" w:cs="Arial" w:eastAsia="Arial" w:hAnsi="Arial"/>
                <w:sz w:val="14"/>
                <w:szCs w:val="14"/>
                <w:color w:val="auto"/>
                <w:w w:val="99"/>
              </w:rPr>
              <w:t>ALE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2.01.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Purchase and Sale</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2.02.</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Purchase Price</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ROPERTY</w:t>
            </w:r>
            <w:r>
              <w:rPr>
                <w:rFonts w:ascii="Arial" w:cs="Arial" w:eastAsia="Arial" w:hAnsi="Arial"/>
                <w:sz w:val="18"/>
                <w:szCs w:val="18"/>
                <w:color w:val="auto"/>
                <w:w w:val="97"/>
              </w:rPr>
              <w:t xml:space="preserve"> C</w:t>
            </w:r>
            <w:r>
              <w:rPr>
                <w:rFonts w:ascii="Arial" w:cs="Arial" w:eastAsia="Arial" w:hAnsi="Arial"/>
                <w:sz w:val="14"/>
                <w:szCs w:val="14"/>
                <w:color w:val="auto"/>
                <w:w w:val="97"/>
              </w:rPr>
              <w:t>ONDITION</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3.01.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Disclaimer of Warranties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9940" w:type="dxa"/>
            <w:vAlign w:val="bottom"/>
            <w:gridSpan w:val="3"/>
          </w:tcPr>
          <w:p>
            <w:pPr>
              <w:jc w:val="center"/>
              <w:ind w:right="78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EPRESENTATIONS AND</w:t>
            </w:r>
            <w:r>
              <w:rPr>
                <w:rFonts w:ascii="Arial" w:cs="Arial" w:eastAsia="Arial" w:hAnsi="Arial"/>
                <w:sz w:val="18"/>
                <w:szCs w:val="18"/>
                <w:color w:val="auto"/>
                <w:w w:val="98"/>
              </w:rPr>
              <w:t xml:space="preserve"> W</w:t>
            </w:r>
            <w:r>
              <w:rPr>
                <w:rFonts w:ascii="Arial" w:cs="Arial" w:eastAsia="Arial" w:hAnsi="Arial"/>
                <w:sz w:val="14"/>
                <w:szCs w:val="14"/>
                <w:color w:val="auto"/>
                <w:w w:val="98"/>
              </w:rPr>
              <w:t>ARRANTIES OF</w:t>
            </w:r>
            <w:r>
              <w:rPr>
                <w:rFonts w:ascii="Arial" w:cs="Arial" w:eastAsia="Arial" w:hAnsi="Arial"/>
                <w:sz w:val="18"/>
                <w:szCs w:val="18"/>
                <w:color w:val="auto"/>
                <w:w w:val="98"/>
              </w:rPr>
              <w:t xml:space="preserve"> S</w:t>
            </w:r>
            <w:r>
              <w:rPr>
                <w:rFonts w:ascii="Arial" w:cs="Arial" w:eastAsia="Arial" w:hAnsi="Arial"/>
                <w:sz w:val="14"/>
                <w:szCs w:val="14"/>
                <w:color w:val="auto"/>
                <w:w w:val="98"/>
              </w:rPr>
              <w:t>ELLER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4.01.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Ownership of Seller</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4.02.</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Existence and Power</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4.03.</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4.04.</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Bankruptcy or Debt of Seller</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4.05.</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Compliance with the Code and ERISA</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4.06.</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Validity and Binding Effect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4.07.</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Non-Contravention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4.08.</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Governmental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4.09.</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Leases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4.10.</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Contracts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Lawsuits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4.12.</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Condemnation</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4.13.</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Permits/Violations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4.14.</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Environmental</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4.15.</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No Other Interests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4.16.</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Condominium Documents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4.17.</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IDA Documents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4.18.</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Other Agreements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9940" w:type="dxa"/>
            <w:vAlign w:val="bottom"/>
            <w:gridSpan w:val="3"/>
          </w:tcPr>
          <w:p>
            <w:pPr>
              <w:jc w:val="center"/>
              <w:ind w:right="76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EPRESENTATIONS</w:t>
            </w:r>
            <w:r>
              <w:rPr>
                <w:rFonts w:ascii="Arial" w:cs="Arial" w:eastAsia="Arial" w:hAnsi="Arial"/>
                <w:sz w:val="18"/>
                <w:szCs w:val="18"/>
                <w:color w:val="auto"/>
                <w:w w:val="99"/>
              </w:rPr>
              <w:t>, W</w:t>
            </w:r>
            <w:r>
              <w:rPr>
                <w:rFonts w:ascii="Arial" w:cs="Arial" w:eastAsia="Arial" w:hAnsi="Arial"/>
                <w:sz w:val="14"/>
                <w:szCs w:val="14"/>
                <w:color w:val="auto"/>
                <w:w w:val="99"/>
              </w:rPr>
              <w:t>ARRANTIES AND</w:t>
            </w:r>
            <w:r>
              <w:rPr>
                <w:rFonts w:ascii="Arial" w:cs="Arial" w:eastAsia="Arial" w:hAnsi="Arial"/>
                <w:sz w:val="18"/>
                <w:szCs w:val="18"/>
                <w:color w:val="auto"/>
                <w:w w:val="99"/>
              </w:rPr>
              <w:t xml:space="preserve"> A</w:t>
            </w:r>
            <w:r>
              <w:rPr>
                <w:rFonts w:ascii="Arial" w:cs="Arial" w:eastAsia="Arial" w:hAnsi="Arial"/>
                <w:sz w:val="14"/>
                <w:szCs w:val="14"/>
                <w:color w:val="auto"/>
                <w:w w:val="99"/>
              </w:rPr>
              <w:t>CKNOWLEDGMENTS OF</w:t>
            </w:r>
            <w:r>
              <w:rPr>
                <w:rFonts w:ascii="Arial" w:cs="Arial" w:eastAsia="Arial" w:hAnsi="Arial"/>
                <w:sz w:val="18"/>
                <w:szCs w:val="18"/>
                <w:color w:val="auto"/>
                <w:w w:val="99"/>
              </w:rPr>
              <w:t xml:space="preserve"> P</w:t>
            </w:r>
            <w:r>
              <w:rPr>
                <w:rFonts w:ascii="Arial" w:cs="Arial" w:eastAsia="Arial" w:hAnsi="Arial"/>
                <w:sz w:val="14"/>
                <w:szCs w:val="14"/>
                <w:color w:val="auto"/>
                <w:w w:val="99"/>
              </w:rPr>
              <w:t>URCHASER</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5.01.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Ownership of Purchaser</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 w:name="page29"/>
    <w:bookmarkEnd w:id="28"/>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5.02.</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Existence and Power</w:t>
            </w:r>
          </w:p>
        </w:tc>
        <w:tc>
          <w:tcPr>
            <w:tcW w:w="6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5.03.</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Authorization</w:t>
            </w:r>
          </w:p>
        </w:tc>
        <w:tc>
          <w:tcPr>
            <w:tcW w:w="6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5.04.</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Bankruptcy or Debt of Purchaser</w:t>
            </w:r>
          </w:p>
        </w:tc>
        <w:tc>
          <w:tcPr>
            <w:tcW w:w="6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5.05.</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Validity and Binding Effect</w:t>
            </w:r>
          </w:p>
        </w:tc>
        <w:tc>
          <w:tcPr>
            <w:tcW w:w="6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5.06.</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Non-Contravention</w:t>
            </w:r>
          </w:p>
        </w:tc>
        <w:tc>
          <w:tcPr>
            <w:tcW w:w="6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5.07.</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Governmental Authorization</w:t>
            </w:r>
          </w:p>
        </w:tc>
        <w:tc>
          <w:tcPr>
            <w:tcW w:w="6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5.08.</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IDA Documents</w:t>
            </w:r>
          </w:p>
        </w:tc>
        <w:tc>
          <w:tcPr>
            <w:tcW w:w="6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5.09.</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Condominium Documents</w:t>
            </w:r>
          </w:p>
        </w:tc>
        <w:tc>
          <w:tcPr>
            <w:tcW w:w="6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20" w:type="dxa"/>
            <w:vAlign w:val="bottom"/>
          </w:tcPr>
          <w:p>
            <w:pPr>
              <w:jc w:val="center"/>
              <w:ind w:right="4392"/>
              <w:spacing w:after="0"/>
              <w:rPr>
                <w:sz w:val="20"/>
                <w:szCs w:val="20"/>
                <w:color w:val="auto"/>
              </w:rPr>
            </w:pPr>
            <w:r>
              <w:rPr>
                <w:rFonts w:ascii="Arial" w:cs="Arial" w:eastAsia="Arial" w:hAnsi="Arial"/>
                <w:sz w:val="18"/>
                <w:szCs w:val="18"/>
                <w:color w:val="auto"/>
                <w:w w:val="94"/>
              </w:rPr>
              <w:t>ARTICLE 6</w:t>
            </w:r>
          </w:p>
        </w:tc>
      </w:tr>
      <w:tr>
        <w:trPr>
          <w:trHeight w:val="222"/>
        </w:trPr>
        <w:tc>
          <w:tcPr>
            <w:tcW w:w="10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820" w:type="dxa"/>
            <w:vAlign w:val="bottom"/>
          </w:tcPr>
          <w:p>
            <w:pPr>
              <w:jc w:val="center"/>
              <w:ind w:right="439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OVENANTS</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6.01.</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Liens</w:t>
            </w:r>
          </w:p>
        </w:tc>
        <w:tc>
          <w:tcPr>
            <w:tcW w:w="6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6.02.</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Leases and Contracts</w:t>
            </w:r>
          </w:p>
        </w:tc>
        <w:tc>
          <w:tcPr>
            <w:tcW w:w="6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6.03.</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Listings and Other Offers</w:t>
            </w:r>
          </w:p>
        </w:tc>
        <w:tc>
          <w:tcPr>
            <w:tcW w:w="6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6.04.</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Operation of the Premises</w:t>
            </w:r>
          </w:p>
        </w:tc>
        <w:tc>
          <w:tcPr>
            <w:tcW w:w="6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6.05.</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Notice to the IDA</w:t>
            </w:r>
          </w:p>
        </w:tc>
        <w:tc>
          <w:tcPr>
            <w:tcW w:w="6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6.06.</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Cooperation</w:t>
            </w:r>
          </w:p>
        </w:tc>
        <w:tc>
          <w:tcPr>
            <w:tcW w:w="6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6.07.</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Permits</w:t>
            </w:r>
          </w:p>
        </w:tc>
        <w:tc>
          <w:tcPr>
            <w:tcW w:w="6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6.08.</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Seller’s Mortgage</w:t>
            </w:r>
          </w:p>
        </w:tc>
        <w:tc>
          <w:tcPr>
            <w:tcW w:w="6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6.09.</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Condominium Board</w:t>
            </w:r>
          </w:p>
        </w:tc>
        <w:tc>
          <w:tcPr>
            <w:tcW w:w="6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6.10.</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Signs and Naming Rights</w:t>
            </w:r>
          </w:p>
        </w:tc>
        <w:tc>
          <w:tcPr>
            <w:tcW w:w="6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6.11.</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Private UOA</w:t>
            </w:r>
          </w:p>
        </w:tc>
        <w:tc>
          <w:tcPr>
            <w:tcW w:w="6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6.12.</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No Adverse Actions</w:t>
            </w:r>
          </w:p>
        </w:tc>
        <w:tc>
          <w:tcPr>
            <w:tcW w:w="6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20" w:type="dxa"/>
            <w:vAlign w:val="bottom"/>
          </w:tcPr>
          <w:p>
            <w:pPr>
              <w:jc w:val="center"/>
              <w:ind w:right="4392"/>
              <w:spacing w:after="0"/>
              <w:rPr>
                <w:sz w:val="20"/>
                <w:szCs w:val="20"/>
                <w:color w:val="auto"/>
              </w:rPr>
            </w:pPr>
            <w:r>
              <w:rPr>
                <w:rFonts w:ascii="Arial" w:cs="Arial" w:eastAsia="Arial" w:hAnsi="Arial"/>
                <w:sz w:val="18"/>
                <w:szCs w:val="18"/>
                <w:color w:val="auto"/>
                <w:w w:val="94"/>
              </w:rPr>
              <w:t>ARTICLE 7</w:t>
            </w:r>
          </w:p>
        </w:tc>
      </w:tr>
      <w:tr>
        <w:trPr>
          <w:trHeight w:val="222"/>
        </w:trPr>
        <w:tc>
          <w:tcPr>
            <w:tcW w:w="10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820" w:type="dxa"/>
            <w:vAlign w:val="bottom"/>
          </w:tcPr>
          <w:p>
            <w:pPr>
              <w:jc w:val="center"/>
              <w:ind w:right="4392"/>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LOSING</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7.01.</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Operation of Escrow</w:t>
            </w:r>
          </w:p>
        </w:tc>
        <w:tc>
          <w:tcPr>
            <w:tcW w:w="6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7.02.</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Time and Place of Closing</w:t>
            </w:r>
          </w:p>
        </w:tc>
        <w:tc>
          <w:tcPr>
            <w:tcW w:w="6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7.03.</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Closing Documents</w:t>
            </w:r>
          </w:p>
        </w:tc>
        <w:tc>
          <w:tcPr>
            <w:tcW w:w="6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20" w:type="dxa"/>
            <w:vAlign w:val="bottom"/>
          </w:tcPr>
          <w:p>
            <w:pPr>
              <w:jc w:val="center"/>
              <w:ind w:right="4392"/>
              <w:spacing w:after="0"/>
              <w:rPr>
                <w:sz w:val="20"/>
                <w:szCs w:val="20"/>
                <w:color w:val="auto"/>
              </w:rPr>
            </w:pPr>
            <w:r>
              <w:rPr>
                <w:rFonts w:ascii="Arial" w:cs="Arial" w:eastAsia="Arial" w:hAnsi="Arial"/>
                <w:sz w:val="18"/>
                <w:szCs w:val="18"/>
                <w:color w:val="auto"/>
                <w:w w:val="94"/>
              </w:rPr>
              <w:t>ARTICLE 8</w:t>
            </w:r>
          </w:p>
        </w:tc>
      </w:tr>
      <w:tr>
        <w:trPr>
          <w:trHeight w:val="222"/>
        </w:trPr>
        <w:tc>
          <w:tcPr>
            <w:tcW w:w="10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820" w:type="dxa"/>
            <w:vAlign w:val="bottom"/>
          </w:tcPr>
          <w:p>
            <w:pPr>
              <w:jc w:val="center"/>
              <w:ind w:right="441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ONDITIONS TO</w:t>
            </w:r>
            <w:r>
              <w:rPr>
                <w:rFonts w:ascii="Arial" w:cs="Arial" w:eastAsia="Arial" w:hAnsi="Arial"/>
                <w:sz w:val="18"/>
                <w:szCs w:val="18"/>
                <w:color w:val="auto"/>
                <w:w w:val="99"/>
              </w:rPr>
              <w:t xml:space="preserve"> C</w:t>
            </w:r>
            <w:r>
              <w:rPr>
                <w:rFonts w:ascii="Arial" w:cs="Arial" w:eastAsia="Arial" w:hAnsi="Arial"/>
                <w:sz w:val="14"/>
                <w:szCs w:val="14"/>
                <w:color w:val="auto"/>
                <w:w w:val="99"/>
              </w:rPr>
              <w:t>LOSING</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8.01.</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w w:val="96"/>
              </w:rPr>
              <w:t>Conditions to the Obligations of Purchaser</w:t>
            </w:r>
          </w:p>
        </w:tc>
        <w:tc>
          <w:tcPr>
            <w:tcW w:w="6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8.02.</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Conditions to the Obligation of Seller</w:t>
            </w:r>
          </w:p>
        </w:tc>
        <w:tc>
          <w:tcPr>
            <w:tcW w:w="6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8.03.</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Termination</w:t>
            </w:r>
          </w:p>
        </w:tc>
        <w:tc>
          <w:tcPr>
            <w:tcW w:w="6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8.04.</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Notice of Termination</w:t>
            </w:r>
          </w:p>
        </w:tc>
        <w:tc>
          <w:tcPr>
            <w:tcW w:w="6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8.05.</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Effect of Termination</w:t>
            </w:r>
          </w:p>
        </w:tc>
        <w:tc>
          <w:tcPr>
            <w:tcW w:w="6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8.06.</w:t>
            </w:r>
          </w:p>
        </w:tc>
        <w:tc>
          <w:tcPr>
            <w:tcW w:w="3420" w:type="dxa"/>
            <w:vAlign w:val="bottom"/>
          </w:tcPr>
          <w:p>
            <w:pPr>
              <w:ind w:left="160"/>
              <w:spacing w:after="0"/>
              <w:rPr>
                <w:sz w:val="20"/>
                <w:szCs w:val="20"/>
                <w:color w:val="auto"/>
              </w:rPr>
            </w:pPr>
            <w:r>
              <w:rPr>
                <w:rFonts w:ascii="Arial" w:cs="Arial" w:eastAsia="Arial" w:hAnsi="Arial"/>
                <w:sz w:val="18"/>
                <w:szCs w:val="18"/>
                <w:i w:val="1"/>
                <w:iCs w:val="1"/>
                <w:color w:val="auto"/>
              </w:rPr>
              <w:t>Extension; Waiver</w:t>
            </w:r>
          </w:p>
        </w:tc>
        <w:tc>
          <w:tcPr>
            <w:tcW w:w="68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60" w:type="dxa"/>
            <w:vAlign w:val="bottom"/>
          </w:tcPr>
          <w:p>
            <w:pPr>
              <w:jc w:val="center"/>
              <w:ind w:right="4352"/>
              <w:spacing w:after="0"/>
              <w:rPr>
                <w:sz w:val="20"/>
                <w:szCs w:val="20"/>
                <w:color w:val="auto"/>
              </w:rPr>
            </w:pPr>
            <w:r>
              <w:rPr>
                <w:rFonts w:ascii="Arial" w:cs="Arial" w:eastAsia="Arial" w:hAnsi="Arial"/>
                <w:sz w:val="18"/>
                <w:szCs w:val="18"/>
                <w:color w:val="auto"/>
                <w:w w:val="94"/>
              </w:rPr>
              <w:t>ARTICLE 9</w:t>
            </w:r>
          </w:p>
        </w:tc>
      </w:tr>
      <w:tr>
        <w:trPr>
          <w:trHeight w:val="222"/>
        </w:trPr>
        <w:tc>
          <w:tcPr>
            <w:tcW w:w="1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60" w:type="dxa"/>
            <w:vAlign w:val="bottom"/>
          </w:tcPr>
          <w:p>
            <w:pPr>
              <w:jc w:val="center"/>
              <w:ind w:right="4352"/>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RANSACTION</w:t>
            </w:r>
            <w:r>
              <w:rPr>
                <w:rFonts w:ascii="Arial" w:cs="Arial" w:eastAsia="Arial" w:hAnsi="Arial"/>
                <w:sz w:val="18"/>
                <w:szCs w:val="18"/>
                <w:color w:val="auto"/>
                <w:w w:val="99"/>
              </w:rPr>
              <w:t xml:space="preserve"> C</w:t>
            </w:r>
            <w:r>
              <w:rPr>
                <w:rFonts w:ascii="Arial" w:cs="Arial" w:eastAsia="Arial" w:hAnsi="Arial"/>
                <w:sz w:val="14"/>
                <w:szCs w:val="14"/>
                <w:color w:val="auto"/>
                <w:w w:val="99"/>
              </w:rPr>
              <w:t>OSTS</w:t>
            </w: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9.01.</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Transfer Taxes</w:t>
            </w:r>
          </w:p>
        </w:tc>
        <w:tc>
          <w:tcPr>
            <w:tcW w:w="6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9.02.</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Title Fees</w:t>
            </w:r>
          </w:p>
        </w:tc>
        <w:tc>
          <w:tcPr>
            <w:tcW w:w="6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9.03.</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Brokerage Commissions</w:t>
            </w:r>
          </w:p>
        </w:tc>
        <w:tc>
          <w:tcPr>
            <w:tcW w:w="6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9.04.</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IDA Expenses</w:t>
            </w:r>
          </w:p>
        </w:tc>
        <w:tc>
          <w:tcPr>
            <w:tcW w:w="6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9.05.</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Other Expenses</w:t>
            </w:r>
          </w:p>
        </w:tc>
        <w:tc>
          <w:tcPr>
            <w:tcW w:w="6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9.06.</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w w:val="94"/>
              </w:rPr>
              <w:t>Survival of Transaction Costs Obligations</w:t>
            </w:r>
          </w:p>
        </w:tc>
        <w:tc>
          <w:tcPr>
            <w:tcW w:w="6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60" w:type="dxa"/>
            <w:vAlign w:val="bottom"/>
          </w:tcPr>
          <w:p>
            <w:pPr>
              <w:jc w:val="center"/>
              <w:ind w:right="4352"/>
              <w:spacing w:after="0"/>
              <w:rPr>
                <w:sz w:val="20"/>
                <w:szCs w:val="20"/>
                <w:color w:val="auto"/>
              </w:rPr>
            </w:pPr>
            <w:r>
              <w:rPr>
                <w:rFonts w:ascii="Arial" w:cs="Arial" w:eastAsia="Arial" w:hAnsi="Arial"/>
                <w:sz w:val="18"/>
                <w:szCs w:val="18"/>
                <w:color w:val="auto"/>
                <w:w w:val="92"/>
              </w:rPr>
              <w:t>ARTICLE 10</w:t>
            </w:r>
          </w:p>
        </w:tc>
      </w:tr>
      <w:tr>
        <w:trPr>
          <w:trHeight w:val="222"/>
        </w:trPr>
        <w:tc>
          <w:tcPr>
            <w:tcW w:w="1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60" w:type="dxa"/>
            <w:vAlign w:val="bottom"/>
          </w:tcPr>
          <w:p>
            <w:pPr>
              <w:jc w:val="center"/>
              <w:ind w:right="4352"/>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DJUSTMENTS</w:t>
            </w: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10.01.</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Apportionment of Building Expenses</w:t>
            </w:r>
          </w:p>
        </w:tc>
        <w:tc>
          <w:tcPr>
            <w:tcW w:w="6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10.02.</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Method of Apportionment Payments</w:t>
            </w:r>
          </w:p>
        </w:tc>
        <w:tc>
          <w:tcPr>
            <w:tcW w:w="6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10.03.</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Survival of Apportionment Obligations</w:t>
            </w:r>
          </w:p>
        </w:tc>
        <w:tc>
          <w:tcPr>
            <w:tcW w:w="6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60" w:type="dxa"/>
            <w:vAlign w:val="bottom"/>
          </w:tcPr>
          <w:p>
            <w:pPr>
              <w:jc w:val="center"/>
              <w:ind w:right="4352"/>
              <w:spacing w:after="0"/>
              <w:rPr>
                <w:sz w:val="20"/>
                <w:szCs w:val="20"/>
                <w:color w:val="auto"/>
              </w:rPr>
            </w:pPr>
            <w:r>
              <w:rPr>
                <w:rFonts w:ascii="Arial" w:cs="Arial" w:eastAsia="Arial" w:hAnsi="Arial"/>
                <w:sz w:val="18"/>
                <w:szCs w:val="18"/>
                <w:color w:val="auto"/>
                <w:w w:val="92"/>
              </w:rPr>
              <w:t>ARTICLE 11</w:t>
            </w:r>
          </w:p>
        </w:tc>
      </w:tr>
      <w:tr>
        <w:trPr>
          <w:trHeight w:val="222"/>
        </w:trPr>
        <w:tc>
          <w:tcPr>
            <w:tcW w:w="11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6860" w:type="dxa"/>
            <w:vAlign w:val="bottom"/>
          </w:tcPr>
          <w:p>
            <w:pPr>
              <w:jc w:val="center"/>
              <w:ind w:right="4372"/>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NMARKETABILITY OF</w:t>
            </w:r>
            <w:r>
              <w:rPr>
                <w:rFonts w:ascii="Arial" w:cs="Arial" w:eastAsia="Arial" w:hAnsi="Arial"/>
                <w:sz w:val="18"/>
                <w:szCs w:val="18"/>
                <w:color w:val="auto"/>
              </w:rPr>
              <w:t xml:space="preserve"> T</w:t>
            </w:r>
            <w:r>
              <w:rPr>
                <w:rFonts w:ascii="Arial" w:cs="Arial" w:eastAsia="Arial" w:hAnsi="Arial"/>
                <w:sz w:val="14"/>
                <w:szCs w:val="14"/>
                <w:color w:val="auto"/>
              </w:rPr>
              <w:t>ITLE</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11.01.</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Unmarketability of Title</w:t>
            </w:r>
          </w:p>
        </w:tc>
        <w:tc>
          <w:tcPr>
            <w:tcW w:w="6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60" w:type="dxa"/>
            <w:vAlign w:val="bottom"/>
          </w:tcPr>
          <w:p>
            <w:pPr>
              <w:jc w:val="center"/>
              <w:ind w:right="4352"/>
              <w:spacing w:after="0"/>
              <w:rPr>
                <w:sz w:val="20"/>
                <w:szCs w:val="20"/>
                <w:color w:val="auto"/>
              </w:rPr>
            </w:pPr>
            <w:r>
              <w:rPr>
                <w:rFonts w:ascii="Arial" w:cs="Arial" w:eastAsia="Arial" w:hAnsi="Arial"/>
                <w:sz w:val="18"/>
                <w:szCs w:val="18"/>
                <w:color w:val="auto"/>
                <w:w w:val="92"/>
              </w:rPr>
              <w:t>ARTICLE 12</w:t>
            </w:r>
          </w:p>
        </w:tc>
      </w:tr>
      <w:tr>
        <w:trPr>
          <w:trHeight w:val="216"/>
        </w:trPr>
        <w:tc>
          <w:tcPr>
            <w:tcW w:w="1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60" w:type="dxa"/>
            <w:vAlign w:val="bottom"/>
          </w:tcPr>
          <w:p>
            <w:pPr>
              <w:jc w:val="center"/>
              <w:ind w:right="4372"/>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ISK OF</w:t>
            </w:r>
            <w:r>
              <w:rPr>
                <w:rFonts w:ascii="Arial" w:cs="Arial" w:eastAsia="Arial" w:hAnsi="Arial"/>
                <w:sz w:val="18"/>
                <w:szCs w:val="18"/>
                <w:color w:val="auto"/>
                <w:w w:val="96"/>
              </w:rPr>
              <w:t xml:space="preserve"> L</w:t>
            </w:r>
            <w:r>
              <w:rPr>
                <w:rFonts w:ascii="Arial" w:cs="Arial" w:eastAsia="Arial" w:hAnsi="Arial"/>
                <w:sz w:val="14"/>
                <w:szCs w:val="14"/>
                <w:color w:val="auto"/>
                <w:w w:val="96"/>
              </w:rPr>
              <w:t>OSS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12.01.</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Termination by Purchaser</w:t>
            </w:r>
          </w:p>
        </w:tc>
        <w:tc>
          <w:tcPr>
            <w:tcW w:w="6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12.02.</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Repair or Restoration</w:t>
            </w:r>
          </w:p>
        </w:tc>
        <w:tc>
          <w:tcPr>
            <w:tcW w:w="6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12.03.</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Proceeds and Awards</w:t>
            </w:r>
          </w:p>
        </w:tc>
        <w:tc>
          <w:tcPr>
            <w:tcW w:w="6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12.04.</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No Seller Liability</w:t>
            </w:r>
          </w:p>
        </w:tc>
        <w:tc>
          <w:tcPr>
            <w:tcW w:w="6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12.05.</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Materiality</w:t>
            </w:r>
          </w:p>
        </w:tc>
        <w:tc>
          <w:tcPr>
            <w:tcW w:w="6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12.06.</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General Obligations Law</w:t>
            </w:r>
          </w:p>
        </w:tc>
        <w:tc>
          <w:tcPr>
            <w:tcW w:w="6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860" w:type="dxa"/>
            <w:vAlign w:val="bottom"/>
          </w:tcPr>
          <w:p>
            <w:pPr>
              <w:jc w:val="center"/>
              <w:ind w:right="4352"/>
              <w:spacing w:after="0"/>
              <w:rPr>
                <w:sz w:val="20"/>
                <w:szCs w:val="20"/>
                <w:color w:val="auto"/>
              </w:rPr>
            </w:pPr>
            <w:r>
              <w:rPr>
                <w:rFonts w:ascii="Arial" w:cs="Arial" w:eastAsia="Arial" w:hAnsi="Arial"/>
                <w:sz w:val="18"/>
                <w:szCs w:val="18"/>
                <w:color w:val="auto"/>
                <w:w w:val="92"/>
              </w:rPr>
              <w:t>ARTICLE 13</w:t>
            </w:r>
          </w:p>
        </w:tc>
      </w:tr>
      <w:tr>
        <w:trPr>
          <w:trHeight w:val="216"/>
        </w:trPr>
        <w:tc>
          <w:tcPr>
            <w:tcW w:w="1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860" w:type="dxa"/>
            <w:vAlign w:val="bottom"/>
          </w:tcPr>
          <w:p>
            <w:pPr>
              <w:jc w:val="center"/>
              <w:ind w:right="4352"/>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13.01.</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Indemnification</w:t>
            </w:r>
          </w:p>
        </w:tc>
        <w:tc>
          <w:tcPr>
            <w:tcW w:w="6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13.02.</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Notification of Claims</w:t>
            </w:r>
          </w:p>
        </w:tc>
        <w:tc>
          <w:tcPr>
            <w:tcW w:w="6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13.03.</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Exclusive Remedies</w:t>
            </w:r>
          </w:p>
        </w:tc>
        <w:tc>
          <w:tcPr>
            <w:tcW w:w="6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13.04.</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Additional Indemnification Provisions</w:t>
            </w:r>
          </w:p>
        </w:tc>
        <w:tc>
          <w:tcPr>
            <w:tcW w:w="6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13.05.</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Certain Losses</w:t>
            </w:r>
          </w:p>
        </w:tc>
        <w:tc>
          <w:tcPr>
            <w:tcW w:w="6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13.06.</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Mitigation</w:t>
            </w:r>
          </w:p>
        </w:tc>
        <w:tc>
          <w:tcPr>
            <w:tcW w:w="6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13.07.</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Third Party Remedies</w:t>
            </w:r>
          </w:p>
        </w:tc>
        <w:tc>
          <w:tcPr>
            <w:tcW w:w="6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13.08.</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Limitation on Liability</w:t>
            </w:r>
          </w:p>
        </w:tc>
        <w:tc>
          <w:tcPr>
            <w:tcW w:w="6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13.09.</w:t>
            </w:r>
          </w:p>
        </w:tc>
        <w:tc>
          <w:tcPr>
            <w:tcW w:w="3280" w:type="dxa"/>
            <w:vAlign w:val="bottom"/>
          </w:tcPr>
          <w:p>
            <w:pPr>
              <w:ind w:left="160"/>
              <w:spacing w:after="0"/>
              <w:rPr>
                <w:sz w:val="20"/>
                <w:szCs w:val="20"/>
                <w:color w:val="auto"/>
              </w:rPr>
            </w:pPr>
            <w:r>
              <w:rPr>
                <w:rFonts w:ascii="Arial" w:cs="Arial" w:eastAsia="Arial" w:hAnsi="Arial"/>
                <w:sz w:val="18"/>
                <w:szCs w:val="18"/>
                <w:i w:val="1"/>
                <w:iCs w:val="1"/>
                <w:color w:val="auto"/>
              </w:rPr>
              <w:t>Survival</w:t>
            </w:r>
          </w:p>
        </w:tc>
        <w:tc>
          <w:tcPr>
            <w:tcW w:w="68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7540" w:type="dxa"/>
            <w:vAlign w:val="bottom"/>
          </w:tcPr>
          <w:p>
            <w:pPr>
              <w:jc w:val="center"/>
              <w:ind w:left="1352"/>
              <w:spacing w:after="0"/>
              <w:rPr>
                <w:sz w:val="20"/>
                <w:szCs w:val="20"/>
                <w:color w:val="auto"/>
              </w:rPr>
            </w:pPr>
            <w:r>
              <w:rPr>
                <w:rFonts w:ascii="Arial" w:cs="Arial" w:eastAsia="Arial" w:hAnsi="Arial"/>
                <w:sz w:val="18"/>
                <w:szCs w:val="18"/>
                <w:color w:val="auto"/>
                <w:w w:val="92"/>
              </w:rPr>
              <w:t>ARTICLE 14</w:t>
            </w:r>
          </w:p>
        </w:tc>
        <w:tc>
          <w:tcPr>
            <w:tcW w:w="2600" w:type="dxa"/>
            <w:vAlign w:val="bottom"/>
          </w:tcPr>
          <w:p>
            <w:pPr>
              <w:spacing w:after="0"/>
              <w:rPr>
                <w:sz w:val="18"/>
                <w:szCs w:val="18"/>
                <w:color w:val="auto"/>
              </w:rPr>
            </w:pPr>
          </w:p>
        </w:tc>
      </w:tr>
      <w:tr>
        <w:trPr>
          <w:trHeight w:val="222"/>
        </w:trPr>
        <w:tc>
          <w:tcPr>
            <w:tcW w:w="1180" w:type="dxa"/>
            <w:vAlign w:val="bottom"/>
          </w:tcPr>
          <w:p>
            <w:pPr>
              <w:spacing w:after="0"/>
              <w:rPr>
                <w:sz w:val="19"/>
                <w:szCs w:val="19"/>
                <w:color w:val="auto"/>
              </w:rPr>
            </w:pPr>
          </w:p>
        </w:tc>
        <w:tc>
          <w:tcPr>
            <w:tcW w:w="7540" w:type="dxa"/>
            <w:vAlign w:val="bottom"/>
          </w:tcPr>
          <w:p>
            <w:pPr>
              <w:jc w:val="center"/>
              <w:ind w:left="133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URVIVAL</w:t>
            </w:r>
          </w:p>
        </w:tc>
        <w:tc>
          <w:tcPr>
            <w:tcW w:w="2600" w:type="dxa"/>
            <w:vAlign w:val="bottom"/>
          </w:tcPr>
          <w:p>
            <w:pPr>
              <w:spacing w:after="0"/>
              <w:rPr>
                <w:sz w:val="19"/>
                <w:szCs w:val="19"/>
                <w:color w:val="auto"/>
              </w:rPr>
            </w:pP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Section 14.01.</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Survival</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180" w:type="dxa"/>
            <w:vAlign w:val="bottom"/>
          </w:tcPr>
          <w:p>
            <w:pPr>
              <w:spacing w:after="0"/>
              <w:rPr>
                <w:sz w:val="24"/>
                <w:szCs w:val="24"/>
                <w:color w:val="auto"/>
              </w:rPr>
            </w:pPr>
          </w:p>
        </w:tc>
        <w:tc>
          <w:tcPr>
            <w:tcW w:w="7540" w:type="dxa"/>
            <w:vAlign w:val="bottom"/>
          </w:tcPr>
          <w:p>
            <w:pPr>
              <w:jc w:val="center"/>
              <w:ind w:left="1352"/>
              <w:spacing w:after="0"/>
              <w:rPr>
                <w:sz w:val="20"/>
                <w:szCs w:val="20"/>
                <w:color w:val="auto"/>
              </w:rPr>
            </w:pPr>
            <w:r>
              <w:rPr>
                <w:rFonts w:ascii="Arial" w:cs="Arial" w:eastAsia="Arial" w:hAnsi="Arial"/>
                <w:sz w:val="18"/>
                <w:szCs w:val="18"/>
                <w:color w:val="auto"/>
                <w:w w:val="92"/>
              </w:rPr>
              <w:t>ARTICLE 15</w:t>
            </w:r>
          </w:p>
        </w:tc>
        <w:tc>
          <w:tcPr>
            <w:tcW w:w="260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7540" w:type="dxa"/>
            <w:vAlign w:val="bottom"/>
          </w:tcPr>
          <w:p>
            <w:pPr>
              <w:jc w:val="center"/>
              <w:ind w:left="133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260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15.01.</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[Intentionally Deleted]</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15.02.</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15.03.</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No Recording</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15.04.</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Entire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15.05.</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Modification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15.06.</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Assignment</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15.07.</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15.08.</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15.09.</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Interpretation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15.10.</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Governing Law</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15.11.</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Venue</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15.12.</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Counterparts</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15.13.</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IRS Form 1099-S</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15.14.</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WAIVER OF JURY TRIAL</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15.15.</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Attorneys’ Fees</w:t>
            </w:r>
          </w:p>
        </w:tc>
        <w:tc>
          <w:tcPr>
            <w:tcW w:w="2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15.16.</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Public Announcement</w:t>
            </w:r>
          </w:p>
        </w:tc>
        <w:tc>
          <w:tcPr>
            <w:tcW w:w="2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15.17.</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Further Assurances</w:t>
            </w:r>
          </w:p>
        </w:tc>
        <w:tc>
          <w:tcPr>
            <w:tcW w:w="2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15.18.</w:t>
            </w:r>
          </w:p>
        </w:tc>
        <w:tc>
          <w:tcPr>
            <w:tcW w:w="7540" w:type="dxa"/>
            <w:vAlign w:val="bottom"/>
          </w:tcPr>
          <w:p>
            <w:pPr>
              <w:ind w:left="160"/>
              <w:spacing w:after="0"/>
              <w:rPr>
                <w:sz w:val="20"/>
                <w:szCs w:val="20"/>
                <w:color w:val="auto"/>
              </w:rPr>
            </w:pPr>
            <w:r>
              <w:rPr>
                <w:rFonts w:ascii="Arial" w:cs="Arial" w:eastAsia="Arial" w:hAnsi="Arial"/>
                <w:sz w:val="18"/>
                <w:szCs w:val="18"/>
                <w:i w:val="1"/>
                <w:iCs w:val="1"/>
                <w:color w:val="auto"/>
              </w:rPr>
              <w:t>Survival</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Schedule 1-A</w:t>
            </w:r>
          </w:p>
        </w:tc>
        <w:tc>
          <w:tcPr>
            <w:tcW w:w="7540" w:type="dxa"/>
            <w:vAlign w:val="bottom"/>
          </w:tcPr>
          <w:p>
            <w:pPr>
              <w:ind w:left="540"/>
              <w:spacing w:after="0"/>
              <w:rPr>
                <w:sz w:val="20"/>
                <w:szCs w:val="20"/>
                <w:color w:val="auto"/>
              </w:rPr>
            </w:pPr>
            <w:r>
              <w:rPr>
                <w:rFonts w:ascii="Arial" w:cs="Arial" w:eastAsia="Arial" w:hAnsi="Arial"/>
                <w:sz w:val="18"/>
                <w:szCs w:val="18"/>
                <w:color w:val="auto"/>
              </w:rPr>
              <w:t>–  Description of the Overlease Premises</w:t>
            </w:r>
          </w:p>
        </w:tc>
        <w:tc>
          <w:tcPr>
            <w:tcW w:w="2600" w:type="dxa"/>
            <w:vAlign w:val="bottom"/>
          </w:tcPr>
          <w:p>
            <w:pPr>
              <w:spacing w:after="0"/>
              <w:rPr>
                <w:sz w:val="24"/>
                <w:szCs w:val="24"/>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Schedule 1-B</w:t>
            </w:r>
          </w:p>
        </w:tc>
        <w:tc>
          <w:tcPr>
            <w:tcW w:w="7540" w:type="dxa"/>
            <w:vAlign w:val="bottom"/>
          </w:tcPr>
          <w:p>
            <w:pPr>
              <w:ind w:left="540"/>
              <w:spacing w:after="0"/>
              <w:rPr>
                <w:sz w:val="20"/>
                <w:szCs w:val="20"/>
                <w:color w:val="auto"/>
              </w:rPr>
            </w:pPr>
            <w:r>
              <w:rPr>
                <w:rFonts w:ascii="Arial" w:cs="Arial" w:eastAsia="Arial" w:hAnsi="Arial"/>
                <w:sz w:val="18"/>
                <w:szCs w:val="18"/>
                <w:color w:val="auto"/>
              </w:rPr>
              <w:t>–  Description of the Fee Units</w:t>
            </w:r>
          </w:p>
        </w:tc>
        <w:tc>
          <w:tcPr>
            <w:tcW w:w="260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Exhibit A-1</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Deed for Reversionary Interest</w:t>
            </w:r>
          </w:p>
        </w:tc>
        <w:tc>
          <w:tcPr>
            <w:tcW w:w="2600" w:type="dxa"/>
            <w:vAlign w:val="bottom"/>
          </w:tcPr>
          <w:p>
            <w:pPr>
              <w:spacing w:after="0"/>
              <w:rPr>
                <w:sz w:val="24"/>
                <w:szCs w:val="24"/>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A-2</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Deed for Fee Units</w:t>
            </w:r>
          </w:p>
        </w:tc>
        <w:tc>
          <w:tcPr>
            <w:tcW w:w="26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B-1</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Assignment and Assumption of Overlease</w:t>
            </w:r>
          </w:p>
        </w:tc>
        <w:tc>
          <w:tcPr>
            <w:tcW w:w="26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B-2</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Assignment and Assumption of Existing NBC Lease</w:t>
            </w:r>
          </w:p>
        </w:tc>
        <w:tc>
          <w:tcPr>
            <w:tcW w:w="26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C</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FIRPTA Certificate</w:t>
            </w:r>
          </w:p>
        </w:tc>
        <w:tc>
          <w:tcPr>
            <w:tcW w:w="26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D</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Bill of Sale</w:t>
            </w:r>
          </w:p>
        </w:tc>
        <w:tc>
          <w:tcPr>
            <w:tcW w:w="26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E</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Assignment and Assumption of Contracts and Permits</w:t>
            </w:r>
          </w:p>
        </w:tc>
        <w:tc>
          <w:tcPr>
            <w:tcW w:w="26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F</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Bringdown Certificate</w:t>
            </w:r>
          </w:p>
        </w:tc>
        <w:tc>
          <w:tcPr>
            <w:tcW w:w="26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G</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Title Affidavit (GE FORM)</w:t>
            </w:r>
          </w:p>
        </w:tc>
        <w:tc>
          <w:tcPr>
            <w:tcW w:w="26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H</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Estoppel Certificate and Request</w:t>
            </w:r>
          </w:p>
        </w:tc>
        <w:tc>
          <w:tcPr>
            <w:tcW w:w="260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I</w:t>
            </w:r>
          </w:p>
        </w:tc>
        <w:tc>
          <w:tcPr>
            <w:tcW w:w="7540" w:type="dxa"/>
            <w:vAlign w:val="bottom"/>
          </w:tcPr>
          <w:p>
            <w:pPr>
              <w:ind w:left="200"/>
              <w:spacing w:after="0"/>
              <w:rPr>
                <w:sz w:val="20"/>
                <w:szCs w:val="20"/>
                <w:color w:val="auto"/>
              </w:rPr>
            </w:pPr>
            <w:r>
              <w:rPr>
                <w:rFonts w:ascii="Arial" w:cs="Arial" w:eastAsia="Arial" w:hAnsi="Arial"/>
                <w:sz w:val="18"/>
                <w:szCs w:val="18"/>
                <w:color w:val="auto"/>
              </w:rPr>
              <w:t>–   Commitment</w:t>
            </w:r>
          </w:p>
        </w:tc>
        <w:tc>
          <w:tcPr>
            <w:tcW w:w="2600" w:type="dxa"/>
            <w:vAlign w:val="bottom"/>
          </w:tcPr>
          <w:p>
            <w:pPr>
              <w:spacing w:after="0"/>
              <w:rPr>
                <w:sz w:val="18"/>
                <w:szCs w:val="18"/>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Exhibit J</w:t>
            </w:r>
          </w:p>
        </w:tc>
        <w:tc>
          <w:tcPr>
            <w:tcW w:w="7540" w:type="dxa"/>
            <w:vAlign w:val="bottom"/>
          </w:tcPr>
          <w:p>
            <w:pPr>
              <w:ind w:left="200"/>
              <w:spacing w:after="0"/>
              <w:rPr>
                <w:sz w:val="20"/>
                <w:szCs w:val="20"/>
                <w:color w:val="auto"/>
              </w:rPr>
            </w:pPr>
            <w:r>
              <w:rPr>
                <w:rFonts w:ascii="Arial" w:cs="Arial" w:eastAsia="Arial" w:hAnsi="Arial"/>
                <w:sz w:val="18"/>
                <w:szCs w:val="18"/>
                <w:color w:val="auto"/>
              </w:rPr>
              <w:t>–   Form of Private UOA</w:t>
            </w:r>
          </w:p>
        </w:tc>
        <w:tc>
          <w:tcPr>
            <w:tcW w:w="260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80"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AND SALE AGREEMENT</w:t>
      </w:r>
    </w:p>
    <w:p>
      <w:pPr>
        <w:spacing w:after="0" w:line="171"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PURCHASE AND SALE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12, 2013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 30RC TRUST (f/k/a NBC Trust No. 1996A), a Delaware statutory business trust, c/o General Electric Capital Corporation (“</w:t>
      </w:r>
      <w:r>
        <w:rPr>
          <w:rFonts w:ascii="Arial" w:cs="Arial" w:eastAsia="Arial" w:hAnsi="Arial"/>
          <w:sz w:val="18"/>
          <w:szCs w:val="18"/>
          <w:b w:val="1"/>
          <w:bCs w:val="1"/>
          <w:color w:val="auto"/>
        </w:rPr>
        <w:t>Seller</w:t>
      </w:r>
      <w:r>
        <w:rPr>
          <w:rFonts w:ascii="Arial" w:cs="Arial" w:eastAsia="Arial" w:hAnsi="Arial"/>
          <w:sz w:val="18"/>
          <w:szCs w:val="18"/>
          <w:color w:val="auto"/>
        </w:rPr>
        <w:t>”), having an address at 901 Main Avenue, Norwalk, Connecticut 06851, and NBCUNIVERSAL ATLAS LLC, a Delaware limited liability company (“</w:t>
      </w:r>
      <w:r>
        <w:rPr>
          <w:rFonts w:ascii="Arial" w:cs="Arial" w:eastAsia="Arial" w:hAnsi="Arial"/>
          <w:sz w:val="18"/>
          <w:szCs w:val="18"/>
          <w:b w:val="1"/>
          <w:bCs w:val="1"/>
          <w:color w:val="auto"/>
        </w:rPr>
        <w:t>Purchaser</w:t>
      </w:r>
      <w:r>
        <w:rPr>
          <w:rFonts w:ascii="Arial" w:cs="Arial" w:eastAsia="Arial" w:hAnsi="Arial"/>
          <w:sz w:val="18"/>
          <w:szCs w:val="18"/>
          <w:color w:val="auto"/>
        </w:rPr>
        <w:t>”), having an address at 30 Rockefeller Plaza, New York, New York 10112.</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WHEREAS, pursuant to that (i) Tower Unit Deed from RCP Associates, as grantor, to New York City Industrial Development Agency, as grantee, dated as of December 1, 1988 and recorded on December 21, 1988 in Reel 1510 at Page 1438, (ii) Studio – RCA West Unit Deed from RCP Associates, as grantor, to New York City Industrial Development Agency, as grantee, dated as of December 1, 1988 and recorded on December 21, 1988 in Reel 1510 at Page 1428,</w:t>
      </w:r>
    </w:p>
    <w:p>
      <w:pPr>
        <w:spacing w:after="0" w:line="1" w:lineRule="exact"/>
        <w:rPr>
          <w:sz w:val="20"/>
          <w:szCs w:val="20"/>
          <w:color w:val="auto"/>
        </w:rPr>
      </w:pPr>
    </w:p>
    <w:p>
      <w:pPr>
        <w:ind w:firstLine="8"/>
        <w:spacing w:after="0" w:line="287" w:lineRule="auto"/>
        <w:tabs>
          <w:tab w:leader="none" w:pos="298"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Additional Unit Deed from RCP Associates, as grantor, to New York City Industrial Development Agency, as grantee, dated as of October 1, 1994 and recorded on October 4, 1994 in Reel 2143 at Page 668, and (iv) Additional Unit Deed from RCP Associates, as grantor, to New York City Industrial Development Agency, as grantee, dated September 30, 1995 and recorded on October 12, 1995 in Reel 2251 at Page 487 (collectively, the “</w:t>
      </w:r>
      <w:r>
        <w:rPr>
          <w:rFonts w:ascii="Arial" w:cs="Arial" w:eastAsia="Arial" w:hAnsi="Arial"/>
          <w:sz w:val="16"/>
          <w:szCs w:val="16"/>
          <w:b w:val="1"/>
          <w:bCs w:val="1"/>
          <w:color w:val="auto"/>
        </w:rPr>
        <w:t>IDA Deeds</w:t>
      </w:r>
      <w:r>
        <w:rPr>
          <w:rFonts w:ascii="Arial" w:cs="Arial" w:eastAsia="Arial" w:hAnsi="Arial"/>
          <w:sz w:val="16"/>
          <w:szCs w:val="16"/>
          <w:color w:val="auto"/>
        </w:rPr>
        <w:t xml:space="preserve">”), the IDA (as hereinafter defined) acquired fee title to,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those certain condominium Units (as hereinafter defined) more particularly described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and RCP Associates retained a reversionary interest in such Units, which reversionary interest includes, in respect of each Unit (i) all such Unit’s undivided percentage interest in the common elements set forth opposite such Unit on Schedule 1-A; (ii) all right, title and interest, if any, of Seller, in and to any streets and roads abutting the above described premises to the center lines thereof; and (iii) all of the appurtenances and estate and rights of Seller in and to such Unit (whether arising out of the Declaration or otherwise) (collectively, but excluding the Fee Units as defined below, the “</w:t>
      </w:r>
      <w:r>
        <w:rPr>
          <w:rFonts w:ascii="Arial" w:cs="Arial" w:eastAsia="Arial" w:hAnsi="Arial"/>
          <w:sz w:val="16"/>
          <w:szCs w:val="16"/>
          <w:b w:val="1"/>
          <w:bCs w:val="1"/>
          <w:color w:val="auto"/>
        </w:rPr>
        <w:t>Reversionary Interest</w:t>
      </w:r>
      <w:r>
        <w:rPr>
          <w:rFonts w:ascii="Arial" w:cs="Arial" w:eastAsia="Arial" w:hAnsi="Arial"/>
          <w:sz w:val="16"/>
          <w:szCs w:val="16"/>
          <w:color w:val="auto"/>
        </w:rPr>
        <w:t>”);</w:t>
      </w:r>
    </w:p>
    <w:p>
      <w:pPr>
        <w:spacing w:after="0" w:line="12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pursuant to that certain Overlease Agreement, dated as of December 1, 1988, between the IDA, as landlord, and Rockefeller Center Properties (“</w:t>
      </w:r>
      <w:r>
        <w:rPr>
          <w:rFonts w:ascii="Arial" w:cs="Arial" w:eastAsia="Arial" w:hAnsi="Arial"/>
          <w:sz w:val="18"/>
          <w:szCs w:val="18"/>
          <w:b w:val="1"/>
          <w:bCs w:val="1"/>
          <w:color w:val="auto"/>
        </w:rPr>
        <w:t>RCP</w:t>
      </w:r>
      <w:r>
        <w:rPr>
          <w:rFonts w:ascii="Arial" w:cs="Arial" w:eastAsia="Arial" w:hAnsi="Arial"/>
          <w:sz w:val="18"/>
          <w:szCs w:val="18"/>
          <w:color w:val="auto"/>
        </w:rPr>
        <w:t>”), as tenant (as amended, supplemented, extended or otherwise modified from time to time, the “</w:t>
      </w:r>
      <w:r>
        <w:rPr>
          <w:rFonts w:ascii="Arial" w:cs="Arial" w:eastAsia="Arial" w:hAnsi="Arial"/>
          <w:sz w:val="18"/>
          <w:szCs w:val="18"/>
          <w:b w:val="1"/>
          <w:bCs w:val="1"/>
          <w:color w:val="auto"/>
        </w:rPr>
        <w:t>Overlease</w:t>
      </w:r>
      <w:r>
        <w:rPr>
          <w:rFonts w:ascii="Arial" w:cs="Arial" w:eastAsia="Arial" w:hAnsi="Arial"/>
          <w:sz w:val="18"/>
          <w:szCs w:val="18"/>
          <w:color w:val="auto"/>
        </w:rPr>
        <w:t xml:space="preserve">”), the IDA leased, </w:t>
      </w:r>
      <w:r>
        <w:rPr>
          <w:rFonts w:ascii="Arial" w:cs="Arial" w:eastAsia="Arial" w:hAnsi="Arial"/>
          <w:sz w:val="18"/>
          <w:szCs w:val="18"/>
          <w:i w:val="1"/>
          <w:iCs w:val="1"/>
          <w:color w:val="auto"/>
        </w:rPr>
        <w:t>inter alia</w:t>
      </w:r>
      <w:r>
        <w:rPr>
          <w:rFonts w:ascii="Arial" w:cs="Arial" w:eastAsia="Arial" w:hAnsi="Arial"/>
          <w:sz w:val="18"/>
          <w:szCs w:val="18"/>
          <w:color w:val="auto"/>
        </w:rPr>
        <w:t>, the Units subject to the provisions of the Overlease (collectively, the “</w:t>
      </w:r>
      <w:r>
        <w:rPr>
          <w:rFonts w:ascii="Arial" w:cs="Arial" w:eastAsia="Arial" w:hAnsi="Arial"/>
          <w:sz w:val="18"/>
          <w:szCs w:val="18"/>
          <w:b w:val="1"/>
          <w:bCs w:val="1"/>
          <w:color w:val="auto"/>
        </w:rPr>
        <w:t>Overlease Premises</w:t>
      </w:r>
      <w:r>
        <w:rPr>
          <w:rFonts w:ascii="Arial" w:cs="Arial" w:eastAsia="Arial" w:hAnsi="Arial"/>
          <w:sz w:val="18"/>
          <w:szCs w:val="18"/>
          <w:color w:val="auto"/>
        </w:rPr>
        <w:t>”) to RCP;</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WHEREAS, pursuant to that certain Assignment and Assumption of Lease, dated as of July 17, 1996, RCP assigned all of its interest as tenant under</w:t>
      </w:r>
    </w:p>
    <w:p>
      <w:pPr>
        <w:sectPr>
          <w:pgSz w:w="11900" w:h="16838" w:orient="portrait"/>
          <w:cols w:equalWidth="0" w:num="1">
            <w:col w:w="11400"/>
          </w:cols>
          <w:pgMar w:left="240" w:top="27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Overlease to Seller, and Seller became the tenant under the Overlease for the Overlease Premises;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WHEREAS, pursuant to that certain Deed dated as of July 17, 1996, and recorded on July 22, 1996 in Reel 2347, page 678 made by RCP Associates, Seller acquired, </w:t>
      </w:r>
      <w:r>
        <w:rPr>
          <w:rFonts w:ascii="Arial" w:cs="Arial" w:eastAsia="Arial" w:hAnsi="Arial"/>
          <w:sz w:val="18"/>
          <w:szCs w:val="18"/>
          <w:i w:val="1"/>
          <w:iCs w:val="1"/>
          <w:color w:val="auto"/>
        </w:rPr>
        <w:t>inter alia</w:t>
      </w:r>
      <w:r>
        <w:rPr>
          <w:rFonts w:ascii="Arial" w:cs="Arial" w:eastAsia="Arial" w:hAnsi="Arial"/>
          <w:sz w:val="18"/>
          <w:szCs w:val="18"/>
          <w:color w:val="auto"/>
        </w:rPr>
        <w:t>, the Reversionary Interest;</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WHEREAS, pursuant to that certain Confirmatory Deed, dated as of October 15, 2001, and recorded on February 7, 2002 in Reel 3446, page 255 made by the IDA, ownership of the Units known as Tower Unit 11/1 and Tower Unit 12/1 (collectively, the “</w:t>
      </w:r>
      <w:r>
        <w:rPr>
          <w:rFonts w:ascii="Arial" w:cs="Arial" w:eastAsia="Arial" w:hAnsi="Arial"/>
          <w:sz w:val="16"/>
          <w:szCs w:val="16"/>
          <w:b w:val="1"/>
          <w:bCs w:val="1"/>
          <w:color w:val="auto"/>
        </w:rPr>
        <w:t>Fee Units</w:t>
      </w:r>
      <w:r>
        <w:rPr>
          <w:rFonts w:ascii="Arial" w:cs="Arial" w:eastAsia="Arial" w:hAnsi="Arial"/>
          <w:sz w:val="16"/>
          <w:szCs w:val="16"/>
          <w:color w:val="auto"/>
        </w:rPr>
        <w:t>”), as more particularly described in Schedule 1-B, reverted from the IDA to Seller (such Fee Units, together with the Overlease Premises, collectively, the “</w:t>
      </w:r>
      <w:r>
        <w:rPr>
          <w:rFonts w:ascii="Arial" w:cs="Arial" w:eastAsia="Arial" w:hAnsi="Arial"/>
          <w:sz w:val="16"/>
          <w:szCs w:val="16"/>
          <w:b w:val="1"/>
          <w:bCs w:val="1"/>
          <w:color w:val="auto"/>
        </w:rPr>
        <w:t>Premises</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WHEREAS, pursuant to that certain NBC Lease, dated as of July 17, 1996, between Seller, as landlord, and NBCUniversal Media, LLC (successor-in-interest to NBC Universal, Inc., f/k/a as National Broadcasting Company, Inc.), a Delaware limited liability company (“</w:t>
      </w:r>
      <w:r>
        <w:rPr>
          <w:rFonts w:ascii="Arial" w:cs="Arial" w:eastAsia="Arial" w:hAnsi="Arial"/>
          <w:sz w:val="16"/>
          <w:szCs w:val="16"/>
          <w:b w:val="1"/>
          <w:bCs w:val="1"/>
          <w:color w:val="auto"/>
        </w:rPr>
        <w:t>NBCU</w:t>
      </w:r>
      <w:r>
        <w:rPr>
          <w:rFonts w:ascii="Arial" w:cs="Arial" w:eastAsia="Arial" w:hAnsi="Arial"/>
          <w:sz w:val="16"/>
          <w:szCs w:val="16"/>
          <w:color w:val="auto"/>
        </w:rPr>
        <w:t xml:space="preserve">”), as tenant, Seller subleased,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alia</w:t>
      </w:r>
      <w:r>
        <w:rPr>
          <w:rFonts w:ascii="Arial" w:cs="Arial" w:eastAsia="Arial" w:hAnsi="Arial"/>
          <w:sz w:val="16"/>
          <w:szCs w:val="16"/>
          <w:color w:val="auto"/>
        </w:rPr>
        <w:t>, substantially all of the Premises to NBCU, which Lease was amended and restated in its entirety pursuant to that certain Amended and Restated NBC Lease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dated as of October 21, 1996, between Seller, as landlord and NBCU, as tenant, and further amended and restated in its entirety pursuant to that certain Second Amended and Restated NBC Lease Agreement, dated as of January 27, 2011, between Seller, as landlord and NBCU, as tenant (as amended, supplemented, extended or otherwise modified from time to time, the “</w:t>
      </w:r>
      <w:r>
        <w:rPr>
          <w:rFonts w:ascii="Arial" w:cs="Arial" w:eastAsia="Arial" w:hAnsi="Arial"/>
          <w:sz w:val="16"/>
          <w:szCs w:val="16"/>
          <w:b w:val="1"/>
          <w:bCs w:val="1"/>
          <w:color w:val="auto"/>
        </w:rPr>
        <w:t>Existing NBC Lease</w:t>
      </w:r>
      <w:r>
        <w:rPr>
          <w:rFonts w:ascii="Arial" w:cs="Arial" w:eastAsia="Arial" w:hAnsi="Arial"/>
          <w:sz w:val="16"/>
          <w:szCs w:val="16"/>
          <w:color w:val="auto"/>
        </w:rPr>
        <w:t>”);</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WHEREAS, pursuant to that certain Amended and Restated Lease Agreement (30 Rockefeller-NBC-IDA), dated as of May 1, 2004, between NBCU, as landlord, and the IDA, as tenant, NBCU sub-subleased, </w:t>
      </w:r>
      <w:r>
        <w:rPr>
          <w:rFonts w:ascii="Arial" w:cs="Arial" w:eastAsia="Arial" w:hAnsi="Arial"/>
          <w:sz w:val="18"/>
          <w:szCs w:val="18"/>
          <w:i w:val="1"/>
          <w:iCs w:val="1"/>
          <w:color w:val="auto"/>
        </w:rPr>
        <w:t>inter alia</w:t>
      </w:r>
      <w:r>
        <w:rPr>
          <w:rFonts w:ascii="Arial" w:cs="Arial" w:eastAsia="Arial" w:hAnsi="Arial"/>
          <w:sz w:val="18"/>
          <w:szCs w:val="18"/>
          <w:color w:val="auto"/>
        </w:rPr>
        <w:t>, substantially all of the Premises to the IDA (as amended, supplemented, extended or otherwise modified from time to time, the “</w:t>
      </w:r>
      <w:r>
        <w:rPr>
          <w:rFonts w:ascii="Arial" w:cs="Arial" w:eastAsia="Arial" w:hAnsi="Arial"/>
          <w:sz w:val="18"/>
          <w:szCs w:val="18"/>
          <w:b w:val="1"/>
          <w:bCs w:val="1"/>
          <w:color w:val="auto"/>
        </w:rPr>
        <w:t>NBC-IDA Lease</w:t>
      </w:r>
      <w:r>
        <w:rPr>
          <w:rFonts w:ascii="Arial" w:cs="Arial" w:eastAsia="Arial" w:hAnsi="Arial"/>
          <w:sz w:val="18"/>
          <w:szCs w:val="18"/>
          <w:color w:val="auto"/>
        </w:rPr>
        <w:t>”);</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WHEREAS, pursuant to that certain Second Amended and Restated Facilities Lease Agreement, dated as of May 1, 2004, between the IDA, as landlord, and NBCU, as tenant, the IDA sub-sub-subleased, </w:t>
      </w:r>
      <w:r>
        <w:rPr>
          <w:rFonts w:ascii="Arial" w:cs="Arial" w:eastAsia="Arial" w:hAnsi="Arial"/>
          <w:sz w:val="18"/>
          <w:szCs w:val="18"/>
          <w:i w:val="1"/>
          <w:iCs w:val="1"/>
          <w:color w:val="auto"/>
        </w:rPr>
        <w:t>inter alia</w:t>
      </w:r>
      <w:r>
        <w:rPr>
          <w:rFonts w:ascii="Arial" w:cs="Arial" w:eastAsia="Arial" w:hAnsi="Arial"/>
          <w:sz w:val="18"/>
          <w:szCs w:val="18"/>
          <w:color w:val="auto"/>
        </w:rPr>
        <w:t>, substantially all of the Premises to NBCU (as amended, supplemented, extended or otherwise modified from time to time, the “</w:t>
      </w:r>
      <w:r>
        <w:rPr>
          <w:rFonts w:ascii="Arial" w:cs="Arial" w:eastAsia="Arial" w:hAnsi="Arial"/>
          <w:sz w:val="18"/>
          <w:szCs w:val="18"/>
          <w:b w:val="1"/>
          <w:bCs w:val="1"/>
          <w:color w:val="auto"/>
        </w:rPr>
        <w:t>Facilities Lease</w:t>
      </w:r>
      <w:r>
        <w:rPr>
          <w:rFonts w:ascii="Arial" w:cs="Arial" w:eastAsia="Arial" w:hAnsi="Arial"/>
          <w:sz w:val="18"/>
          <w:szCs w:val="18"/>
          <w:color w:val="auto"/>
        </w:rPr>
        <w:t>”); and</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WHEREAS, Seller desires to sell, and Purchaser desires to purchase, all of Seller’s right, title, and interest to the Reversionary Interest, the Overlease Premises and the Fee Units and the other Transferred Assets (as hereinafter defined) on the terms and conditions herein specified.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3" w:name="page34"/>
    <w:bookmarkEnd w:id="33"/>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mutual covenants and provisions herein contained and other good and valuable consideration, and intending to be bound hereby, the parties hereto agree as follows: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NTERPRETATIONS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i w:val="1"/>
          <w:iCs w:val="1"/>
          <w:color w:val="auto"/>
        </w:rPr>
        <w:t>Definitions and Interpretations</w:t>
      </w:r>
      <w:r>
        <w:rPr>
          <w:rFonts w:ascii="Arial" w:cs="Arial" w:eastAsia="Arial" w:hAnsi="Arial"/>
          <w:sz w:val="18"/>
          <w:szCs w:val="18"/>
          <w:color w:val="auto"/>
        </w:rPr>
        <w:t>. (a) The following terms, as used herein, have the following meanings:</w:t>
      </w:r>
    </w:p>
    <w:p>
      <w:pPr>
        <w:spacing w:after="0" w:line="16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 Rockefeller Plaza</w:t>
      </w:r>
      <w:r>
        <w:rPr>
          <w:rFonts w:ascii="Arial" w:cs="Arial" w:eastAsia="Arial" w:hAnsi="Arial"/>
          <w:sz w:val="18"/>
          <w:szCs w:val="18"/>
          <w:color w:val="auto"/>
        </w:rPr>
        <w:t>” means that certain building at the street addresses (i) 1250 Avenue of the Americas, (ii) 49 West 49</w:t>
      </w:r>
      <w:r>
        <w:rPr>
          <w:rFonts w:ascii="Arial" w:cs="Arial" w:eastAsia="Arial" w:hAnsi="Arial"/>
          <w:sz w:val="11"/>
          <w:szCs w:val="11"/>
          <w:color w:val="auto"/>
        </w:rPr>
        <w:t>th</w:t>
      </w:r>
      <w:r>
        <w:rPr>
          <w:rFonts w:ascii="Arial" w:cs="Arial" w:eastAsia="Arial" w:hAnsi="Arial"/>
          <w:sz w:val="18"/>
          <w:szCs w:val="18"/>
          <w:color w:val="auto"/>
        </w:rPr>
        <w:t xml:space="preserve"> Street and (iii) 30 Rockefeller Plaza, New York, New York.</w:t>
      </w:r>
    </w:p>
    <w:p>
      <w:pPr>
        <w:spacing w:after="0" w:line="120"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that directly or indirectly controls, is controlled by or is under common control with such first Person, and the term “control” means the power to direct the management of such entity through voting rights, ownership or contractual obligations.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w:t>
      </w:r>
    </w:p>
    <w:p>
      <w:pPr>
        <w:spacing w:after="0" w:line="171"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Assigned Contracts</w:t>
      </w:r>
      <w:r>
        <w:rPr>
          <w:rFonts w:ascii="Arial" w:cs="Arial" w:eastAsia="Arial" w:hAnsi="Arial"/>
          <w:sz w:val="16"/>
          <w:szCs w:val="16"/>
          <w:color w:val="auto"/>
        </w:rPr>
        <w:t>” means the Condominium Documents (to the extent of Seller’s interest therein as to the Premises), the Overlease, any other IDA Documents to which Seller is a party (to the extent of Seller’s interest therein as to the Premises) and the Existing NBC Lease.</w:t>
      </w:r>
    </w:p>
    <w:p>
      <w:pPr>
        <w:spacing w:after="0" w:line="7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Building Equipment</w:t>
      </w:r>
      <w:r>
        <w:rPr>
          <w:rFonts w:ascii="Arial" w:cs="Arial" w:eastAsia="Arial" w:hAnsi="Arial"/>
          <w:sz w:val="18"/>
          <w:szCs w:val="18"/>
          <w:color w:val="auto"/>
        </w:rPr>
        <w:t xml:space="preserve">” means all personal property and fixtures installed in the improvements which are owned by Seller and part of or located in or on the Premises, including all gas and oil burners, elevators, electric motors, pumps, sprinkler, plumbing, heating, air-conditioning, electrical, ventilating, lighting, incinerating, refrigerating, security, communication and cooling systems, boilers, engines, motors, dynamos, radiators, pipes, wiring and other apparatus, and fire prevention and extinguishing equipment;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the term “Building Equipment” shall not include any property of public utilities, the Condominium or NBCU or its Affiliates.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Saturday, Sunday or other day on which commercial banks in New York are authorized or required to close.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w:t>
      </w:r>
      <w:r>
        <w:rPr>
          <w:rFonts w:ascii="Arial" w:cs="Arial" w:eastAsia="Arial" w:hAnsi="Arial"/>
          <w:sz w:val="18"/>
          <w:szCs w:val="18"/>
          <w:color w:val="auto"/>
        </w:rPr>
        <w:t>” means any damage to, or destruction of, the Premises or Building Equipment.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Closing</w:t>
      </w:r>
      <w:r>
        <w:rPr>
          <w:rFonts w:ascii="Arial" w:cs="Arial" w:eastAsia="Arial" w:hAnsi="Arial"/>
          <w:sz w:val="18"/>
          <w:szCs w:val="18"/>
          <w:color w:val="auto"/>
        </w:rPr>
        <w:t>” means the consummation of the transactions described in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is defined in Section 7.02.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Documents</w:t>
      </w:r>
      <w:r>
        <w:rPr>
          <w:rFonts w:ascii="Arial" w:cs="Arial" w:eastAsia="Arial" w:hAnsi="Arial"/>
          <w:sz w:val="16"/>
          <w:szCs w:val="16"/>
          <w:color w:val="auto"/>
        </w:rPr>
        <w:t>” means the closing documents described in Section 7.03 and such other documents as are delivered at the Closing.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Statement</w:t>
      </w:r>
      <w:r>
        <w:rPr>
          <w:rFonts w:ascii="Arial" w:cs="Arial" w:eastAsia="Arial" w:hAnsi="Arial"/>
          <w:sz w:val="18"/>
          <w:szCs w:val="18"/>
          <w:color w:val="auto"/>
        </w:rPr>
        <w:t>” is defined in Section 7.03(a).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Assignment of Rents</w:t>
      </w:r>
      <w:r>
        <w:rPr>
          <w:rFonts w:ascii="Arial" w:cs="Arial" w:eastAsia="Arial" w:hAnsi="Arial"/>
          <w:sz w:val="18"/>
          <w:szCs w:val="18"/>
          <w:color w:val="auto"/>
        </w:rPr>
        <w:t>” shall mean the Collateral Assignment of Rents, dated as of December 1, 1988, from RCP and RCP Associates to the IDA, as amended, supplemented, extended or otherwise modified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is defined in Section 11.01.</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Condemnation</w:t>
      </w:r>
      <w:r>
        <w:rPr>
          <w:rFonts w:ascii="Arial" w:cs="Arial" w:eastAsia="Arial" w:hAnsi="Arial"/>
          <w:sz w:val="18"/>
          <w:szCs w:val="18"/>
          <w:color w:val="auto"/>
        </w:rPr>
        <w:t>” means any condemnation or other taking or temporary or permanent requisition of the Premises, any interest therein or right appurtenant thereto as the result of the exercise of any right of condemnation or eminent domain. A sale, conveyance, assignment, lease or other transfer to a Governmental Authority in lieu or anticipation of Condemnation shall be deemed to be a Condemnation.</w:t>
      </w:r>
    </w:p>
    <w:p>
      <w:pPr>
        <w:spacing w:after="0" w:line="1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Condominium</w:t>
      </w:r>
      <w:r>
        <w:rPr>
          <w:rFonts w:ascii="Arial" w:cs="Arial" w:eastAsia="Arial" w:hAnsi="Arial"/>
          <w:sz w:val="18"/>
          <w:szCs w:val="18"/>
          <w:color w:val="auto"/>
        </w:rPr>
        <w:t>” means The Rockefeller Center Tower Condominium, a condominium association formed and existing under the laws of the State of New York, in respect of 30 Rockefeller Plaza.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Condominium Board</w:t>
      </w:r>
      <w:r>
        <w:rPr>
          <w:rFonts w:ascii="Arial" w:cs="Arial" w:eastAsia="Arial" w:hAnsi="Arial"/>
          <w:sz w:val="16"/>
          <w:szCs w:val="16"/>
          <w:color w:val="auto"/>
        </w:rPr>
        <w:t>” means the Board of Managers of the Condominium (as contemplated in the by-laws attached to the Declaration).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Condominium Documents</w:t>
      </w:r>
      <w:r>
        <w:rPr>
          <w:rFonts w:ascii="Arial" w:cs="Arial" w:eastAsia="Arial" w:hAnsi="Arial"/>
          <w:sz w:val="18"/>
          <w:szCs w:val="18"/>
          <w:color w:val="auto"/>
        </w:rPr>
        <w:t>” means the DCR, Declaration, REA and Unit Owners Agreement.</w:t>
      </w:r>
    </w:p>
    <w:p>
      <w:pPr>
        <w:spacing w:after="0" w:line="171" w:lineRule="exact"/>
        <w:rPr>
          <w:sz w:val="20"/>
          <w:szCs w:val="20"/>
          <w:color w:val="auto"/>
        </w:rPr>
      </w:pPr>
    </w:p>
    <w:p>
      <w:pPr>
        <w:jc w:val="both"/>
        <w:ind w:right="5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Contracts</w:t>
      </w:r>
      <w:r>
        <w:rPr>
          <w:rFonts w:ascii="Arial" w:cs="Arial" w:eastAsia="Arial" w:hAnsi="Arial"/>
          <w:sz w:val="16"/>
          <w:szCs w:val="16"/>
          <w:color w:val="auto"/>
        </w:rPr>
        <w:t>” means all material contracts and agreements (other than Leases) to which Seller is a party pertaining to any of the Transferred Assets, including building, ownership, service, maintenance, supply, management, brokerage, marketing, leasing, architecture, construction, engineering, design, development, and warranty contracts and agreements, excluding the Assigned Contracts.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Party</w:t>
      </w:r>
      <w:r>
        <w:rPr>
          <w:rFonts w:ascii="Arial" w:cs="Arial" w:eastAsia="Arial" w:hAnsi="Arial"/>
          <w:sz w:val="18"/>
          <w:szCs w:val="18"/>
          <w:color w:val="auto"/>
        </w:rPr>
        <w:t>” is defined in Section 13.02(b).</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35" w:name="page36"/>
    <w:bookmarkEnd w:id="35"/>
    <w:p>
      <w:pPr>
        <w:ind w:right="18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DCR</w:t>
      </w:r>
      <w:r>
        <w:rPr>
          <w:rFonts w:ascii="Arial" w:cs="Arial" w:eastAsia="Arial" w:hAnsi="Arial"/>
          <w:sz w:val="18"/>
          <w:szCs w:val="18"/>
          <w:color w:val="auto"/>
        </w:rPr>
        <w:t>” means that certain Declaration of Covenants and Restrictions, dated as of July 17, 1996, by and between RCPI and NBCU, as the same may be amended, modified or supplemented from time to time.</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Declaration</w:t>
      </w:r>
      <w:r>
        <w:rPr>
          <w:rFonts w:ascii="Arial" w:cs="Arial" w:eastAsia="Arial" w:hAnsi="Arial"/>
          <w:sz w:val="18"/>
          <w:szCs w:val="18"/>
          <w:color w:val="auto"/>
        </w:rPr>
        <w:t>” means that certain Amended and Restated Declaration Establishing a Plan for Condominium Ownership, dated as of July 17, 1996, by and among RCPI, Seller and the IDA, together with the By-Laws and Rules and Regulations of the Condominium attached thereto, as the same may be amended, modified or supplemented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Deeds</w:t>
      </w:r>
      <w:r>
        <w:rPr>
          <w:rFonts w:ascii="Arial" w:cs="Arial" w:eastAsia="Arial" w:hAnsi="Arial"/>
          <w:sz w:val="18"/>
          <w:szCs w:val="18"/>
          <w:color w:val="auto"/>
        </w:rPr>
        <w:t>” is defined in Section 7.03(a)(i).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End Date</w:t>
      </w:r>
      <w:r>
        <w:rPr>
          <w:rFonts w:ascii="Arial" w:cs="Arial" w:eastAsia="Arial" w:hAnsi="Arial"/>
          <w:sz w:val="18"/>
          <w:szCs w:val="18"/>
          <w:color w:val="auto"/>
        </w:rPr>
        <w:t>” is defined in Section 8.03(d).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is defined in Section 2.02.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NBC Lease</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Façade Signs</w:t>
      </w:r>
      <w:r>
        <w:rPr>
          <w:rFonts w:ascii="Arial" w:cs="Arial" w:eastAsia="Arial" w:hAnsi="Arial"/>
          <w:sz w:val="18"/>
          <w:szCs w:val="18"/>
          <w:color w:val="auto"/>
        </w:rPr>
        <w:t>” is defined in Section 6.10.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 Lease</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Units</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w:t>
      </w:r>
      <w:r>
        <w:rPr>
          <w:rFonts w:ascii="Arial" w:cs="Arial" w:eastAsia="Arial" w:hAnsi="Arial"/>
          <w:sz w:val="18"/>
          <w:szCs w:val="18"/>
          <w:color w:val="auto"/>
        </w:rPr>
        <w:t>” means General Electric Company, a New York corporation, together with its successors and assigns.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GECC</w:t>
      </w:r>
      <w:r>
        <w:rPr>
          <w:rFonts w:ascii="Arial" w:cs="Arial" w:eastAsia="Arial" w:hAnsi="Arial"/>
          <w:sz w:val="18"/>
          <w:szCs w:val="18"/>
          <w:color w:val="auto"/>
        </w:rPr>
        <w:t>” means General Electric Capital Corporation, a Delaware corporation, together with its successors and assigns.</w:t>
      </w:r>
    </w:p>
    <w:p>
      <w:pPr>
        <w:spacing w:after="0" w:line="17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governmental or quasi-governmental agency, bureau, board, commission, court, political subdivision, or other instrumentality of any federal, state or municipal government.</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Order</w:t>
      </w:r>
      <w:r>
        <w:rPr>
          <w:rFonts w:ascii="Arial" w:cs="Arial" w:eastAsia="Arial" w:hAnsi="Arial"/>
          <w:sz w:val="18"/>
          <w:szCs w:val="18"/>
          <w:color w:val="auto"/>
        </w:rPr>
        <w:t>” means any order (other than an order constituting an approval), writ, judgment, injunction, decree, stipulation, determination or award entered by or with any Governmental Authority.</w:t>
      </w:r>
    </w:p>
    <w:p>
      <w:pPr>
        <w:spacing w:after="0" w:line="120"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IDA</w:t>
      </w:r>
      <w:r>
        <w:rPr>
          <w:rFonts w:ascii="Arial" w:cs="Arial" w:eastAsia="Arial" w:hAnsi="Arial"/>
          <w:sz w:val="18"/>
          <w:szCs w:val="18"/>
          <w:color w:val="auto"/>
        </w:rPr>
        <w:t>” means the New York City Industrial Development Agency, a corporate governmental agency constituting a body politic and a public benefit corporation of the State of New York, and any successor thereto with respect to its interest in the Premises.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4" w:right="39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IDA Deeds</w:t>
      </w:r>
      <w:r>
        <w:rPr>
          <w:rFonts w:ascii="Arial" w:cs="Arial" w:eastAsia="Arial" w:hAnsi="Arial"/>
          <w:sz w:val="18"/>
          <w:szCs w:val="18"/>
          <w:color w:val="auto"/>
        </w:rPr>
        <w:t>” is defined in the Recitals.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IDA Documents</w:t>
      </w:r>
      <w:r>
        <w:rPr>
          <w:rFonts w:ascii="Arial" w:cs="Arial" w:eastAsia="Arial" w:hAnsi="Arial"/>
          <w:sz w:val="18"/>
          <w:szCs w:val="18"/>
          <w:color w:val="auto"/>
        </w:rPr>
        <w:t>” means the Overlease, the PILOT Agreement, the NBC-IDA Lease, the Collateral Assignment of Rents, the Reimbursement Agreement, the Lease Option Agreement, the Purchase Options Agreement, the Tax Agreement, and the Facilities 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is defined in Section 13.02(a).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is defined in Section 13.02(a).</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any transnational, domestic or foreign, federal, state, local statute, law, ordinance, regulatory code, order or other requirement or rule of law, including the common law.</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 Option Agreement</w:t>
      </w:r>
      <w:r>
        <w:rPr>
          <w:rFonts w:ascii="Arial" w:cs="Arial" w:eastAsia="Arial" w:hAnsi="Arial"/>
          <w:sz w:val="18"/>
          <w:szCs w:val="18"/>
          <w:color w:val="auto"/>
        </w:rPr>
        <w:t>” means the Lease Option and First Offer Right Agreement, dated as of December 1, 1988, among RCP, RCP Associates and NBCU, as amended, supplemented, extended or otherwise modified from time to time.</w:t>
      </w:r>
    </w:p>
    <w:p>
      <w:pPr>
        <w:spacing w:after="0" w:line="12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Leases</w:t>
      </w:r>
      <w:r>
        <w:rPr>
          <w:rFonts w:ascii="Arial" w:cs="Arial" w:eastAsia="Arial" w:hAnsi="Arial"/>
          <w:sz w:val="18"/>
          <w:szCs w:val="18"/>
          <w:color w:val="auto"/>
        </w:rPr>
        <w:t>” means all leases, occupancy agreements and all other agreements for possession or use rights respecting any portion of the Premises to which Seller is a party.</w:t>
      </w:r>
    </w:p>
    <w:p>
      <w:pPr>
        <w:spacing w:after="0" w:line="120"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the Transferred Assets, any mortgage, statutory or other lien, pledge, charge, security interest or encumbrance on any Transferred Asset.</w:t>
      </w:r>
    </w:p>
    <w:p>
      <w:pPr>
        <w:spacing w:after="0" w:line="12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all losses, damages, costs, expenses, liabilities, obligations and claims of any kind (including any action brought by any Governmental Authority or other Person and including reasonable costs of investigation and attorneys’ fees).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is defined in Section 6.08.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NBC-IDA Lease</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Apportionment Payment</w:t>
      </w:r>
      <w:r>
        <w:rPr>
          <w:rFonts w:ascii="Arial" w:cs="Arial" w:eastAsia="Arial" w:hAnsi="Arial"/>
          <w:sz w:val="18"/>
          <w:szCs w:val="18"/>
          <w:color w:val="auto"/>
        </w:rPr>
        <w:t>” is defined in Section 10.02.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Overlease</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Overlease Premises</w:t>
      </w:r>
      <w:r>
        <w:rPr>
          <w:rFonts w:ascii="Arial" w:cs="Arial" w:eastAsia="Arial" w:hAnsi="Arial"/>
          <w:sz w:val="16"/>
          <w:szCs w:val="16"/>
          <w:color w:val="auto"/>
        </w:rPr>
        <w:t>” means those Units subject to the provisions of the Overlease, and set forth in Schedule 1 attached hereto and made a part hereof.</w:t>
      </w:r>
    </w:p>
    <w:p>
      <w:pPr>
        <w:spacing w:after="0" w:line="1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7" w:name="page38"/>
    <w:bookmarkEnd w:id="37"/>
    <w:p>
      <w:pPr>
        <w:ind w:right="5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Permits</w:t>
      </w:r>
      <w:r>
        <w:rPr>
          <w:rFonts w:ascii="Arial" w:cs="Arial" w:eastAsia="Arial" w:hAnsi="Arial"/>
          <w:sz w:val="18"/>
          <w:szCs w:val="18"/>
          <w:color w:val="auto"/>
        </w:rPr>
        <w:t>” means all licenses, franchises, permits, certificates, approvals, consents, entitlements, land use rights, variances, waivers, or other similar authorizations of or from any Governmental Authority with respect to the Premises or Transferred Assets.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with respect to the Transferred Assets, (i) the IDA Deeds and IDA Documents, (ii) the Existing NBC Lease, (iii) any and all subleases entered into by NBCU or its Affiliates, (iv) the Condominium Documents, (v) any Liens deemed Permitted Liens pursuant to Section 11.01, (vi) the Assigned Contracts (if any), (vii) any lien or encumbrance disclosed in the Commitment, other than the Mortgage, (viii) Liens for Taxes or other similar governmental impositions that (a) are not yet due or (b) are payable by NBCU under the Existing NBC Lease, (ix) Liens or encumbrances caused by NBCU or its Affiliates, (x) landlords’, carriers’, warehousemens’, mechanics’, suppliers’, materialmens’, repairmens’ liens or other like encumbrances (unless caused or permitted by Seller or its Affiliates), and (x) laws, regulations, resolutions or ordinances, including building, zoning and environmental protection, as to the use, occupancy, subdivision, development, conversion or redevelopment of Transferred Assets imposed by any Governmental Authority.</w:t>
      </w:r>
    </w:p>
    <w:p>
      <w:pPr>
        <w:spacing w:after="0" w:line="113" w:lineRule="exact"/>
        <w:rPr>
          <w:sz w:val="20"/>
          <w:szCs w:val="20"/>
          <w:color w:val="auto"/>
        </w:rPr>
      </w:pPr>
    </w:p>
    <w:p>
      <w:pPr>
        <w:ind w:right="7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association, trust, or other entity or organization, including a Governmental Authority.</w:t>
      </w:r>
    </w:p>
    <w:p>
      <w:pPr>
        <w:spacing w:after="0" w:line="120" w:lineRule="exact"/>
        <w:rPr>
          <w:sz w:val="20"/>
          <w:szCs w:val="20"/>
          <w:color w:val="auto"/>
        </w:rPr>
      </w:pPr>
    </w:p>
    <w:p>
      <w:pPr>
        <w:jc w:val="both"/>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PILOT Agreement</w:t>
      </w:r>
      <w:r>
        <w:rPr>
          <w:rFonts w:ascii="Arial" w:cs="Arial" w:eastAsia="Arial" w:hAnsi="Arial"/>
          <w:sz w:val="18"/>
          <w:szCs w:val="18"/>
          <w:color w:val="auto"/>
        </w:rPr>
        <w:t>” means that certain PILOT Agreement, dated as of December 1, 1988, by and among the IDA, NBCU, and The Bank of New York, as PILOT Depository and successor in interest to United States Trust Company of New York, as successor in interest to Freedom National Bank of New York, as amended by the First through Eleventh Amendments to Pilot Agreement by and among the IDA, NBCU and PILOT Depository, and as the same may be further amended, modified or supplemented from time to time.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UOA</w:t>
      </w:r>
      <w:r>
        <w:rPr>
          <w:rFonts w:ascii="Arial" w:cs="Arial" w:eastAsia="Arial" w:hAnsi="Arial"/>
          <w:sz w:val="18"/>
          <w:szCs w:val="18"/>
          <w:color w:val="auto"/>
        </w:rPr>
        <w:t>” is defined in Section 7.03(a).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is defined in Section 2.02.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is defined in the Preamble.</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 Knowledge</w:t>
      </w:r>
      <w:r>
        <w:rPr>
          <w:rFonts w:ascii="Arial" w:cs="Arial" w:eastAsia="Arial" w:hAnsi="Arial"/>
          <w:sz w:val="18"/>
          <w:szCs w:val="18"/>
          <w:color w:val="auto"/>
        </w:rPr>
        <w:t>” means the current actual knowledge of Keith Cheatham and Peter Greenspan, in each case, without any investigation or duty to investigate or inquire and does not include knowledge imputed to Purchaser from any other person or entity. The named individuals are acting for and on behalf 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38" w:name="page39"/>
    <w:bookmarkEnd w:id="38"/>
    <w:p>
      <w:pPr>
        <w:ind w:right="2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and in a capacity as a representative of Purchaser or one more of Purchaser’s Affiliates and are in no manner expressly or impliedly making any representations or warranties in an individual capacity. Seller waives any right to sue or to seek any personal judgment or claim against the named individuals.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Indemnified Parties</w:t>
      </w:r>
      <w:r>
        <w:rPr>
          <w:rFonts w:ascii="Arial" w:cs="Arial" w:eastAsia="Arial" w:hAnsi="Arial"/>
          <w:sz w:val="18"/>
          <w:szCs w:val="18"/>
          <w:color w:val="auto"/>
        </w:rPr>
        <w:t>” is defined in Section 13.01(a).</w:t>
      </w:r>
    </w:p>
    <w:p>
      <w:pPr>
        <w:spacing w:after="0" w:line="171"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Options Agreement</w:t>
      </w:r>
      <w:r>
        <w:rPr>
          <w:rFonts w:ascii="Arial" w:cs="Arial" w:eastAsia="Arial" w:hAnsi="Arial"/>
          <w:sz w:val="18"/>
          <w:szCs w:val="18"/>
          <w:color w:val="auto"/>
        </w:rPr>
        <w:t>” means the Purchase Options Agreement, dated as of December 1, 1988, among RCP Associates, RCP and NBCU, as amended, supplemented, extended or otherwise modified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RCP</w:t>
      </w:r>
      <w:r>
        <w:rPr>
          <w:rFonts w:ascii="Arial" w:cs="Arial" w:eastAsia="Arial" w:hAnsi="Arial"/>
          <w:sz w:val="18"/>
          <w:szCs w:val="18"/>
          <w:color w:val="auto"/>
        </w:rPr>
        <w:t>” is defined in the Recitals.</w:t>
      </w:r>
    </w:p>
    <w:p>
      <w:pPr>
        <w:spacing w:after="0" w:line="17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RCP Associates</w:t>
      </w:r>
      <w:r>
        <w:rPr>
          <w:rFonts w:ascii="Arial" w:cs="Arial" w:eastAsia="Arial" w:hAnsi="Arial"/>
          <w:sz w:val="18"/>
          <w:szCs w:val="18"/>
          <w:color w:val="auto"/>
        </w:rPr>
        <w:t>” means RCP Associates, a limited partnership organized and existing under the laws of the State of New York, and its successors and assigns.</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RCPI</w:t>
      </w:r>
      <w:r>
        <w:rPr>
          <w:rFonts w:ascii="Arial" w:cs="Arial" w:eastAsia="Arial" w:hAnsi="Arial"/>
          <w:sz w:val="18"/>
          <w:szCs w:val="18"/>
          <w:color w:val="auto"/>
        </w:rPr>
        <w:t>” means RCPI Landmark Properties, L.L.C., a Delaware limited liability company, successor to RCPI Trust, a Delaware business trust, together with its successors and assigns.</w:t>
      </w:r>
    </w:p>
    <w:p>
      <w:pPr>
        <w:spacing w:after="0" w:line="120"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w:t>
      </w:r>
      <w:r>
        <w:rPr>
          <w:rFonts w:ascii="Arial" w:cs="Arial" w:eastAsia="Arial" w:hAnsi="Arial"/>
          <w:sz w:val="16"/>
          <w:szCs w:val="16"/>
          <w:color w:val="auto"/>
        </w:rPr>
        <w:t>” means that certain Operation, Maintenance and Reciprocal Easement Agreement, dated as of July 17, 1996, by and among RCPI, Seller, NBCU, the Condominium, RCP Associates and the IDA, as the same may be amended, modified or supplemented from time to time.</w:t>
      </w:r>
    </w:p>
    <w:p>
      <w:pPr>
        <w:spacing w:after="0" w:line="74"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Agreement</w:t>
      </w:r>
      <w:r>
        <w:rPr>
          <w:rFonts w:ascii="Arial" w:cs="Arial" w:eastAsia="Arial" w:hAnsi="Arial"/>
          <w:sz w:val="18"/>
          <w:szCs w:val="18"/>
          <w:color w:val="auto"/>
        </w:rPr>
        <w:t>” means the Reimbursement Agreement, dates as of December 1, 1988, from RCP and RCP Associates to the IDA, as amended, supplemented, extended or otherwise modified from time to time.</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of a Person means the directors, officers, employees, advisors, agents, consultants, attorneys, accountants, investment bankers or other representatives of such Person.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Reversionary Interest</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Roof Sign</w:t>
      </w:r>
      <w:r>
        <w:rPr>
          <w:rFonts w:ascii="Arial" w:cs="Arial" w:eastAsia="Arial" w:hAnsi="Arial"/>
          <w:sz w:val="18"/>
          <w:szCs w:val="18"/>
          <w:color w:val="auto"/>
        </w:rPr>
        <w:t>” is defined in Section 6.10.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Indemnified Parties</w:t>
      </w:r>
      <w:r>
        <w:rPr>
          <w:rFonts w:ascii="Arial" w:cs="Arial" w:eastAsia="Arial" w:hAnsi="Arial"/>
          <w:sz w:val="18"/>
          <w:szCs w:val="18"/>
          <w:color w:val="auto"/>
        </w:rPr>
        <w:t>” is defined in Section 13.01(b).</w:t>
      </w:r>
    </w:p>
    <w:p>
      <w:pPr>
        <w:spacing w:after="0" w:line="171"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Knowledge</w:t>
      </w:r>
      <w:r>
        <w:rPr>
          <w:rFonts w:ascii="Arial" w:cs="Arial" w:eastAsia="Arial" w:hAnsi="Arial"/>
          <w:sz w:val="18"/>
          <w:szCs w:val="18"/>
          <w:color w:val="auto"/>
        </w:rPr>
        <w:t>” means the current, actual knowledge of Matthew L. Weidner and Joseph A. Manasseri, in each case, without any investigation or duty to investigate or inquire and does not include knowledge imputed to Seller from</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9" w:name="page40"/>
    <w:bookmarkEnd w:id="3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person or entity. The named individuals are acting for and on behalf of Seller and in a capacity as a representative of Seller or one more of Seller’s Affiliates and are in no manner expressly or impliedly making any representations or warranties in an individual capacity. Purchaser waives any right to sue or to seek any personal judgment or claim against the named individuals.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Signs</w:t>
      </w:r>
      <w:r>
        <w:rPr>
          <w:rFonts w:ascii="Arial" w:cs="Arial" w:eastAsia="Arial" w:hAnsi="Arial"/>
          <w:sz w:val="18"/>
          <w:szCs w:val="18"/>
          <w:color w:val="auto"/>
        </w:rPr>
        <w:t>” is defined in Section 6.10.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Surviving Obligations</w:t>
      </w:r>
      <w:r>
        <w:rPr>
          <w:rFonts w:ascii="Arial" w:cs="Arial" w:eastAsia="Arial" w:hAnsi="Arial"/>
          <w:sz w:val="16"/>
          <w:szCs w:val="16"/>
          <w:color w:val="auto"/>
        </w:rPr>
        <w:t>” means those obligations set forth in this Agreement which expressly survive the Closing or termination of this Agreement.</w:t>
      </w:r>
    </w:p>
    <w:p>
      <w:pPr>
        <w:spacing w:after="0" w:line="194"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Agreement</w:t>
      </w:r>
      <w:r>
        <w:rPr>
          <w:rFonts w:ascii="Arial" w:cs="Arial" w:eastAsia="Arial" w:hAnsi="Arial"/>
          <w:sz w:val="16"/>
          <w:szCs w:val="16"/>
          <w:color w:val="auto"/>
        </w:rPr>
        <w:t>” means that certain letter agreement, dated as of December 1, 1988, from RCP and RCP Associates to the City of New York, and consented to by the IDA and Purchaser, as amended, supplemented, extended or otherwise modified from time to time.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is defined in Section 13.02(a).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Title Company</w:t>
      </w:r>
      <w:r>
        <w:rPr>
          <w:rFonts w:ascii="Arial" w:cs="Arial" w:eastAsia="Arial" w:hAnsi="Arial"/>
          <w:sz w:val="16"/>
          <w:szCs w:val="16"/>
          <w:color w:val="auto"/>
        </w:rPr>
        <w:t>” means Chicago Title Insurance Company or another nationally recognized title company mutually acceptable to Seller and Purchaser.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Objections</w:t>
      </w:r>
      <w:r>
        <w:rPr>
          <w:rFonts w:ascii="Arial" w:cs="Arial" w:eastAsia="Arial" w:hAnsi="Arial"/>
          <w:sz w:val="18"/>
          <w:szCs w:val="18"/>
          <w:color w:val="auto"/>
        </w:rPr>
        <w:t>” is defined in Section 11.01(a).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Policy</w:t>
      </w:r>
      <w:r>
        <w:rPr>
          <w:rFonts w:ascii="Arial" w:cs="Arial" w:eastAsia="Arial" w:hAnsi="Arial"/>
          <w:sz w:val="18"/>
          <w:szCs w:val="18"/>
          <w:color w:val="auto"/>
        </w:rPr>
        <w:t>” is defined in Section 11.01(a).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is defined in Section 9.01.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Assets</w:t>
      </w:r>
      <w:r>
        <w:rPr>
          <w:rFonts w:ascii="Arial" w:cs="Arial" w:eastAsia="Arial" w:hAnsi="Arial"/>
          <w:sz w:val="18"/>
          <w:szCs w:val="18"/>
          <w:color w:val="auto"/>
        </w:rPr>
        <w:t>” is defined in Section 2.01.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TSP</w:t>
      </w:r>
      <w:r>
        <w:rPr>
          <w:rFonts w:ascii="Arial" w:cs="Arial" w:eastAsia="Arial" w:hAnsi="Arial"/>
          <w:sz w:val="18"/>
          <w:szCs w:val="18"/>
          <w:color w:val="auto"/>
        </w:rPr>
        <w:t>” means Tishman Speyer Properties, L.P.</w:t>
      </w:r>
    </w:p>
    <w:p>
      <w:pPr>
        <w:spacing w:after="0" w:line="171"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Owners Agreement</w:t>
      </w:r>
      <w:r>
        <w:rPr>
          <w:rFonts w:ascii="Arial" w:cs="Arial" w:eastAsia="Arial" w:hAnsi="Arial"/>
          <w:sz w:val="18"/>
          <w:szCs w:val="18"/>
          <w:color w:val="auto"/>
        </w:rPr>
        <w:t>” means that certain Unit Owners Agreement, dated as of July 17, 1996, by and among RCPI, Seller, NBCU, GE and the Condominium, as the same may be amended, modified or supplemented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Units</w:t>
      </w:r>
      <w:r>
        <w:rPr>
          <w:rFonts w:ascii="Arial" w:cs="Arial" w:eastAsia="Arial" w:hAnsi="Arial"/>
          <w:sz w:val="18"/>
          <w:szCs w:val="18"/>
          <w:color w:val="auto"/>
        </w:rPr>
        <w:t>” means units in the Condominium.</w:t>
      </w:r>
    </w:p>
    <w:p>
      <w:pPr>
        <w:spacing w:after="0" w:line="177" w:lineRule="exact"/>
        <w:rPr>
          <w:sz w:val="20"/>
          <w:szCs w:val="20"/>
          <w:color w:val="auto"/>
        </w:rPr>
      </w:pPr>
    </w:p>
    <w:p>
      <w:pPr>
        <w:ind w:firstLine="464"/>
        <w:spacing w:after="0" w:line="303" w:lineRule="auto"/>
        <w:tabs>
          <w:tab w:leader="none" w:pos="705" w:val="left"/>
        </w:tabs>
        <w:numPr>
          <w:ilvl w:val="1"/>
          <w:numId w:val="8"/>
        </w:numPr>
        <w:rPr>
          <w:rFonts w:ascii="Arial" w:cs="Arial" w:eastAsia="Arial" w:hAnsi="Arial"/>
          <w:sz w:val="15"/>
          <w:szCs w:val="15"/>
          <w:color w:val="auto"/>
        </w:rPr>
      </w:pPr>
      <w:r>
        <w:rPr>
          <w:rFonts w:ascii="Arial" w:cs="Arial" w:eastAsia="Arial" w:hAnsi="Arial"/>
          <w:sz w:val="15"/>
          <w:szCs w:val="15"/>
          <w:color w:val="auto"/>
        </w:rPr>
        <w:t>In this Agreement, unless otherwise specified, (i) words which include a number of constituent parts, things or elements, including the term “Transferred Assets,” shall be construed as referring separately to each constituent part, thing or element thereof, as well as to all such constituent parts, things or elements as a whole except as otherwise provided herein by reference to any “material” portion or by use of the phrase “taken as a whole” or similar language;</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singular words include the plural and plural words include the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40" w:name="page41"/>
    <w:bookmarkEnd w:id="40"/>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singular; (iii) words importing any gender include the other genders; (iv) references to any Person include its successors and assigns; (v) the word “successors”, when it refers to an individual, includes the heirs, devisees, legatees, executors, administrators and personal representatives of such individual; (vi) references to any statute or other law include all rules, regulations and orders adopted or made hereunder and all statutes or other laws amending, consolidating or replacing the statute or law referred to; (vii) references to any agreement or other document include all subsequent amendments or other modifications thereof entered into in accordance with the provisions thereof; (viii) the words “approve”, “consent” or “agree”, and any derivations thereof or words of similar import, mean the prior written approval, consent or agreement of the Person holding the right to approve, consent or agree; (ix) the words “include” and “including”, and words of similar import, shall be deemed to be followed by the words “without limitation”; (x) the words “hereto”, “herein”, “hereof” and “hereunder”, and words of similar import, refer to this Agreement in its entirety; (xi) the Schedules and Exhibits hereto are part of this Agreement and are incorporated herein by reference;</w:t>
      </w:r>
    </w:p>
    <w:p>
      <w:pPr>
        <w:spacing w:after="0" w:line="6" w:lineRule="exact"/>
        <w:rPr>
          <w:sz w:val="20"/>
          <w:szCs w:val="20"/>
          <w:color w:val="auto"/>
        </w:rPr>
      </w:pPr>
    </w:p>
    <w:p>
      <w:pPr>
        <w:ind w:right="680" w:firstLine="8"/>
        <w:spacing w:after="0" w:line="323" w:lineRule="auto"/>
        <w:tabs>
          <w:tab w:leader="none" w:pos="3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words “Section”, “Schedule” or “Exhibit” refer to the sections, schedules and exhibits of and to this Agreement; and (xiii) headings of Sections, Schedules and Exhibits are inserted as a matter of convenience and shall not affect the construction of this Agreement.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 AND</w:t>
      </w:r>
      <w:r>
        <w:rPr>
          <w:rFonts w:ascii="Arial" w:cs="Arial" w:eastAsia="Arial" w:hAnsi="Arial"/>
          <w:sz w:val="18"/>
          <w:szCs w:val="18"/>
          <w:color w:val="auto"/>
        </w:rPr>
        <w:t xml:space="preserve"> S</w:t>
      </w:r>
      <w:r>
        <w:rPr>
          <w:rFonts w:ascii="Arial" w:cs="Arial" w:eastAsia="Arial" w:hAnsi="Arial"/>
          <w:sz w:val="14"/>
          <w:szCs w:val="14"/>
          <w:color w:val="auto"/>
        </w:rPr>
        <w:t>ALE</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w:t>
      </w:r>
      <w:r>
        <w:rPr>
          <w:rFonts w:ascii="Arial" w:cs="Arial" w:eastAsia="Arial" w:hAnsi="Arial"/>
          <w:sz w:val="16"/>
          <w:szCs w:val="16"/>
          <w:i w:val="1"/>
          <w:iCs w:val="1"/>
          <w:color w:val="auto"/>
        </w:rPr>
        <w:t>Purchase and Sale</w:t>
      </w:r>
      <w:r>
        <w:rPr>
          <w:rFonts w:ascii="Arial" w:cs="Arial" w:eastAsia="Arial" w:hAnsi="Arial"/>
          <w:sz w:val="16"/>
          <w:szCs w:val="16"/>
          <w:color w:val="auto"/>
        </w:rPr>
        <w:t>. Upon the terms and subject to the conditions of this Agreement, Purchaser agrees to purchase, and Seller agrees to sell, convey, transfer, assign and deliver to Purchaser at the Closing, all of Seller’s right, title and interest in, to and under the following assets and properties, wherever located, owned, held or used by Seller in connection with the ownership, operation and development of the Premises (the “</w:t>
      </w:r>
      <w:r>
        <w:rPr>
          <w:rFonts w:ascii="Arial" w:cs="Arial" w:eastAsia="Arial" w:hAnsi="Arial"/>
          <w:sz w:val="16"/>
          <w:szCs w:val="16"/>
          <w:b w:val="1"/>
          <w:bCs w:val="1"/>
          <w:color w:val="auto"/>
        </w:rPr>
        <w:t>Transferred Assets</w:t>
      </w:r>
      <w:r>
        <w:rPr>
          <w:rFonts w:ascii="Arial" w:cs="Arial" w:eastAsia="Arial" w:hAnsi="Arial"/>
          <w:sz w:val="16"/>
          <w:szCs w:val="16"/>
          <w:color w:val="auto"/>
        </w:rPr>
        <w:t>”):</w:t>
      </w:r>
    </w:p>
    <w:p>
      <w:pPr>
        <w:spacing w:after="0" w:line="107"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Reversionary Interest;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Overlease;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Fee Units;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Building Equipment and all warranties and guaranties relating thereto;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Assigned Contracts and, to the extent assignable, the Permits.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1" w:name="page42"/>
    <w:bookmarkEnd w:id="41"/>
    <w:p>
      <w:pPr>
        <w:ind w:right="140" w:firstLine="456"/>
        <w:spacing w:after="0" w:line="262"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2.02</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Price</w:t>
      </w:r>
      <w:r>
        <w:rPr>
          <w:rFonts w:ascii="Arial" w:cs="Arial" w:eastAsia="Arial" w:hAnsi="Arial"/>
          <w:sz w:val="18"/>
          <w:szCs w:val="18"/>
          <w:color w:val="auto"/>
        </w:rPr>
        <w:t>. The purchase price (the “</w:t>
      </w:r>
      <w:r>
        <w:rPr>
          <w:rFonts w:ascii="Arial" w:cs="Arial" w:eastAsia="Arial" w:hAnsi="Arial"/>
          <w:sz w:val="18"/>
          <w:szCs w:val="18"/>
          <w:b w:val="1"/>
          <w:bCs w:val="1"/>
          <w:color w:val="auto"/>
        </w:rPr>
        <w:t>Purchase Price</w:t>
      </w:r>
      <w:r>
        <w:rPr>
          <w:rFonts w:ascii="Arial" w:cs="Arial" w:eastAsia="Arial" w:hAnsi="Arial"/>
          <w:sz w:val="18"/>
          <w:szCs w:val="18"/>
          <w:color w:val="auto"/>
        </w:rPr>
        <w:t>”) payable by Purchaser to Seller for the sale of all of the Transferred Assets shall be $1,307,965,050, payable by wire transfer on the Closing Date to Chicago Title Insurance Company, 711 Third Avenue, New York, New York 10017 (the “</w:t>
      </w:r>
      <w:r>
        <w:rPr>
          <w:rFonts w:ascii="Arial" w:cs="Arial" w:eastAsia="Arial" w:hAnsi="Arial"/>
          <w:sz w:val="18"/>
          <w:szCs w:val="18"/>
          <w:b w:val="1"/>
          <w:bCs w:val="1"/>
          <w:color w:val="auto"/>
        </w:rPr>
        <w:t>Escrow Agent</w:t>
      </w:r>
      <w:r>
        <w:rPr>
          <w:rFonts w:ascii="Arial" w:cs="Arial" w:eastAsia="Arial" w:hAnsi="Arial"/>
          <w:sz w:val="18"/>
          <w:szCs w:val="18"/>
          <w:color w:val="auto"/>
        </w:rPr>
        <w:t>”), such wired amount to be:</w:t>
      </w:r>
    </w:p>
    <w:p>
      <w:pPr>
        <w:spacing w:after="0" w:line="138" w:lineRule="exact"/>
        <w:rPr>
          <w:sz w:val="20"/>
          <w:szCs w:val="20"/>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or decreased by adjustments made pursuant to Article 9;</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or decreased by apportionments and adjustments made pursuant to Article 10;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by adjustments, if any, in respect of any Casualty or Condemnation pursuant to Article 12.</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ROPERTY</w:t>
      </w:r>
      <w:r>
        <w:rPr>
          <w:rFonts w:ascii="Arial" w:cs="Arial" w:eastAsia="Arial" w:hAnsi="Arial"/>
          <w:sz w:val="18"/>
          <w:szCs w:val="18"/>
          <w:color w:val="auto"/>
        </w:rPr>
        <w:t xml:space="preserve"> C</w:t>
      </w:r>
      <w:r>
        <w:rPr>
          <w:rFonts w:ascii="Arial" w:cs="Arial" w:eastAsia="Arial" w:hAnsi="Arial"/>
          <w:sz w:val="14"/>
          <w:szCs w:val="14"/>
          <w:color w:val="auto"/>
        </w:rPr>
        <w:t>ONDITION</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i w:val="1"/>
          <w:iCs w:val="1"/>
          <w:color w:val="auto"/>
        </w:rPr>
        <w:t>Disclaimer of Warranties</w:t>
      </w:r>
      <w:r>
        <w:rPr>
          <w:rFonts w:ascii="Arial" w:cs="Arial" w:eastAsia="Arial" w:hAnsi="Arial"/>
          <w:sz w:val="18"/>
          <w:szCs w:val="18"/>
          <w:color w:val="auto"/>
        </w:rPr>
        <w:t>. (a) PURCHASER ACKNOWLEDGES AND AGREES THAT, EXCEPT AND SOLELY TO THE EXTENT OF THE SPECIAL WARRANTY OF TITLE SET FORTH IN THE DEEDS AND THE EXPRESS REPRESENTATIONS AND WARRANTIES OF SELLER CONTAINED IN THIS AGREEMENT:</w:t>
      </w:r>
    </w:p>
    <w:p>
      <w:pPr>
        <w:spacing w:after="0" w:line="59" w:lineRule="exact"/>
        <w:rPr>
          <w:sz w:val="20"/>
          <w:szCs w:val="20"/>
          <w:color w:val="auto"/>
        </w:rPr>
      </w:pPr>
    </w:p>
    <w:p>
      <w:pPr>
        <w:ind w:left="920" w:firstLine="421"/>
        <w:spacing w:after="0" w:line="287" w:lineRule="auto"/>
        <w:tabs>
          <w:tab w:leader="none" w:pos="15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SELLER HAS NOT MADE, DOES NOT MAKE AND SPECIFICALLY NEGATES AND DISCLAIMS ANY REPRESENTATIONS, WARRANTIES, PROMISES, COVENANTS, AGREEMENTS OR GUARANTIES OF ANY KIND OR CHARACTER WHATSOEVER, WHETHER EXPRESS OR IMPLIED, ORAL OR WRITTEN, PAST, PRESENT OR FUTURE, OF, AS TO, CONCERNING OR WITH RESPECT TO (A) THE VALUE, NATURE, QUALITY OR CONDITION OF THE TRANSFERRED ASSETS, (B) THE INCOME TO BE DERIVED FROM THE PROPERTY, (C) THE SUITABILITY OF THE TRANSFERRED ASSETS FOR ANY AND ALL ACTIVITIES AND USES THAT NBCU OR PURCHASER CURRENTLY OR MAY IN THE FUTURE CONDUCT THEREON OR THEREWITH, (D) THE COMPLIANCE OF OR BY THE TRANSFERRED ASSETS OR THEIR OPERATION WITH ANY LAWS, RULES, ORDINANCES OR REGULATIONS OF ANY APPLICABLE GOVERNMENTAL AUTHORITY OR BODY, (E) THE HABITABILITY, MERCHANTABILITY, MARKETABILITY, PROFITABILITY OR FITNESS FOR A PARTICULAR PURPOSE OF THE TRANSFERRED ASSETS, (F) THE MANNER OR QUALITY OF THE CONSTRUCTION OR MATERIALS, IF ANY, INCORPORATED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42" w:name="page43"/>
    <w:bookmarkEnd w:id="42"/>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INTO THE TRANSFERRED ASSETS, (G) THE MANNER, QUALITY, STATE OF REPAIR OR LACK OF REPAIR OF THE TRANSFERRED ASSETS, OR (H) COMPLIANCE WITH ANY ENVIRONMENTAL PROTECTION, POLLUTION OR LAND USE LAWS, RULES, REGULATIONS, ORDERS OR REQUIREMENTS, INCLUDING THE EXISTENCE IN OR ON THE PROPERTY OF HAZARDOUS MATERIALS (AS DEFINED BELOW) OR (I) ANY OTHER MATTER WITH RESPECT TO THE TRANSFERRED ASSETS.</w:t>
      </w:r>
    </w:p>
    <w:p>
      <w:pPr>
        <w:spacing w:after="0" w:line="32" w:lineRule="exact"/>
        <w:rPr>
          <w:sz w:val="20"/>
          <w:szCs w:val="20"/>
          <w:color w:val="auto"/>
        </w:rPr>
      </w:pPr>
    </w:p>
    <w:p>
      <w:pPr>
        <w:ind w:left="680" w:hanging="259"/>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PERSON ACTING ON BEHALF OF SELLER, INCLUDING ANY REAL ESTATE BROKER, PROPERTY MANAGER,</w:t>
      </w:r>
    </w:p>
    <w:p>
      <w:pPr>
        <w:spacing w:after="0" w:line="15" w:lineRule="exact"/>
        <w:rPr>
          <w:rFonts w:ascii="Arial" w:cs="Arial" w:eastAsia="Arial" w:hAnsi="Arial"/>
          <w:sz w:val="18"/>
          <w:szCs w:val="18"/>
          <w:color w:val="auto"/>
        </w:rPr>
      </w:pPr>
    </w:p>
    <w:p>
      <w:pPr>
        <w:ind w:right="80"/>
        <w:spacing w:after="0" w:line="253" w:lineRule="auto"/>
        <w:rPr>
          <w:rFonts w:ascii="Arial" w:cs="Arial" w:eastAsia="Arial" w:hAnsi="Arial"/>
          <w:sz w:val="18"/>
          <w:szCs w:val="18"/>
          <w:color w:val="auto"/>
        </w:rPr>
      </w:pPr>
      <w:r>
        <w:rPr>
          <w:rFonts w:ascii="Arial" w:cs="Arial" w:eastAsia="Arial" w:hAnsi="Arial"/>
          <w:sz w:val="18"/>
          <w:szCs w:val="18"/>
          <w:color w:val="auto"/>
        </w:rPr>
        <w:t>CONTRACTOR, AGENT, COUNSEL, EMPLOYEE, SERVANT OR OTHER PERSON, IS AUTHORIZED TO MAKE, AND NO PERSON HAS MADE, ANY REPRESENTATION, AGREEMENT, STATEMENT, WARRANTY, GUARANTY OR PROMISE REGARDING THE TRANSFERRED ASSETS OR THE TRANSACTION CONTEMPLATED HEREIN; AND NO SUCH REPRESENTATION, WARRANTY, AGREEMENT, GUARANTY, STATEMENT OR PROMISE IF ANY, MADE BY ANY PERSON ACTING ON BEHALF OF SELLER SHALL BE VALID OR BINDING UPON SELLER.</w:t>
      </w:r>
    </w:p>
    <w:p>
      <w:pPr>
        <w:spacing w:after="0" w:line="64" w:lineRule="exact"/>
        <w:rPr>
          <w:rFonts w:ascii="Arial" w:cs="Arial" w:eastAsia="Arial" w:hAnsi="Arial"/>
          <w:sz w:val="18"/>
          <w:szCs w:val="18"/>
          <w:color w:val="auto"/>
        </w:rPr>
      </w:pPr>
    </w:p>
    <w:p>
      <w:pPr>
        <w:ind w:firstLine="421"/>
        <w:spacing w:after="0" w:line="254" w:lineRule="auto"/>
        <w:tabs>
          <w:tab w:leader="none" w:pos="7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NBCU HAS BEEN THE LONG TERM NET LESSEE, OCCUPANT, OPERATOR AND USER OF THE TRANSFERRED ASSETS AND PURCHASER AND NBCU ARE RELYING SOLELY ON THEIR OWN EXPERIENCE WITH AND CONTROL OF THE TRANSFERRED ASSETS AND NOT ON ANY INFORMATION PROVIDED OR TO BE PROVIDED BY SELLER AND AGREES TO ACCEPT THE TRANSFERRED ASSETS IN AT THE CLOSING AND WAIVE ALL OBJECTIONS OR CLAIMS AGAINST SELLER (INCLUDING, BUT NOT LIMITED TO, ANY RIGHT OR CLAIM OF CONTRIBUTION) ARISING FROM OR RELATED TO THE TRANSFERRED ASSETS OR TO ANY HAZARDOUS MATERIALS ON THE PROPERTY.</w:t>
      </w:r>
    </w:p>
    <w:p>
      <w:pPr>
        <w:spacing w:after="0" w:line="63" w:lineRule="exact"/>
        <w:rPr>
          <w:rFonts w:ascii="Arial" w:cs="Arial" w:eastAsia="Arial" w:hAnsi="Arial"/>
          <w:sz w:val="18"/>
          <w:szCs w:val="18"/>
          <w:color w:val="auto"/>
        </w:rPr>
      </w:pPr>
    </w:p>
    <w:p>
      <w:pPr>
        <w:ind w:right="40" w:firstLine="421"/>
        <w:spacing w:after="0" w:line="256" w:lineRule="auto"/>
        <w:tabs>
          <w:tab w:leader="none" w:pos="7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PROVIDED OR TO BE PROVIDED WITH RESPECT TO THE TRANSFERRED ASSETS WAS OBTAINED FROM A VARIETY OF SOURCES AND THAT SELLER HAS NOT MADE ANY INDEPENDENT INVESTIGATION OR VERIFICATION OF SUCH INFORMATION AND MAKES NO REPRESENTATIONS AS TO THE ACCURACY, TRUTHFULNESS OR COMPLETENESS OF SUCH INFORMATION.</w:t>
      </w: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1160" w:top="280" w:right="259" w:bottom="1440" w:gutter="0" w:footer="0" w:header="0"/>
        </w:sectPr>
      </w:pPr>
    </w:p>
    <w:bookmarkStart w:id="43" w:name="page44"/>
    <w:bookmarkEnd w:id="43"/>
    <w:p>
      <w:pPr>
        <w:ind w:left="920" w:firstLine="421"/>
        <w:spacing w:after="0" w:line="268" w:lineRule="auto"/>
        <w:tabs>
          <w:tab w:leader="none" w:pos="1588"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MAXIMUM EXTENT PERMITTED BY LAW, THE SALE OF THE TRANSFERRED ASSETS AS PROVIDED FOR HEREIN IS MADE ON AN “AS IS”, “WHERE IS” CONDITION AND BASIS WITH ALL FAULTS.</w:t>
      </w:r>
    </w:p>
    <w:p>
      <w:pPr>
        <w:spacing w:after="0" w:line="50" w:lineRule="exact"/>
        <w:rPr>
          <w:rFonts w:ascii="Arial" w:cs="Arial" w:eastAsia="Arial" w:hAnsi="Arial"/>
          <w:sz w:val="18"/>
          <w:szCs w:val="18"/>
          <w:color w:val="auto"/>
        </w:rPr>
      </w:pPr>
    </w:p>
    <w:p>
      <w:pPr>
        <w:ind w:left="920" w:right="40" w:firstLine="421"/>
        <w:spacing w:after="0" w:line="259" w:lineRule="auto"/>
        <w:tabs>
          <w:tab w:leader="none" w:pos="16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IT IS UNDERSTOOD AND AGREED THAT THE PURCHASE PRICE HAS BEEN ADJUSTED BY PRIOR NEGOTIATION TO REFLECT THAT ALL OF THE TRANSFERRED ASSETS ARE SOLD BY SELLER AND PURCHASED BY PURCHASER SUBJECT TO THE FOREGOING.</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of this Section 3.01 shall be Surviving Obligations.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 OF</w:t>
      </w:r>
      <w:r>
        <w:rPr>
          <w:rFonts w:ascii="Arial" w:cs="Arial" w:eastAsia="Arial" w:hAnsi="Arial"/>
          <w:sz w:val="18"/>
          <w:szCs w:val="18"/>
          <w:color w:val="auto"/>
        </w:rPr>
        <w:t xml:space="preserve"> S</w:t>
      </w:r>
      <w:r>
        <w:rPr>
          <w:rFonts w:ascii="Arial" w:cs="Arial" w:eastAsia="Arial" w:hAnsi="Arial"/>
          <w:sz w:val="14"/>
          <w:szCs w:val="14"/>
          <w:color w:val="auto"/>
        </w:rPr>
        <w:t>ELLER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represents and warrants to Purchaser as of the date hereof and, except as otherwise provided, as of the Closing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Seller</w:t>
      </w:r>
      <w:r>
        <w:rPr>
          <w:rFonts w:ascii="Arial" w:cs="Arial" w:eastAsia="Arial" w:hAnsi="Arial"/>
          <w:sz w:val="18"/>
          <w:szCs w:val="18"/>
          <w:color w:val="auto"/>
        </w:rPr>
        <w:t>. GECC is the sole indirect beneficial owner of Seller.</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t>
      </w:r>
      <w:r>
        <w:rPr>
          <w:rFonts w:ascii="Arial" w:cs="Arial" w:eastAsia="Arial" w:hAnsi="Arial"/>
          <w:sz w:val="16"/>
          <w:szCs w:val="16"/>
          <w:i w:val="1"/>
          <w:iCs w:val="1"/>
          <w:color w:val="auto"/>
        </w:rPr>
        <w:t>Existence and Power.</w:t>
      </w:r>
      <w:r>
        <w:rPr>
          <w:rFonts w:ascii="Arial" w:cs="Arial" w:eastAsia="Arial" w:hAnsi="Arial"/>
          <w:sz w:val="16"/>
          <w:szCs w:val="16"/>
          <w:color w:val="auto"/>
        </w:rPr>
        <w:t xml:space="preserve"> Seller is a Delaware statutory business trust, duly formed, validly existing and in good standing under the laws of the State of Delaware and is qualified to transact business in the State of New York and has all requisite power and authority to carry on its business as now conducted and to execute, deliver and perform its obligations under this Agreement and the Closing Documents to be executed and delivered by Seller.</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w:t>
      </w:r>
      <w:r>
        <w:rPr>
          <w:rFonts w:ascii="Arial" w:cs="Arial" w:eastAsia="Arial" w:hAnsi="Arial"/>
          <w:sz w:val="18"/>
          <w:szCs w:val="18"/>
          <w:i w:val="1"/>
          <w:iCs w:val="1"/>
          <w:color w:val="auto"/>
        </w:rPr>
        <w:t>Authorization</w:t>
      </w:r>
      <w:r>
        <w:rPr>
          <w:rFonts w:ascii="Arial" w:cs="Arial" w:eastAsia="Arial" w:hAnsi="Arial"/>
          <w:sz w:val="18"/>
          <w:szCs w:val="18"/>
          <w:color w:val="auto"/>
        </w:rPr>
        <w:t>. The execution, delivery and performance by Seller of this Agreement and the Closing Documents to be executed and delivered by Seller have been duly and validly authorized by all necessary business trust action and do not contravene any provision of its certificate of formation, business trust agreement or other organizational document.</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w:t>
      </w:r>
      <w:r>
        <w:rPr>
          <w:rFonts w:ascii="Arial" w:cs="Arial" w:eastAsia="Arial" w:hAnsi="Arial"/>
          <w:sz w:val="18"/>
          <w:szCs w:val="18"/>
          <w:i w:val="1"/>
          <w:iCs w:val="1"/>
          <w:color w:val="auto"/>
        </w:rPr>
        <w:t>Bankruptcy or Debt of Seller</w:t>
      </w:r>
      <w:r>
        <w:rPr>
          <w:rFonts w:ascii="Arial" w:cs="Arial" w:eastAsia="Arial" w:hAnsi="Arial"/>
          <w:sz w:val="18"/>
          <w:szCs w:val="18"/>
          <w:color w:val="auto"/>
        </w:rPr>
        <w:t>. Seller has not (a) made a general assignment for the benefit of creditors, (b) filed any voluntary petition in bankruptcy or, to Seller’s Knowledge, suffered the filing of any involuntary petition by Seller’s creditors that remains pending, (c) suffered the appointment of a receiver to take possession of all, or substantially all, of Seller’s assets that remains pending, (d) suffered the attachment or other judicial seizure of all, or substantially all, of Seller’s assets that remains pending, (e) admitted in writing 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inability to pay its debts as they come due or (f) made an offer of settlement, extension or composition to its creditors generally.</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w:t>
      </w:r>
      <w:r>
        <w:rPr>
          <w:rFonts w:ascii="Arial" w:cs="Arial" w:eastAsia="Arial" w:hAnsi="Arial"/>
          <w:sz w:val="16"/>
          <w:szCs w:val="16"/>
          <w:i w:val="1"/>
          <w:iCs w:val="1"/>
          <w:color w:val="auto"/>
        </w:rPr>
        <w:t>Compliance with the Code and ERISA</w:t>
      </w:r>
      <w:r>
        <w:rPr>
          <w:rFonts w:ascii="Arial" w:cs="Arial" w:eastAsia="Arial" w:hAnsi="Arial"/>
          <w:sz w:val="16"/>
          <w:szCs w:val="16"/>
          <w:color w:val="auto"/>
        </w:rPr>
        <w:t>. Seller is not a “foreign person” within the meaning of Section 1445(f) of the Code, and Seller agrees to execute any and all documents necessary or reasonably required by the Internal Revenue Service or Purchaser in connection with such declaration. Seller is not an “employee benefit plan” as defined in ERISA, or a “plan” as defined in Section 4975 of the Code and none of Seller’s assets constitutes (or is deemed to constitute for purposes of ERISA or Section 4975 of the Code, or any substantially similar federal, state or municipal Law) “plan assets” for purposes of 29 CFR Section 2510.3-101, as amended by Section 3(42) of ERISA or otherwise for purposes of ERISA or Section 4975 of the Code.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w:t>
      </w:r>
      <w:r>
        <w:rPr>
          <w:rFonts w:ascii="Arial" w:cs="Arial" w:eastAsia="Arial" w:hAnsi="Arial"/>
          <w:sz w:val="18"/>
          <w:szCs w:val="18"/>
          <w:i w:val="1"/>
          <w:iCs w:val="1"/>
          <w:color w:val="auto"/>
        </w:rPr>
        <w:t>Validity and Binding Effect</w:t>
      </w:r>
      <w:r>
        <w:rPr>
          <w:rFonts w:ascii="Arial" w:cs="Arial" w:eastAsia="Arial" w:hAnsi="Arial"/>
          <w:sz w:val="18"/>
          <w:szCs w:val="18"/>
          <w:color w:val="auto"/>
        </w:rPr>
        <w:t>. This Agreement is a legal, valid and binding agreement of Seller and enforceable against Seller in accordance with its terms (subject to equitable principles and principles governing creditors’ rights generally). The Closing Documents to be executed and delivered by Seller will be legal, valid and binding agreements of Seller when executed and delivered and enforceable against Seller in accordance with their respective terms (subject to equitable principles and principles governing creditors’ rights generally).</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of this Agreement and the consummation of the transactions contemplated hereby, do not and will not (a) violate or conflict with the organizational documents of Seller, (b) conflict with or violate any Law or Governmental Order applicable to Seller or the Transferred Assets, or (c) result in any breach of, or constitute a default (or an event which, with the giving of notice or lapse of time, or both, would become a default) under, or give to any Person any rights of termination, amendment, acceleration or cancellation of, or result in the creation of any Lien on the Transferred Assets pursuant to, or require a consent or approval under, any note, bond, mortgage or indenture, contract, agreement, lease, license, permit, franchise or other material instrument to which Seller is a party or by which the Transferred Assets are bound or affected, except, in each case, the Condominium Documents.</w:t>
      </w:r>
    </w:p>
    <w:p>
      <w:pPr>
        <w:spacing w:after="0" w:line="147"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Authorization</w:t>
      </w:r>
      <w:r>
        <w:rPr>
          <w:rFonts w:ascii="Arial" w:cs="Arial" w:eastAsia="Arial" w:hAnsi="Arial"/>
          <w:sz w:val="18"/>
          <w:szCs w:val="18"/>
          <w:color w:val="auto"/>
        </w:rPr>
        <w:t>. No order, permission, consent, approval, license, authorization, registration or filing by or with any Governmental Authority having jurisdiction over Seller is required for the execution, delivery or performance by Seller of this Agreement and the Closing Documents to be executed and delivered by Seller.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4.09</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To Seller’s Knowledge, there are no Leases other than the Existing NBC Lease.</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w:t>
      </w:r>
      <w:r>
        <w:rPr>
          <w:rFonts w:ascii="Arial" w:cs="Arial" w:eastAsia="Arial" w:hAnsi="Arial"/>
          <w:sz w:val="16"/>
          <w:szCs w:val="16"/>
          <w:color w:val="auto"/>
        </w:rPr>
        <w:t>. To Seller’s Knowledge, there are no Contracts other than (i) a certain sign maintenance contract with respect to the Roof Sign, which sign maintenance contract is not binding on Purchaser and under which Purchaser will assume no obligations whatsoever, and (ii) certain policies of insurance with respect to the Premises in favor of Seller which will be terminated as of the Closing Date.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w:t>
      </w:r>
      <w:r>
        <w:rPr>
          <w:rFonts w:ascii="Arial" w:cs="Arial" w:eastAsia="Arial" w:hAnsi="Arial"/>
          <w:sz w:val="18"/>
          <w:szCs w:val="18"/>
          <w:i w:val="1"/>
          <w:iCs w:val="1"/>
          <w:color w:val="auto"/>
        </w:rPr>
        <w:t>Lawsuits</w:t>
      </w:r>
      <w:r>
        <w:rPr>
          <w:rFonts w:ascii="Arial" w:cs="Arial" w:eastAsia="Arial" w:hAnsi="Arial"/>
          <w:sz w:val="18"/>
          <w:szCs w:val="18"/>
          <w:color w:val="auto"/>
        </w:rPr>
        <w:t>. To Seller’s Knowledge, Seller has not received written notice of any action, suit, litigation, hearing or administrative proceeding pending against Transferred Assets or Seller related in any way to the Transferred Assets, or, to Seller’s Knowledge, threatened against Seller related in any way to the Transferred Assets.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w:t>
      </w:r>
      <w:r>
        <w:rPr>
          <w:rFonts w:ascii="Arial" w:cs="Arial" w:eastAsia="Arial" w:hAnsi="Arial"/>
          <w:sz w:val="16"/>
          <w:szCs w:val="16"/>
          <w:i w:val="1"/>
          <w:iCs w:val="1"/>
          <w:color w:val="auto"/>
        </w:rPr>
        <w:t>Condemnation</w:t>
      </w:r>
      <w:r>
        <w:rPr>
          <w:rFonts w:ascii="Arial" w:cs="Arial" w:eastAsia="Arial" w:hAnsi="Arial"/>
          <w:sz w:val="16"/>
          <w:szCs w:val="16"/>
          <w:color w:val="auto"/>
        </w:rPr>
        <w:t>. To Seller’s Knowledge, Seller has not received written notice of any Condemnation pending against the Premises.</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w:t>
      </w:r>
      <w:r>
        <w:rPr>
          <w:rFonts w:ascii="Arial" w:cs="Arial" w:eastAsia="Arial" w:hAnsi="Arial"/>
          <w:sz w:val="18"/>
          <w:szCs w:val="18"/>
          <w:i w:val="1"/>
          <w:iCs w:val="1"/>
          <w:color w:val="auto"/>
        </w:rPr>
        <w:t>Permits/Violations.</w:t>
      </w:r>
      <w:r>
        <w:rPr>
          <w:rFonts w:ascii="Arial" w:cs="Arial" w:eastAsia="Arial" w:hAnsi="Arial"/>
          <w:sz w:val="18"/>
          <w:szCs w:val="18"/>
          <w:color w:val="auto"/>
        </w:rPr>
        <w:t xml:space="preserve"> To Seller’s Knowledge, Seller has not received written notice that Seller or any of the Transferred Assets or Premises are in violation of any material Permit or applicable law.</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Environmental.</w:t>
      </w:r>
      <w:r>
        <w:rPr>
          <w:rFonts w:ascii="Arial" w:cs="Arial" w:eastAsia="Arial" w:hAnsi="Arial"/>
          <w:sz w:val="18"/>
          <w:szCs w:val="18"/>
          <w:color w:val="auto"/>
        </w:rPr>
        <w:t xml:space="preserve"> To Seller’s Knowledge, Seller has not received any written notice from a Governmental Authority claiming that the Premises (or any portion thereof) is in violation of any laws relating to hazardous or toxic materials or substances.</w:t>
      </w:r>
    </w:p>
    <w:p>
      <w:pPr>
        <w:spacing w:after="0" w:line="132"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u w:val="single" w:color="auto"/>
          <w:color w:val="auto"/>
        </w:rPr>
        <w:t>Section 4.15</w:t>
      </w:r>
      <w:r>
        <w:rPr>
          <w:rFonts w:ascii="Arial" w:cs="Arial" w:eastAsia="Arial" w:hAnsi="Arial"/>
          <w:sz w:val="15"/>
          <w:szCs w:val="15"/>
          <w:color w:val="auto"/>
        </w:rPr>
        <w:t xml:space="preserve">. </w:t>
      </w:r>
      <w:r>
        <w:rPr>
          <w:rFonts w:ascii="Arial" w:cs="Arial" w:eastAsia="Arial" w:hAnsi="Arial"/>
          <w:sz w:val="15"/>
          <w:szCs w:val="15"/>
          <w:i w:val="1"/>
          <w:iCs w:val="1"/>
          <w:color w:val="auto"/>
        </w:rPr>
        <w:t>No Other Interests.</w:t>
      </w:r>
      <w:r>
        <w:rPr>
          <w:rFonts w:ascii="Arial" w:cs="Arial" w:eastAsia="Arial" w:hAnsi="Arial"/>
          <w:sz w:val="15"/>
          <w:szCs w:val="15"/>
          <w:color w:val="auto"/>
        </w:rPr>
        <w:t xml:space="preserve"> None of Seller, GE, GECC, any wholly owned subsidiaries of such parties, or, to Seller’s Knowledge, any Affiliate of such parties owns any fee or reversionary interest in any Unit located at 30 Rockefeller Plaza except the Transferred Assets and the Units on Floors 52 and 53.</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w:t>
      </w:r>
      <w:r>
        <w:rPr>
          <w:rFonts w:ascii="Arial" w:cs="Arial" w:eastAsia="Arial" w:hAnsi="Arial"/>
          <w:sz w:val="16"/>
          <w:szCs w:val="16"/>
          <w:i w:val="1"/>
          <w:iCs w:val="1"/>
          <w:color w:val="auto"/>
        </w:rPr>
        <w:t>Condominium Documents</w:t>
      </w:r>
      <w:r>
        <w:rPr>
          <w:rFonts w:ascii="Arial" w:cs="Arial" w:eastAsia="Arial" w:hAnsi="Arial"/>
          <w:sz w:val="16"/>
          <w:szCs w:val="16"/>
          <w:color w:val="auto"/>
        </w:rPr>
        <w:t>. To Seller’s Knowledge, the Condominium Documents are in full force and effect, there are no material defaults by Seller under the Condominium Documents beyond any applicable period of notice or grace, and neither Seller nor GE has assigned or licensed any of its rights under the Condominium Documents to any Person other than (i) NBCU or (ii) in connection with any Units previously transferred by Seller to Affiliates of TSP. Seller further represents that, to Seller’s Knowledge, no Condominium Document has been amended since January 27,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46" w:name="page47"/>
    <w:bookmarkEnd w:id="46"/>
    <w:p>
      <w:pPr>
        <w:ind w:right="160" w:firstLine="456"/>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4.17</w:t>
      </w:r>
      <w:r>
        <w:rPr>
          <w:rFonts w:ascii="Arial" w:cs="Arial" w:eastAsia="Arial" w:hAnsi="Arial"/>
          <w:sz w:val="18"/>
          <w:szCs w:val="18"/>
          <w:color w:val="auto"/>
        </w:rPr>
        <w:t xml:space="preserve">. </w:t>
      </w:r>
      <w:r>
        <w:rPr>
          <w:rFonts w:ascii="Arial" w:cs="Arial" w:eastAsia="Arial" w:hAnsi="Arial"/>
          <w:sz w:val="18"/>
          <w:szCs w:val="18"/>
          <w:i w:val="1"/>
          <w:iCs w:val="1"/>
          <w:color w:val="auto"/>
        </w:rPr>
        <w:t>IDA Documents</w:t>
      </w:r>
      <w:r>
        <w:rPr>
          <w:rFonts w:ascii="Arial" w:cs="Arial" w:eastAsia="Arial" w:hAnsi="Arial"/>
          <w:sz w:val="18"/>
          <w:szCs w:val="18"/>
          <w:color w:val="auto"/>
        </w:rPr>
        <w:t>. To Seller’s Knowledge, the Overlease is in full force and effect, and there are no defaults by Seller under the IDA Documents to which it is a party beyond any applicable period of notice or grace, and Seller has not assigned or licensed any of its rights under the Overlease to any Person.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w:t>
      </w:r>
      <w:r>
        <w:rPr>
          <w:rFonts w:ascii="Arial" w:cs="Arial" w:eastAsia="Arial" w:hAnsi="Arial"/>
          <w:sz w:val="18"/>
          <w:szCs w:val="18"/>
          <w:i w:val="1"/>
          <w:iCs w:val="1"/>
          <w:color w:val="auto"/>
        </w:rPr>
        <w:t>Other Agreements.</w:t>
      </w:r>
      <w:r>
        <w:rPr>
          <w:rFonts w:ascii="Arial" w:cs="Arial" w:eastAsia="Arial" w:hAnsi="Arial"/>
          <w:sz w:val="18"/>
          <w:szCs w:val="18"/>
          <w:color w:val="auto"/>
        </w:rPr>
        <w:t xml:space="preserve"> None of Seller, GE, GECC, any wholly owned subsidiaries thereof, or, to Seller’s Knowledge, any Affiliate of such parties has any written agreements with TSP or any of its Affiliates in respect of the Transferred Assets related to the Signs or building naming rights, other than the Condominium Documents and the IDA Documents.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w:t>
      </w:r>
      <w:r>
        <w:rPr>
          <w:rFonts w:ascii="Arial" w:cs="Arial" w:eastAsia="Arial" w:hAnsi="Arial"/>
          <w:sz w:val="18"/>
          <w:szCs w:val="18"/>
          <w:color w:val="auto"/>
        </w:rPr>
        <w:t>, W</w:t>
      </w:r>
      <w:r>
        <w:rPr>
          <w:rFonts w:ascii="Arial" w:cs="Arial" w:eastAsia="Arial" w:hAnsi="Arial"/>
          <w:sz w:val="14"/>
          <w:szCs w:val="14"/>
          <w:color w:val="auto"/>
        </w:rPr>
        <w:t>ARRANTIES AND</w:t>
      </w:r>
      <w:r>
        <w:rPr>
          <w:rFonts w:ascii="Arial" w:cs="Arial" w:eastAsia="Arial" w:hAnsi="Arial"/>
          <w:sz w:val="18"/>
          <w:szCs w:val="18"/>
          <w:color w:val="auto"/>
        </w:rPr>
        <w:t xml:space="preserve"> A</w:t>
      </w:r>
      <w:r>
        <w:rPr>
          <w:rFonts w:ascii="Arial" w:cs="Arial" w:eastAsia="Arial" w:hAnsi="Arial"/>
          <w:sz w:val="14"/>
          <w:szCs w:val="14"/>
          <w:color w:val="auto"/>
        </w:rPr>
        <w:t>CKNOWLEDGMENTS OF</w:t>
      </w:r>
      <w:r>
        <w:rPr>
          <w:rFonts w:ascii="Arial" w:cs="Arial" w:eastAsia="Arial" w:hAnsi="Arial"/>
          <w:sz w:val="18"/>
          <w:szCs w:val="18"/>
          <w:color w:val="auto"/>
        </w:rPr>
        <w:t xml:space="preserve"> P</w:t>
      </w:r>
      <w:r>
        <w:rPr>
          <w:rFonts w:ascii="Arial" w:cs="Arial" w:eastAsia="Arial" w:hAnsi="Arial"/>
          <w:sz w:val="14"/>
          <w:szCs w:val="14"/>
          <w:color w:val="auto"/>
        </w:rPr>
        <w:t>URCHASER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Purchaser represents and warrants to Seller as of the date hereof and as of the Closing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Purchaser</w:t>
      </w:r>
      <w:r>
        <w:rPr>
          <w:rFonts w:ascii="Arial" w:cs="Arial" w:eastAsia="Arial" w:hAnsi="Arial"/>
          <w:sz w:val="18"/>
          <w:szCs w:val="18"/>
          <w:color w:val="auto"/>
        </w:rPr>
        <w:t>. Purchaser is a wholly owned subsidiary of NBCU.</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t>
      </w:r>
      <w:r>
        <w:rPr>
          <w:rFonts w:ascii="Arial" w:cs="Arial" w:eastAsia="Arial" w:hAnsi="Arial"/>
          <w:sz w:val="18"/>
          <w:szCs w:val="18"/>
          <w:i w:val="1"/>
          <w:iCs w:val="1"/>
          <w:color w:val="auto"/>
        </w:rPr>
        <w:t>Existence and Power</w:t>
      </w:r>
      <w:r>
        <w:rPr>
          <w:rFonts w:ascii="Arial" w:cs="Arial" w:eastAsia="Arial" w:hAnsi="Arial"/>
          <w:sz w:val="18"/>
          <w:szCs w:val="18"/>
          <w:color w:val="auto"/>
        </w:rPr>
        <w:t>. Purchaser is a limited liability company, duly formed, validly existing and in good standing under the laws of the State of Delaware and is qualified to transact business in the State of New York, and has all requisite company power and authority to execute, deliver and perform this Agreement and the Closing Documents to be executed and delivered by Purchaser.</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t>
      </w:r>
      <w:r>
        <w:rPr>
          <w:rFonts w:ascii="Arial" w:cs="Arial" w:eastAsia="Arial" w:hAnsi="Arial"/>
          <w:sz w:val="18"/>
          <w:szCs w:val="18"/>
          <w:i w:val="1"/>
          <w:iCs w:val="1"/>
          <w:color w:val="auto"/>
        </w:rPr>
        <w:t>Authorization</w:t>
      </w:r>
      <w:r>
        <w:rPr>
          <w:rFonts w:ascii="Arial" w:cs="Arial" w:eastAsia="Arial" w:hAnsi="Arial"/>
          <w:sz w:val="18"/>
          <w:szCs w:val="18"/>
          <w:color w:val="auto"/>
        </w:rPr>
        <w:t>. The execution, delivery and performance by Purchaser and NBCU of this Agreement and the Closing Documents to be executed and delivered by Purchaser have been duly and validly authorized by all necessary limited liability company action and do not contravene any provision of its organizational documents.</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u w:val="single" w:color="auto"/>
          <w:color w:val="auto"/>
        </w:rPr>
        <w:t>Section 5.04</w:t>
      </w:r>
      <w:r>
        <w:rPr>
          <w:rFonts w:ascii="Arial" w:cs="Arial" w:eastAsia="Arial" w:hAnsi="Arial"/>
          <w:sz w:val="15"/>
          <w:szCs w:val="15"/>
          <w:color w:val="auto"/>
        </w:rPr>
        <w:t xml:space="preserve">. </w:t>
      </w:r>
      <w:r>
        <w:rPr>
          <w:rFonts w:ascii="Arial" w:cs="Arial" w:eastAsia="Arial" w:hAnsi="Arial"/>
          <w:sz w:val="15"/>
          <w:szCs w:val="15"/>
          <w:i w:val="1"/>
          <w:iCs w:val="1"/>
          <w:color w:val="auto"/>
        </w:rPr>
        <w:t>Bankruptcy or Debt of Purchaser</w:t>
      </w:r>
      <w:r>
        <w:rPr>
          <w:rFonts w:ascii="Arial" w:cs="Arial" w:eastAsia="Arial" w:hAnsi="Arial"/>
          <w:sz w:val="15"/>
          <w:szCs w:val="15"/>
          <w:color w:val="auto"/>
        </w:rPr>
        <w:t>. Purchaser has not (a) made a general assignment for the benefit of creditors, (b) filed any voluntary petition in bankruptcy or, to Purchaser’s Knowledge, suffered the filing of an involuntary petition by Purchaser’s creditors, (c) suffered the appointment of a receiver to take possession of all, or substantially all, of Purchaser’s assets, (d) suffered the attachment or other judicial seizure of all, or substantially all, of Purchaser’s assets, (e) admitted in writing its inability to pay its debts as they come due or (f) made an offer of settlement, extension or composition to its creditors generally.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7" w:name="page48"/>
    <w:bookmarkEnd w:id="47"/>
    <w:p>
      <w:pPr>
        <w:ind w:firstLine="456"/>
        <w:spacing w:after="0" w:line="323"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5.05</w:t>
      </w:r>
      <w:r>
        <w:rPr>
          <w:rFonts w:ascii="Arial" w:cs="Arial" w:eastAsia="Arial" w:hAnsi="Arial"/>
          <w:sz w:val="15"/>
          <w:szCs w:val="15"/>
          <w:color w:val="auto"/>
        </w:rPr>
        <w:t xml:space="preserve">. </w:t>
      </w:r>
      <w:r>
        <w:rPr>
          <w:rFonts w:ascii="Arial" w:cs="Arial" w:eastAsia="Arial" w:hAnsi="Arial"/>
          <w:sz w:val="15"/>
          <w:szCs w:val="15"/>
          <w:i w:val="1"/>
          <w:iCs w:val="1"/>
          <w:color w:val="auto"/>
        </w:rPr>
        <w:t>Validity and Binding Effect</w:t>
      </w:r>
      <w:r>
        <w:rPr>
          <w:rFonts w:ascii="Arial" w:cs="Arial" w:eastAsia="Arial" w:hAnsi="Arial"/>
          <w:sz w:val="15"/>
          <w:szCs w:val="15"/>
          <w:color w:val="auto"/>
        </w:rPr>
        <w:t>. This Agreement is a valid and binding agreement of Purchaser and NBCU and enforceable against Purchaser and NBCU in accordance with its terms (subject to equitable principles and principles governing creditors’ rights generally). The Closing Documents to be executed and delivered by Purchaser and NBCU will be legal, valid and binding agreements of Purchaser and NBCU when executed and delivered, and enforceable against Purchaser and NBCU in accordance with their respective terms (subject to equitable principles and principles governing creditors’ rights generally).</w:t>
      </w:r>
    </w:p>
    <w:p>
      <w:pPr>
        <w:spacing w:after="0" w:line="9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of this Agreement and the consummation of the transactions contemplated hereby, do not and will not (a) violate or conflict with the organizational documents of Purchaser, (b) conflict with or violate any Law or Governmental Order applicable to Purchaser, or (c) result in any breach of, or constitute a default (or an event which, with the giving of notice or lapse of time, or both, would become a default) under, or give to any Person any rights of termination, amendment, acceleration or cancellation of, or require a consent or approval under, any note, bond, mortgage or indenture, contract, agreement, lease, license, permit, franchise or other material instrument to which Purchaser is a party, except, in each case, the Condominium Documents.</w:t>
      </w:r>
    </w:p>
    <w:p>
      <w:pPr>
        <w:spacing w:after="0" w:line="144"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Authorization</w:t>
      </w:r>
      <w:r>
        <w:rPr>
          <w:rFonts w:ascii="Arial" w:cs="Arial" w:eastAsia="Arial" w:hAnsi="Arial"/>
          <w:sz w:val="18"/>
          <w:szCs w:val="18"/>
          <w:color w:val="auto"/>
        </w:rPr>
        <w:t>. No order, permission, consent, approval, license, authorization, registration or filing by or with any Governmental Authority having jurisdiction over Purchaser or NBCU is required for the execution, delivery or performance by Purchaser or NBCU of this Agreement and the Closing Documents to be executed and delivered by Purchaser or NBCU.</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w:t>
      </w:r>
      <w:r>
        <w:rPr>
          <w:rFonts w:ascii="Arial" w:cs="Arial" w:eastAsia="Arial" w:hAnsi="Arial"/>
          <w:sz w:val="16"/>
          <w:szCs w:val="16"/>
          <w:i w:val="1"/>
          <w:iCs w:val="1"/>
          <w:color w:val="auto"/>
        </w:rPr>
        <w:t>IDA Documents</w:t>
      </w:r>
      <w:r>
        <w:rPr>
          <w:rFonts w:ascii="Arial" w:cs="Arial" w:eastAsia="Arial" w:hAnsi="Arial"/>
          <w:sz w:val="16"/>
          <w:szCs w:val="16"/>
          <w:color w:val="auto"/>
        </w:rPr>
        <w:t>. To Purchaser’s Knowledge, the Facilities Lease, PILOT Agreement and NBC-IDA Lease are in full force and effect, and there are no defaults by NBCU under the IDA Documents to which it is a party beyond any applicable period of notice or grace, and NBCU has not assigned or licensed any of its rights under the Facilities Lease, PILOT Agreement and NBC-IDA Lease to any Person.</w:t>
      </w:r>
    </w:p>
    <w:p>
      <w:pPr>
        <w:spacing w:after="0" w:line="10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w:t>
      </w:r>
      <w:r>
        <w:rPr>
          <w:rFonts w:ascii="Arial" w:cs="Arial" w:eastAsia="Arial" w:hAnsi="Arial"/>
          <w:sz w:val="18"/>
          <w:szCs w:val="18"/>
          <w:i w:val="1"/>
          <w:iCs w:val="1"/>
          <w:color w:val="auto"/>
        </w:rPr>
        <w:t>Condominium Documents</w:t>
      </w:r>
      <w:r>
        <w:rPr>
          <w:rFonts w:ascii="Arial" w:cs="Arial" w:eastAsia="Arial" w:hAnsi="Arial"/>
          <w:sz w:val="18"/>
          <w:szCs w:val="18"/>
          <w:color w:val="auto"/>
        </w:rPr>
        <w:t>. To Purchaser’s Knowledge, the Condominium Documents are in full force and effect, there are no material defaults by Purchaser under the Condominium Documents beyond any applicable period of notice or grace, and neither Purchaser nor NBCU has assigned or licensed any of its rights under the Condominium Documents to any Person. Purchaser further represents that, to Purchaser’s Knowledge, no Condominium Document has been amended since January 27,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to other covenants and obligations in this Agreement and in the Closing Documents, Seller and/or Purchaser (or their respective Affiliates), as applicable, agree as follows:</w:t>
      </w:r>
    </w:p>
    <w:p>
      <w:pPr>
        <w:spacing w:after="0" w:line="132" w:lineRule="exact"/>
        <w:rPr>
          <w:sz w:val="20"/>
          <w:szCs w:val="20"/>
          <w:color w:val="auto"/>
        </w:rPr>
      </w:pPr>
    </w:p>
    <w:p>
      <w:pPr>
        <w:jc w:val="center"/>
        <w:ind w:right="100"/>
        <w:spacing w:after="0"/>
        <w:rPr>
          <w:sz w:val="20"/>
          <w:szCs w:val="20"/>
          <w:color w:val="auto"/>
        </w:rPr>
      </w:pP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w:t>
      </w:r>
      <w:r>
        <w:rPr>
          <w:rFonts w:ascii="Arial" w:cs="Arial" w:eastAsia="Arial" w:hAnsi="Arial"/>
          <w:sz w:val="16"/>
          <w:szCs w:val="16"/>
          <w:i w:val="1"/>
          <w:iCs w:val="1"/>
          <w:color w:val="auto"/>
        </w:rPr>
        <w:t>Liens</w:t>
      </w:r>
      <w:r>
        <w:rPr>
          <w:rFonts w:ascii="Arial" w:cs="Arial" w:eastAsia="Arial" w:hAnsi="Arial"/>
          <w:sz w:val="16"/>
          <w:szCs w:val="16"/>
          <w:color w:val="auto"/>
        </w:rPr>
        <w:t>. From and after the Effective Date and continuing through the Closing Date, Seller shall not transfer, assign, or hypothecate the</w:t>
      </w:r>
    </w:p>
    <w:p>
      <w:pPr>
        <w:spacing w:after="0" w:line="38"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Transferred Assets, any interest in the Transferred Assets or create incur, or consent in writing to the incurrence of, any material Lien on the Transferred Assets.</w:t>
      </w:r>
    </w:p>
    <w:p>
      <w:pPr>
        <w:spacing w:after="0" w:line="1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w:t>
      </w:r>
      <w:r>
        <w:rPr>
          <w:rFonts w:ascii="Arial" w:cs="Arial" w:eastAsia="Arial" w:hAnsi="Arial"/>
          <w:sz w:val="16"/>
          <w:szCs w:val="16"/>
          <w:i w:val="1"/>
          <w:iCs w:val="1"/>
          <w:color w:val="auto"/>
        </w:rPr>
        <w:t>Leases and Contracts.</w:t>
      </w:r>
      <w:r>
        <w:rPr>
          <w:rFonts w:ascii="Arial" w:cs="Arial" w:eastAsia="Arial" w:hAnsi="Arial"/>
          <w:sz w:val="16"/>
          <w:szCs w:val="16"/>
          <w:color w:val="auto"/>
        </w:rPr>
        <w:t xml:space="preserve"> From and after the Effective Date and continuing through the Closing Date, Seller shall cause any Contracts to be terminated (unless termination has been waived by Purchaser) and be of no further force or effect by not later than the Closing Date at no cost to Purchaser. In addition, during the pendency of this Agreement, Seller shall not (a) enter into any contract or lease that will be an obligation of Purchaser relating to the Transferred Assets after the Closing without Purchaser’s prior written consent, which consent may be granted or withheld by Purchaser in Purchaser’s reasonable discretion, (b) terminate or amend any Assigned Contract without Purchaser’s prior written consent, which consent may be granted or withheld by Purchaser in Purchaser’s sole discretion, or (c) recognize in writing any labor organization purporting to represent any employees employed by Seller at the Premises or enter into any collective bargaining related thereto.</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w:t>
      </w:r>
      <w:r>
        <w:rPr>
          <w:rFonts w:ascii="Arial" w:cs="Arial" w:eastAsia="Arial" w:hAnsi="Arial"/>
          <w:sz w:val="18"/>
          <w:szCs w:val="18"/>
          <w:i w:val="1"/>
          <w:iCs w:val="1"/>
          <w:color w:val="auto"/>
        </w:rPr>
        <w:t>Listings and Other Offers</w:t>
      </w:r>
      <w:r>
        <w:rPr>
          <w:rFonts w:ascii="Arial" w:cs="Arial" w:eastAsia="Arial" w:hAnsi="Arial"/>
          <w:sz w:val="18"/>
          <w:szCs w:val="18"/>
          <w:color w:val="auto"/>
        </w:rPr>
        <w:t>. During the pendency of this Agreement, Seller will not list the Transferred Assets with any broker or otherwise solicit or make or accept any offers to sell the Transferred Assets, engage in any discussions or negotiations with any third party with respect to the sale or other disposition of the Transferred Assets (except as may be required under the IDA Documents), or enter into any contracts or agreements (whether binding or not) regarding any disposition of the Transferred Assets.</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 of the Premises</w:t>
      </w:r>
      <w:r>
        <w:rPr>
          <w:rFonts w:ascii="Arial" w:cs="Arial" w:eastAsia="Arial" w:hAnsi="Arial"/>
          <w:sz w:val="18"/>
          <w:szCs w:val="18"/>
          <w:color w:val="auto"/>
        </w:rPr>
        <w:t>. Recognizing and subject to the obligations of NBCU under the Existing NBC Lease, from and after the Effective Date and continuing through the Closing Date, the Premises shall be operated and maintained substantially in the manner in which it presently is being operated and maintained.</w:t>
      </w:r>
    </w:p>
    <w:p>
      <w:pPr>
        <w:spacing w:after="0" w:line="140" w:lineRule="exact"/>
        <w:rPr>
          <w:sz w:val="20"/>
          <w:szCs w:val="20"/>
          <w:color w:val="auto"/>
        </w:rPr>
      </w:pPr>
    </w:p>
    <w:p>
      <w:pPr>
        <w:jc w:val="center"/>
        <w:ind w:left="600" w:right="100"/>
        <w:spacing w:after="0" w:line="440" w:lineRule="auto"/>
        <w:rPr>
          <w:sz w:val="20"/>
          <w:szCs w:val="20"/>
          <w:color w:val="auto"/>
        </w:rPr>
      </w:pP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t>
      </w:r>
      <w:r>
        <w:rPr>
          <w:rFonts w:ascii="Arial" w:cs="Arial" w:eastAsia="Arial" w:hAnsi="Arial"/>
          <w:sz w:val="18"/>
          <w:szCs w:val="18"/>
          <w:i w:val="1"/>
          <w:iCs w:val="1"/>
          <w:color w:val="auto"/>
        </w:rPr>
        <w:t>Notice to the IDA</w:t>
      </w:r>
      <w:r>
        <w:rPr>
          <w:rFonts w:ascii="Arial" w:cs="Arial" w:eastAsia="Arial" w:hAnsi="Arial"/>
          <w:sz w:val="18"/>
          <w:szCs w:val="18"/>
          <w:color w:val="auto"/>
        </w:rPr>
        <w:t>. Seller and Purchaser shall, within five (5) Business Days of the Effective Date, deliver to the IDA notice of the proposed 18</w:t>
      </w:r>
    </w:p>
    <w:p>
      <w:pPr>
        <w:sectPr>
          <w:pgSz w:w="11900" w:h="16838" w:orient="portrait"/>
          <w:cols w:equalWidth="0" w:num="1">
            <w:col w:w="11340"/>
          </w:cols>
          <w:pgMar w:left="240" w:top="280"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the Overlease reasonably approved by Seller and Purchaser, along with the form of Assignment and Assumption of Overlease.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w:t>
      </w:r>
      <w:r>
        <w:rPr>
          <w:rFonts w:ascii="Arial" w:cs="Arial" w:eastAsia="Arial" w:hAnsi="Arial"/>
          <w:sz w:val="18"/>
          <w:szCs w:val="18"/>
          <w:i w:val="1"/>
          <w:iCs w:val="1"/>
          <w:color w:val="auto"/>
        </w:rPr>
        <w:t>Cooperation</w:t>
      </w:r>
      <w:r>
        <w:rPr>
          <w:rFonts w:ascii="Arial" w:cs="Arial" w:eastAsia="Arial" w:hAnsi="Arial"/>
          <w:sz w:val="18"/>
          <w:szCs w:val="18"/>
          <w:color w:val="auto"/>
        </w:rPr>
        <w:t>. From and after the Effective Date and continuing through the Closing Date, Seller and Purchaser shall cooperate fully with each other (each at their own cost and expense), to apply for, request and obtain all consents, authorizations, and/or approvals from the IDA required to effectuate the transactions described herein.</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w:t>
      </w:r>
      <w:r>
        <w:rPr>
          <w:rFonts w:ascii="Arial" w:cs="Arial" w:eastAsia="Arial" w:hAnsi="Arial"/>
          <w:sz w:val="16"/>
          <w:szCs w:val="16"/>
          <w:i w:val="1"/>
          <w:iCs w:val="1"/>
          <w:color w:val="auto"/>
        </w:rPr>
        <w:t>Permits</w:t>
      </w:r>
      <w:r>
        <w:rPr>
          <w:rFonts w:ascii="Arial" w:cs="Arial" w:eastAsia="Arial" w:hAnsi="Arial"/>
          <w:sz w:val="16"/>
          <w:szCs w:val="16"/>
          <w:color w:val="auto"/>
        </w:rPr>
        <w:t>. From and after the Effective Date and continuing through the Closing Date, (a) Seller shall not take any affirmative action to terminate, withdraw, amend or change any existing material Permit or any material Permit application or approval that is pending or in process in any way without Purchaser’s prior written consent, which Purchaser may grant or withhold in its reasonable discretion, and (b) Seller shall not request or consent to any variance, zoning change or similar matter affecting the Premises or Transferred Assets.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t>
      </w:r>
      <w:r>
        <w:rPr>
          <w:rFonts w:ascii="Arial" w:cs="Arial" w:eastAsia="Arial" w:hAnsi="Arial"/>
          <w:sz w:val="16"/>
          <w:szCs w:val="16"/>
          <w:i w:val="1"/>
          <w:iCs w:val="1"/>
          <w:color w:val="auto"/>
        </w:rPr>
        <w:t>Seller’s Mortgage</w:t>
      </w:r>
      <w:r>
        <w:rPr>
          <w:rFonts w:ascii="Arial" w:cs="Arial" w:eastAsia="Arial" w:hAnsi="Arial"/>
          <w:sz w:val="16"/>
          <w:szCs w:val="16"/>
          <w:color w:val="auto"/>
        </w:rPr>
        <w:t>. Seller shall cause the Mortgage (as defined in Section 31.10 of the Existing NBC Lease) to be extinguished and removed of record on or before the Closing Date, without cost to Purchaser or the payment of any premium with respect thereto.</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w:t>
      </w:r>
      <w:r>
        <w:rPr>
          <w:rFonts w:ascii="Arial" w:cs="Arial" w:eastAsia="Arial" w:hAnsi="Arial"/>
          <w:sz w:val="18"/>
          <w:szCs w:val="18"/>
          <w:i w:val="1"/>
          <w:iCs w:val="1"/>
          <w:color w:val="auto"/>
        </w:rPr>
        <w:t>Condominium Board.</w:t>
      </w:r>
      <w:r>
        <w:rPr>
          <w:rFonts w:ascii="Arial" w:cs="Arial" w:eastAsia="Arial" w:hAnsi="Arial"/>
          <w:sz w:val="18"/>
          <w:szCs w:val="18"/>
          <w:color w:val="auto"/>
        </w:rPr>
        <w:t xml:space="preserve"> (a) On or before the Closing Date, GE and Seller shall cause the two (2) Persons appointed on their behalf as Managers of the Condominium Board to resign therefrom.</w:t>
      </w:r>
    </w:p>
    <w:p>
      <w:pPr>
        <w:spacing w:after="0" w:line="132" w:lineRule="exact"/>
        <w:rPr>
          <w:sz w:val="20"/>
          <w:szCs w:val="20"/>
          <w:color w:val="auto"/>
        </w:rPr>
      </w:pPr>
    </w:p>
    <w:p>
      <w:pPr>
        <w:ind w:right="260" w:firstLine="464"/>
        <w:spacing w:after="0" w:line="268"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Seller and Purchaser shall, within five (5) Business Days of the Effective Date, deliver to the Condominium Board and RCPI Landmark Properties a request for an estoppel certificate regarding the Unit Owners Agreement,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w:t>
      </w:r>
      <w:r>
        <w:rPr>
          <w:rFonts w:ascii="Arial" w:cs="Arial" w:eastAsia="Arial" w:hAnsi="Arial"/>
          <w:sz w:val="18"/>
          <w:szCs w:val="18"/>
          <w:i w:val="1"/>
          <w:iCs w:val="1"/>
          <w:color w:val="auto"/>
        </w:rPr>
        <w:t>Signs and Naming Rights</w:t>
      </w:r>
      <w:r>
        <w:rPr>
          <w:rFonts w:ascii="Arial" w:cs="Arial" w:eastAsia="Arial" w:hAnsi="Arial"/>
          <w:sz w:val="18"/>
          <w:szCs w:val="18"/>
          <w:color w:val="auto"/>
        </w:rPr>
        <w:t>.</w:t>
      </w:r>
    </w:p>
    <w:p>
      <w:pPr>
        <w:spacing w:after="0" w:line="171" w:lineRule="exact"/>
        <w:rPr>
          <w:sz w:val="20"/>
          <w:szCs w:val="20"/>
          <w:color w:val="auto"/>
        </w:rPr>
      </w:pPr>
    </w:p>
    <w:p>
      <w:pPr>
        <w:ind w:right="280" w:firstLine="464"/>
        <w:spacing w:after="0" w:line="255"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as of the Closing Date, GE and Seller hereby relinquish their rights, under the Condominium Documents or otherwise, to keep in place the existing “GE” signage on the roof top (the “</w:t>
      </w:r>
      <w:r>
        <w:rPr>
          <w:rFonts w:ascii="Arial" w:cs="Arial" w:eastAsia="Arial" w:hAnsi="Arial"/>
          <w:sz w:val="18"/>
          <w:szCs w:val="18"/>
          <w:b w:val="1"/>
          <w:bCs w:val="1"/>
          <w:color w:val="auto"/>
        </w:rPr>
        <w:t>Roof Sign</w:t>
      </w:r>
      <w:r>
        <w:rPr>
          <w:rFonts w:ascii="Arial" w:cs="Arial" w:eastAsia="Arial" w:hAnsi="Arial"/>
          <w:sz w:val="18"/>
          <w:szCs w:val="18"/>
          <w:color w:val="auto"/>
        </w:rPr>
        <w:t>”) and inlaid granite signs on street level of the outside facade (“</w:t>
      </w:r>
      <w:r>
        <w:rPr>
          <w:rFonts w:ascii="Arial" w:cs="Arial" w:eastAsia="Arial" w:hAnsi="Arial"/>
          <w:sz w:val="18"/>
          <w:szCs w:val="18"/>
          <w:b w:val="1"/>
          <w:bCs w:val="1"/>
          <w:color w:val="auto"/>
        </w:rPr>
        <w:t>Façade Signs</w:t>
      </w:r>
      <w:r>
        <w:rPr>
          <w:rFonts w:ascii="Arial" w:cs="Arial" w:eastAsia="Arial" w:hAnsi="Arial"/>
          <w:sz w:val="18"/>
          <w:szCs w:val="18"/>
          <w:color w:val="auto"/>
        </w:rPr>
        <w:t>”, together with the Roof Sign, individually a “</w:t>
      </w:r>
      <w:r>
        <w:rPr>
          <w:rFonts w:ascii="Arial" w:cs="Arial" w:eastAsia="Arial" w:hAnsi="Arial"/>
          <w:sz w:val="18"/>
          <w:szCs w:val="18"/>
          <w:b w:val="1"/>
          <w:bCs w:val="1"/>
          <w:color w:val="auto"/>
        </w:rPr>
        <w:t>Sign</w:t>
      </w:r>
      <w:r>
        <w:rPr>
          <w:rFonts w:ascii="Arial" w:cs="Arial" w:eastAsia="Arial" w:hAnsi="Arial"/>
          <w:sz w:val="18"/>
          <w:szCs w:val="18"/>
          <w:color w:val="auto"/>
        </w:rPr>
        <w:t>” and collectively, the “</w:t>
      </w:r>
      <w:r>
        <w:rPr>
          <w:rFonts w:ascii="Arial" w:cs="Arial" w:eastAsia="Arial" w:hAnsi="Arial"/>
          <w:sz w:val="18"/>
          <w:szCs w:val="18"/>
          <w:b w:val="1"/>
          <w:bCs w:val="1"/>
          <w:color w:val="auto"/>
        </w:rPr>
        <w:t>Signs</w:t>
      </w:r>
      <w:r>
        <w:rPr>
          <w:rFonts w:ascii="Arial" w:cs="Arial" w:eastAsia="Arial" w:hAnsi="Arial"/>
          <w:sz w:val="18"/>
          <w:szCs w:val="18"/>
          <w:color w:val="auto"/>
        </w:rPr>
        <w:t>”) of 30 Rockefeller Plaza. Seller or Purchaser may, from time to time, request from the others in connection with either party’s requests for approvals as contemplated under clause (b) below, an executed memorandum or other acknowledgement of the foregoing relinquishment.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50" w:name="page51"/>
    <w:bookmarkEnd w:id="50"/>
    <w:p>
      <w:pPr>
        <w:ind w:right="40" w:firstLine="464"/>
        <w:spacing w:after="0" w:line="290"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Seller and Purchaser hereby further agree that no removal of a Sign shall be permitted unless and until Purchaser reasonably believes it has obtained the consents and approvals necessary to remove such Sign, including as applicable, from the Condominium Board, the City of New York Landmarks Preservation Commission and the New York City Department of Buildings. Seller makes no representations or warranties of any kind regarding Purchaser’s ability to obtain any required consents or approvals therefor. Purchaser shall bear all obligations, cost and expenses to obtain the required consents and approvals to remove the Signs and install any replacement signage. Until removal, Seller shall be responsible for the repair, maintenance and illumination of the Signs, at Seller’s cost, which repair, maintenance and illumination shall be conducted in accordance with Seller’s practices in effect as of the Effective Date. Purchaser will reasonably cooperate with Seller to obtain access from TSP for Seller or its vendors for maintenance or repairs as and when reasonably required.</w:t>
      </w:r>
    </w:p>
    <w:p>
      <w:pPr>
        <w:spacing w:after="0" w:line="118" w:lineRule="exact"/>
        <w:rPr>
          <w:rFonts w:ascii="Arial" w:cs="Arial" w:eastAsia="Arial" w:hAnsi="Arial"/>
          <w:sz w:val="16"/>
          <w:szCs w:val="16"/>
          <w:color w:val="auto"/>
        </w:rPr>
      </w:pPr>
    </w:p>
    <w:p>
      <w:pPr>
        <w:ind w:right="80" w:firstLine="464"/>
        <w:spacing w:after="0" w:line="291"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After the Closing Date, upon receipt of the necessary consents and approvals, Purchaser shall deliver written notice to Seller advising of the receipt of such consents and approvals, the conditions thereof and the date and time of the permitted Sign removal. Seller shall have 10 Business Days from receipt of Purchaser’s notice to elect by written notice to Seller to remove the Signs at its sole cost and expense. If Seller shall so elect, Seller will promptly, but in no event more than 100 days from notice from Purchaser, remove the Signs. If Seller shall (i) fail to respond within such 10 Business Day period or (ii) fail to remove the Signs within 100 days of Purchaser’s notice, Purchaser may remove the Signs at its sole cost and expense and shall dispose of the Signs in a manner reasonably determined by Purchaser such that they may no longer be used or recognized as a “GE” sign.</w:t>
      </w:r>
    </w:p>
    <w:p>
      <w:pPr>
        <w:spacing w:after="0" w:line="120" w:lineRule="exact"/>
        <w:rPr>
          <w:rFonts w:ascii="Arial" w:cs="Arial" w:eastAsia="Arial" w:hAnsi="Arial"/>
          <w:sz w:val="16"/>
          <w:szCs w:val="16"/>
          <w:color w:val="auto"/>
        </w:rPr>
      </w:pPr>
    </w:p>
    <w:p>
      <w:pPr>
        <w:ind w:firstLine="464"/>
        <w:spacing w:after="0" w:line="291"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Seller removes the Signs, GE and Seller shall indemnify the Purchaser Indemnified Parties from and against any and all liability, costs or expenses for physical injury or property damage arising as a result of Seller’s removal of the Signs and shall name the Purchaser Indemnified Parties as additional insureds on such policies of insurance reasonably required by Seller in connection with such removal work. If Purchaser removes the Signs, NBCU and Purchaser shall indemnify the Seller Indemnified Parties from and against any and all liability, costs or expenses for physical injury or property damage arising as a result of Purchaser’s removal of the Signs and shall name the Seller Indemnified Parties as additional insureds on such policies of insurance reasonably required by Purchaser in connection with such removal work.</w:t>
      </w:r>
    </w:p>
    <w:p>
      <w:pPr>
        <w:spacing w:after="0" w:line="120" w:lineRule="exact"/>
        <w:rPr>
          <w:rFonts w:ascii="Arial" w:cs="Arial" w:eastAsia="Arial" w:hAnsi="Arial"/>
          <w:sz w:val="16"/>
          <w:szCs w:val="16"/>
          <w:color w:val="auto"/>
        </w:rPr>
      </w:pPr>
    </w:p>
    <w:p>
      <w:pPr>
        <w:ind w:right="240" w:firstLine="464"/>
        <w:spacing w:after="0" w:line="370" w:lineRule="auto"/>
        <w:tabs>
          <w:tab w:leader="none" w:pos="695" w:val="left"/>
        </w:tabs>
        <w:numPr>
          <w:ilvl w:val="0"/>
          <w:numId w:val="19"/>
        </w:numPr>
        <w:rPr>
          <w:rFonts w:ascii="Arial" w:cs="Arial" w:eastAsia="Arial" w:hAnsi="Arial"/>
          <w:sz w:val="15"/>
          <w:szCs w:val="15"/>
          <w:color w:val="auto"/>
        </w:rPr>
      </w:pPr>
      <w:r>
        <w:rPr>
          <w:rFonts w:ascii="Arial" w:cs="Arial" w:eastAsia="Arial" w:hAnsi="Arial"/>
          <w:sz w:val="15"/>
          <w:szCs w:val="15"/>
          <w:color w:val="auto"/>
        </w:rPr>
        <w:t>Seller or GE shall not be deemed to have relinquished any other signage rights now existing or granted in the future to Seller or GE. Notwithstanding the foregoing, GE and Seller agree that, for so long as Purchaser or any other Affiliate of NBCU occupies at least 300,000 square feet in the Units,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51" w:name="page52"/>
    <w:bookmarkEnd w:id="5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GE nor Seller, nor any of their respective Affiliates using the GE name (or any abbreviation, contraction or simulation thereof) or any GE trademark, logo or symbol, shall seek approval for, or install, any signs (i) permanently affixed to the exterior of 30 Rockefeller Plaza, or (ii) permanently affixed in the lobby of 30 Rockefeller Plaza except to the extent consistent with lobby signage of other tenants occupying a comparable amount of space at 30 Rockefeller Plaza. For the avoidance of doubt, the foregoing restriction shall not apply to any temporary signage or displays associated with an event or promotion of a GE business or product and shall not restrict GE or Seller’s ability to install customary and appropriate signage associated with retail space or storefront to the extent Seller, GE or any of their Affiliates shall ever lease or own any such space. The agreements contained in this clause (e) are personal to NBCU and Purchaser and may not be assigned to any other Person.</w:t>
      </w:r>
    </w:p>
    <w:p>
      <w:pPr>
        <w:spacing w:after="0" w:line="118" w:lineRule="exact"/>
        <w:rPr>
          <w:sz w:val="20"/>
          <w:szCs w:val="20"/>
          <w:color w:val="auto"/>
        </w:rPr>
      </w:pPr>
    </w:p>
    <w:p>
      <w:pPr>
        <w:ind w:right="400" w:firstLine="464"/>
        <w:spacing w:after="0" w:line="332" w:lineRule="auto"/>
        <w:tabs>
          <w:tab w:leader="none" w:pos="6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the extent there are GE signs located within the Premises or which Purchaser controls after the Closing, Purchaser shall promptly, following the Closing Date, remove the same at its sole cost and expense and shall not in any manner modify such signs prior to such removal.</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of this Section 6.10 shall constitute Surviving Obligations only if the Closing occurs.</w:t>
      </w:r>
    </w:p>
    <w:p>
      <w:pPr>
        <w:spacing w:after="0" w:line="171" w:lineRule="exact"/>
        <w:rPr>
          <w:sz w:val="20"/>
          <w:szCs w:val="20"/>
          <w:color w:val="auto"/>
        </w:rPr>
      </w:pPr>
    </w:p>
    <w:p>
      <w:pPr>
        <w:jc w:val="both"/>
        <w:ind w:right="20" w:firstLine="456"/>
        <w:spacing w:after="0" w:line="254" w:lineRule="auto"/>
        <w:rPr>
          <w:sz w:val="20"/>
          <w:szCs w:val="20"/>
          <w:color w:val="auto"/>
        </w:rPr>
      </w:pP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t>
      </w:r>
      <w:r>
        <w:rPr>
          <w:rFonts w:ascii="Arial" w:cs="Arial" w:eastAsia="Arial" w:hAnsi="Arial"/>
          <w:sz w:val="18"/>
          <w:szCs w:val="18"/>
          <w:i w:val="1"/>
          <w:iCs w:val="1"/>
          <w:color w:val="auto"/>
        </w:rPr>
        <w:t>Private UOA.</w:t>
      </w:r>
      <w:r>
        <w:rPr>
          <w:rFonts w:ascii="Arial" w:cs="Arial" w:eastAsia="Arial" w:hAnsi="Arial"/>
          <w:sz w:val="18"/>
          <w:szCs w:val="18"/>
          <w:color w:val="auto"/>
        </w:rPr>
        <w:t xml:space="preserve"> GE, Seller and Purchaser shall, as of the Closing Date, enter into an agreement governing the future relationship of Seller and Purchaser as Unit Owners under the Condominium Documents pursuant to the terms of the term sheet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(such agreement, the “</w:t>
      </w:r>
      <w:r>
        <w:rPr>
          <w:rFonts w:ascii="Arial" w:cs="Arial" w:eastAsia="Arial" w:hAnsi="Arial"/>
          <w:sz w:val="18"/>
          <w:szCs w:val="18"/>
          <w:b w:val="1"/>
          <w:bCs w:val="1"/>
          <w:color w:val="auto"/>
        </w:rPr>
        <w:t>Private</w:t>
      </w:r>
      <w:r>
        <w:rPr>
          <w:rFonts w:ascii="Arial" w:cs="Arial" w:eastAsia="Arial" w:hAnsi="Arial"/>
          <w:sz w:val="18"/>
          <w:szCs w:val="18"/>
          <w:color w:val="auto"/>
        </w:rPr>
        <w:t xml:space="preserve"> </w:t>
      </w:r>
      <w:r>
        <w:rPr>
          <w:rFonts w:ascii="Arial" w:cs="Arial" w:eastAsia="Arial" w:hAnsi="Arial"/>
          <w:sz w:val="18"/>
          <w:szCs w:val="18"/>
          <w:b w:val="1"/>
          <w:bCs w:val="1"/>
          <w:color w:val="auto"/>
        </w:rPr>
        <w:t>UOA</w:t>
      </w:r>
      <w:r>
        <w:rPr>
          <w:rFonts w:ascii="Arial" w:cs="Arial" w:eastAsia="Arial" w:hAnsi="Arial"/>
          <w:sz w:val="18"/>
          <w:szCs w:val="18"/>
          <w:color w:val="auto"/>
        </w:rPr>
        <w:t>”). GE, Seller and Purchaser shall endeavor to agree upon the final form of Private UOA prior to the Closing Date; provided, however, that in the event 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Seller and Purchaser are unable to do so, the term sheet attached as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shall constitute a binding agreement among GE, Seller and Purchaser, effective as of the Closing Date, until such time as the Private UOA is agreed and executed. The provisions of this Section 6.11 shall constitute Surviving Obligations only if the Closing occurs.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w:t>
      </w:r>
      <w:r>
        <w:rPr>
          <w:rFonts w:ascii="Arial" w:cs="Arial" w:eastAsia="Arial" w:hAnsi="Arial"/>
          <w:sz w:val="16"/>
          <w:szCs w:val="16"/>
          <w:i w:val="1"/>
          <w:iCs w:val="1"/>
          <w:color w:val="auto"/>
        </w:rPr>
        <w:t>No Adverse Actions.</w:t>
      </w:r>
      <w:r>
        <w:rPr>
          <w:rFonts w:ascii="Arial" w:cs="Arial" w:eastAsia="Arial" w:hAnsi="Arial"/>
          <w:sz w:val="16"/>
          <w:szCs w:val="16"/>
          <w:color w:val="auto"/>
        </w:rPr>
        <w:t xml:space="preserve"> From and after the Effective Date and continuing through the Closing Date, (a) Seller shall not, and shall cause GE, GECC and their Affiliates not to, enter into any transaction or take any action that knowingly and intentionally would result in any of Seller’s representations and warranties in this Agreement not being true and correct in all material respects at the Closing; and (b) Purchaser shall not, and shall cause NBCU and its Affiliates not to, enter into any transaction or take any action that knowingly and intentionally would result in any of Purchaser’s representations and warranties in this Agreement not being true and correct in all material respects at the Closing.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LOSING</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 of Escrow</w:t>
      </w:r>
      <w:r>
        <w:rPr>
          <w:rFonts w:ascii="Arial" w:cs="Arial" w:eastAsia="Arial" w:hAnsi="Arial"/>
          <w:sz w:val="18"/>
          <w:szCs w:val="18"/>
          <w:color w:val="auto"/>
        </w:rPr>
        <w:t xml:space="preserve">. Upon the execution of this Agreement by Seller and Purchaser, and the acceptance of this Agreement by Escrow Agent in writing, this Agreement shall constitute the joint escrow instructions of Purchaser and Seller to Escrow Agent to open escrow for the consummation of the sale of the Transferred Assets to Purchaser pursuant to the terms of this Agreement. Upon Escrow Agent’s written acceptance of this Agreement, Escrow Agent is authorized to act in accordance with the terms of this Agreement. Purchaser and Seller shall execute Escrow Agent’s general escrow instructions upon request and may deliver supplemental closing instructions,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there is any conflict or inconsistency between such general escrow instructions or closing instructions and this Agreement, this Agreement shall control. Upon the Closing, Escrow Agent shall pay any sum owed to Seller with immediately available federal funds.</w:t>
      </w:r>
    </w:p>
    <w:p>
      <w:pPr>
        <w:spacing w:after="0" w:line="147"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t>
      </w:r>
      <w:r>
        <w:rPr>
          <w:rFonts w:ascii="Arial" w:cs="Arial" w:eastAsia="Arial" w:hAnsi="Arial"/>
          <w:sz w:val="16"/>
          <w:szCs w:val="16"/>
          <w:i w:val="1"/>
          <w:iCs w:val="1"/>
          <w:color w:val="auto"/>
        </w:rPr>
        <w:t>Time and Place of Closing.</w:t>
      </w:r>
      <w:r>
        <w:rPr>
          <w:rFonts w:ascii="Arial" w:cs="Arial" w:eastAsia="Arial" w:hAnsi="Arial"/>
          <w:sz w:val="16"/>
          <w:szCs w:val="16"/>
          <w:color w:val="auto"/>
        </w:rPr>
        <w:t xml:space="preserve"> The Closing of the transactions hereunder shall take place at the offices of Davis Polk &amp; Wardwell LLP, 450 Lexington Avenue, New York, New York, as soon as reasonably possible, but in no event later than three (3) Business Days after satisfaction or, to the extent permissible, waiver by the party or parties entitled to the benefit of the conditions set forth in Article 8 (other than conditions that by their nature are to be satisfied at the Closing, but subject to the satisfaction or, to the extent permissible, waiver of those conditions at the Closing), or at such other time or place as Seller and Purchaser may agree (the actual date of the Closing being herein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 time being of the essence. The parties intend to complete the Closing on or about March 27, 2013, subject to the satisfaction or waiver of the conditions as aforesaid, and Seller and Purchaser shall use commercially reasonably efforts to satisfy the conditions to Closing and complete the Closing by that date or, failing completion of the Closing by that date, as soon as reasonably possible thereafter.</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Documents</w:t>
      </w:r>
      <w:r>
        <w:rPr>
          <w:rFonts w:ascii="Arial" w:cs="Arial" w:eastAsia="Arial" w:hAnsi="Arial"/>
          <w:sz w:val="18"/>
          <w:szCs w:val="18"/>
          <w:color w:val="auto"/>
        </w:rPr>
        <w:t>. Subject to the provisions of this Agreement, the parties shall deliver the following documents to Escrow Agent, unless otherwise specified, all in form and substance reasonably satisfactory to Seller and Purchaser and all dated as of the Closing Date (the “</w:t>
      </w:r>
      <w:r>
        <w:rPr>
          <w:rFonts w:ascii="Arial" w:cs="Arial" w:eastAsia="Arial" w:hAnsi="Arial"/>
          <w:sz w:val="18"/>
          <w:szCs w:val="18"/>
          <w:b w:val="1"/>
          <w:bCs w:val="1"/>
          <w:color w:val="auto"/>
        </w:rPr>
        <w:t>Closing Documents</w:t>
      </w:r>
      <w:r>
        <w:rPr>
          <w:rFonts w:ascii="Arial" w:cs="Arial" w:eastAsia="Arial" w:hAnsi="Arial"/>
          <w:sz w:val="18"/>
          <w:szCs w:val="18"/>
          <w:color w:val="auto"/>
        </w:rPr>
        <w:t>”), prior to or at the Closing:</w:t>
      </w:r>
    </w:p>
    <w:p>
      <w:pPr>
        <w:spacing w:after="0" w:line="140" w:lineRule="exact"/>
        <w:rPr>
          <w:sz w:val="20"/>
          <w:szCs w:val="20"/>
          <w:color w:val="auto"/>
        </w:rPr>
      </w:pPr>
    </w:p>
    <w:p>
      <w:pPr>
        <w:ind w:left="5620" w:right="20" w:hanging="5156"/>
        <w:spacing w:after="0" w:line="440" w:lineRule="auto"/>
        <w:tabs>
          <w:tab w:leader="none" w:pos="6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Seller shall deliver, or cause to be delivered, the following original executed and acknowledged (where applicable) Closing Documents and other items: 22</w:t>
      </w:r>
    </w:p>
    <w:p>
      <w:pPr>
        <w:sectPr>
          <w:pgSz w:w="11900" w:h="16838" w:orient="portrait"/>
          <w:cols w:equalWidth="0" w:num="1">
            <w:col w:w="11400"/>
          </w:cols>
          <w:pgMar w:left="240" w:top="280" w:right="259" w:bottom="1440" w:gutter="0" w:footer="0" w:header="0"/>
        </w:sectPr>
      </w:pPr>
    </w:p>
    <w:bookmarkStart w:id="53" w:name="page54"/>
    <w:bookmarkEnd w:id="53"/>
    <w:p>
      <w:pPr>
        <w:ind w:left="640" w:hanging="219"/>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bargain and sale deeds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Deeds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680" w:hanging="259"/>
        <w:spacing w:after="0"/>
        <w:tabs>
          <w:tab w:leader="none" w:pos="6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Assignment and Assumption of Overlease,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20" w:hanging="299"/>
        <w:spacing w:after="0"/>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Assignment and Assumption of the Existing NBC Lease,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20" w:firstLine="421"/>
        <w:spacing w:after="0" w:line="268" w:lineRule="auto"/>
        <w:tabs>
          <w:tab w:leader="none" w:pos="7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 certification of non-foreign status as set forth in Treasury Regulation §1.1445-2(b), executed by each transferor of a United States real property interest (as defined in Code section 897(c)),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660" w:hanging="239"/>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 bill of sale for the Building Equipment and certain other Transferred Assets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20" w:hanging="299"/>
        <w:spacing w:after="0"/>
        <w:tabs>
          <w:tab w:leader="none" w:pos="720" w:val="left"/>
        </w:tabs>
        <w:numPr>
          <w:ilvl w:val="1"/>
          <w:numId w:val="22"/>
        </w:numPr>
        <w:rPr>
          <w:rFonts w:ascii="Arial" w:cs="Arial" w:eastAsia="Arial" w:hAnsi="Arial"/>
          <w:sz w:val="15"/>
          <w:szCs w:val="15"/>
          <w:color w:val="auto"/>
        </w:rPr>
      </w:pPr>
      <w:r>
        <w:rPr>
          <w:rFonts w:ascii="Arial" w:cs="Arial" w:eastAsia="Arial" w:hAnsi="Arial"/>
          <w:sz w:val="15"/>
          <w:szCs w:val="15"/>
          <w:color w:val="auto"/>
        </w:rPr>
        <w:t>an assignment and assumption agreement relating to the Assigned Contracts and any assignable Permits, if any, substantially in the form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83" w:lineRule="exact"/>
        <w:rPr>
          <w:rFonts w:ascii="Arial" w:cs="Arial" w:eastAsia="Arial" w:hAnsi="Arial"/>
          <w:sz w:val="15"/>
          <w:szCs w:val="15"/>
          <w:color w:val="auto"/>
        </w:rPr>
      </w:pPr>
    </w:p>
    <w:p>
      <w:pPr>
        <w:ind w:right="140" w:firstLine="421"/>
        <w:spacing w:after="0" w:line="306" w:lineRule="auto"/>
        <w:tabs>
          <w:tab w:leader="none" w:pos="766"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New York City Real Property Transfer Tax Return (Form NYC-RPT) and New York State Combined Real Estate Transfer Tax Return, Credit Line Mortgage Certificate and Certification of Exemption from the Payment of Estimated Personal Income Tax (Form TP-584), each duly executed by Seller, together with the payment of any amounts payable by Seller pursuant to Section 9.01 hereof;</w:t>
      </w:r>
    </w:p>
    <w:p>
      <w:pPr>
        <w:spacing w:after="0" w:line="25" w:lineRule="exact"/>
        <w:rPr>
          <w:rFonts w:ascii="Arial" w:cs="Arial" w:eastAsia="Arial" w:hAnsi="Arial"/>
          <w:sz w:val="16"/>
          <w:szCs w:val="16"/>
          <w:color w:val="auto"/>
        </w:rPr>
      </w:pPr>
    </w:p>
    <w:p>
      <w:pPr>
        <w:ind w:left="820" w:hanging="399"/>
        <w:spacing w:after="0"/>
        <w:tabs>
          <w:tab w:leader="none" w:pos="8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certificate evidencing the good standing of Seller under the laws of the State of Delaware and authority to do business in the State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83" w:lineRule="exact"/>
        <w:rPr>
          <w:rFonts w:ascii="Arial" w:cs="Arial" w:eastAsia="Arial" w:hAnsi="Arial"/>
          <w:sz w:val="16"/>
          <w:szCs w:val="16"/>
          <w:color w:val="auto"/>
        </w:rPr>
      </w:pPr>
    </w:p>
    <w:p>
      <w:pPr>
        <w:ind w:right="100" w:firstLine="421"/>
        <w:spacing w:after="0" w:line="268" w:lineRule="auto"/>
        <w:tabs>
          <w:tab w:leader="none" w:pos="7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signed by a duly authorized representative of Seller, to the effect that the conditions set forth in Section 8.01(a) and Section 8.01(b) have been satisfied by Seller;</w:t>
      </w:r>
    </w:p>
    <w:p>
      <w:pPr>
        <w:spacing w:after="0" w:line="50" w:lineRule="exact"/>
        <w:rPr>
          <w:rFonts w:ascii="Arial" w:cs="Arial" w:eastAsia="Arial" w:hAnsi="Arial"/>
          <w:sz w:val="18"/>
          <w:szCs w:val="18"/>
          <w:color w:val="auto"/>
        </w:rPr>
      </w:pPr>
    </w:p>
    <w:p>
      <w:pPr>
        <w:ind w:left="660" w:hanging="239"/>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an owner’s title affidavit in favor of the Title Company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20" w:hanging="299"/>
        <w:spacing w:after="0"/>
        <w:tabs>
          <w:tab w:leader="none" w:pos="7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certificate evidencing (A) approval by the Seller or other appropriate trust action approving of the transactions contemplated hereby and</w:t>
      </w:r>
    </w:p>
    <w:p>
      <w:pPr>
        <w:spacing w:after="0" w:line="38" w:lineRule="exact"/>
        <w:rPr>
          <w:rFonts w:ascii="Arial" w:cs="Arial" w:eastAsia="Arial" w:hAnsi="Arial"/>
          <w:sz w:val="16"/>
          <w:szCs w:val="16"/>
          <w:color w:val="auto"/>
        </w:rPr>
      </w:pPr>
    </w:p>
    <w:p>
      <w:pPr>
        <w:ind w:left="280" w:hanging="279"/>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authority of the Person(s) executing this Agreement and Seller’s Closing Documents on behalf of Seller;</w:t>
      </w:r>
    </w:p>
    <w:p>
      <w:pPr>
        <w:spacing w:after="0" w:line="15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80"/>
          </w:cols>
          <w:pgMar w:left="1160" w:top="274" w:right="259" w:bottom="1440" w:gutter="0" w:footer="0" w:header="0"/>
        </w:sectPr>
      </w:pPr>
    </w:p>
    <w:bookmarkStart w:id="54" w:name="page55"/>
    <w:bookmarkEnd w:id="54"/>
    <w:p>
      <w:pPr>
        <w:ind w:left="1680" w:hanging="339"/>
        <w:spacing w:after="0"/>
        <w:tabs>
          <w:tab w:leader="none" w:pos="1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closing statement (the “</w:t>
      </w:r>
      <w:r>
        <w:rPr>
          <w:rFonts w:ascii="Arial" w:cs="Arial" w:eastAsia="Arial" w:hAnsi="Arial"/>
          <w:sz w:val="18"/>
          <w:szCs w:val="18"/>
          <w:b w:val="1"/>
          <w:bCs w:val="1"/>
          <w:color w:val="auto"/>
        </w:rPr>
        <w:t>Closing Statement</w:t>
      </w:r>
      <w:r>
        <w:rPr>
          <w:rFonts w:ascii="Arial" w:cs="Arial" w:eastAsia="Arial" w:hAnsi="Arial"/>
          <w:sz w:val="18"/>
          <w:szCs w:val="18"/>
          <w:color w:val="auto"/>
        </w:rPr>
        <w:t>”) listing the apportionments made at the Closing as provided herein;</w:t>
      </w:r>
    </w:p>
    <w:p>
      <w:pPr>
        <w:spacing w:after="0" w:line="96" w:lineRule="exact"/>
        <w:rPr>
          <w:rFonts w:ascii="Arial" w:cs="Arial" w:eastAsia="Arial" w:hAnsi="Arial"/>
          <w:sz w:val="18"/>
          <w:szCs w:val="18"/>
          <w:color w:val="auto"/>
        </w:rPr>
      </w:pPr>
    </w:p>
    <w:p>
      <w:pPr>
        <w:ind w:left="920" w:right="40" w:firstLine="421"/>
        <w:spacing w:after="0" w:line="259" w:lineRule="auto"/>
        <w:tabs>
          <w:tab w:leader="none" w:pos="17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notice to the Condominium regarding Seller’s conveyance to Purchaser of the Transferred Assets and succession of Purchaser to Seller’s interest under the Condominium Documents with respect to the Premises, as well as a change of notice address for Purchaser with respect to the Premises;</w:t>
      </w:r>
    </w:p>
    <w:p>
      <w:pPr>
        <w:spacing w:after="0" w:line="59" w:lineRule="exact"/>
        <w:rPr>
          <w:rFonts w:ascii="Arial" w:cs="Arial" w:eastAsia="Arial" w:hAnsi="Arial"/>
          <w:sz w:val="18"/>
          <w:szCs w:val="18"/>
          <w:color w:val="auto"/>
        </w:rPr>
      </w:pPr>
    </w:p>
    <w:p>
      <w:pPr>
        <w:ind w:left="920" w:right="640" w:firstLine="421"/>
        <w:spacing w:after="0" w:line="268" w:lineRule="auto"/>
        <w:tabs>
          <w:tab w:leader="none" w:pos="17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such agreements with the IDA or amendments to the Overlease, PILOT Agreement, NBC-IDA Lease and Facilities Lease as are reasonably necessary to consummate the transactions contemplated by this Agreement; and</w:t>
      </w:r>
    </w:p>
    <w:p>
      <w:pPr>
        <w:spacing w:after="0" w:line="50" w:lineRule="exact"/>
        <w:rPr>
          <w:rFonts w:ascii="Arial" w:cs="Arial" w:eastAsia="Arial" w:hAnsi="Arial"/>
          <w:sz w:val="18"/>
          <w:szCs w:val="18"/>
          <w:color w:val="auto"/>
        </w:rPr>
      </w:pPr>
    </w:p>
    <w:p>
      <w:pPr>
        <w:ind w:left="1680" w:hanging="339"/>
        <w:spacing w:after="0"/>
        <w:tabs>
          <w:tab w:leader="none" w:pos="1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keys to the Premises in Seller’s possession.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Purchaser shall deliver, or cause to be delivered, the following original executed and acknowledged (where applicable) Closing Documents and 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84" w:lineRule="exact"/>
        <w:rPr>
          <w:sz w:val="20"/>
          <w:szCs w:val="20"/>
          <w:color w:val="auto"/>
        </w:rPr>
      </w:pPr>
    </w:p>
    <w:p>
      <w:pPr>
        <w:ind w:left="1560" w:hanging="219"/>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Price as specified in Section 2.02;</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 Assignment and Assumption of Overlease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 Assignment and Assumption of Existing NBC Lease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00" w:firstLine="421"/>
        <w:spacing w:after="0" w:line="268" w:lineRule="auto"/>
        <w:tabs>
          <w:tab w:leader="none" w:pos="1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assignment and assumption agreement relating to the Assigned Contracts and any assignable Permits, if any,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20" w:right="200" w:firstLine="421"/>
        <w:spacing w:after="0" w:line="332" w:lineRule="auto"/>
        <w:tabs>
          <w:tab w:leader="none" w:pos="158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New York City Real Property Transfer Tax Return (Form NYC-RPT) and New York State Combined Real Estate Transfer Tax Return, Credit Line Mortgage Certificate and Certification of Exemption from the Payment of Estimated Personal Income Tax (Form TP-584);</w:t>
      </w:r>
    </w:p>
    <w:p>
      <w:pPr>
        <w:spacing w:after="0" w:line="4" w:lineRule="exact"/>
        <w:rPr>
          <w:rFonts w:ascii="Arial" w:cs="Arial" w:eastAsia="Arial" w:hAnsi="Arial"/>
          <w:sz w:val="16"/>
          <w:szCs w:val="16"/>
          <w:color w:val="auto"/>
        </w:rPr>
      </w:pPr>
    </w:p>
    <w:p>
      <w:pPr>
        <w:ind w:left="920" w:firstLine="421"/>
        <w:spacing w:after="0" w:line="268" w:lineRule="auto"/>
        <w:tabs>
          <w:tab w:leader="none" w:pos="1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certificate evidencing the good standing of Purchaser under the laws of the State of Delaware and authority to do business in the State of New York;</w:t>
      </w:r>
    </w:p>
    <w:p>
      <w:pPr>
        <w:spacing w:after="0" w:line="50" w:lineRule="exact"/>
        <w:rPr>
          <w:rFonts w:ascii="Arial" w:cs="Arial" w:eastAsia="Arial" w:hAnsi="Arial"/>
          <w:sz w:val="18"/>
          <w:szCs w:val="18"/>
          <w:color w:val="auto"/>
        </w:rPr>
      </w:pPr>
    </w:p>
    <w:p>
      <w:pPr>
        <w:ind w:left="920" w:right="20" w:firstLine="421"/>
        <w:spacing w:after="0" w:line="268" w:lineRule="auto"/>
        <w:tabs>
          <w:tab w:leader="none" w:pos="16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signed by an executive officer of Purchaser, to the effect that the conditions set forth in Section 8.01(a) and Section 8.01(b) have been satisfied by Purchaser;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55" w:name="page56"/>
    <w:bookmarkEnd w:id="55"/>
    <w:p>
      <w:pPr>
        <w:ind w:left="920" w:right="600" w:firstLine="421"/>
        <w:spacing w:after="0" w:line="268" w:lineRule="auto"/>
        <w:tabs>
          <w:tab w:leader="none" w:pos="1735"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agreements with the IDA or amendments to the Overlease, PILOT Agreement, NBC-IDA Lease and Facilities Lease as are reasonably necessary to consummate the transactions contemplated by this Agreement;</w:t>
      </w:r>
    </w:p>
    <w:p>
      <w:pPr>
        <w:spacing w:after="0" w:line="50" w:lineRule="exact"/>
        <w:rPr>
          <w:rFonts w:ascii="Arial" w:cs="Arial" w:eastAsia="Arial" w:hAnsi="Arial"/>
          <w:sz w:val="18"/>
          <w:szCs w:val="18"/>
          <w:color w:val="auto"/>
        </w:rPr>
      </w:pPr>
    </w:p>
    <w:p>
      <w:pPr>
        <w:ind w:left="920" w:right="500" w:firstLine="421"/>
        <w:spacing w:after="0" w:line="268" w:lineRule="auto"/>
        <w:tabs>
          <w:tab w:leader="none" w:pos="16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executed waiver by Purchaser of certain rights with respect to RGI Development Rights (as defined in the Declaration) required by Section 7.05(c) of the Declaration;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Closing Statement.</w:t>
      </w:r>
    </w:p>
    <w:p>
      <w:pPr>
        <w:spacing w:after="0" w:line="171" w:lineRule="exact"/>
        <w:rPr>
          <w:rFonts w:ascii="Arial" w:cs="Arial" w:eastAsia="Arial" w:hAnsi="Arial"/>
          <w:sz w:val="18"/>
          <w:szCs w:val="18"/>
          <w:color w:val="auto"/>
        </w:rPr>
      </w:pPr>
    </w:p>
    <w:p>
      <w:pPr>
        <w:ind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Escrow Agent shall cause the Deeds to be recorded in the appropriate county, deliver originals or counterpart originals of the Closing Documents to the parties entitled thereto, and duly submit the Transfer Tax returns and pay all amounts due thereunder.</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 TO</w:t>
      </w:r>
      <w:r>
        <w:rPr>
          <w:rFonts w:ascii="Arial" w:cs="Arial" w:eastAsia="Arial" w:hAnsi="Arial"/>
          <w:sz w:val="18"/>
          <w:szCs w:val="18"/>
          <w:color w:val="auto"/>
        </w:rPr>
        <w:t xml:space="preserve"> C</w:t>
      </w:r>
      <w:r>
        <w:rPr>
          <w:rFonts w:ascii="Arial" w:cs="Arial" w:eastAsia="Arial" w:hAnsi="Arial"/>
          <w:sz w:val="14"/>
          <w:szCs w:val="14"/>
          <w:color w:val="auto"/>
        </w:rPr>
        <w:t>LOSING</w:t>
      </w:r>
    </w:p>
    <w:p>
      <w:pPr>
        <w:spacing w:after="0" w:line="16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Conditions to the Obligations of Purchaser</w:t>
      </w:r>
      <w:r>
        <w:rPr>
          <w:rFonts w:ascii="Arial" w:cs="Arial" w:eastAsia="Arial" w:hAnsi="Arial"/>
          <w:sz w:val="16"/>
          <w:szCs w:val="16"/>
          <w:color w:val="auto"/>
        </w:rPr>
        <w:t>. The obligation of Purchaser to consummate the transactions described in this Agreement is subject to the fulfillment prior to or at the Closing of each of the following conditions (any of which may be waived by Purchaser):</w:t>
      </w:r>
    </w:p>
    <w:p>
      <w:pPr>
        <w:spacing w:after="0" w:line="85" w:lineRule="exact"/>
        <w:rPr>
          <w:sz w:val="20"/>
          <w:szCs w:val="20"/>
          <w:color w:val="auto"/>
        </w:rPr>
      </w:pPr>
    </w:p>
    <w:p>
      <w:pPr>
        <w:ind w:right="80" w:firstLine="464"/>
        <w:spacing w:after="0" w:line="256"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representations and warranties of Seller contained herein shall be true, accurate and correct in all material respects, except to the extent resulting from the acts (but solely to the extent not permitted under the Existing NBC Lease or which directly result in a lawsuit or violation of a Permit or law relating to hazardous or toxic materials or substances) or omissions (but solely to the extent of affirmative actions required to be performed under the Existing NBC Lease) of Purchaser or any of its Affiliates.</w:t>
      </w:r>
    </w:p>
    <w:p>
      <w:pPr>
        <w:spacing w:after="0" w:line="143"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Seller shall have performed or complied with, in all material respects, all of the obligations under this Agreement to be performed or complied with by Seller prior to the Closing.</w:t>
      </w:r>
    </w:p>
    <w:p>
      <w:pPr>
        <w:spacing w:after="0" w:line="131"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Seller shall have delivered notice to the IDA of the assignment of the Overlease, along with the form of Assignment and Assumption of Overlease, and ten (10) days shall have passed since such delivery.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Seller shall have delivered the Closing Documents and other items required to be delivered by Seller pursuant to Section 7.03(a).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56" w:name="page57"/>
    <w:bookmarkEnd w:id="56"/>
    <w:p>
      <w:pPr>
        <w:ind w:right="80" w:firstLine="464"/>
        <w:spacing w:after="0" w:line="306"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shall have received from the Title Company an ALTA extended coverage form of owner’s title insurance policy, dated the Closing Date and in an amount satisfactory to Purchaser (but not to exceed the Purchase Price) insuring or unconditionally committing to insure good, marketable and insurable reversionary fee title to and leasehold interest in the Transferred Assets, free and clear of all Liens, except only the Permitted Liens.</w:t>
      </w:r>
    </w:p>
    <w:p>
      <w:pPr>
        <w:spacing w:after="0" w:line="106" w:lineRule="exact"/>
        <w:rPr>
          <w:rFonts w:ascii="Arial" w:cs="Arial" w:eastAsia="Arial" w:hAnsi="Arial"/>
          <w:sz w:val="16"/>
          <w:szCs w:val="16"/>
          <w:color w:val="auto"/>
        </w:rPr>
      </w:pPr>
    </w:p>
    <w:p>
      <w:pPr>
        <w:ind w:right="360" w:firstLine="464"/>
        <w:spacing w:after="0" w:line="268" w:lineRule="auto"/>
        <w:tabs>
          <w:tab w:leader="none" w:pos="6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Seller shall have requested, together with Purchaser, and received, any consent or approval required under the Overlease, the NBC-IDA Lease, the Facilities Lease and any Assigned Contract, including from the IDA (if required).</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Purchaser shall have received an estoppel certificate from the Condominium Board and RCPI Landmark Properties regarding the Unit Owners Agreement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right="80" w:firstLine="464"/>
        <w:spacing w:after="0" w:line="306"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the Closing Date, there shall be no Governmental Order in effect that restrains, prohibits or renders illegal the consummation of the transactions contemplated by this Agreement, and there shall be no action, investigation, proceeding or litigation instituted, commenced, pending or threatened in writing by any Governmental Authority seeking to restrain, prohibit or render illegal or ineffective the consummation of the transactions contemplated by this Agreement.</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the Obligation of Seller</w:t>
      </w:r>
      <w:r>
        <w:rPr>
          <w:rFonts w:ascii="Arial" w:cs="Arial" w:eastAsia="Arial" w:hAnsi="Arial"/>
          <w:sz w:val="18"/>
          <w:szCs w:val="18"/>
          <w:color w:val="auto"/>
        </w:rPr>
        <w:t>. The obligation of Seller to consummate the transactions described in this Agreement is subject to the fulfillment prior to or at the Closing of each of the following conditions (any of which may be waived by Seller):</w:t>
      </w:r>
    </w:p>
    <w:p>
      <w:pPr>
        <w:spacing w:after="0" w:line="132" w:lineRule="exact"/>
        <w:rPr>
          <w:sz w:val="20"/>
          <w:szCs w:val="20"/>
          <w:color w:val="auto"/>
        </w:rPr>
      </w:pPr>
    </w:p>
    <w:p>
      <w:pPr>
        <w:ind w:firstLine="464"/>
        <w:spacing w:after="0" w:line="259"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representations and warranties of Purchaser hereunder shall be true and correct in all material respects, except to the extent resulting from the acts (but solely to the extent not permitted under the Existing NBC Lease) or omissions (but solely to the extent of affirmative actions required to be performed under the Existing NBC Lease) of Seller or any of its Affiliates.</w:t>
      </w:r>
    </w:p>
    <w:p>
      <w:pPr>
        <w:spacing w:after="0" w:line="140"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Purchaser shall have performed or complied with, in all material respects, the obligations under this Agreement to be performed or complied with by Purchaser prior to the Closing.</w:t>
      </w:r>
    </w:p>
    <w:p>
      <w:pPr>
        <w:spacing w:after="0" w:line="131"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described in that certain Transaction Agreement dated as of the date hereof among GE, Comcast Corporation, NBCU and certain of their Affiliates shall have closed, or shall close simultaneously herewith.</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Purchaser shall have delivered the Closing Documents and other items required to be delivered by Purchaser pursuant to Section 7.03(b).</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80" w:right="339" w:bottom="1440" w:gutter="0" w:footer="0" w:header="0"/>
        </w:sectPr>
      </w:pPr>
    </w:p>
    <w:bookmarkStart w:id="57" w:name="page58"/>
    <w:bookmarkEnd w:id="57"/>
    <w:p>
      <w:pPr>
        <w:ind w:right="220" w:firstLine="464"/>
        <w:spacing w:after="0" w:line="268"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shall have requested, together with Seller, and received, any consent or approval required under the Overlease, the NBC-IDA Lease or the Facilities Lease, including from the IDA (if required).</w:t>
      </w:r>
    </w:p>
    <w:p>
      <w:pPr>
        <w:spacing w:after="0" w:line="131" w:lineRule="exact"/>
        <w:rPr>
          <w:rFonts w:ascii="Arial" w:cs="Arial" w:eastAsia="Arial" w:hAnsi="Arial"/>
          <w:sz w:val="18"/>
          <w:szCs w:val="18"/>
          <w:color w:val="auto"/>
        </w:rPr>
      </w:pPr>
    </w:p>
    <w:p>
      <w:pPr>
        <w:ind w:right="120" w:firstLine="464"/>
        <w:spacing w:after="0" w:line="306" w:lineRule="auto"/>
        <w:tabs>
          <w:tab w:leader="none" w:pos="66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 the Closing Date, there shall be no Governmental Order in effect that restrains, prohibits or renders illegal the consummation of the transactions contemplated by this Agreement, and there shall be no action, investigation, proceeding or litigation instituted, commenced, pending or threatened in writing by any Governmental Authority seeking to restrain, prohibit or render illegal or ineffective the consummation of the transactions contemplated by this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terminated prior to the Closing:</w:t>
      </w:r>
    </w:p>
    <w:p>
      <w:pPr>
        <w:spacing w:after="0" w:line="171" w:lineRule="exact"/>
        <w:rPr>
          <w:sz w:val="20"/>
          <w:szCs w:val="20"/>
          <w:color w:val="auto"/>
        </w:rPr>
      </w:pPr>
    </w:p>
    <w:p>
      <w:pPr>
        <w:ind w:left="700" w:hanging="23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the mutual written consent of Seller and Purchaser;</w:t>
      </w:r>
    </w:p>
    <w:p>
      <w:pPr>
        <w:spacing w:after="0" w:line="171" w:lineRule="exact"/>
        <w:rPr>
          <w:rFonts w:ascii="Arial" w:cs="Arial" w:eastAsia="Arial" w:hAnsi="Arial"/>
          <w:sz w:val="18"/>
          <w:szCs w:val="18"/>
          <w:color w:val="auto"/>
        </w:rPr>
      </w:pPr>
    </w:p>
    <w:p>
      <w:pPr>
        <w:jc w:val="both"/>
        <w:ind w:right="80" w:firstLine="464"/>
        <w:spacing w:after="0" w:line="306"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by Seller, if Purchaser shall have breached any of its representations or warranties or if Purchaser shall have failed to comply with any of its covenants or agreements applicable to Purchaser, in each case that would cause any of the conditions set forth in Section 8.02 not to be satisfied, and such condition would be incapable of being satisfied, by the End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Seller or GE is not then in material breach of this Agreement;</w:t>
      </w:r>
    </w:p>
    <w:p>
      <w:pPr>
        <w:spacing w:after="0" w:line="106" w:lineRule="exact"/>
        <w:rPr>
          <w:rFonts w:ascii="Arial" w:cs="Arial" w:eastAsia="Arial" w:hAnsi="Arial"/>
          <w:sz w:val="16"/>
          <w:szCs w:val="16"/>
          <w:color w:val="auto"/>
        </w:rPr>
      </w:pPr>
    </w:p>
    <w:p>
      <w:pPr>
        <w:ind w:firstLine="464"/>
        <w:spacing w:after="0" w:line="256"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by Purchaser, if Seller shall have breached any of its representations or warranties or Seller or GE shall have failed to comply with any of their respective covenants or agreements (in the case of GE, solely with respect to Sections 6.09(a), 6.10 and 6.11), in each case that would cause any of the conditions set forth in Section 8.01 not to be satisfied, and such condition would be incapable of being satisfied, by the End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Purchaser is not then in material breach of this Agreement;</w:t>
      </w:r>
    </w:p>
    <w:p>
      <w:pPr>
        <w:spacing w:after="0" w:line="137" w:lineRule="exact"/>
        <w:rPr>
          <w:rFonts w:ascii="Arial" w:cs="Arial" w:eastAsia="Arial" w:hAnsi="Arial"/>
          <w:sz w:val="18"/>
          <w:szCs w:val="18"/>
          <w:color w:val="auto"/>
        </w:rPr>
      </w:pPr>
    </w:p>
    <w:p>
      <w:pPr>
        <w:ind w:right="100" w:firstLine="464"/>
        <w:spacing w:after="0" w:line="310"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by either Seller or Purchaser if the Closing shall not have occurred by December 1, 2013 (the “</w:t>
      </w:r>
      <w:r>
        <w:rPr>
          <w:rFonts w:ascii="Arial" w:cs="Arial" w:eastAsia="Arial" w:hAnsi="Arial"/>
          <w:sz w:val="16"/>
          <w:szCs w:val="16"/>
          <w:b w:val="1"/>
          <w:bCs w:val="1"/>
          <w:color w:val="auto"/>
        </w:rPr>
        <w:t>End Date</w:t>
      </w:r>
      <w:r>
        <w:rPr>
          <w:rFonts w:ascii="Arial" w:cs="Arial" w:eastAsia="Arial" w:hAnsi="Arial"/>
          <w:sz w:val="16"/>
          <w:szCs w:val="16"/>
          <w:color w:val="auto"/>
        </w:rPr>
        <w:t>”), time being of the essence; provided, however, that if one but not the other party is in material breach of this Agreement, then only the non-breaching party may terminate this Agreement pursuant to this Section 8.03(d) or continue this Agreement in effect and seek to exercise its remedies as set forth herein, including specific performance; or</w:t>
      </w:r>
    </w:p>
    <w:p>
      <w:pPr>
        <w:spacing w:after="0" w:line="103" w:lineRule="exact"/>
        <w:rPr>
          <w:rFonts w:ascii="Arial" w:cs="Arial" w:eastAsia="Arial" w:hAnsi="Arial"/>
          <w:sz w:val="16"/>
          <w:szCs w:val="16"/>
          <w:color w:val="auto"/>
        </w:rPr>
      </w:pPr>
    </w:p>
    <w:p>
      <w:pPr>
        <w:ind w:left="700" w:hanging="236"/>
        <w:spacing w:after="0"/>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by Seller or Purchaser, in the event of the issuance of a final, nonappealable Governmental Order restraining or prohibiting the Closing.</w:t>
      </w:r>
    </w:p>
    <w:p>
      <w:pPr>
        <w:spacing w:after="0" w:line="19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Notwithstanding the foregoing, in the event that a breach of Purchaser’s representations or warranties occurs as a result of the acts (but solely to the extent not permitted under the Existing NBC Lease) or omissions (but solely to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58" w:name="page59"/>
    <w:bookmarkEnd w:id="58"/>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of affirmative actions required to be performed under the Existing NBC Lease) of Seller of any of its Affiliates, such breach shall be deemed waived, and in the event that a breach of any of Seller’s representations or warranties occurs as a result of the acts (but solely to the extent not permitted under the Existing NBC Lease) or omissions (but solely to the extent of affirmative actions required to be performed under the Existing NBC Lease) of Purchaser or any of its Affiliates, such breach shall be deemed waived. The party asserting that a condition set forth in Section 8.01 or Section 8.02 has failed to be satisfied shall bear the burden of proof of such failure.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w:t>
      </w:r>
      <w:r>
        <w:rPr>
          <w:rFonts w:ascii="Arial" w:cs="Arial" w:eastAsia="Arial" w:hAnsi="Arial"/>
          <w:sz w:val="18"/>
          <w:szCs w:val="18"/>
          <w:i w:val="1"/>
          <w:iCs w:val="1"/>
          <w:color w:val="auto"/>
        </w:rPr>
        <w:t>Notice of Termination</w:t>
      </w:r>
      <w:r>
        <w:rPr>
          <w:rFonts w:ascii="Arial" w:cs="Arial" w:eastAsia="Arial" w:hAnsi="Arial"/>
          <w:sz w:val="18"/>
          <w:szCs w:val="18"/>
          <w:color w:val="auto"/>
        </w:rPr>
        <w:t>. Any party desiring to terminate this Agreement pursuant to Section 8.03 shall give written notice of such termination to the other parties to this Agreement.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w:t>
      </w:r>
      <w:r>
        <w:rPr>
          <w:rFonts w:ascii="Arial" w:cs="Arial" w:eastAsia="Arial" w:hAnsi="Arial"/>
          <w:sz w:val="16"/>
          <w:szCs w:val="16"/>
          <w:i w:val="1"/>
          <w:iCs w:val="1"/>
          <w:color w:val="auto"/>
        </w:rPr>
        <w:t>Effect of Termination</w:t>
      </w:r>
      <w:r>
        <w:rPr>
          <w:rFonts w:ascii="Arial" w:cs="Arial" w:eastAsia="Arial" w:hAnsi="Arial"/>
          <w:sz w:val="16"/>
          <w:szCs w:val="16"/>
          <w:color w:val="auto"/>
        </w:rPr>
        <w:t xml:space="preserve">. In the event of the termination of this Agreement as provided in Section 8.03, this Agreement shall forthwith become void and there shall be no liability on the part of any party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Agreement shall relieve any party hereto from liability for any knowing and intentional breach of this Agreement or knowing and intentional failure to perform its obligations under this Agreement</w:t>
      </w:r>
      <w:r>
        <w:rPr>
          <w:rFonts w:ascii="Arial" w:cs="Arial" w:eastAsia="Arial" w:hAnsi="Arial"/>
          <w:sz w:val="16"/>
          <w:szCs w:val="16"/>
          <w:i w:val="1"/>
          <w:iCs w:val="1"/>
          <w:color w:val="auto"/>
        </w:rPr>
        <w:t>.</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w:t>
      </w:r>
      <w:r>
        <w:rPr>
          <w:rFonts w:ascii="Arial" w:cs="Arial" w:eastAsia="Arial" w:hAnsi="Arial"/>
          <w:sz w:val="16"/>
          <w:szCs w:val="16"/>
          <w:i w:val="1"/>
          <w:iCs w:val="1"/>
          <w:color w:val="auto"/>
        </w:rPr>
        <w:t>Extension; Waiver</w:t>
      </w:r>
      <w:r>
        <w:rPr>
          <w:rFonts w:ascii="Arial" w:cs="Arial" w:eastAsia="Arial" w:hAnsi="Arial"/>
          <w:sz w:val="16"/>
          <w:szCs w:val="16"/>
          <w:color w:val="auto"/>
        </w:rPr>
        <w:t>. At any time prior to the Closing, Seller may, with respect to Purchaser, or Purchaser may, with respect to Seller, (a) extend the time for the performance of any of the obligations or other acts of the other Person, (b) waive any inaccuracies in the representations and warranties contained in this Agreement or in any document delivered pursuant to this Agreement, or (c) waive compliance with any of the agreements or conditions contained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waiver of compliance with such agreements or conditions shall not operate as a waiver of, or estoppel with respect to, any subsequent or other failure). Any such extension or waiver shall be valid only if set forth in an instrument in writing signed by the party granting such extension or waiver. Neither the waiver by any of the parties hereto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or thereunder.</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RANSACTION</w:t>
      </w:r>
      <w:r>
        <w:rPr>
          <w:rFonts w:ascii="Arial" w:cs="Arial" w:eastAsia="Arial" w:hAnsi="Arial"/>
          <w:sz w:val="18"/>
          <w:szCs w:val="18"/>
          <w:color w:val="auto"/>
        </w:rPr>
        <w:t xml:space="preserve"> C</w:t>
      </w:r>
      <w:r>
        <w:rPr>
          <w:rFonts w:ascii="Arial" w:cs="Arial" w:eastAsia="Arial" w:hAnsi="Arial"/>
          <w:sz w:val="14"/>
          <w:szCs w:val="14"/>
          <w:color w:val="auto"/>
        </w:rPr>
        <w:t>OSTS</w:t>
      </w:r>
    </w:p>
    <w:p>
      <w:pPr>
        <w:spacing w:after="0" w:line="165" w:lineRule="exact"/>
        <w:rPr>
          <w:sz w:val="20"/>
          <w:szCs w:val="20"/>
          <w:color w:val="auto"/>
        </w:rPr>
      </w:pPr>
    </w:p>
    <w:p>
      <w:pPr>
        <w:jc w:val="center"/>
        <w:ind w:left="680" w:right="20"/>
        <w:spacing w:after="0" w:line="440" w:lineRule="auto"/>
        <w:rPr>
          <w:sz w:val="20"/>
          <w:szCs w:val="20"/>
          <w:color w:val="auto"/>
        </w:rPr>
      </w:pP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 Taxes</w:t>
      </w:r>
      <w:r>
        <w:rPr>
          <w:rFonts w:ascii="Arial" w:cs="Arial" w:eastAsia="Arial" w:hAnsi="Arial"/>
          <w:sz w:val="18"/>
          <w:szCs w:val="18"/>
          <w:color w:val="auto"/>
        </w:rPr>
        <w:t>. All real property transfer tax and filing fees imposed by Chapter 21 of Title 11 of the Administrative Code of the City of New 28</w:t>
      </w:r>
    </w:p>
    <w:p>
      <w:pPr>
        <w:sectPr>
          <w:pgSz w:w="11900" w:h="16838" w:orient="portrait"/>
          <w:cols w:equalWidth="0" w:num="1">
            <w:col w:w="11400"/>
          </w:cols>
          <w:pgMar w:left="240" w:top="280" w:right="259" w:bottom="1440" w:gutter="0" w:footer="0" w:header="0"/>
        </w:sectPr>
      </w:pPr>
    </w:p>
    <w:bookmarkStart w:id="59" w:name="page60"/>
    <w:bookmarkEnd w:id="59"/>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York and all real estate transfer tax, if any, imposed by Article 31 of the New York State Tax Law with respect to the sale of the Transferred Assets, (collectively, “</w:t>
      </w:r>
      <w:r>
        <w:rPr>
          <w:rFonts w:ascii="Arial" w:cs="Arial" w:eastAsia="Arial" w:hAnsi="Arial"/>
          <w:sz w:val="16"/>
          <w:szCs w:val="16"/>
          <w:b w:val="1"/>
          <w:bCs w:val="1"/>
          <w:color w:val="auto"/>
        </w:rPr>
        <w:t>Transfer Taxes</w:t>
      </w:r>
      <w:r>
        <w:rPr>
          <w:rFonts w:ascii="Arial" w:cs="Arial" w:eastAsia="Arial" w:hAnsi="Arial"/>
          <w:sz w:val="16"/>
          <w:szCs w:val="16"/>
          <w:color w:val="auto"/>
        </w:rPr>
        <w:t>”) incurred in connection with the transactions contemplated by this Agreement shall be borne by Seller. The party that is required by applicable law to make the filings, reports, or returns with respect to any applicable Transfer Taxes shall prepare and execute the same and the other party shall cooperate with respect thereto as necessary. All Transfer Taxes payable by Seller shall be paid out of the Purchase Price at the Closing.</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t>
      </w:r>
      <w:r>
        <w:rPr>
          <w:rFonts w:ascii="Arial" w:cs="Arial" w:eastAsia="Arial" w:hAnsi="Arial"/>
          <w:sz w:val="18"/>
          <w:szCs w:val="18"/>
          <w:i w:val="1"/>
          <w:iCs w:val="1"/>
          <w:color w:val="auto"/>
        </w:rPr>
        <w:t>Title Fees</w:t>
      </w:r>
      <w:r>
        <w:rPr>
          <w:rFonts w:ascii="Arial" w:cs="Arial" w:eastAsia="Arial" w:hAnsi="Arial"/>
          <w:sz w:val="18"/>
          <w:szCs w:val="18"/>
          <w:color w:val="auto"/>
        </w:rPr>
        <w:t>. Purchaser shall pay all costs of (a) title searches commissioned by Purchaser and (b) an extended ALTA owner’s title insurance policy and endorsements with respect to the Transferred Assets.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w:t>
      </w:r>
      <w:r>
        <w:rPr>
          <w:rFonts w:ascii="Arial" w:cs="Arial" w:eastAsia="Arial" w:hAnsi="Arial"/>
          <w:sz w:val="18"/>
          <w:szCs w:val="18"/>
          <w:i w:val="1"/>
          <w:iCs w:val="1"/>
          <w:color w:val="auto"/>
        </w:rPr>
        <w:t>Brokerage Commissions</w:t>
      </w:r>
      <w:r>
        <w:rPr>
          <w:rFonts w:ascii="Arial" w:cs="Arial" w:eastAsia="Arial" w:hAnsi="Arial"/>
          <w:sz w:val="18"/>
          <w:szCs w:val="18"/>
          <w:color w:val="auto"/>
        </w:rPr>
        <w:t>. Seller represents and warrants to Purchaser (except with respect to CBRE who will be compensated by Seller under separate agreement), and Purchaser represents and warrants to Seller, that it has not dealt with any broker in a way which would entitle such broker to a commission in connection with the transactions contemplated under this Agreement, and each of Seller and Purchaser shall indemnify, defend and hold the other harmless from any and all claims for any commissions, compensation or fees arising from any breach of such representation or warranty by such party in connection with the transactions contemplated by this Agreement.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w:t>
      </w:r>
      <w:r>
        <w:rPr>
          <w:rFonts w:ascii="Arial" w:cs="Arial" w:eastAsia="Arial" w:hAnsi="Arial"/>
          <w:sz w:val="18"/>
          <w:szCs w:val="18"/>
          <w:i w:val="1"/>
          <w:iCs w:val="1"/>
          <w:color w:val="auto"/>
        </w:rPr>
        <w:t>IDA Expenses</w:t>
      </w:r>
      <w:r>
        <w:rPr>
          <w:rFonts w:ascii="Arial" w:cs="Arial" w:eastAsia="Arial" w:hAnsi="Arial"/>
          <w:sz w:val="18"/>
          <w:szCs w:val="18"/>
          <w:color w:val="auto"/>
        </w:rPr>
        <w:t>. All costs and expenses incurred in connection with obtaining the consent of the IDA to transfer the Premises shall be shared equally, except that each party shall bear the cost of their own attorney’s fees.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w:t>
      </w:r>
      <w:r>
        <w:rPr>
          <w:rFonts w:ascii="Arial" w:cs="Arial" w:eastAsia="Arial" w:hAnsi="Arial"/>
          <w:sz w:val="18"/>
          <w:szCs w:val="18"/>
          <w:i w:val="1"/>
          <w:iCs w:val="1"/>
          <w:color w:val="auto"/>
        </w:rPr>
        <w:t>Other Expenses</w:t>
      </w:r>
      <w:r>
        <w:rPr>
          <w:rFonts w:ascii="Arial" w:cs="Arial" w:eastAsia="Arial" w:hAnsi="Arial"/>
          <w:sz w:val="18"/>
          <w:szCs w:val="18"/>
          <w:color w:val="auto"/>
        </w:rPr>
        <w:t>. (a) Purchaser shall pay all costs related to the update and any recertification of the existing surveys or for any new survey, if required.</w:t>
      </w:r>
    </w:p>
    <w:p>
      <w:pPr>
        <w:spacing w:after="0" w:line="132" w:lineRule="exact"/>
        <w:rPr>
          <w:sz w:val="20"/>
          <w:szCs w:val="20"/>
          <w:color w:val="auto"/>
        </w:rPr>
      </w:pPr>
    </w:p>
    <w:p>
      <w:pPr>
        <w:ind w:right="260" w:firstLine="464"/>
        <w:spacing w:after="0" w:line="268"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Purchaser shall pay the Title Company’s escrow fee and any additional costs and charges customarily charged to sellers in accordance with common escrow practices in New York County.</w:t>
      </w:r>
    </w:p>
    <w:p>
      <w:pPr>
        <w:spacing w:after="0" w:line="131" w:lineRule="exact"/>
        <w:rPr>
          <w:rFonts w:ascii="Arial" w:cs="Arial" w:eastAsia="Arial" w:hAnsi="Arial"/>
          <w:sz w:val="18"/>
          <w:szCs w:val="18"/>
          <w:color w:val="auto"/>
        </w:rPr>
      </w:pPr>
    </w:p>
    <w:p>
      <w:pPr>
        <w:ind w:firstLine="464"/>
        <w:spacing w:after="0" w:line="259"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otherwise provided herein, all other transaction costs shall be allocated to and paid by Seller and Purchaser in accordance with the manner in which such costs are customarily borne by such parties in sales of property of a type similar to the Transferred Assets and located in New York City, State of New York.</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anything above to the contrary but subject to Section 15.15 below, each party shall pay the fees and expenses of its own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professional service personnel with respect to Closing the transaction contemplated herein, including legal counsel.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w:t>
      </w:r>
      <w:r>
        <w:rPr>
          <w:rFonts w:ascii="Arial" w:cs="Arial" w:eastAsia="Arial" w:hAnsi="Arial"/>
          <w:sz w:val="18"/>
          <w:szCs w:val="18"/>
          <w:i w:val="1"/>
          <w:iCs w:val="1"/>
          <w:color w:val="auto"/>
        </w:rPr>
        <w:t>Survival of Transaction Costs Obligations</w:t>
      </w:r>
      <w:r>
        <w:rPr>
          <w:rFonts w:ascii="Arial" w:cs="Arial" w:eastAsia="Arial" w:hAnsi="Arial"/>
          <w:sz w:val="18"/>
          <w:szCs w:val="18"/>
          <w:color w:val="auto"/>
        </w:rPr>
        <w:t>. The provisions of this Article 9 shall constitute Surviving Obligations.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DJUSTMENTS</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w:t>
      </w:r>
      <w:r>
        <w:rPr>
          <w:rFonts w:ascii="Arial" w:cs="Arial" w:eastAsia="Arial" w:hAnsi="Arial"/>
          <w:sz w:val="18"/>
          <w:szCs w:val="18"/>
          <w:i w:val="1"/>
          <w:iCs w:val="1"/>
          <w:color w:val="auto"/>
        </w:rPr>
        <w:t>Apportionment of Building Expenses</w:t>
      </w:r>
      <w:r>
        <w:rPr>
          <w:rFonts w:ascii="Arial" w:cs="Arial" w:eastAsia="Arial" w:hAnsi="Arial"/>
          <w:sz w:val="18"/>
          <w:szCs w:val="18"/>
          <w:color w:val="auto"/>
        </w:rPr>
        <w:t>. The rental amount due under the Existing NBC Lease receivable by Seller and any other amounts due under the Existing NBC Lease receivable by either party shall be apportioned as of 11:59 p.m. on the day prior to the Closing Date on the basis of the actual number of days in the calendar month in which the Closing occurs, and an adjustment shall be made to the Purchase Price at Closing in the manner specified below.</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w:t>
      </w:r>
      <w:r>
        <w:rPr>
          <w:rFonts w:ascii="Arial" w:cs="Arial" w:eastAsia="Arial" w:hAnsi="Arial"/>
          <w:sz w:val="16"/>
          <w:szCs w:val="16"/>
          <w:i w:val="1"/>
          <w:iCs w:val="1"/>
          <w:color w:val="auto"/>
        </w:rPr>
        <w:t>Method of Apportionment Payments</w:t>
      </w:r>
      <w:r>
        <w:rPr>
          <w:rFonts w:ascii="Arial" w:cs="Arial" w:eastAsia="Arial" w:hAnsi="Arial"/>
          <w:sz w:val="16"/>
          <w:szCs w:val="16"/>
          <w:color w:val="auto"/>
        </w:rPr>
        <w:t>. The excess of the sum of all apportionment payments, credits or adjustments provided in this Article 10 determinable at Closing owed to one party over the sum of all such apportionment payments, credits or adjustments owed to the other (the “</w:t>
      </w:r>
      <w:r>
        <w:rPr>
          <w:rFonts w:ascii="Arial" w:cs="Arial" w:eastAsia="Arial" w:hAnsi="Arial"/>
          <w:sz w:val="16"/>
          <w:szCs w:val="16"/>
          <w:b w:val="1"/>
          <w:bCs w:val="1"/>
          <w:color w:val="auto"/>
        </w:rPr>
        <w:t>Net</w:t>
      </w:r>
      <w:r>
        <w:rPr>
          <w:rFonts w:ascii="Arial" w:cs="Arial" w:eastAsia="Arial" w:hAnsi="Arial"/>
          <w:sz w:val="16"/>
          <w:szCs w:val="16"/>
          <w:color w:val="auto"/>
        </w:rPr>
        <w:t xml:space="preserve"> </w:t>
      </w:r>
      <w:r>
        <w:rPr>
          <w:rFonts w:ascii="Arial" w:cs="Arial" w:eastAsia="Arial" w:hAnsi="Arial"/>
          <w:sz w:val="16"/>
          <w:szCs w:val="16"/>
          <w:b w:val="1"/>
          <w:bCs w:val="1"/>
          <w:color w:val="auto"/>
        </w:rPr>
        <w:t>Apportionment Payment</w:t>
      </w:r>
      <w:r>
        <w:rPr>
          <w:rFonts w:ascii="Arial" w:cs="Arial" w:eastAsia="Arial" w:hAnsi="Arial"/>
          <w:sz w:val="16"/>
          <w:szCs w:val="16"/>
          <w:color w:val="auto"/>
        </w:rPr>
        <w:t>”) shall (a) if the Net Apportionment Payment is due Purchaser, be treated as a credit against the balance of the Purchase Price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at Closing in accordance with the provisions hereof and (b) if the Net Apportionment Payment is due Seller, be made on the Closing Date by wire transfer through the Escrow Agent. If any such apportionments or adjustments are not determinable at the Closing, the adjustment or apportionment shall promptly be made subsequent to the Closing when the charge is determined. Any errors or omissions in computing apportionments and adjustments at the Closing shall be promptly corrected, and any corrective payments shall be promptly made. Any adjustments or apportionments determined after the Closing pursuant to the immediately preceding two sentences shall be paid by the appropriate party to the other party within five (5) Business Days of such determination by wire transfer in accordance with wire instructions provided by the party due such payment.</w:t>
      </w:r>
    </w:p>
    <w:p>
      <w:pPr>
        <w:spacing w:after="0" w:line="120"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u w:val="single" w:color="auto"/>
          <w:color w:val="auto"/>
        </w:rPr>
        <w:t>Section 10.03</w:t>
      </w:r>
      <w:r>
        <w:rPr>
          <w:rFonts w:ascii="Arial" w:cs="Arial" w:eastAsia="Arial" w:hAnsi="Arial"/>
          <w:sz w:val="15"/>
          <w:szCs w:val="15"/>
          <w:color w:val="auto"/>
        </w:rPr>
        <w:t xml:space="preserve">. </w:t>
      </w:r>
      <w:r>
        <w:rPr>
          <w:rFonts w:ascii="Arial" w:cs="Arial" w:eastAsia="Arial" w:hAnsi="Arial"/>
          <w:sz w:val="15"/>
          <w:szCs w:val="15"/>
          <w:i w:val="1"/>
          <w:iCs w:val="1"/>
          <w:color w:val="auto"/>
        </w:rPr>
        <w:t>Survival of Apportionment Obligations</w:t>
      </w:r>
      <w:r>
        <w:rPr>
          <w:rFonts w:ascii="Arial" w:cs="Arial" w:eastAsia="Arial" w:hAnsi="Arial"/>
          <w:sz w:val="15"/>
          <w:szCs w:val="15"/>
          <w:color w:val="auto"/>
        </w:rPr>
        <w:t>. Purchaser’s and Seller’s obligations to apportion the above costs and make the above adjustments shall constitute Surviving Obligations until the first anniversary of the Closing Date (unless within such time Purchaser or Seller make a claim against the other with respect to such obligation, in which case, with respect to such claim, the obligation shall constitute Surviving Obligations without time limitation).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NMARKETABILITY OF</w:t>
      </w:r>
      <w:r>
        <w:rPr>
          <w:rFonts w:ascii="Arial" w:cs="Arial" w:eastAsia="Arial" w:hAnsi="Arial"/>
          <w:sz w:val="18"/>
          <w:szCs w:val="18"/>
          <w:color w:val="auto"/>
        </w:rPr>
        <w:t xml:space="preserve"> T</w:t>
      </w:r>
      <w:r>
        <w:rPr>
          <w:rFonts w:ascii="Arial" w:cs="Arial" w:eastAsia="Arial" w:hAnsi="Arial"/>
          <w:sz w:val="14"/>
          <w:szCs w:val="14"/>
          <w:color w:val="auto"/>
        </w:rPr>
        <w:t>ITLE</w:t>
      </w:r>
    </w:p>
    <w:p>
      <w:pPr>
        <w:spacing w:after="0" w:line="165"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u w:val="single" w:color="auto"/>
          <w:color w:val="auto"/>
        </w:rPr>
        <w:t>Section 11.01</w:t>
      </w:r>
      <w:r>
        <w:rPr>
          <w:rFonts w:ascii="Arial" w:cs="Arial" w:eastAsia="Arial" w:hAnsi="Arial"/>
          <w:sz w:val="15"/>
          <w:szCs w:val="15"/>
          <w:color w:val="auto"/>
        </w:rPr>
        <w:t xml:space="preserve">. </w:t>
      </w:r>
      <w:r>
        <w:rPr>
          <w:rFonts w:ascii="Arial" w:cs="Arial" w:eastAsia="Arial" w:hAnsi="Arial"/>
          <w:sz w:val="15"/>
          <w:szCs w:val="15"/>
          <w:i w:val="1"/>
          <w:iCs w:val="1"/>
          <w:color w:val="auto"/>
        </w:rPr>
        <w:t>Unmarketability of Title</w:t>
      </w:r>
      <w:r>
        <w:rPr>
          <w:rFonts w:ascii="Arial" w:cs="Arial" w:eastAsia="Arial" w:hAnsi="Arial"/>
          <w:sz w:val="15"/>
          <w:szCs w:val="15"/>
          <w:color w:val="auto"/>
        </w:rPr>
        <w:t xml:space="preserve">. (a) Purchaser has previously delivered, and Seller hereby acknowledges receipt of, a title commitment issued by Chicago Title Insurance Company labeled Commitment No. 3113-00041 dated as of January 17, 2013 for the Premises (as revised and attached hereto as </w:t>
      </w:r>
      <w:r>
        <w:rPr>
          <w:rFonts w:ascii="Arial" w:cs="Arial" w:eastAsia="Arial" w:hAnsi="Arial"/>
          <w:sz w:val="15"/>
          <w:szCs w:val="15"/>
          <w:u w:val="single" w:color="auto"/>
          <w:color w:val="auto"/>
        </w:rPr>
        <w:t>Exhibit</w:t>
      </w:r>
      <w:r>
        <w:rPr>
          <w:rFonts w:ascii="Arial" w:cs="Arial" w:eastAsia="Arial" w:hAnsi="Arial"/>
          <w:sz w:val="15"/>
          <w:szCs w:val="15"/>
          <w:color w:val="auto"/>
        </w:rPr>
        <w:t xml:space="preserve"> </w:t>
      </w:r>
      <w:r>
        <w:rPr>
          <w:rFonts w:ascii="Arial" w:cs="Arial" w:eastAsia="Arial" w:hAnsi="Arial"/>
          <w:sz w:val="15"/>
          <w:szCs w:val="15"/>
          <w:u w:val="single" w:color="auto"/>
          <w:color w:val="auto"/>
        </w:rPr>
        <w:t>I</w:t>
      </w:r>
      <w:r>
        <w:rPr>
          <w:rFonts w:ascii="Arial" w:cs="Arial" w:eastAsia="Arial" w:hAnsi="Arial"/>
          <w:sz w:val="15"/>
          <w:szCs w:val="15"/>
          <w:color w:val="auto"/>
        </w:rPr>
        <w:t>, the “</w:t>
      </w:r>
      <w:r>
        <w:rPr>
          <w:rFonts w:ascii="Arial" w:cs="Arial" w:eastAsia="Arial" w:hAnsi="Arial"/>
          <w:sz w:val="15"/>
          <w:szCs w:val="15"/>
          <w:b w:val="1"/>
          <w:bCs w:val="1"/>
          <w:color w:val="auto"/>
        </w:rPr>
        <w:t>Commitment</w:t>
      </w:r>
      <w:r>
        <w:rPr>
          <w:rFonts w:ascii="Arial" w:cs="Arial" w:eastAsia="Arial" w:hAnsi="Arial"/>
          <w:sz w:val="15"/>
          <w:szCs w:val="15"/>
          <w:color w:val="auto"/>
        </w:rPr>
        <w:t>”). Any Liens or encumbrances, with the exception of the Mortgage, shown on the Commitment shall be deemed to be “Permitted Liens” and shall not be raised by Purchaser as an objection to title. If any exceptions, other than Permitted Exceptions, appear on title prior to the Closing Date that are unacceptable to Purchaser, Purchaser shall immediately, but in all cases prior to the Closing Date, notify Seller in writing of such matters (“</w:t>
      </w:r>
      <w:r>
        <w:rPr>
          <w:rFonts w:ascii="Arial" w:cs="Arial" w:eastAsia="Arial" w:hAnsi="Arial"/>
          <w:sz w:val="15"/>
          <w:szCs w:val="15"/>
          <w:b w:val="1"/>
          <w:bCs w:val="1"/>
          <w:color w:val="auto"/>
        </w:rPr>
        <w:t>Title Objections</w:t>
      </w:r>
      <w:r>
        <w:rPr>
          <w:rFonts w:ascii="Arial" w:cs="Arial" w:eastAsia="Arial" w:hAnsi="Arial"/>
          <w:sz w:val="15"/>
          <w:szCs w:val="15"/>
          <w:color w:val="auto"/>
        </w:rPr>
        <w:t>”). Subject to Section 11.01(b) below, and except for (i) Title Objections that are timely raised pursuant to the preceding sentence, and (ii) the Mortgage, Purchaser shall be deemed to have accepted all exceptions to the title. Within five (5) Business Days after Seller’s receipt of such notice of Title Objections, Seller shall notify Purchaser in writing whether or not Seller elects to attempt to cure Title Objections. Seller’s failure to provide such a notice will be deemed an election by Seller not to cure such Title Objections. If Seller is unable or unwilling to eliminate or modify all Title Objections to the reasonable satisfaction of Purchaser, Purchaser may (as its sole and exclusive remedy) terminate this Agreement by delivering written notice to Seller by the earlier to occur of (i) the Closing Date or</w:t>
      </w:r>
    </w:p>
    <w:p>
      <w:pPr>
        <w:spacing w:after="0" w:line="4" w:lineRule="exact"/>
        <w:rPr>
          <w:sz w:val="20"/>
          <w:szCs w:val="20"/>
          <w:color w:val="auto"/>
        </w:rPr>
      </w:pPr>
    </w:p>
    <w:p>
      <w:pPr>
        <w:ind w:right="260" w:firstLine="8"/>
        <w:spacing w:after="0" w:line="261" w:lineRule="auto"/>
        <w:tabs>
          <w:tab w:leader="none" w:pos="2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five (5) days after Seller’s written notice (or deemed notice) to Purchaser of Seller’s intent to not cure one or more of such Title Objections; in which event neither party shall have any rights or obligations under this Agreement other than the Surviving Obligations.</w:t>
      </w:r>
    </w:p>
    <w:p>
      <w:pPr>
        <w:spacing w:after="0" w:line="137" w:lineRule="exact"/>
        <w:rPr>
          <w:rFonts w:ascii="Arial" w:cs="Arial" w:eastAsia="Arial" w:hAnsi="Arial"/>
          <w:sz w:val="18"/>
          <w:szCs w:val="18"/>
          <w:color w:val="auto"/>
        </w:rPr>
      </w:pPr>
    </w:p>
    <w:p>
      <w:pPr>
        <w:ind w:left="720" w:hanging="256"/>
        <w:spacing w:after="0"/>
        <w:tabs>
          <w:tab w:leader="none" w:pos="7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Notwithstanding the foregoing, at or before Closing, Seller shall pay or discharge (i) any mortgage or consensual lien of Seller (without limitation), and</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Lien caused by Seller for an ascertainable amount, but not to exceed $100,000,000.</w:t>
      </w:r>
    </w:p>
    <w:p>
      <w:pPr>
        <w:spacing w:after="0" w:line="164" w:lineRule="exact"/>
        <w:rPr>
          <w:rFonts w:ascii="Arial" w:cs="Arial" w:eastAsia="Arial" w:hAnsi="Arial"/>
          <w:sz w:val="18"/>
          <w:szCs w:val="18"/>
          <w:color w:val="auto"/>
        </w:rPr>
      </w:pPr>
    </w:p>
    <w:p>
      <w:pPr>
        <w:ind w:firstLine="464"/>
        <w:spacing w:after="0" w:line="291"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 its discretion, Seller may adjourn the Closing for up to thirty (30) days in the aggregate in order to eliminate Title Objections. In lieu of eliminating any Title Objections which Seller may elect, or be required, pursuant to the express terms hereof, to eliminate under this Agreement, Seller may deposit with the Title Company such amount of money as may be determined by the Title Company as being sufficient, or indemnify the Title Company, to induce the Title Company, without the payment of any additional premium, to omit such Title Objections from Purchaser’s title insurance policy. If Seller is unable to so eliminate or omit all such Title Objections in accordance with the terms of this Agreement on or before such adjourned date for the Closing, Seller shall so notify Purchaser in writing, and then Purchaser shall elect, within five (5) Business Days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62" w:name="page63"/>
    <w:bookmarkEnd w:id="6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Seller notice, either to (i) terminate this Agreement by notice given to Seller, in which event the parties to this Agreement shall have no further rights or obligations hereunder other than the Surviving Obligations, or (ii) accept the Transferred Assets subject to such Title Objections with no reduction in the Purchase Price.</w:t>
      </w:r>
    </w:p>
    <w:p>
      <w:pPr>
        <w:spacing w:after="0" w:line="140" w:lineRule="exact"/>
        <w:rPr>
          <w:sz w:val="20"/>
          <w:szCs w:val="20"/>
          <w:color w:val="auto"/>
        </w:rPr>
      </w:pPr>
    </w:p>
    <w:p>
      <w:pPr>
        <w:ind w:right="20" w:firstLine="464"/>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Unpaid Liens for delinquent installments of taxes, assessments, water charges, and sewer rents, if any, or assessments or any amounts payable under the Condominium Documents, if any, shall not be objections to title if the same are, under the express terms of the Existing NBC Lease, NBCU’s obligation to pay and remove of record.</w:t>
      </w:r>
    </w:p>
    <w:p>
      <w:pPr>
        <w:spacing w:after="0" w:line="140" w:lineRule="exact"/>
        <w:rPr>
          <w:rFonts w:ascii="Arial" w:cs="Arial" w:eastAsia="Arial" w:hAnsi="Arial"/>
          <w:sz w:val="18"/>
          <w:szCs w:val="18"/>
          <w:color w:val="auto"/>
        </w:rPr>
      </w:pPr>
    </w:p>
    <w:p>
      <w:pPr>
        <w:ind w:firstLine="464"/>
        <w:spacing w:after="0" w:line="259"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extent any Permitted Liens are not of record or, although of record, are no longer binding against the owner of the Premises or Transferred Assets, as applicable, nothing herein shall operate or be construed to be a recognition by Seller or Purchaser of the validity or binding effect of any such Permitted Liens.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ISK OF</w:t>
      </w:r>
      <w:r>
        <w:rPr>
          <w:rFonts w:ascii="Arial" w:cs="Arial" w:eastAsia="Arial" w:hAnsi="Arial"/>
          <w:sz w:val="18"/>
          <w:szCs w:val="18"/>
          <w:color w:val="auto"/>
        </w:rPr>
        <w:t xml:space="preserve"> L</w:t>
      </w:r>
      <w:r>
        <w:rPr>
          <w:rFonts w:ascii="Arial" w:cs="Arial" w:eastAsia="Arial" w:hAnsi="Arial"/>
          <w:sz w:val="14"/>
          <w:szCs w:val="14"/>
          <w:color w:val="auto"/>
        </w:rPr>
        <w:t>OSS</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u w:val="single" w:color="auto"/>
          <w:color w:val="auto"/>
        </w:rPr>
        <w:t>Section 12.01</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by Purchaser</w:t>
      </w:r>
      <w:r>
        <w:rPr>
          <w:rFonts w:ascii="Arial" w:cs="Arial" w:eastAsia="Arial" w:hAnsi="Arial"/>
          <w:sz w:val="16"/>
          <w:szCs w:val="16"/>
          <w:color w:val="auto"/>
        </w:rPr>
        <w:t>. If, prior to the Closing Date, all or any material portion of the Premises is taken by Condemnation, or is the subject of a pending Condemnation which has not been consummated, or is destroyed or damaged by any Casualty, each party shall notify the other of such fact promptly after it is known by either party. If such Condemnation or Casualty is Material (as such term is hereinafter defined), Purchaser shall have the option to terminate this Agreement upon notice to Seller given not later than fifteen (15) days after receipt of Seller’s notice, or the Business Day prior to the Closing Date, whichever is earlier, TIME BEING OF THE ESSENCE. If this Agreement is terminated, neither Seller nor Purchaser shall have any further rights or obligations to the other hereunder except with respect to the Surviving Obligations.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w:t>
      </w:r>
      <w:r>
        <w:rPr>
          <w:rFonts w:ascii="Arial" w:cs="Arial" w:eastAsia="Arial" w:hAnsi="Arial"/>
          <w:sz w:val="16"/>
          <w:szCs w:val="16"/>
          <w:i w:val="1"/>
          <w:iCs w:val="1"/>
          <w:color w:val="auto"/>
        </w:rPr>
        <w:t>Repair or Restoration.</w:t>
      </w:r>
      <w:r>
        <w:rPr>
          <w:rFonts w:ascii="Arial" w:cs="Arial" w:eastAsia="Arial" w:hAnsi="Arial"/>
          <w:sz w:val="16"/>
          <w:szCs w:val="16"/>
          <w:color w:val="auto"/>
        </w:rPr>
        <w:t xml:space="preserve"> If this Agreement is not terminated pursuant to Section 12.01, or if neither the Condemnation nor the Casualty is Material, the provisions of the Existing NBC Lease shall remain applicable until Closing and Seller shall use commercially reasonable efforts to commence and pursue, in accordance with and to the extent of Seller’s obligations under the Existing NBC Lease, such repair or restoration of the Premises as may be reasonably necessary to continue the operation of the Premises in the manner set forth in the Existing NBC Lease.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63" w:name="page64"/>
    <w:bookmarkEnd w:id="63"/>
    <w:p>
      <w:pPr>
        <w:ind w:right="20" w:firstLine="456"/>
        <w:spacing w:after="0" w:line="302"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12.03</w:t>
      </w:r>
      <w:r>
        <w:rPr>
          <w:rFonts w:ascii="Arial" w:cs="Arial" w:eastAsia="Arial" w:hAnsi="Arial"/>
          <w:sz w:val="15"/>
          <w:szCs w:val="15"/>
          <w:color w:val="auto"/>
        </w:rPr>
        <w:t xml:space="preserve">. </w:t>
      </w:r>
      <w:r>
        <w:rPr>
          <w:rFonts w:ascii="Arial" w:cs="Arial" w:eastAsia="Arial" w:hAnsi="Arial"/>
          <w:sz w:val="15"/>
          <w:szCs w:val="15"/>
          <w:i w:val="1"/>
          <w:iCs w:val="1"/>
          <w:color w:val="auto"/>
        </w:rPr>
        <w:t>Proceeds and Awards.</w:t>
      </w:r>
      <w:r>
        <w:rPr>
          <w:rFonts w:ascii="Arial" w:cs="Arial" w:eastAsia="Arial" w:hAnsi="Arial"/>
          <w:sz w:val="15"/>
          <w:szCs w:val="15"/>
          <w:color w:val="auto"/>
        </w:rPr>
        <w:t xml:space="preserve"> Seller, following any such Casualty or Condemnation, shall diligently pursue any and all claims for insurance proceeds or Condemnation awards with respect to such Casualty or Condemnation. At Closing, Seller shall assign and turn over to Purchaser all of the insurance proceeds or Condemnation awards, as applicable, net of the reasonable costs of collection of the same and net of the reasonable costs of any repairs made by Seller out of such proceeds or awards and net of reasonable costs (or, if such proceeds or awards have not been paid or awarded, all of its right to receive the same net of such amounts) including any business interruption insurance pertaining to periods after the Closing for such Casualty or Condemnation,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spacing w:after="0" w:line="2" w:lineRule="exact"/>
        <w:rPr>
          <w:sz w:val="20"/>
          <w:szCs w:val="20"/>
          <w:color w:val="auto"/>
        </w:rPr>
      </w:pPr>
    </w:p>
    <w:p>
      <w:pPr>
        <w:ind w:firstLine="8"/>
        <w:spacing w:after="0" w:line="255" w:lineRule="auto"/>
        <w:tabs>
          <w:tab w:leader="none" w:pos="2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Purchaser and Seller shall jointly file and prosecute the adjustment, compromise or settlement of any claim for any insurance proceeds or Condemnation awards and shall keep Seller informed of such matters, and (ii) the parties shall proceed to Closing pursuant to the terms hereof without abatement of the Purchase Price except for a credit to Purchaser in the amount of the applicable insurance deductible.</w:t>
      </w:r>
    </w:p>
    <w:p>
      <w:pPr>
        <w:spacing w:after="0" w:line="144"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w:t>
      </w:r>
      <w:r>
        <w:rPr>
          <w:rFonts w:ascii="Arial" w:cs="Arial" w:eastAsia="Arial" w:hAnsi="Arial"/>
          <w:sz w:val="16"/>
          <w:szCs w:val="16"/>
          <w:i w:val="1"/>
          <w:iCs w:val="1"/>
          <w:color w:val="auto"/>
        </w:rPr>
        <w:t>No Seller Liability</w:t>
      </w:r>
      <w:r>
        <w:rPr>
          <w:rFonts w:ascii="Arial" w:cs="Arial" w:eastAsia="Arial" w:hAnsi="Arial"/>
          <w:sz w:val="16"/>
          <w:szCs w:val="16"/>
          <w:color w:val="auto"/>
        </w:rPr>
        <w:t>. Except to the extent Seller does not comply with Section 12.02, Seller shall not have any liability of any sort to Purchaser in connection with the performance or product or any other matter relating to the work contemplated by Section 12.02.</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12.05</w:t>
      </w:r>
      <w:r>
        <w:rPr>
          <w:rFonts w:ascii="Arial" w:cs="Arial" w:eastAsia="Arial" w:hAnsi="Arial"/>
          <w:sz w:val="18"/>
          <w:szCs w:val="18"/>
          <w:color w:val="auto"/>
        </w:rPr>
        <w:t xml:space="preserve">. </w:t>
      </w:r>
      <w:r>
        <w:rPr>
          <w:rFonts w:ascii="Arial" w:cs="Arial" w:eastAsia="Arial" w:hAnsi="Arial"/>
          <w:sz w:val="18"/>
          <w:szCs w:val="18"/>
          <w:i w:val="1"/>
          <w:iCs w:val="1"/>
          <w:color w:val="auto"/>
        </w:rPr>
        <w:t>Materiality</w:t>
      </w:r>
      <w:r>
        <w:rPr>
          <w:rFonts w:ascii="Arial" w:cs="Arial" w:eastAsia="Arial" w:hAnsi="Arial"/>
          <w:sz w:val="18"/>
          <w:szCs w:val="18"/>
          <w:color w:val="auto"/>
        </w:rPr>
        <w:t>. For purposes of this Article 12, the term “</w:t>
      </w:r>
      <w:r>
        <w:rPr>
          <w:rFonts w:ascii="Arial" w:cs="Arial" w:eastAsia="Arial" w:hAnsi="Arial"/>
          <w:sz w:val="18"/>
          <w:szCs w:val="18"/>
          <w:b w:val="1"/>
          <w:bCs w:val="1"/>
          <w:color w:val="auto"/>
        </w:rPr>
        <w:t>Material</w:t>
      </w:r>
      <w:r>
        <w:rPr>
          <w:rFonts w:ascii="Arial" w:cs="Arial" w:eastAsia="Arial" w:hAnsi="Arial"/>
          <w:sz w:val="18"/>
          <w:szCs w:val="18"/>
          <w:color w:val="auto"/>
        </w:rPr>
        <w:t>” shall mean:</w:t>
      </w:r>
    </w:p>
    <w:p>
      <w:pPr>
        <w:spacing w:after="0" w:line="177" w:lineRule="exact"/>
        <w:rPr>
          <w:sz w:val="20"/>
          <w:szCs w:val="20"/>
          <w:color w:val="auto"/>
        </w:rPr>
      </w:pPr>
    </w:p>
    <w:p>
      <w:pPr>
        <w:ind w:firstLine="464"/>
        <w:spacing w:after="0" w:line="259"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Condemnation, a Condemnation of any portion of the Premises, excluding, however, any Condemnation solely of subsurface rights or Condemnations for utility easements or right of way easements, if such Condemnation materially impairs the use of the Premises in substantially the same manner as though such rights had not been taken; and</w:t>
      </w:r>
    </w:p>
    <w:p>
      <w:pPr>
        <w:spacing w:after="0" w:line="140"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Casualty, any Casualty to the Premises such that the damage or destruction, as reasonably estimated by an independent engineer selected by Seller, reasonably approved by Purchaser and licensed to do business in the State of New York, amounts to more than (1) 30% of the square footage of the Units, or (2) 50% of the Production Critical Operations (as defined in the Existing NBC Lease).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u w:val="single" w:color="auto"/>
          <w:color w:val="auto"/>
        </w:rPr>
        <w:t>Section 12.06</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Obligations Law</w:t>
      </w:r>
      <w:r>
        <w:rPr>
          <w:rFonts w:ascii="Arial" w:cs="Arial" w:eastAsia="Arial" w:hAnsi="Arial"/>
          <w:sz w:val="18"/>
          <w:szCs w:val="18"/>
          <w:color w:val="auto"/>
        </w:rPr>
        <w:t>. The provisions of this Article 12 are intended to supersede those of Section 5-1311 of the General Obligations Law of New York.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p>
    <w:p>
      <w:pPr>
        <w:spacing w:after="0" w:line="16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u w:val="single" w:color="auto"/>
          <w:color w:val="auto"/>
        </w:rPr>
        <w:t>Section 13.01</w:t>
      </w:r>
      <w:r>
        <w:rPr>
          <w:rFonts w:ascii="Arial" w:cs="Arial" w:eastAsia="Arial" w:hAnsi="Arial"/>
          <w:sz w:val="16"/>
          <w:szCs w:val="16"/>
          <w:color w:val="auto"/>
        </w:rPr>
        <w:t xml:space="preserve">. </w:t>
      </w:r>
      <w:r>
        <w:rPr>
          <w:rFonts w:ascii="Arial" w:cs="Arial" w:eastAsia="Arial" w:hAnsi="Arial"/>
          <w:sz w:val="16"/>
          <w:szCs w:val="16"/>
          <w:i w:val="1"/>
          <w:iCs w:val="1"/>
          <w:color w:val="auto"/>
        </w:rPr>
        <w:t>Indemnification</w:t>
      </w:r>
      <w:r>
        <w:rPr>
          <w:rFonts w:ascii="Arial" w:cs="Arial" w:eastAsia="Arial" w:hAnsi="Arial"/>
          <w:sz w:val="16"/>
          <w:szCs w:val="16"/>
          <w:color w:val="auto"/>
        </w:rPr>
        <w:t>. (a) Subject to the provisions of this Article 13, Seller shall indemnify, defend and hold harmless Purchaser, its Affiliates, and their respective successors, assigns, directors and officers (collectively, the “</w:t>
      </w:r>
      <w:r>
        <w:rPr>
          <w:rFonts w:ascii="Arial" w:cs="Arial" w:eastAsia="Arial" w:hAnsi="Arial"/>
          <w:sz w:val="16"/>
          <w:szCs w:val="16"/>
          <w:b w:val="1"/>
          <w:bCs w:val="1"/>
          <w:color w:val="auto"/>
        </w:rPr>
        <w:t>Purchaser Indemnified Parties</w:t>
      </w:r>
      <w:r>
        <w:rPr>
          <w:rFonts w:ascii="Arial" w:cs="Arial" w:eastAsia="Arial" w:hAnsi="Arial"/>
          <w:sz w:val="16"/>
          <w:szCs w:val="16"/>
          <w:color w:val="auto"/>
        </w:rPr>
        <w:t>”) against, and reimburse any Purchaser Indemnified Party for, all Losses that such Purchaser Indemnified Party may suffer or incur, or become subject to, as a result of:</w:t>
      </w:r>
    </w:p>
    <w:p>
      <w:pPr>
        <w:spacing w:after="0" w:line="26" w:lineRule="exact"/>
        <w:rPr>
          <w:sz w:val="20"/>
          <w:szCs w:val="20"/>
          <w:color w:val="auto"/>
        </w:rPr>
      </w:pPr>
    </w:p>
    <w:p>
      <w:pPr>
        <w:ind w:left="920" w:firstLine="421"/>
        <w:spacing w:after="0" w:line="289" w:lineRule="auto"/>
        <w:tabs>
          <w:tab w:leader="none" w:pos="1549"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failure of any representations or warranties made by Seller in this Agreement to be true and correct on and as of the date hereof or, as set forth in Seller’s certificate (pursuant to Section 7.03(a)(ix)) updating such representations and warranties (it being understood that the indemnification pursuant to this Section 13.01(a)(i) shall be available for any such updated matters that did not result in the failure of the condition to Closing set forth in Section 8.01(a) to be satisfied at Closing), on and as of the Closing Date (or with respect to representations and warranties that are made as of a specific date, the failure of such representations and warranties to be true and correct as of such date), determined without regard to any qualification or exception contained therein relating to “materiality”, including the word “material” (other than in the phrase “materially impair or delay”); provided, that no Purchaser Indemnified Party shall have any right to indemnification hereunder with respect to any Loss to the extent of Purchaser’s or NBCU’s knowledge of, or actions resulting in, the facts giving rise to such Loss or alleged Loss prior to the Closing; or</w:t>
      </w:r>
    </w:p>
    <w:p>
      <w:pPr>
        <w:spacing w:after="0" w:line="37" w:lineRule="exact"/>
        <w:rPr>
          <w:rFonts w:ascii="Arial" w:cs="Arial" w:eastAsia="Arial" w:hAnsi="Arial"/>
          <w:sz w:val="16"/>
          <w:szCs w:val="16"/>
          <w:color w:val="auto"/>
        </w:rPr>
      </w:pPr>
    </w:p>
    <w:p>
      <w:pPr>
        <w:ind w:left="920" w:right="620" w:firstLine="421"/>
        <w:spacing w:after="0" w:line="268" w:lineRule="auto"/>
        <w:tabs>
          <w:tab w:leader="none" w:pos="15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breach or failure by Seller to perform any of its covenants or Surviving Obligations contained in this Agreement, including the obligation to pay any Transfer Taxes, penalties or interest.</w:t>
      </w:r>
    </w:p>
    <w:p>
      <w:pPr>
        <w:spacing w:after="0" w:line="131"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the provisions of this Article 13, Purchaser shall indemnify, defend and hold harmless Seller, its Affiliates, and their respective successors, assigns, directors and officers (collectively, the “</w:t>
      </w:r>
      <w:r>
        <w:rPr>
          <w:rFonts w:ascii="Arial" w:cs="Arial" w:eastAsia="Arial" w:hAnsi="Arial"/>
          <w:sz w:val="18"/>
          <w:szCs w:val="18"/>
          <w:b w:val="1"/>
          <w:bCs w:val="1"/>
          <w:color w:val="auto"/>
        </w:rPr>
        <w:t>Seller Indemnified Parties</w:t>
      </w:r>
      <w:r>
        <w:rPr>
          <w:rFonts w:ascii="Arial" w:cs="Arial" w:eastAsia="Arial" w:hAnsi="Arial"/>
          <w:sz w:val="18"/>
          <w:szCs w:val="18"/>
          <w:color w:val="auto"/>
        </w:rPr>
        <w:t>”) against, and reimburse any Seller Indemnified Party for, all Losses that such Seller Indemnified Party may suffer or incur, or become subject to, as a result of:</w:t>
      </w:r>
    </w:p>
    <w:p>
      <w:pPr>
        <w:spacing w:after="0" w:line="59" w:lineRule="exact"/>
        <w:rPr>
          <w:rFonts w:ascii="Arial" w:cs="Arial" w:eastAsia="Arial" w:hAnsi="Arial"/>
          <w:sz w:val="18"/>
          <w:szCs w:val="18"/>
          <w:color w:val="auto"/>
        </w:rPr>
      </w:pPr>
    </w:p>
    <w:p>
      <w:pPr>
        <w:ind w:left="920" w:right="160" w:firstLine="421"/>
        <w:spacing w:after="0" w:line="259" w:lineRule="auto"/>
        <w:tabs>
          <w:tab w:leader="none" w:pos="1549"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failure of any representations or warranties made by Purchaser in this Agreement to be true and correct on and as of the date hereof or, as set forth in Seller’s certificate (pursuant to Section 7.03(b)(vii)) updating such representations and warranties (it being understood that the indemnification pursuant to this Section 13.01(b)(i)</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65" w:name="page66"/>
    <w:bookmarkEnd w:id="65"/>
    <w:p>
      <w:pPr>
        <w:ind w:left="92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available for any such updated matters that did not result in the failure of the condition to Closing set forth in Section 8.01(b) to be satisfied at Closing), on and as of the Closing Date (or with respect to representations and warranties that are made as of a specific date, the failure of such representations and warranties to be true and correct as of such date), determined without regard to any qualification or exception contained therein relating to “materiality”, including the word “material” (other than in the phrase “materially impair or delay”); provided, that no Seller Indemnified Party shall have any right of indemnification hereunder with respect to any Loss to the extent of Seller’s or GECC’s knowledge of, or actions resulting in, the facts giving rise to such Loss or alleged Loss prior to the Closing; or</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 any breach or failure by Purchaser to perform any of its covenants or Surviving Obligations contained in this Agreement.</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avoidance of doubt, the use of the term “knowledge” in the foregoing Section 13.01 is expressly not limited in any way by the definition of Purchaser’s Knowledge or Seller’s Knowledge. Any and all documents, agreement, reports, information, notices or materials in the possession of, or known to, a party or its Affiliates shall be deemed to be within the knowledge of such party as used in the foregoing Section 13.01.</w:t>
      </w:r>
    </w:p>
    <w:p>
      <w:pPr>
        <w:spacing w:after="0" w:line="10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w:t>
      </w:r>
      <w:r>
        <w:rPr>
          <w:rFonts w:ascii="Arial" w:cs="Arial" w:eastAsia="Arial" w:hAnsi="Arial"/>
          <w:sz w:val="16"/>
          <w:szCs w:val="16"/>
          <w:i w:val="1"/>
          <w:iCs w:val="1"/>
          <w:color w:val="auto"/>
        </w:rPr>
        <w:t>Notification of Claims</w:t>
      </w:r>
      <w:r>
        <w:rPr>
          <w:rFonts w:ascii="Arial" w:cs="Arial" w:eastAsia="Arial" w:hAnsi="Arial"/>
          <w:sz w:val="16"/>
          <w:szCs w:val="16"/>
          <w:color w:val="auto"/>
        </w:rPr>
        <w:t>. (a) A Person that may be entitled to be indemnified under this Agreement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party or parties liable for such indemnification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of any assertion of any pending or threatened claim, demand or proceeding that the Indemnified Party has determined has given or would reasonably be expected to give rise to a right of indemnification under this Agreement (including a pending or threatened claim, demand or proceeding asserted by a third party against the Indemnified Party, such claim being a “</w:t>
      </w:r>
      <w:r>
        <w:rPr>
          <w:rFonts w:ascii="Arial" w:cs="Arial" w:eastAsia="Arial" w:hAnsi="Arial"/>
          <w:sz w:val="16"/>
          <w:szCs w:val="16"/>
          <w:b w:val="1"/>
          <w:bCs w:val="1"/>
          <w:color w:val="auto"/>
        </w:rPr>
        <w:t>Third Party</w:t>
      </w:r>
      <w:r>
        <w:rPr>
          <w:rFonts w:ascii="Arial" w:cs="Arial" w:eastAsia="Arial" w:hAnsi="Arial"/>
          <w:sz w:val="16"/>
          <w:szCs w:val="16"/>
          <w:color w:val="auto"/>
        </w:rPr>
        <w:t xml:space="preserve"> </w:t>
      </w:r>
      <w:r>
        <w:rPr>
          <w:rFonts w:ascii="Arial" w:cs="Arial" w:eastAsia="Arial" w:hAnsi="Arial"/>
          <w:sz w:val="16"/>
          <w:szCs w:val="16"/>
          <w:b w:val="1"/>
          <w:bCs w:val="1"/>
          <w:color w:val="auto"/>
        </w:rPr>
        <w:t>Claim</w:t>
      </w:r>
      <w:r>
        <w:rPr>
          <w:rFonts w:ascii="Arial" w:cs="Arial" w:eastAsia="Arial" w:hAnsi="Arial"/>
          <w:sz w:val="16"/>
          <w:szCs w:val="16"/>
          <w:color w:val="auto"/>
        </w:rPr>
        <w:t>”), describing in reasonable detail the relevant facts and circumstances;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to provide timely notice shall not release the</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Indemnifying Party from any of its obligations under this Article 13 except to the extent the Indemnifying Party is actually prejudiced by such failure, it being understood that notices for claims in respect of a breach of a representation, warranty, covenant or agreement must be delivered prior to the expiration of any applicable survival period specified in Section 14.01 for such representation, warranty, covenant or agreement.</w:t>
      </w:r>
    </w:p>
    <w:p>
      <w:pPr>
        <w:spacing w:after="0" w:line="118" w:lineRule="exact"/>
        <w:rPr>
          <w:sz w:val="20"/>
          <w:szCs w:val="20"/>
          <w:color w:val="auto"/>
        </w:rPr>
      </w:pPr>
    </w:p>
    <w:p>
      <w:pPr>
        <w:ind w:right="280" w:firstLine="464"/>
        <w:spacing w:after="0" w:line="332"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Upon receipt of a notice of a claim for indemnity from an Indemnified Party pursuant to Section 13.02(a) with respect to any Third Party Claim, the Indemnifying Party may assume the defense and control of such Third Party Claim. In the event that the Indemnifying Party shall assume the defense of</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66" w:name="page67"/>
    <w:bookmarkEnd w:id="6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claim, it shall allow the Indemnified Party a reasonable opportunity to participate in the defense of such Third Party Claim with its own counsel and at its own expense; </w:t>
      </w:r>
      <w:r>
        <w:rPr>
          <w:rFonts w:ascii="Arial" w:cs="Arial" w:eastAsia="Arial" w:hAnsi="Arial"/>
          <w:sz w:val="16"/>
          <w:szCs w:val="16"/>
          <w:i w:val="1"/>
          <w:iCs w:val="1"/>
          <w:color w:val="auto"/>
        </w:rPr>
        <w:t>provided</w:t>
      </w:r>
      <w:r>
        <w:rPr>
          <w:rFonts w:ascii="Arial" w:cs="Arial" w:eastAsia="Arial" w:hAnsi="Arial"/>
          <w:sz w:val="16"/>
          <w:szCs w:val="16"/>
          <w:color w:val="auto"/>
        </w:rPr>
        <w:t>, that (i) if the Indemnified Party reasonably concludes that the Indemnifying Party and the Indemnified Party have a conflict of interest or different defenses available with respect to such Third Party Claim or (ii) the Indemnifying Party has not in fact employed counsel to assume control of such defense, the reasonable fees and expenses of one counsel (in addition to local counsel) to the Indemnified Parties shall be considered “Losses” for purposes of this Agreement. The party that shall control the defense of any such Third Party Claim (the “</w:t>
      </w:r>
      <w:r>
        <w:rPr>
          <w:rFonts w:ascii="Arial" w:cs="Arial" w:eastAsia="Arial" w:hAnsi="Arial"/>
          <w:sz w:val="16"/>
          <w:szCs w:val="16"/>
          <w:b w:val="1"/>
          <w:bCs w:val="1"/>
          <w:color w:val="auto"/>
        </w:rPr>
        <w:t>Controlling Party</w:t>
      </w:r>
      <w:r>
        <w:rPr>
          <w:rFonts w:ascii="Arial" w:cs="Arial" w:eastAsia="Arial" w:hAnsi="Arial"/>
          <w:sz w:val="16"/>
          <w:szCs w:val="16"/>
          <w:color w:val="auto"/>
        </w:rPr>
        <w:t>”) shall select counsel, contractors and consultants of recognized standing and competence. Seller and Purchaser, as the case may be, shall, and shall cause each of their respective Affiliates and Representatives to, cooperate fully with the Controlling Party in the defense of any Third Party Claim. If the Indemnifying Party does not so assume control of such defense, the Indemnified Party shall be entitled to control such defense. The Controlling Party shall keep the other party advised of the status of such Third Party Claim and the defense thereof. If the Indemnifying Party shall assume the control of the defense of any Third Party Claim in accordance with this Section 13.02(b), the Indemnifying Party shall obtain the prior written consent of the Indemnified Party before entering into any settlement of, or consenting to the entry of any judgment arising from, such Third Party Claims unless (x) the Indemnifying Party shall (i) pay or cause to be paid all amounts arising out of such settlement or judgment concurrently with the effectiveness of such settlement, (ii) not encumber any of the assets of any Indemnified Party or agree to any restriction or condition that would apply to or materially adversely affect any Indemnified Party or the conduct of any Indemnified Party’s business and (iii) obtain, as a condition of any settlement or other resolution, a complete release of any Indemnified Party potentially affected by such Third Party Claim and (y) such settlement or consent shall not include an admission of wrongdoing on the part of any Indemnified Party.</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w:t>
      </w:r>
      <w:r>
        <w:rPr>
          <w:rFonts w:ascii="Arial" w:cs="Arial" w:eastAsia="Arial" w:hAnsi="Arial"/>
          <w:sz w:val="16"/>
          <w:szCs w:val="16"/>
          <w:i w:val="1"/>
          <w:iCs w:val="1"/>
          <w:color w:val="auto"/>
        </w:rPr>
        <w:t>Exclusive Remedies.</w:t>
      </w:r>
      <w:r>
        <w:rPr>
          <w:rFonts w:ascii="Arial" w:cs="Arial" w:eastAsia="Arial" w:hAnsi="Arial"/>
          <w:sz w:val="16"/>
          <w:szCs w:val="16"/>
          <w:color w:val="auto"/>
        </w:rPr>
        <w:t xml:space="preserve"> Prior to Closing, other than with respect to any injunctive remedies or in the case of knowing and intentional breaches or fraud, the parties hereto acknowledge and agree that the sole and exclusive remedy available to either party shall be the right to seek specific performance. Following the Closing, other than with respect to any injunctive remedies or in the case of knowing and intentional breaches or fraud, the parties hereto acknowledge and agree that the indemnification provisions of Section 13.01(a) and Section 13.01(b) shall be the sole and exclusive remedies of any Indemnified Parties, respectively, for any Losses (including any Losses from claims for breach of contract, warranty, tortious conduct (including negligence) or otherwise and whether predicated on common law, statute, strict liability, or otherwise) that it may at any time suffer or incur, or become subject to, as a result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67" w:name="page68"/>
    <w:bookmarkEnd w:id="6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or in connection with, any breach of any representation or warranty in this Agreement by Seller or Purchaser, respectively, or any failure by Seller or Purchaser, respectively, to perform or comply with any covenant or agreement set forth herein. Without limiting the generality of the foregoing, the parties hereto hereby irrevocably waive any right of rescission they may otherwise have or to which they may become entitled.</w:t>
      </w:r>
    </w:p>
    <w:p>
      <w:pPr>
        <w:spacing w:after="0" w:line="140"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w:t>
      </w:r>
      <w:r>
        <w:rPr>
          <w:rFonts w:ascii="Arial" w:cs="Arial" w:eastAsia="Arial" w:hAnsi="Arial"/>
          <w:sz w:val="16"/>
          <w:szCs w:val="16"/>
          <w:i w:val="1"/>
          <w:iCs w:val="1"/>
          <w:color w:val="auto"/>
        </w:rPr>
        <w:t>Additional Indemnification Provisions.</w:t>
      </w:r>
      <w:r>
        <w:rPr>
          <w:rFonts w:ascii="Arial" w:cs="Arial" w:eastAsia="Arial" w:hAnsi="Arial"/>
          <w:sz w:val="16"/>
          <w:szCs w:val="16"/>
          <w:color w:val="auto"/>
        </w:rPr>
        <w:t xml:space="preserve"> (a) With respect to each indemnification obligation contained in this Agreement or any other document executed in connection with the Closing, all Losses shall be net of any third-party insurance proceeds that have been actually recovered by the Indemnified Party in connection with the facts giving rise to the right of indemnification.</w:t>
      </w:r>
    </w:p>
    <w:p>
      <w:pPr>
        <w:spacing w:after="0" w:line="107" w:lineRule="exact"/>
        <w:rPr>
          <w:sz w:val="20"/>
          <w:szCs w:val="20"/>
          <w:color w:val="auto"/>
        </w:rPr>
      </w:pPr>
    </w:p>
    <w:p>
      <w:pPr>
        <w:jc w:val="both"/>
        <w:ind w:right="40" w:firstLine="464"/>
        <w:spacing w:after="0" w:line="306"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 Indemnifying Party makes any payment for any Losses suffered or incurred by an Indemnified Party pursuant to the provisions of this Article 13, such Indemnifying Party shall be subrogated, to the extent of such payment, to all rights and remedies of the Indemnified Party to any insurance benefits or other claims of the Indemnified Party with respect to such Losses and with respect to the claim giving rise to such Losses.</w:t>
      </w:r>
    </w:p>
    <w:p>
      <w:pPr>
        <w:spacing w:after="0" w:line="106"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avoidance of doubt, Losses covered by Section 13.01(a) or Section 13.01(b) may include Losses incurred in connection with a Third Party Claim or otherwise and Losses that arise as a result of the negligence, strict liability or any other liability under any theory of law or equity of, or violation of any Law by, the Person indemnified thereunder.</w:t>
      </w:r>
    </w:p>
    <w:p>
      <w:pPr>
        <w:spacing w:after="0" w:line="140" w:lineRule="exact"/>
        <w:rPr>
          <w:rFonts w:ascii="Arial" w:cs="Arial" w:eastAsia="Arial" w:hAnsi="Arial"/>
          <w:sz w:val="18"/>
          <w:szCs w:val="18"/>
          <w:color w:val="auto"/>
        </w:rPr>
      </w:pPr>
    </w:p>
    <w:p>
      <w:pPr>
        <w:ind w:firstLine="464"/>
        <w:spacing w:after="0" w:line="254"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neither Seller nor Purchaser shall be required to indemnify, defend or hold harmless any Purchaser Indemnified Party or Seller Indemnified Party, respectively, against, or reimburse any Purchaser Indemnified Party or Seller Indemnified Party, respectively, for, any Losses pursuant to Section 13.01(a) or Section 13.01(b), respectively, with respect to any claim (except for a claim of knowing and intentional fraud) unless such claim (together with any other prior claim) involves Losses in excess of $5,000,000, after which Seller or Purchaser, respectively, shall be obligated to indemnify, defend or hold harmless such Purchaser Indemnified Party or Seller Indemnified Party, respectively, for such aggregate Losses up to a total of $100,000,000.</w:t>
      </w:r>
    </w:p>
    <w:p>
      <w:pPr>
        <w:spacing w:after="0" w:line="14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Losses.</w:t>
      </w:r>
      <w:r>
        <w:rPr>
          <w:rFonts w:ascii="Arial" w:cs="Arial" w:eastAsia="Arial" w:hAnsi="Arial"/>
          <w:sz w:val="16"/>
          <w:szCs w:val="16"/>
          <w:color w:val="auto"/>
        </w:rPr>
        <w:t xml:space="preserve"> For the avoidance of doubt, it is understood that the indemnification provided for in this Section 13.01 is intended to indemnify the Indemnified Parties only for Losses suffered or incurred by them directly and is not intended to indemnify any Indemnified Party with respect to</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Losses suffered or incurred solely by virtue of their direct or indirect equity ownership in another Person (including any other Indemnified Party).</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u w:val="single" w:color="auto"/>
          <w:color w:val="auto"/>
        </w:rPr>
        <w:t>Section 13.06</w:t>
      </w:r>
      <w:r>
        <w:rPr>
          <w:rFonts w:ascii="Arial" w:cs="Arial" w:eastAsia="Arial" w:hAnsi="Arial"/>
          <w:sz w:val="18"/>
          <w:szCs w:val="18"/>
          <w:color w:val="auto"/>
        </w:rPr>
        <w:t xml:space="preserve">. </w:t>
      </w:r>
      <w:r>
        <w:rPr>
          <w:rFonts w:ascii="Arial" w:cs="Arial" w:eastAsia="Arial" w:hAnsi="Arial"/>
          <w:sz w:val="18"/>
          <w:szCs w:val="18"/>
          <w:i w:val="1"/>
          <w:iCs w:val="1"/>
          <w:color w:val="auto"/>
        </w:rPr>
        <w:t>Mitigation.</w:t>
      </w:r>
      <w:r>
        <w:rPr>
          <w:rFonts w:ascii="Arial" w:cs="Arial" w:eastAsia="Arial" w:hAnsi="Arial"/>
          <w:sz w:val="18"/>
          <w:szCs w:val="18"/>
          <w:color w:val="auto"/>
        </w:rPr>
        <w:t xml:space="preserve"> Each Indemnified Party shall use its commercially reasonable efforts to mitigate any Loss for which such Indemnified Party seeks indemnification under this Agreement.</w:t>
      </w:r>
    </w:p>
    <w:p>
      <w:pPr>
        <w:spacing w:after="0" w:line="132" w:lineRule="exact"/>
        <w:rPr>
          <w:sz w:val="20"/>
          <w:szCs w:val="20"/>
          <w:color w:val="auto"/>
        </w:rPr>
      </w:pPr>
    </w:p>
    <w:p>
      <w:pPr>
        <w:ind w:right="240" w:firstLine="456"/>
        <w:spacing w:after="0" w:line="302" w:lineRule="auto"/>
        <w:rPr>
          <w:sz w:val="20"/>
          <w:szCs w:val="20"/>
          <w:color w:val="auto"/>
        </w:rPr>
      </w:pPr>
      <w:r>
        <w:rPr>
          <w:rFonts w:ascii="Arial" w:cs="Arial" w:eastAsia="Arial" w:hAnsi="Arial"/>
          <w:sz w:val="15"/>
          <w:szCs w:val="15"/>
          <w:u w:val="single" w:color="auto"/>
          <w:color w:val="auto"/>
        </w:rPr>
        <w:t>Section 13.07</w:t>
      </w:r>
      <w:r>
        <w:rPr>
          <w:rFonts w:ascii="Arial" w:cs="Arial" w:eastAsia="Arial" w:hAnsi="Arial"/>
          <w:sz w:val="15"/>
          <w:szCs w:val="15"/>
          <w:color w:val="auto"/>
        </w:rPr>
        <w:t xml:space="preserve">. </w:t>
      </w:r>
      <w:r>
        <w:rPr>
          <w:rFonts w:ascii="Arial" w:cs="Arial" w:eastAsia="Arial" w:hAnsi="Arial"/>
          <w:sz w:val="15"/>
          <w:szCs w:val="15"/>
          <w:i w:val="1"/>
          <w:iCs w:val="1"/>
          <w:color w:val="auto"/>
        </w:rPr>
        <w:t>Third Party Remedies.</w:t>
      </w:r>
      <w:r>
        <w:rPr>
          <w:rFonts w:ascii="Arial" w:cs="Arial" w:eastAsia="Arial" w:hAnsi="Arial"/>
          <w:sz w:val="15"/>
          <w:szCs w:val="15"/>
          <w:color w:val="auto"/>
        </w:rPr>
        <w:t xml:space="preserve"> If any Indemnified Party (or any of their respective Affiliates) is at any time entitled (whether by reason of a contractual right, a right to take or bring a legal action, availability of insurance, or a right to require a payment discount or otherwise) to recover from another Person any amount in respect of any matter giving rise to a Loss (whether before or after the Indemnifying Party has made a payment to an Indemnified Party hereunder and in respect thereof), the Indemnified Party shall, and shall cause its applicable Affiliate to use their respective commercially reasonable efforts to,</w:t>
      </w:r>
    </w:p>
    <w:p>
      <w:pPr>
        <w:spacing w:after="0" w:line="3" w:lineRule="exact"/>
        <w:rPr>
          <w:sz w:val="20"/>
          <w:szCs w:val="20"/>
          <w:color w:val="auto"/>
        </w:rPr>
      </w:pPr>
    </w:p>
    <w:p>
      <w:pPr>
        <w:ind w:firstLine="8"/>
        <w:spacing w:after="0" w:line="281" w:lineRule="auto"/>
        <w:tabs>
          <w:tab w:leader="none" w:pos="239"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promptly notify the Indemnifying Party and provide such information as the Indemnifying Party may require relating to such right of recovery and the steps taken or to be taken by the Indemnified Party in connection therewith and (b) keep the Indemnifying Party reasonably informed of the progress of any action taken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the actions required pursuant to clauses (a) and (b) shall not be preconditions to recovery by any Indemnified Party from an Indemnifying Party pursuant to this Agreement. Thereafter, any claim against such Indemnifying Party shall be limited (in addition to the limitations on the liability of the Indemnifying Party referred to in this Agreement) to the amount by which the Losses suffered by the Indemnified Party exceed the amounts so recovered by the Indemnified Party or any such Affiliate. If the Indemnified Parties recover any amounts in respect of Losses from any third party with respect to a matter as to which the Indemnified Parties have recovered all of their Losses (whether pursuant to this Article 13, from third parties or a combination of the foregoing) at any time after the Indemnifying Party has paid all or a portion of such Losses to the Indemnified Party pursuant to this provisions of this Article 13, Seller or Purchaser, as applicable, shall, or shall cause such Indemnified Parties to promptly (and in any event within ten</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(10) Business Days of receipt) pay over to the Indemnifying Party the amount so received (to the extent previously paid by the Indemnifying Party).</w:t>
      </w:r>
    </w:p>
    <w:p>
      <w:pPr>
        <w:spacing w:after="0" w:line="188"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u w:val="single" w:color="auto"/>
          <w:color w:val="auto"/>
        </w:rPr>
        <w:t>Section 13.08</w:t>
      </w:r>
      <w:r>
        <w:rPr>
          <w:rFonts w:ascii="Arial" w:cs="Arial" w:eastAsia="Arial" w:hAnsi="Arial"/>
          <w:sz w:val="16"/>
          <w:szCs w:val="16"/>
          <w:color w:val="auto"/>
        </w:rPr>
        <w:t xml:space="preserve">. </w:t>
      </w:r>
      <w:r>
        <w:rPr>
          <w:rFonts w:ascii="Arial" w:cs="Arial" w:eastAsia="Arial" w:hAnsi="Arial"/>
          <w:sz w:val="16"/>
          <w:szCs w:val="16"/>
          <w:i w:val="1"/>
          <w:iCs w:val="1"/>
          <w:color w:val="auto"/>
        </w:rPr>
        <w:t>Limitation on Liability.</w:t>
      </w:r>
      <w:r>
        <w:rPr>
          <w:rFonts w:ascii="Arial" w:cs="Arial" w:eastAsia="Arial" w:hAnsi="Arial"/>
          <w:sz w:val="16"/>
          <w:szCs w:val="16"/>
          <w:color w:val="auto"/>
        </w:rPr>
        <w:t xml:space="preserve"> In no event shall any party have any liability to the other (including under this Article 13) for any consequential, special, incidental, indirect or punitive damages or similar items (or to the extent the same would constitute consequential or like damages, lost profits) other than any such damages actually awarded to a third party in connection with a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limitations shall not limit the right of</w:t>
      </w:r>
    </w:p>
    <w:p>
      <w:pPr>
        <w:spacing w:after="0" w:line="1"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Purchaser, on the one hand, or (b) Seller, on the other hand, to seek specific performance in connection with the failure of Seller (with respect to Purchaser’s</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or Purchaser (with respect to Seller’s right), to close in violation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13.09</w:t>
      </w:r>
      <w:r>
        <w:rPr>
          <w:rFonts w:ascii="Arial" w:cs="Arial" w:eastAsia="Arial" w:hAnsi="Arial"/>
          <w:sz w:val="18"/>
          <w:szCs w:val="18"/>
          <w:color w:val="auto"/>
        </w:rPr>
        <w:t xml:space="preserve">.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The provisions of this Article 13 shall constitute Surviving Obligations.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URVIVAL</w:t>
      </w:r>
    </w:p>
    <w:p>
      <w:pPr>
        <w:spacing w:after="0" w:line="16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u w:val="single" w:color="auto"/>
          <w:color w:val="auto"/>
        </w:rPr>
        <w:t>Section 14.01</w:t>
      </w:r>
      <w:r>
        <w:rPr>
          <w:rFonts w:ascii="Arial" w:cs="Arial" w:eastAsia="Arial" w:hAnsi="Arial"/>
          <w:sz w:val="18"/>
          <w:szCs w:val="18"/>
          <w:color w:val="auto"/>
        </w:rPr>
        <w:t xml:space="preserve">. </w:t>
      </w:r>
      <w:r>
        <w:rPr>
          <w:rFonts w:ascii="Arial" w:cs="Arial" w:eastAsia="Arial" w:hAnsi="Arial"/>
          <w:sz w:val="18"/>
          <w:szCs w:val="18"/>
          <w:i w:val="1"/>
          <w:iCs w:val="1"/>
          <w:color w:val="auto"/>
        </w:rPr>
        <w:t>Survival</w:t>
      </w:r>
      <w:r>
        <w:rPr>
          <w:rFonts w:ascii="Arial" w:cs="Arial" w:eastAsia="Arial" w:hAnsi="Arial"/>
          <w:sz w:val="18"/>
          <w:szCs w:val="18"/>
          <w:color w:val="auto"/>
        </w:rPr>
        <w:t>. The delivery of the Deeds, the Assignment and Assumption of the Overlease by Seller, the Assignment and Assumption of the Existing NBC Lease by Seller, and the acceptance thereof by Purchaser, shall be deemed the full performance and discharge of every obligation on the part of parties hereto to be performed hereunder, except:</w:t>
      </w:r>
    </w:p>
    <w:p>
      <w:pPr>
        <w:spacing w:after="0" w:line="140" w:lineRule="exact"/>
        <w:rPr>
          <w:sz w:val="20"/>
          <w:szCs w:val="20"/>
          <w:color w:val="auto"/>
        </w:rPr>
      </w:pPr>
    </w:p>
    <w:p>
      <w:pPr>
        <w:ind w:right="60" w:firstLine="464"/>
        <w:spacing w:after="0" w:line="306"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representations and warranties of Seller and Purchaser contained in or made pursuant to this Agreement or in any certificate furnished pursuant to this Agreement shall constitute Surviving Obligations subject to the following: (i) the representations and warranties in Section 4.01, 4.02, 4.03, 4.06, 4.07(a) and (b), 5.01, 5.03, 5.05 and 5.06(a) and (b) shall survive for seven (7) years and (ii) all other representations and warranties shall survive for one (1) year.</w:t>
      </w:r>
    </w:p>
    <w:p>
      <w:pPr>
        <w:spacing w:after="0" w:line="106"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covenants and agreements of the parties hereto contained in or made pursuant to this Agreement that constitute Surviving Obligations shall survive the Closing in accordance with their respective terms.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15.01</w:t>
      </w:r>
      <w:r>
        <w:rPr>
          <w:rFonts w:ascii="Arial" w:cs="Arial" w:eastAsia="Arial" w:hAnsi="Arial"/>
          <w:sz w:val="18"/>
          <w:szCs w:val="18"/>
          <w:color w:val="auto"/>
        </w:rPr>
        <w:t xml:space="preserve">. </w:t>
      </w:r>
      <w:r>
        <w:rPr>
          <w:rFonts w:ascii="Arial" w:cs="Arial" w:eastAsia="Arial" w:hAnsi="Arial"/>
          <w:sz w:val="18"/>
          <w:szCs w:val="18"/>
          <w:i w:val="1"/>
          <w:iCs w:val="1"/>
          <w:color w:val="auto"/>
        </w:rPr>
        <w:t>[Intentionally Deleted].</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w:t>
      </w:r>
      <w:r>
        <w:rPr>
          <w:rFonts w:ascii="Arial" w:cs="Arial" w:eastAsia="Arial" w:hAnsi="Arial"/>
          <w:sz w:val="16"/>
          <w:szCs w:val="16"/>
          <w:i w:val="1"/>
          <w:iCs w:val="1"/>
          <w:color w:val="auto"/>
        </w:rPr>
        <w:t>Notices</w:t>
      </w:r>
      <w:r>
        <w:rPr>
          <w:rFonts w:ascii="Arial" w:cs="Arial" w:eastAsia="Arial" w:hAnsi="Arial"/>
          <w:sz w:val="16"/>
          <w:szCs w:val="16"/>
          <w:color w:val="auto"/>
        </w:rPr>
        <w:t>. All notices, requests, claims, demands and other communications under this Agreement shall be in writing and shall be given or made (and shall be deemed to have been duly given or made upon receipt) by delivery in person, by overnight courier service, by facsimile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Section 15.02):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70" w:name="page71"/>
    <w:bookmarkEnd w:id="70"/>
    <w:p>
      <w:pPr>
        <w:ind w:left="446" w:hanging="446"/>
        <w:spacing w:after="0"/>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Purchaser or NBCU:</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New York, NY 10112</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Fax: 212-664-4733</w:t>
      </w:r>
    </w:p>
    <w:p>
      <w:pPr>
        <w:spacing w:after="0" w:line="84"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and to:</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Fax: 215-286-7794</w:t>
      </w:r>
    </w:p>
    <w:p>
      <w:pPr>
        <w:spacing w:after="0" w:line="84" w:lineRule="exact"/>
        <w:rPr>
          <w:sz w:val="20"/>
          <w:szCs w:val="20"/>
          <w:color w:val="auto"/>
        </w:rPr>
      </w:pPr>
    </w:p>
    <w:p>
      <w:pPr>
        <w:ind w:left="466"/>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Davis Polk &amp; Wardwell LLP</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New York, NY 10017-3904</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Attention: Thomas Patrick Dore, Jr.</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Fax: 212-701-5136</w:t>
      </w:r>
    </w:p>
    <w:p>
      <w:pPr>
        <w:spacing w:after="0" w:line="84" w:lineRule="exact"/>
        <w:rPr>
          <w:sz w:val="20"/>
          <w:szCs w:val="20"/>
          <w:color w:val="auto"/>
        </w:rPr>
      </w:pPr>
    </w:p>
    <w:p>
      <w:pPr>
        <w:ind w:left="446" w:hanging="446"/>
        <w:spacing w:after="0"/>
        <w:tabs>
          <w:tab w:leader="none" w:pos="4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to Seller, GE or GECC:</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30RC TRUST</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c/o General Electric Company</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3135 Easton Turnpike, W3A24</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Fairfield, CT 06828</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Attention: Senior Counsel for Transactions</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Fax: 203-373-3008</w:t>
      </w:r>
    </w:p>
    <w:p>
      <w:pPr>
        <w:spacing w:after="0" w:line="84"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and to:</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GE Capital Real Estate</w:t>
      </w:r>
    </w:p>
    <w:p>
      <w:pPr>
        <w:spacing w:after="0" w:line="15" w:lineRule="exact"/>
        <w:rPr>
          <w:sz w:val="20"/>
          <w:szCs w:val="20"/>
          <w:color w:val="auto"/>
        </w:rPr>
      </w:pPr>
    </w:p>
    <w:p>
      <w:pPr>
        <w:ind w:left="466"/>
        <w:spacing w:after="0"/>
        <w:rPr>
          <w:sz w:val="20"/>
          <w:szCs w:val="20"/>
          <w:color w:val="auto"/>
        </w:rPr>
      </w:pPr>
      <w:r>
        <w:rPr>
          <w:rFonts w:ascii="Arial" w:cs="Arial" w:eastAsia="Arial" w:hAnsi="Arial"/>
          <w:sz w:val="18"/>
          <w:szCs w:val="18"/>
          <w:color w:val="auto"/>
        </w:rPr>
        <w:t>901 Main Avenue</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Norwalk, CT 06851</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Fax: 203-750-7098</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765"/>
          </w:cols>
          <w:pgMar w:left="694" w:top="280" w:right="1440" w:bottom="1440" w:gutter="0" w:footer="0" w:header="0"/>
        </w:sectPr>
      </w:pPr>
    </w:p>
    <w:bookmarkStart w:id="71" w:name="page72"/>
    <w:bookmarkEnd w:id="7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Weil, Gotshal &amp; Manges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10153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Howard Chatzinoff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212-310-8007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w:t>
      </w:r>
      <w:r>
        <w:rPr>
          <w:rFonts w:ascii="Arial" w:cs="Arial" w:eastAsia="Arial" w:hAnsi="Arial"/>
          <w:sz w:val="18"/>
          <w:szCs w:val="18"/>
          <w:i w:val="1"/>
          <w:iCs w:val="1"/>
          <w:color w:val="auto"/>
        </w:rPr>
        <w:t>No Recording</w:t>
      </w:r>
      <w:r>
        <w:rPr>
          <w:rFonts w:ascii="Arial" w:cs="Arial" w:eastAsia="Arial" w:hAnsi="Arial"/>
          <w:sz w:val="18"/>
          <w:szCs w:val="18"/>
          <w:color w:val="auto"/>
        </w:rPr>
        <w:t>. No party hereto shall record this Agreement or any memorandum hereof.</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u w:val="single" w:color="auto"/>
          <w:color w:val="auto"/>
        </w:rPr>
        <w:t>Section 15.04</w:t>
      </w:r>
      <w:r>
        <w:rPr>
          <w:rFonts w:ascii="Arial" w:cs="Arial" w:eastAsia="Arial" w:hAnsi="Arial"/>
          <w:sz w:val="18"/>
          <w:szCs w:val="18"/>
          <w:color w:val="auto"/>
        </w:rPr>
        <w:t xml:space="preserve">.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the schedules and exhibits hereto, the Closing Documents and the Private UOA (if executed) constitute the entire agreement of the parties with respect to the transactions described herein and all prior understandings and agreements of the parties with respect to such transactions are merged into this Agreement.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u w:val="single" w:color="auto"/>
          <w:color w:val="auto"/>
        </w:rPr>
        <w:t>Section 15.05</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w:t>
      </w:r>
      <w:r>
        <w:rPr>
          <w:rFonts w:ascii="Arial" w:cs="Arial" w:eastAsia="Arial" w:hAnsi="Arial"/>
          <w:sz w:val="18"/>
          <w:szCs w:val="18"/>
          <w:color w:val="auto"/>
        </w:rPr>
        <w:t>. Except as specified herein, no provision of this Agreement shall be modified, waived or terminated, except by an instrument signed by the party against whom such modification, waiver or termination is to be enforced.</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u w:val="single" w:color="auto"/>
          <w:color w:val="auto"/>
        </w:rPr>
        <w:t>Section 15.06</w:t>
      </w:r>
      <w:r>
        <w:rPr>
          <w:rFonts w:ascii="Arial" w:cs="Arial" w:eastAsia="Arial" w:hAnsi="Arial"/>
          <w:sz w:val="18"/>
          <w:szCs w:val="18"/>
          <w:color w:val="auto"/>
        </w:rPr>
        <w:t xml:space="preserve">. </w:t>
      </w:r>
      <w:r>
        <w:rPr>
          <w:rFonts w:ascii="Arial" w:cs="Arial" w:eastAsia="Arial" w:hAnsi="Arial"/>
          <w:sz w:val="18"/>
          <w:szCs w:val="18"/>
          <w:i w:val="1"/>
          <w:iCs w:val="1"/>
          <w:color w:val="auto"/>
        </w:rPr>
        <w:t>Assignment</w:t>
      </w:r>
      <w:r>
        <w:rPr>
          <w:rFonts w:ascii="Arial" w:cs="Arial" w:eastAsia="Arial" w:hAnsi="Arial"/>
          <w:sz w:val="18"/>
          <w:szCs w:val="18"/>
          <w:color w:val="auto"/>
        </w:rPr>
        <w:t>. Neither party may assign this Agreement without the prior written consent of the other, and any such prohibited assignment shall be void; provided, however, that such consent shall not be unreasonably withheld, conditioned or delayed.</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Section 15.07</w:t>
      </w:r>
      <w:r>
        <w:rPr>
          <w:rFonts w:ascii="Arial" w:cs="Arial" w:eastAsia="Arial" w:hAnsi="Arial"/>
          <w:sz w:val="18"/>
          <w:szCs w:val="18"/>
          <w:color w:val="auto"/>
        </w:rPr>
        <w:t xml:space="preserve">. </w:t>
      </w:r>
      <w:r>
        <w:rPr>
          <w:rFonts w:ascii="Arial" w:cs="Arial" w:eastAsia="Arial" w:hAnsi="Arial"/>
          <w:sz w:val="18"/>
          <w:szCs w:val="18"/>
          <w:i w:val="1"/>
          <w:iCs w:val="1"/>
          <w:color w:val="auto"/>
        </w:rPr>
        <w:t>Successors and Assigns</w:t>
      </w:r>
      <w:r>
        <w:rPr>
          <w:rFonts w:ascii="Arial" w:cs="Arial" w:eastAsia="Arial" w:hAnsi="Arial"/>
          <w:sz w:val="18"/>
          <w:szCs w:val="18"/>
          <w:color w:val="auto"/>
        </w:rPr>
        <w:t>. All terms of this Agreement shall be binding upon, inure to the benefit of and be enforceable by, the parties hereto and their respective legal representatives, successors and permitted assigns and all references herein to “Seller” and “Purchaser” shall include the respective successors and permitted assigns of such parties.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u w:val="single" w:color="auto"/>
          <w:color w:val="auto"/>
        </w:rPr>
        <w:t>Section 15.08</w:t>
      </w:r>
      <w:r>
        <w:rPr>
          <w:rFonts w:ascii="Arial" w:cs="Arial" w:eastAsia="Arial" w:hAnsi="Arial"/>
          <w:sz w:val="16"/>
          <w:szCs w:val="16"/>
          <w:color w:val="auto"/>
        </w:rPr>
        <w:t xml:space="preserve">. </w:t>
      </w:r>
      <w:r>
        <w:rPr>
          <w:rFonts w:ascii="Arial" w:cs="Arial" w:eastAsia="Arial" w:hAnsi="Arial"/>
          <w:sz w:val="16"/>
          <w:szCs w:val="16"/>
          <w:i w:val="1"/>
          <w:iCs w:val="1"/>
          <w:color w:val="auto"/>
        </w:rPr>
        <w:t>Severability</w:t>
      </w:r>
      <w:r>
        <w:rPr>
          <w:rFonts w:ascii="Arial" w:cs="Arial" w:eastAsia="Arial" w:hAnsi="Arial"/>
          <w:sz w:val="16"/>
          <w:szCs w:val="16"/>
          <w:color w:val="auto"/>
        </w:rPr>
        <w:t>. If any term, covenant, condition, provision or agreement herein contained is held to be invalid, void or otherwise unenforceable by any court of competent jurisdiction, the fact that such term, covenant, condition, provision or agreement is invalid, void or otherwise unenforceable shall in no way affect the validity or enforceability of any other term, covenant, condition, provision or agreement herein contained.</w:t>
      </w:r>
    </w:p>
    <w:p>
      <w:pPr>
        <w:spacing w:after="0" w:line="107"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u w:val="single" w:color="auto"/>
          <w:color w:val="auto"/>
        </w:rPr>
        <w:t>Section 15.09</w:t>
      </w:r>
      <w:r>
        <w:rPr>
          <w:rFonts w:ascii="Arial" w:cs="Arial" w:eastAsia="Arial" w:hAnsi="Arial"/>
          <w:sz w:val="15"/>
          <w:szCs w:val="15"/>
          <w:color w:val="auto"/>
        </w:rPr>
        <w:t xml:space="preserve">. </w:t>
      </w:r>
      <w:r>
        <w:rPr>
          <w:rFonts w:ascii="Arial" w:cs="Arial" w:eastAsia="Arial" w:hAnsi="Arial"/>
          <w:sz w:val="15"/>
          <w:szCs w:val="15"/>
          <w:i w:val="1"/>
          <w:iCs w:val="1"/>
          <w:color w:val="auto"/>
        </w:rPr>
        <w:t>Interpretation</w:t>
      </w:r>
      <w:r>
        <w:rPr>
          <w:rFonts w:ascii="Arial" w:cs="Arial" w:eastAsia="Arial" w:hAnsi="Arial"/>
          <w:sz w:val="15"/>
          <w:szCs w:val="15"/>
          <w:color w:val="auto"/>
        </w:rPr>
        <w:t>. Seller and Purchaser acknowledge each to the other that both they and their counsel have reviewed and revised this Agreement and that the normal rule of construction to the effect that any ambiguities are to be resolved against the drafting party shall not be employed in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interpretation of this Agreement or any amendments or Schedules or Exhibits hereto.</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u w:val="single" w:color="auto"/>
          <w:color w:val="auto"/>
        </w:rPr>
        <w:t>Section 15.10</w:t>
      </w:r>
      <w:r>
        <w:rPr>
          <w:rFonts w:ascii="Arial" w:cs="Arial" w:eastAsia="Arial" w:hAnsi="Arial"/>
          <w:sz w:val="18"/>
          <w:szCs w:val="18"/>
          <w:color w:val="auto"/>
        </w:rPr>
        <w:t xml:space="preserve">.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was negotiated in the State of New York and was executed and delivered by Seller and Purchaser in the State of New York, which State the parties agree has a substantial relationship to the parties and to the underlying transactions embodied hereby, and in all respects, including, without limiting the generality of the foregoing, matters of construction, validity, enforcement and performance, this Agreement and the obligations arising hereunder shall be governed by and construed in accordance with the laws of the State of New York applicable to contracts made and performed wholly within such State, without giving effect to the principles of conflicts of law of such jurisdiction. To the fullest extent permitted by law, the parties hereby unconditionally and irrevocably waive and release any claim that the law of any other jurisdiction governs this Agreement and this Agreement shall be governed and construed in accordance with the laws of the State of New York as aforesaid pursuant to Section 5-1401 of the New York General Obligations Law.</w:t>
      </w:r>
    </w:p>
    <w:p>
      <w:pPr>
        <w:spacing w:after="0" w:line="14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w:t>
      </w:r>
      <w:r>
        <w:rPr>
          <w:rFonts w:ascii="Arial" w:cs="Arial" w:eastAsia="Arial" w:hAnsi="Arial"/>
          <w:sz w:val="18"/>
          <w:szCs w:val="18"/>
          <w:i w:val="1"/>
          <w:iCs w:val="1"/>
          <w:color w:val="auto"/>
        </w:rPr>
        <w:t>Venue</w:t>
      </w:r>
      <w:r>
        <w:rPr>
          <w:rFonts w:ascii="Arial" w:cs="Arial" w:eastAsia="Arial" w:hAnsi="Arial"/>
          <w:sz w:val="18"/>
          <w:szCs w:val="18"/>
          <w:color w:val="auto"/>
        </w:rPr>
        <w:t>. To the maximum extent permitted by applicable law, any legal suit, action or proceeding against any of the parties hereto arising out of or relating to this Agreement shall be instituted in any federal or state court in New York, New York, pursuant to Section 5-1402 of the New York General Obligations Law, and Purchaser and Seller each hereby irrevocably submits to the exclusive jurisdiction of any such court in any such suit, action or proceeding. Purchaser and Seller hereby agree to venue in such courts and hereby waive, to the fullest extent permitted by law, any claim that any such action or proceeding was brought in an inconvenient forum.</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Section 15.12</w:t>
      </w:r>
      <w:r>
        <w:rPr>
          <w:rFonts w:ascii="Arial" w:cs="Arial" w:eastAsia="Arial" w:hAnsi="Arial"/>
          <w:sz w:val="18"/>
          <w:szCs w:val="18"/>
          <w:color w:val="auto"/>
        </w:rPr>
        <w:t xml:space="preserve">.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u w:val="single" w:color="auto"/>
          <w:color w:val="auto"/>
        </w:rPr>
        <w:t>Section 15.13</w:t>
      </w:r>
      <w:r>
        <w:rPr>
          <w:rFonts w:ascii="Arial" w:cs="Arial" w:eastAsia="Arial" w:hAnsi="Arial"/>
          <w:sz w:val="16"/>
          <w:szCs w:val="16"/>
          <w:color w:val="auto"/>
        </w:rPr>
        <w:t xml:space="preserve">. </w:t>
      </w:r>
      <w:r>
        <w:rPr>
          <w:rFonts w:ascii="Arial" w:cs="Arial" w:eastAsia="Arial" w:hAnsi="Arial"/>
          <w:sz w:val="16"/>
          <w:szCs w:val="16"/>
          <w:i w:val="1"/>
          <w:iCs w:val="1"/>
          <w:color w:val="auto"/>
        </w:rPr>
        <w:t>IRS Form 1099-S</w:t>
      </w:r>
      <w:r>
        <w:rPr>
          <w:rFonts w:ascii="Arial" w:cs="Arial" w:eastAsia="Arial" w:hAnsi="Arial"/>
          <w:sz w:val="16"/>
          <w:szCs w:val="16"/>
          <w:color w:val="auto"/>
        </w:rPr>
        <w:t>. For purposes of complying with Section 6045 of the Code, as amended, Escrow Agent shall be deemed the “person responsible for closing the transaction,” and shall be responsible for obtaining the information necessary to file with the Internal Revenue Service Form 1099 S, “Statement for Recipients of Proceeds From Real Estate, Broker and Barter Exchange Transactions.”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u w:val="single" w:color="auto"/>
          <w:color w:val="auto"/>
        </w:rPr>
        <w:t>Section 15.14</w:t>
      </w:r>
      <w:r>
        <w:rPr>
          <w:rFonts w:ascii="Arial" w:cs="Arial" w:eastAsia="Arial" w:hAnsi="Arial"/>
          <w:sz w:val="16"/>
          <w:szCs w:val="16"/>
          <w:color w:val="auto"/>
        </w:rPr>
        <w:t xml:space="preserve">. </w:t>
      </w:r>
      <w:r>
        <w:rPr>
          <w:rFonts w:ascii="Arial" w:cs="Arial" w:eastAsia="Arial" w:hAnsi="Arial"/>
          <w:sz w:val="16"/>
          <w:szCs w:val="16"/>
          <w:i w:val="1"/>
          <w:iCs w:val="1"/>
          <w:color w:val="auto"/>
        </w:rPr>
        <w:t>WAIVER OF JURY TRIAL</w:t>
      </w:r>
      <w:r>
        <w:rPr>
          <w:rFonts w:ascii="Arial" w:cs="Arial" w:eastAsia="Arial" w:hAnsi="Arial"/>
          <w:sz w:val="16"/>
          <w:szCs w:val="16"/>
          <w:color w:val="auto"/>
        </w:rPr>
        <w:t>. THE PARTIES HERETO HEREBY EXPRESSLY WAIVE ANY RIGHT TO TRIAL BY JURY OF ANY CLAIM, DEMAND, ACTION OR CAUSE OF ACTION (A) ARISING UNDER THIS AGREEMENT OR THE OTHER AGREEMENTS, INCLUDING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73" w:name="page74"/>
    <w:bookmarkEnd w:id="73"/>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PRESENT OR FUTURE MODIFICATION THEREOF OR (B) IN ANY WAY CONNECTED WITH OR RELATED OR INCIDENTAL TO THE DEALINGS OF THE PARTIES HERETO OR ANY OF THEM WITH RESPECT TO DEALINGS OF THE PARTIES HERETO OR ANY OF THEM WITH RESPECT TO THIS AGREEMENT (AS NOW OR HEREAFTER MODIFIED) OR ANY OTHER INSTRUMENT, DOCUMENT OR AGREEMENT EXECUTED OR DELIVERED IN CONNECTION HEREWITH, OR THE TRANSACTIONS RELATED HERETO OR THERETO, IN EACH CASE WHETHER SUCH CLAIM, DEMAND, ACTION OR CAUSE OF ACTION IS NOW EXISTING OR HEREAFTER ARISING, AND WHETHER SOUNDING IN CONTRACT OR TORT OR OTHERWISE; AND THE PARTIES HEREBY AGREE AND CONSENT THAT ANY SUCH CLAIM, DEMAND, ACTION OR CAUSE OF ACTION SHALL BE DECIDED BY COURT TRIAL WITHOUT A JURY, AND THAT ANY PARTY TO THIS AGREEMENT MAY FILE AN ORIGINAL COUNTERPART OR A COPY OF THIS SECTION WITH ANY COURT AS WRITTEN EVIDENCE OF THE CONSENT OF THE PARTIES HERETO TO THE WAIVER OF ANY RIGHT THEY MIGHT OTHERWISE HAVE TO TRIAL BY JURY.</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u w:val="single" w:color="auto"/>
          <w:color w:val="auto"/>
        </w:rPr>
        <w:t>Section 15.15</w:t>
      </w:r>
      <w:r>
        <w:rPr>
          <w:rFonts w:ascii="Arial" w:cs="Arial" w:eastAsia="Arial" w:hAnsi="Arial"/>
          <w:sz w:val="18"/>
          <w:szCs w:val="18"/>
          <w:color w:val="auto"/>
        </w:rPr>
        <w:t xml:space="preserve">. </w:t>
      </w:r>
      <w:r>
        <w:rPr>
          <w:rFonts w:ascii="Arial" w:cs="Arial" w:eastAsia="Arial" w:hAnsi="Arial"/>
          <w:sz w:val="18"/>
          <w:szCs w:val="18"/>
          <w:i w:val="1"/>
          <w:iCs w:val="1"/>
          <w:color w:val="auto"/>
        </w:rPr>
        <w:t>Attorneys’ Fees.</w:t>
      </w:r>
      <w:r>
        <w:rPr>
          <w:rFonts w:ascii="Arial" w:cs="Arial" w:eastAsia="Arial" w:hAnsi="Arial"/>
          <w:sz w:val="18"/>
          <w:szCs w:val="18"/>
          <w:color w:val="auto"/>
        </w:rPr>
        <w:t xml:space="preserve"> In the event of any litigation between the parties hereto to enforce any of the provisions of this Agreement or any right of either party hereto, the unsuccessful party to such litigation agrees to pay to the successful party all costs and expenses, including reasonable attorneys’ fees and disbursements, incurred herein by the successful or prevailing party.</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u w:val="single" w:color="auto"/>
          <w:color w:val="auto"/>
        </w:rPr>
        <w:t>Section 15.16</w:t>
      </w:r>
      <w:r>
        <w:rPr>
          <w:rFonts w:ascii="Arial" w:cs="Arial" w:eastAsia="Arial" w:hAnsi="Arial"/>
          <w:sz w:val="18"/>
          <w:szCs w:val="18"/>
          <w:color w:val="auto"/>
        </w:rPr>
        <w:t xml:space="preserve">. </w:t>
      </w:r>
      <w:r>
        <w:rPr>
          <w:rFonts w:ascii="Arial" w:cs="Arial" w:eastAsia="Arial" w:hAnsi="Arial"/>
          <w:sz w:val="18"/>
          <w:szCs w:val="18"/>
          <w:i w:val="1"/>
          <w:iCs w:val="1"/>
          <w:color w:val="auto"/>
        </w:rPr>
        <w:t>Public Announcement.</w:t>
      </w:r>
      <w:r>
        <w:rPr>
          <w:rFonts w:ascii="Arial" w:cs="Arial" w:eastAsia="Arial" w:hAnsi="Arial"/>
          <w:sz w:val="18"/>
          <w:szCs w:val="18"/>
          <w:color w:val="auto"/>
        </w:rPr>
        <w:t xml:space="preserve"> (a) No party to this Agreement or any Affiliate or Representative of such party shall issue or cause the publication of any press release or public announcement in respect of this Agreement or the transactions contemplated by this Agreement without the prior written consent of the other parties (which consent shall not be unreasonably withheld or delayed), except as may be required by any applicable law (including, without limitation any required real estate transfer tax filing) or stock exchange rules, in which case the party required to publish such press release or public announcement shall allow the other parties a reasonable opportunity to comment on such press release or public announcement in advance of such publication, to the extent practicable.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Section 15.17</w:t>
      </w:r>
      <w:r>
        <w:rPr>
          <w:rFonts w:ascii="Arial" w:cs="Arial" w:eastAsia="Arial" w:hAnsi="Arial"/>
          <w:sz w:val="16"/>
          <w:szCs w:val="16"/>
          <w:color w:val="auto"/>
        </w:rPr>
        <w:t xml:space="preserve">. </w:t>
      </w:r>
      <w:r>
        <w:rPr>
          <w:rFonts w:ascii="Arial" w:cs="Arial" w:eastAsia="Arial" w:hAnsi="Arial"/>
          <w:sz w:val="16"/>
          <w:szCs w:val="16"/>
          <w:i w:val="1"/>
          <w:iCs w:val="1"/>
          <w:color w:val="auto"/>
        </w:rPr>
        <w:t>Further Assurances.</w:t>
      </w:r>
      <w:r>
        <w:rPr>
          <w:rFonts w:ascii="Arial" w:cs="Arial" w:eastAsia="Arial" w:hAnsi="Arial"/>
          <w:sz w:val="16"/>
          <w:szCs w:val="16"/>
          <w:color w:val="auto"/>
        </w:rPr>
        <w:t xml:space="preserve"> Seller and Purchaser shall deliver or cause to be delivered such other customary assignments, instruments and documents and take such other customary actions, whether prior or subsequent to Closing, as may be reasonably requested by the other party to consummate more effectively the purposes or subject matter of this Agreement, provided the same shall not include any additional representation, warranty, liability or modify any of the foregoing contained herein. Without limiting the generality of the foregoing, Purchaser shall, if requested by Seller, execute acknowledgments of</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80" w:right="299" w:bottom="1440" w:gutter="0" w:footer="0" w:header="0"/>
        </w:sectPr>
      </w:pPr>
    </w:p>
    <w:bookmarkStart w:id="74" w:name="page75"/>
    <w:bookmarkEnd w:id="7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receipt with respect to any materials delivered by Seller to Purchaser with respect to the Transferred Assets.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15.18</w:t>
      </w:r>
      <w:r>
        <w:rPr>
          <w:rFonts w:ascii="Arial" w:cs="Arial" w:eastAsia="Arial" w:hAnsi="Arial"/>
          <w:sz w:val="16"/>
          <w:szCs w:val="16"/>
          <w:color w:val="auto"/>
        </w:rPr>
        <w:t xml:space="preserve">. </w:t>
      </w:r>
      <w:r>
        <w:rPr>
          <w:rFonts w:ascii="Arial" w:cs="Arial" w:eastAsia="Arial" w:hAnsi="Arial"/>
          <w:sz w:val="16"/>
          <w:szCs w:val="16"/>
          <w:i w:val="1"/>
          <w:iCs w:val="1"/>
          <w:color w:val="auto"/>
        </w:rPr>
        <w:t>Survival.</w:t>
      </w:r>
      <w:r>
        <w:rPr>
          <w:rFonts w:ascii="Arial" w:cs="Arial" w:eastAsia="Arial" w:hAnsi="Arial"/>
          <w:sz w:val="16"/>
          <w:szCs w:val="16"/>
          <w:color w:val="auto"/>
        </w:rPr>
        <w:t xml:space="preserve"> The provisions of this Article 15 shall constitute Surviving Obligations.</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280"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the day and year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SELLER:</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30RC TRUST, a Delaware statutory business trust, c/o General</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Electric Capital Corporation</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WILMINGTON TRUST COMPANY, not in its individual</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capacity, but solely as Trustee</w:t>
      </w:r>
    </w:p>
    <w:p>
      <w:pPr>
        <w:spacing w:after="0" w:line="21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/s/ Roseline K. Maney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4772660</wp:posOffset>
            </wp:positionH>
            <wp:positionV relativeFrom="paragraph">
              <wp:posOffset>10795</wp:posOffset>
            </wp:positionV>
            <wp:extent cx="21869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Roseline K. Maney</w:t>
      </w:r>
    </w:p>
    <w:p>
      <w:pPr>
        <w:spacing w:after="0" w:line="9" w:lineRule="exact"/>
        <w:rPr>
          <w:sz w:val="20"/>
          <w:szCs w:val="20"/>
          <w:color w:val="auto"/>
        </w:rPr>
      </w:pPr>
    </w:p>
    <w:p>
      <w:pPr>
        <w:ind w:left="7520"/>
        <w:spacing w:after="0"/>
        <w:tabs>
          <w:tab w:leader="none" w:pos="808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Sch. 1-B</w:t>
      </w:r>
    </w:p>
    <w:p>
      <w:pPr>
        <w:sectPr>
          <w:pgSz w:w="11900" w:h="16838" w:orient="portrait"/>
          <w:cols w:equalWidth="0" w:num="1">
            <w:col w:w="10840"/>
          </w:cols>
          <w:pgMar w:left="700" w:top="280" w:right="359" w:bottom="1440" w:gutter="0" w:footer="0" w:header="0"/>
        </w:sectPr>
      </w:pPr>
    </w:p>
    <w:bookmarkStart w:id="76" w:name="page77"/>
    <w:bookmarkEnd w:id="7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LIMITED SELLER GUARANTOR:</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From and after the Closing, the undersigned hereby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unconditionally guaranties the obligations of Seller under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Section 13.01(a)(i) for the applicable survival period set forth in</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this Agreement (but in no event beyond seven years after the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Closing) and under Section 13.01(a)(ii) (other than Sections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6.09(a) and 6.10) for a period of seven years after the Closing,</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up to a maximum aggregate amount of $100,000,000, it being</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understood that, notwithstanding the foregoing, any claim</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brought against the guarantor hereunder prior to the expiration</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of the survival period set forth in this paragraph may continue to</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be pursued against the guarantor after the expiration of such</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survival period. The undersigned is executing this Agreement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solely as to the foregoing and for no other purpose under this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Agreement.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GENERAL ELECTRIC CAPITAL CORPORATION, a</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Delaware Corporation</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Stewart Koenigsberg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10795</wp:posOffset>
            </wp:positionV>
            <wp:extent cx="2478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Stewart Koenigsberg</w:t>
      </w:r>
    </w:p>
    <w:p>
      <w:pPr>
        <w:spacing w:after="0" w:line="9" w:lineRule="exact"/>
        <w:rPr>
          <w:sz w:val="20"/>
          <w:szCs w:val="20"/>
          <w:color w:val="auto"/>
        </w:rPr>
      </w:pPr>
    </w:p>
    <w:p>
      <w:pPr>
        <w:ind w:left="6320"/>
        <w:spacing w:after="0"/>
        <w:tabs>
          <w:tab w:leader="none" w:pos="688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80"/>
          </w:cols>
          <w:pgMar w:left="1440" w:top="274" w:right="279" w:bottom="1440" w:gutter="0" w:footer="0" w:header="0"/>
        </w:sectPr>
      </w:pPr>
    </w:p>
    <w:bookmarkStart w:id="77" w:name="page78"/>
    <w:bookmarkEnd w:id="7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ELECTRIC COMPANY:</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 undersigned joins in this Agreement for purposes of</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agreeing to the provisions of Section 6.09(a), Section 6.10, and</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Section 6.11. The undersigned is executing this Agreement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solely as to the foregoing and for no other purpose under this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Agreement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GENERAL ELECTRIC CORPORATION, a New York</w:t>
      </w:r>
    </w:p>
    <w:p>
      <w:pPr>
        <w:spacing w:after="0" w:line="3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Robert J.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10795</wp:posOffset>
            </wp:positionV>
            <wp:extent cx="2478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12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Robert J. Duffy</w:t>
      </w:r>
    </w:p>
    <w:p>
      <w:pPr>
        <w:spacing w:after="0" w:line="15" w:lineRule="exact"/>
        <w:rPr>
          <w:sz w:val="20"/>
          <w:szCs w:val="20"/>
          <w:color w:val="auto"/>
        </w:rPr>
      </w:pPr>
    </w:p>
    <w:p>
      <w:pPr>
        <w:ind w:left="6320"/>
        <w:spacing w:after="0"/>
        <w:tabs>
          <w:tab w:leader="none" w:pos="6880" w:val="left"/>
        </w:tabs>
        <w:rPr>
          <w:sz w:val="20"/>
          <w:szCs w:val="20"/>
          <w:color w:val="auto"/>
        </w:rPr>
      </w:pPr>
      <w:r>
        <w:rPr>
          <w:rFonts w:ascii="Arial" w:cs="Arial" w:eastAsia="Arial" w:hAnsi="Arial"/>
          <w:sz w:val="18"/>
          <w:szCs w:val="18"/>
          <w:color w:val="auto"/>
        </w:rPr>
        <w:t>Title:</w:t>
        <w:tab/>
        <w:t>VP, Global Business Development</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80"/>
          </w:cols>
          <w:pgMar w:left="1440" w:top="274" w:right="379" w:bottom="1440" w:gutter="0" w:footer="0" w:header="0"/>
        </w:sectPr>
      </w:pPr>
    </w:p>
    <w:bookmarkStart w:id="78" w:name="page79"/>
    <w:bookmarkEnd w:id="7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NBCUNIVERSAL ATLAS LLC, a Delaware Limited Liability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Robert S. Pick</w:t>
      </w:r>
    </w:p>
    <w:p>
      <w:pPr>
        <w:spacing w:after="0" w:line="9"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00"/>
          </w:cols>
          <w:pgMar w:left="1440" w:top="274" w:right="359" w:bottom="1440" w:gutter="0" w:footer="0" w:header="0"/>
        </w:sectPr>
      </w:pPr>
    </w:p>
    <w:bookmarkStart w:id="79" w:name="page80"/>
    <w:bookmarkEnd w:id="7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GUARANTOR:</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undersigned hereby unconditionally guaranties the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obligations of Purchaser under this Agreement and, in addition,</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joins in this Agreement for purposes of agreeing to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provisions of Section 6.10(d). The undersigned is executing this</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Agreement solely as to the foregoing and for no other purpose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under this Agreement.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NBCUNIVERSAL MEDIA, LLC, a Delaware Limited</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Liability Company</w:t>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10795</wp:posOffset>
            </wp:positionV>
            <wp:extent cx="2478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Robert S. Pick</w:t>
      </w:r>
    </w:p>
    <w:p>
      <w:pPr>
        <w:spacing w:after="0" w:line="9" w:lineRule="exact"/>
        <w:rPr>
          <w:sz w:val="20"/>
          <w:szCs w:val="20"/>
          <w:color w:val="auto"/>
        </w:rPr>
      </w:pPr>
    </w:p>
    <w:p>
      <w:pPr>
        <w:ind w:left="6320"/>
        <w:spacing w:after="0"/>
        <w:tabs>
          <w:tab w:leader="none" w:pos="6880" w:val="left"/>
        </w:tabs>
        <w:rPr>
          <w:sz w:val="20"/>
          <w:szCs w:val="20"/>
          <w:color w:val="auto"/>
        </w:rPr>
      </w:pPr>
      <w:r>
        <w:rPr>
          <w:rFonts w:ascii="Arial" w:cs="Arial" w:eastAsia="Arial" w:hAnsi="Arial"/>
          <w:sz w:val="18"/>
          <w:szCs w:val="18"/>
          <w:color w:val="auto"/>
        </w:rPr>
        <w:t>Title:</w:t>
        <w:tab/>
        <w:t>Senior Vice President</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60"/>
          </w:cols>
          <w:pgMar w:left="1440" w:top="274" w:right="2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77"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May 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1, 2013</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decimal"/>
      <w:start w:val="31"/>
    </w:lvl>
  </w:abstractNum>
  <w:abstractNum w:abstractNumId="5">
    <w:nsid w:val="836C40E"/>
    <w:multiLevelType w:val="hybridMultilevel"/>
    <w:lvl w:ilvl="0">
      <w:lvlJc w:val="left"/>
      <w:lvlText w:val="%1"/>
      <w:numFmt w:val="decimal"/>
      <w:start w:val="101"/>
    </w:lvl>
  </w:abstractNum>
  <w:abstractNum w:abstractNumId="6">
    <w:nsid w:val="2901D82"/>
    <w:multiLevelType w:val="hybridMultilevel"/>
    <w:lvl w:ilvl="0">
      <w:lvlJc w:val="left"/>
      <w:lvlText w:val="(%1)"/>
      <w:numFmt w:val="lowerRoman"/>
      <w:start w:val="3"/>
    </w:lvl>
  </w:abstractNum>
  <w:abstractNum w:abstractNumId="7">
    <w:nsid w:val="3A95F874"/>
    <w:multiLevelType w:val="hybridMultilevel"/>
    <w:lvl w:ilvl="0">
      <w:lvlJc w:val="left"/>
      <w:lvlText w:val="%1"/>
      <w:numFmt w:val="lowerLetter"/>
      <w:start w:val="1"/>
    </w:lvl>
    <w:lvl w:ilvl="1">
      <w:lvlJc w:val="left"/>
      <w:lvlText w:val="(%2)"/>
      <w:numFmt w:val="lowerLetter"/>
      <w:start w:val="2"/>
    </w:lvl>
  </w:abstractNum>
  <w:abstractNum w:abstractNumId="8">
    <w:nsid w:val="8138641"/>
    <w:multiLevelType w:val="hybridMultilevel"/>
    <w:lvl w:ilvl="0">
      <w:lvlJc w:val="left"/>
      <w:lvlText w:val="(%1)"/>
      <w:numFmt w:val="lowerLetter"/>
      <w:start w:val="35"/>
    </w:lvl>
    <w:lvl w:ilvl="1">
      <w:lvlJc w:val="left"/>
      <w:lvlText w:val="%2"/>
      <w:numFmt w:val="lowerLetter"/>
      <w:start w:val="1"/>
    </w:lvl>
  </w:abstractNum>
  <w:abstractNum w:abstractNumId="9">
    <w:nsid w:val="1E7FF521"/>
    <w:multiLevelType w:val="hybridMultilevel"/>
    <w:lvl w:ilvl="0">
      <w:lvlJc w:val="left"/>
      <w:lvlText w:val="(%1)"/>
      <w:numFmt w:val="lowerRoman"/>
      <w:start w:val="12"/>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Roman"/>
      <w:start w:val="1"/>
    </w:lvl>
  </w:abstractNum>
  <w:abstractNum w:abstractNumId="13">
    <w:nsid w:val="22221A70"/>
    <w:multiLevelType w:val="hybridMultilevel"/>
    <w:lvl w:ilvl="0">
      <w:lvlJc w:val="left"/>
      <w:lvlText w:val="(%1)"/>
      <w:numFmt w:val="lowerRoman"/>
      <w:start w:val="2"/>
    </w:lvl>
  </w:abstractNum>
  <w:abstractNum w:abstractNumId="14">
    <w:nsid w:val="4516DDE9"/>
    <w:multiLevelType w:val="hybridMultilevel"/>
    <w:lvl w:ilvl="0">
      <w:lvlJc w:val="left"/>
      <w:lvlText w:val="%1"/>
      <w:numFmt w:val="lowerLetter"/>
      <w:start w:val="1"/>
    </w:lvl>
    <w:lvl w:ilvl="1">
      <w:lvlJc w:val="left"/>
      <w:lvlText w:val="(%2)"/>
      <w:numFmt w:val="lowerRoman"/>
      <w:start w:val="5"/>
    </w:lvl>
  </w:abstractNum>
  <w:abstractNum w:abstractNumId="15">
    <w:nsid w:val="3006C83E"/>
    <w:multiLevelType w:val="hybridMultilevel"/>
    <w:lvl w:ilvl="0">
      <w:lvlJc w:val="left"/>
      <w:lvlText w:val="(%1)"/>
      <w:numFmt w:val="lowerLetter"/>
      <w:start w:val="2"/>
    </w:lvl>
    <w:lvl w:ilvl="1">
      <w:lvlJc w:val="left"/>
      <w:lvlText w:val="%2"/>
      <w:numFmt w:val="lowerRoman"/>
      <w:start w:val="1"/>
    </w:lvl>
  </w:abstractNum>
  <w:abstractNum w:abstractNumId="16">
    <w:nsid w:val="614FD4A1"/>
    <w:multiLevelType w:val="hybridMultilevel"/>
    <w:lvl w:ilvl="0">
      <w:lvlJc w:val="left"/>
      <w:lvlText w:val="(%1)"/>
      <w:numFmt w:val="lowerLetter"/>
      <w:start w:val="2"/>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2"/>
    </w:lvl>
  </w:abstractNum>
  <w:abstractNum w:abstractNumId="19">
    <w:nsid w:val="440BADFC"/>
    <w:multiLevelType w:val="hybridMultilevel"/>
    <w:lvl w:ilvl="0">
      <w:lvlJc w:val="left"/>
      <w:lvlText w:val="(%1)"/>
      <w:numFmt w:val="lowerLetter"/>
      <w:start w:val="6"/>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upperLetter"/>
      <w:start w:val="1"/>
    </w:lvl>
    <w:lvl w:ilvl="1">
      <w:lvlJc w:val="left"/>
      <w:lvlText w:val="(%2)"/>
      <w:numFmt w:val="lowerRoman"/>
      <w:start w:val="1"/>
    </w:lvl>
  </w:abstractNum>
  <w:abstractNum w:abstractNumId="22">
    <w:nsid w:val="77465F01"/>
    <w:multiLevelType w:val="hybridMultilevel"/>
    <w:lvl w:ilvl="0">
      <w:lvlJc w:val="left"/>
      <w:lvlText w:val="(%1)"/>
      <w:numFmt w:val="upperLetter"/>
      <w:start w:val="2"/>
    </w:lvl>
    <w:lvl w:ilvl="1">
      <w:lvlJc w:val="left"/>
      <w:lvlText w:val="%2"/>
      <w:numFmt w:val="lowerRoman"/>
      <w:start w:val="1"/>
    </w:lvl>
  </w:abstractNum>
  <w:abstractNum w:abstractNumId="23">
    <w:nsid w:val="7724C67E"/>
    <w:multiLevelType w:val="hybridMultilevel"/>
    <w:lvl w:ilvl="0">
      <w:lvlJc w:val="left"/>
      <w:lvlText w:val="%1"/>
      <w:numFmt w:val="lowerLetter"/>
      <w:start w:val="1"/>
    </w:lvl>
    <w:lvl w:ilvl="1">
      <w:lvlJc w:val="left"/>
      <w:lvlText w:val="(%2)"/>
      <w:numFmt w:val="lowerRoman"/>
      <w:start w:val="12"/>
    </w:lvl>
  </w:abstractNum>
  <w:abstractNum w:abstractNumId="24">
    <w:nsid w:val="5C482A97"/>
    <w:multiLevelType w:val="hybridMultilevel"/>
    <w:lvl w:ilvl="0">
      <w:lvlJc w:val="left"/>
      <w:lvlText w:val="(%1)"/>
      <w:numFmt w:val="lowerLetter"/>
      <w:start w:val="2"/>
    </w:lvl>
    <w:lvl w:ilvl="1">
      <w:lvlJc w:val="left"/>
      <w:lvlText w:val="%2"/>
      <w:numFmt w:val="lowerRoman"/>
      <w:start w:val="1"/>
    </w:lvl>
  </w:abstractNum>
  <w:abstractNum w:abstractNumId="25">
    <w:nsid w:val="2463B9EA"/>
    <w:multiLevelType w:val="hybridMultilevel"/>
    <w:lvl w:ilvl="0">
      <w:lvlJc w:val="left"/>
      <w:lvlText w:val="(%1)"/>
      <w:numFmt w:val="lowerRoman"/>
      <w:start w:val="1"/>
    </w:lvl>
  </w:abstractNum>
  <w:abstractNum w:abstractNumId="26">
    <w:nsid w:val="5E884ADC"/>
    <w:multiLevelType w:val="hybridMultilevel"/>
    <w:lvl w:ilvl="0">
      <w:lvlJc w:val="left"/>
      <w:lvlText w:val="%1"/>
      <w:numFmt w:val="lowerLetter"/>
      <w:start w:val="1"/>
    </w:lvl>
    <w:lvl w:ilvl="1">
      <w:lvlJc w:val="left"/>
      <w:lvlText w:val="(%2)"/>
      <w:numFmt w:val="lowerRoman"/>
      <w:start w:val="8"/>
    </w:lvl>
  </w:abstractNum>
  <w:abstractNum w:abstractNumId="27">
    <w:nsid w:val="51EAD36B"/>
    <w:multiLevelType w:val="hybridMultilevel"/>
    <w:lvl w:ilvl="0">
      <w:lvlJc w:val="left"/>
      <w:lvlText w:val="(%1)"/>
      <w:numFmt w:val="lowerLetter"/>
      <w:start w:val="3"/>
    </w:lvl>
    <w:lvl w:ilvl="1">
      <w:lvlJc w:val="left"/>
      <w:lvlText w:val="%2"/>
      <w:numFmt w:val="lowerRoman"/>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5"/>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5"/>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1)"/>
      <w:numFmt w:val="lowerLetter"/>
      <w:start w:val="35"/>
    </w:lvl>
    <w:lvl w:ilvl="1">
      <w:lvlJc w:val="left"/>
      <w:lvlText w:val="(%2)"/>
      <w:numFmt w:val="lowerLetter"/>
      <w:start w:val="2"/>
    </w:lvl>
  </w:abstractNum>
  <w:abstractNum w:abstractNumId="35">
    <w:nsid w:val="1D4ED43B"/>
    <w:multiLevelType w:val="hybridMultilevel"/>
    <w:lvl w:ilvl="0">
      <w:lvlJc w:val="left"/>
      <w:lvlText w:val="(%1)"/>
      <w:numFmt w:val="lowerLetter"/>
      <w:start w:val="35"/>
    </w:lvl>
    <w:lvl w:ilvl="1">
      <w:lvlJc w:val="left"/>
      <w:lvlText w:val="(%2)"/>
      <w:numFmt w:val="lowerLetter"/>
      <w:start w:val="3"/>
    </w:lvl>
  </w:abstractNum>
  <w:abstractNum w:abstractNumId="36">
    <w:nsid w:val="725A06FB"/>
    <w:multiLevelType w:val="hybridMultilevel"/>
    <w:lvl w:ilvl="0">
      <w:lvlJc w:val="left"/>
      <w:lvlText w:val="(%1)"/>
      <w:numFmt w:val="lowerLetter"/>
      <w:start w:val="4"/>
    </w:lvl>
  </w:abstractNum>
  <w:abstractNum w:abstractNumId="37">
    <w:nsid w:val="2CD89A32"/>
    <w:multiLevelType w:val="hybridMultilevel"/>
    <w:lvl w:ilvl="0">
      <w:lvlJc w:val="left"/>
      <w:lvlText w:val="(%1)"/>
      <w:numFmt w:val="lowerRoman"/>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lvl w:ilvl="1">
      <w:lvlJc w:val="left"/>
      <w:lvlText w:val="(%2)"/>
      <w:numFmt w:val="lowerRoman"/>
      <w:start w:val="1"/>
    </w:lvl>
  </w:abstractNum>
  <w:abstractNum w:abstractNumId="40">
    <w:nsid w:val="4B588F54"/>
    <w:multiLevelType w:val="hybridMultilevel"/>
    <w:lvl w:ilvl="0">
      <w:lvlJc w:val="left"/>
      <w:lvlText w:val="(%1)"/>
      <w:numFmt w:val="lowerLetter"/>
      <w:start w:val="2"/>
    </w:lvl>
    <w:lvl w:ilvl="1">
      <w:lvlJc w:val="left"/>
      <w:lvlText w:val="(%2)"/>
      <w:numFmt w:val="lowerRoman"/>
      <w:start w:val="1"/>
    </w:lvl>
  </w:abstractNum>
  <w:abstractNum w:abstractNumId="41">
    <w:nsid w:val="542289EC"/>
    <w:multiLevelType w:val="hybridMultilevel"/>
    <w:lvl w:ilvl="0">
      <w:lvlJc w:val="left"/>
      <w:lvlText w:val="(%1)"/>
      <w:numFmt w:val="lowerLetter"/>
      <w:start w:val="2"/>
    </w:lvl>
  </w:abstractNum>
  <w:abstractNum w:abstractNumId="42">
    <w:nsid w:val="6DE91B18"/>
    <w:multiLevelType w:val="hybridMultilevel"/>
    <w:lvl w:ilvl="0">
      <w:lvlJc w:val="left"/>
      <w:lvlText w:val="(%1)"/>
      <w:numFmt w:val="lowerLetter"/>
      <w:start w:val="2"/>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2"/>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2019-12-06T09:56:41Z</dcterms:created>
  <dcterms:modified xsi:type="dcterms:W3CDTF">2019-12-06T09:56:41Z</dcterms:modified>
</cp:coreProperties>
</file>