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7"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3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-2230120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-2015490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-1706880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-1492885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-1226820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Exercise Your Right to Vote ***</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Annual Meeting of Shareholders to be held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194310</wp:posOffset>
            </wp:positionV>
            <wp:extent cx="3559175" cy="1869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9175" cy="1869440"/>
                    </a:xfrm>
                    <a:prstGeom prst="rect">
                      <a:avLst/>
                    </a:prstGeom>
                    <a:noFill/>
                  </pic:spPr>
                </pic:pic>
              </a:graphicData>
            </a:graphic>
          </wp:anchor>
        </w:drawing>
      </w:r>
    </w:p>
    <w:p>
      <w:pPr>
        <w:sectPr>
          <w:pgSz w:w="11900" w:h="16838" w:orient="portrait"/>
          <w:cols w:equalWidth="0" w:num="1">
            <w:col w:w="10900"/>
          </w:cols>
          <w:pgMar w:left="620" w:top="2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165544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COMCAST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Meeting Information</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8"/>
                <w:szCs w:val="18"/>
                <w:b w:val="1"/>
                <w:bCs w:val="1"/>
                <w:color w:val="auto"/>
              </w:rPr>
              <w:t>Meeting Type:</w:t>
            </w:r>
          </w:p>
        </w:tc>
        <w:tc>
          <w:tcPr>
            <w:tcW w:w="1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820" w:type="dxa"/>
            <w:vAlign w:val="bottom"/>
            <w:vMerge w:val="continue"/>
          </w:tcPr>
          <w:p>
            <w:pPr>
              <w:spacing w:after="0"/>
              <w:rPr>
                <w:sz w:val="24"/>
                <w:szCs w:val="24"/>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w w:val="90"/>
              </w:rPr>
              <w:t>Annual Meeting of Shareholders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March 12, 2015</w:t>
            </w: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21, 2015</w:t>
            </w:r>
          </w:p>
        </w:tc>
        <w:tc>
          <w:tcPr>
            <w:tcW w:w="24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(Doors Open at 8:30 a.m.)</w:t>
            </w:r>
          </w:p>
        </w:tc>
        <w:tc>
          <w:tcPr>
            <w:tcW w:w="0" w:type="dxa"/>
            <w:vAlign w:val="bottom"/>
          </w:tcPr>
          <w:p>
            <w:pPr>
              <w:spacing w:after="0"/>
              <w:rPr>
                <w:sz w:val="1"/>
                <w:szCs w:val="1"/>
                <w:color w:val="auto"/>
              </w:rPr>
            </w:pPr>
          </w:p>
        </w:tc>
      </w:tr>
    </w:tbl>
    <w:p>
      <w:pPr>
        <w:ind w:left="760" w:right="1440" w:hanging="764"/>
        <w:spacing w:after="0" w:line="250" w:lineRule="auto"/>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Kimmel Center for the Performing Arts</w:t>
      </w:r>
      <w:r>
        <w:rPr>
          <w:rFonts w:ascii="Arial" w:cs="Arial" w:eastAsia="Arial" w:hAnsi="Arial"/>
          <w:sz w:val="18"/>
          <w:szCs w:val="18"/>
          <w:b w:val="1"/>
          <w:bCs w:val="1"/>
          <w:color w:val="auto"/>
        </w:rPr>
        <w:t xml:space="preserve"> </w:t>
      </w:r>
      <w:r>
        <w:rPr>
          <w:rFonts w:ascii="Arial" w:cs="Arial" w:eastAsia="Arial" w:hAnsi="Arial"/>
          <w:sz w:val="18"/>
          <w:szCs w:val="18"/>
          <w:color w:val="auto"/>
        </w:rPr>
        <w:t>Perelman Theater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300 S. Broad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Philadelphia, PA 19102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Meeting Directions:</w:t>
      </w:r>
    </w:p>
    <w:p>
      <w:pPr>
        <w:spacing w:after="0" w:line="27"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i w:val="1"/>
          <w:iCs w:val="1"/>
          <w:color w:val="auto"/>
        </w:rPr>
        <w:t>www.cmcsa.com/annual-proxy.cfm</w:t>
      </w:r>
    </w:p>
    <w:p>
      <w:pPr>
        <w:spacing w:after="0" w:line="200" w:lineRule="exact"/>
        <w:rPr>
          <w:sz w:val="20"/>
          <w:szCs w:val="20"/>
          <w:color w:val="auto"/>
        </w:rPr>
      </w:pPr>
    </w:p>
    <w:p>
      <w:pPr>
        <w:sectPr>
          <w:pgSz w:w="11900" w:h="16838" w:orient="portrait"/>
          <w:cols w:equalWidth="0" w:num="2">
            <w:col w:w="4780" w:space="720"/>
            <w:col w:w="5400"/>
          </w:cols>
          <w:pgMar w:left="620" w:top="270" w:right="379" w:bottom="1440" w:gutter="0" w:footer="0" w:header="0"/>
          <w:type w:val="continuous"/>
        </w:sectPr>
      </w:pPr>
    </w:p>
    <w:p>
      <w:pPr>
        <w:spacing w:after="0" w:line="10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You are receiving this communication because you hold Class A common</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stock in Comcast Corporation, which entitles you to vote at the annual</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meeting, and the proxy materials you should review are now available.</w:t>
      </w:r>
    </w:p>
    <w:p>
      <w:pPr>
        <w:spacing w:after="0" w:line="124" w:lineRule="exact"/>
        <w:rPr>
          <w:sz w:val="20"/>
          <w:szCs w:val="20"/>
          <w:color w:val="auto"/>
        </w:rPr>
      </w:pPr>
    </w:p>
    <w:p>
      <w:pPr>
        <w:ind w:left="5340"/>
        <w:spacing w:after="0" w:line="295" w:lineRule="auto"/>
        <w:rPr>
          <w:sz w:val="20"/>
          <w:szCs w:val="20"/>
          <w:color w:val="auto"/>
        </w:rPr>
      </w:pPr>
      <w:r>
        <w:rPr>
          <w:rFonts w:ascii="Arial" w:cs="Arial" w:eastAsia="Arial" w:hAnsi="Arial"/>
          <w:sz w:val="16"/>
          <w:szCs w:val="16"/>
          <w:b w:val="1"/>
          <w:bCs w:val="1"/>
          <w:color w:val="auto"/>
        </w:rPr>
        <w:t xml:space="preserve">This is not a ballot. You cannot use this notice to vote these shares.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presents only an overview of the more complete proxy materials that contain important information and are available to you on the Internet or by mail. You may view the proxy materials online at www.proxyvote.com or by scanning the QR Barcode on the reverse side with your smartphone or tablet, or by requesting a paper copy (see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-214630</wp:posOffset>
            </wp:positionV>
            <wp:extent cx="137160" cy="93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934720"/>
                    </a:xfrm>
                    <a:prstGeom prst="rect">
                      <a:avLst/>
                    </a:prstGeom>
                    <a:noFill/>
                  </pic:spPr>
                </pic:pic>
              </a:graphicData>
            </a:graphic>
          </wp:anchor>
        </w:drawing>
      </w:r>
    </w:p>
    <w:p>
      <w:pPr>
        <w:spacing w:after="0" w:line="4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We encourage you to access and review all of the important information</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91440</wp:posOffset>
            </wp:positionV>
            <wp:extent cx="3550285"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334645"/>
                    </a:xfrm>
                    <a:prstGeom prst="rect">
                      <a:avLst/>
                    </a:prstGeom>
                    <a:noFill/>
                  </pic:spPr>
                </pic:pic>
              </a:graphicData>
            </a:graphic>
          </wp:anchor>
        </w:drawing>
      </w:r>
    </w:p>
    <w:p>
      <w:pPr>
        <w:spacing w:after="0" w:line="146"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FFFFFF"/>
        </w:rPr>
        <w:t>See the reverse side of this notice to obtain proxy materials and voting</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FFFFFF"/>
        </w:rPr>
        <w:t>instructions.</w:t>
      </w:r>
    </w:p>
    <w:p>
      <w:pPr>
        <w:sectPr>
          <w:pgSz w:w="11900" w:h="16838" w:orient="portrait"/>
          <w:cols w:equalWidth="0" w:num="1">
            <w:col w:w="10900"/>
          </w:cols>
          <w:pgMar w:left="620" w:top="270" w:right="3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100330</wp:posOffset>
            </wp:positionV>
            <wp:extent cx="7117715" cy="3095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309562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35" w:lineRule="exact"/>
        <w:rPr>
          <w:sz w:val="20"/>
          <w:szCs w:val="20"/>
          <w:color w:val="auto"/>
        </w:rPr>
      </w:pPr>
    </w:p>
    <w:p>
      <w:pPr>
        <w:ind w:left="80"/>
        <w:spacing w:after="0"/>
        <w:tabs>
          <w:tab w:leader="none" w:pos="2460" w:val="left"/>
        </w:tabs>
        <w:rPr>
          <w:sz w:val="20"/>
          <w:szCs w:val="20"/>
          <w:color w:val="auto"/>
        </w:rPr>
      </w:pPr>
      <w:r>
        <w:rPr>
          <w:rFonts w:ascii="Arial" w:cs="Arial" w:eastAsia="Arial" w:hAnsi="Arial"/>
          <w:sz w:val="18"/>
          <w:szCs w:val="18"/>
          <w:color w:val="auto"/>
        </w:rPr>
        <w:t>PROXY STATEMENT</w:t>
      </w:r>
      <w:r>
        <w:rPr>
          <w:sz w:val="20"/>
          <w:szCs w:val="20"/>
          <w:color w:val="auto"/>
        </w:rPr>
        <w:tab/>
      </w:r>
      <w:r>
        <w:rPr>
          <w:rFonts w:ascii="Arial" w:cs="Arial" w:eastAsia="Arial" w:hAnsi="Arial"/>
          <w:sz w:val="17"/>
          <w:szCs w:val="17"/>
          <w:color w:val="auto"/>
        </w:rPr>
        <w:t>ANNUAL REPORT</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How to View Online:</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55090" cy="146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509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scan the QR Barcode below with your smartphone or tablet.</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44" w:lineRule="exact"/>
        <w:rPr>
          <w:sz w:val="20"/>
          <w:szCs w:val="20"/>
          <w:color w:val="auto"/>
        </w:rPr>
      </w:pPr>
    </w:p>
    <w:p>
      <w:pPr>
        <w:ind w:left="1080"/>
        <w:spacing w:after="0"/>
        <w:tabs>
          <w:tab w:leader="none" w:pos="33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 or scan the QR Barcode below</w:t>
      </w:r>
    </w:p>
    <w:p>
      <w:pPr>
        <w:spacing w:after="0" w:line="23" w:lineRule="exact"/>
        <w:rPr>
          <w:sz w:val="20"/>
          <w:szCs w:val="20"/>
          <w:color w:val="auto"/>
        </w:rPr>
      </w:pPr>
    </w:p>
    <w:p>
      <w:pPr>
        <w:ind w:left="1080"/>
        <w:spacing w:after="0"/>
        <w:tabs>
          <w:tab w:leader="none" w:pos="334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BY TELEPHONE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1-800-579-1639</w:t>
      </w:r>
    </w:p>
    <w:p>
      <w:pPr>
        <w:spacing w:after="0" w:line="9" w:lineRule="exact"/>
        <w:rPr>
          <w:sz w:val="20"/>
          <w:szCs w:val="20"/>
          <w:color w:val="auto"/>
        </w:rPr>
      </w:pPr>
    </w:p>
    <w:p>
      <w:pPr>
        <w:ind w:left="1080"/>
        <w:spacing w:after="0"/>
        <w:tabs>
          <w:tab w:leader="none" w:pos="3340"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sendmaterial@proxyvote.com</w:t>
      </w:r>
    </w:p>
    <w:p>
      <w:pPr>
        <w:spacing w:after="0" w:line="130" w:lineRule="exact"/>
        <w:rPr>
          <w:sz w:val="20"/>
          <w:szCs w:val="20"/>
          <w:color w:val="auto"/>
        </w:rPr>
      </w:pPr>
    </w:p>
    <w:p>
      <w:pPr>
        <w:ind w:left="260" w:right="1400" w:hanging="179"/>
        <w:spacing w:after="0" w:line="280"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355090" cy="146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509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make the request as instructed above on or before May 7, 2015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186690</wp:posOffset>
            </wp:positionV>
            <wp:extent cx="186944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69440" cy="45466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74930</wp:posOffset>
            </wp:positionV>
            <wp:extent cx="7254875" cy="2186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186940"/>
                    </a:xfrm>
                    <a:prstGeom prst="rect">
                      <a:avLst/>
                    </a:prstGeom>
                    <a:noFill/>
                  </pic:spPr>
                </pic:pic>
              </a:graphicData>
            </a:graphic>
          </wp:anchor>
        </w:drawing>
      </w:r>
    </w:p>
    <w:p>
      <w:pPr>
        <w:spacing w:after="0" w:line="215" w:lineRule="exact"/>
        <w:rPr>
          <w:sz w:val="20"/>
          <w:szCs w:val="20"/>
          <w:color w:val="auto"/>
        </w:rPr>
      </w:pPr>
    </w:p>
    <w:p>
      <w:pPr>
        <w:ind w:left="80"/>
        <w:spacing w:after="0" w:line="298"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This notice serves as an admission ticket for each shareholder and one guest per shareholder. All shareholders must bring an</w:t>
      </w:r>
      <w:r>
        <w:rPr>
          <w:rFonts w:ascii="Arial" w:cs="Arial" w:eastAsia="Arial" w:hAnsi="Arial"/>
          <w:sz w:val="16"/>
          <w:szCs w:val="16"/>
          <w:b w:val="1"/>
          <w:bCs w:val="1"/>
          <w:color w:val="auto"/>
        </w:rPr>
        <w:t xml:space="preserve"> </w:t>
      </w:r>
      <w:r>
        <w:rPr>
          <w:rFonts w:ascii="Arial" w:cs="Arial" w:eastAsia="Arial" w:hAnsi="Arial"/>
          <w:sz w:val="16"/>
          <w:szCs w:val="16"/>
          <w:color w:val="auto"/>
        </w:rPr>
        <w:t>admission ticket to the annual meeting. Without an admission ticket, shareholders will be admitted only upon verification of ownership. At the annual meeting, you will need to request a ballot to vote these shares. You may be asked to present a valid government-issued photo identification before entering the annual meeting. Video and audio recording devices will not be permitted at the annual meeting, and attendees will be subject to security inspections. Please check the proxy materials for additional requirements for, and information on, annual meeting admission requirements.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Go to www.proxyvote.com.</w:t>
      </w:r>
    </w:p>
    <w:p>
      <w:pPr>
        <w:spacing w:after="0" w:line="108" w:lineRule="exact"/>
        <w:rPr>
          <w:sz w:val="20"/>
          <w:szCs w:val="20"/>
          <w:color w:val="auto"/>
        </w:rPr>
      </w:pPr>
    </w:p>
    <w:p>
      <w:pPr>
        <w:ind w:left="80" w:right="80"/>
        <w:spacing w:after="0" w:line="258"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55090" cy="146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509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 You may also scan the QR Barcode above with your smartphone or tablet. Proxies submitted by Internet must be received by 11:59 p.m. Eastern Time on May 20, 2015.</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880"/>
          </w:cols>
          <w:pgMar w:left="560" w:top="270" w:right="459" w:bottom="1440" w:gutter="0" w:footer="0" w:header="0"/>
        </w:sectPr>
      </w:pPr>
    </w:p>
    <w:bookmarkStart w:id="3" w:name="page4"/>
    <w:bookmarkEnd w:id="3"/>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217805</wp:posOffset>
            </wp:positionV>
            <wp:extent cx="332740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0"/>
                    </a:xfrm>
                    <a:prstGeom prst="rect">
                      <a:avLst/>
                    </a:prstGeom>
                    <a:noFill/>
                  </pic:spPr>
                </pic:pic>
              </a:graphicData>
            </a:graphic>
          </wp:anchor>
        </w:drawing>
      </w:r>
    </w:p>
    <w:p>
      <w:pPr>
        <w:ind w:left="1004"/>
        <w:spacing w:after="0"/>
        <w:rPr>
          <w:sz w:val="20"/>
          <w:szCs w:val="20"/>
          <w:color w:val="auto"/>
        </w:rPr>
      </w:pPr>
      <w:r>
        <w:rPr>
          <w:rFonts w:ascii="Arial" w:cs="Arial" w:eastAsia="Arial" w:hAnsi="Arial"/>
          <w:sz w:val="18"/>
          <w:szCs w:val="18"/>
          <w:b w:val="1"/>
          <w:bCs w:val="1"/>
          <w:color w:val="auto"/>
        </w:rPr>
        <w:t>Voting Items</w:t>
      </w:r>
    </w:p>
    <w:p>
      <w:pPr>
        <w:spacing w:after="0" w:line="239" w:lineRule="exact"/>
        <w:rPr>
          <w:sz w:val="20"/>
          <w:szCs w:val="20"/>
          <w:color w:val="auto"/>
        </w:rPr>
      </w:pPr>
    </w:p>
    <w:p>
      <w:pPr>
        <w:ind w:left="524" w:right="500" w:hanging="483"/>
        <w:spacing w:after="0" w:line="266" w:lineRule="auto"/>
        <w:tabs>
          <w:tab w:leader="none" w:pos="524" w:val="left"/>
        </w:tabs>
        <w:numPr>
          <w:ilvl w:val="1"/>
          <w:numId w:val="6"/>
        </w:numPr>
        <w:rPr>
          <w:rFonts w:ascii="Arial" w:cs="Arial" w:eastAsia="Arial" w:hAnsi="Arial"/>
          <w:sz w:val="18"/>
          <w:szCs w:val="18"/>
          <w:b w:val="1"/>
          <w:bCs w:val="1"/>
          <w:color w:val="FFFFFF"/>
        </w:rPr>
      </w:pPr>
      <w:r>
        <w:rPr>
          <w:rFonts w:ascii="Arial" w:cs="Arial" w:eastAsia="Arial" w:hAnsi="Arial"/>
          <w:sz w:val="18"/>
          <w:szCs w:val="18"/>
          <w:b w:val="1"/>
          <w:bCs w:val="1"/>
          <w:color w:val="auto"/>
        </w:rPr>
        <w:t>Company Proposals — The Board of Directors recommends a vote “FOR” all the nominees listed in Proposal 1:</w:t>
      </w:r>
    </w:p>
    <w:p>
      <w:pPr>
        <w:spacing w:after="0" w:line="99" w:lineRule="exact"/>
        <w:rPr>
          <w:rFonts w:ascii="Arial" w:cs="Arial" w:eastAsia="Arial" w:hAnsi="Arial"/>
          <w:sz w:val="18"/>
          <w:szCs w:val="18"/>
          <w:b w:val="1"/>
          <w:bCs w:val="1"/>
          <w:color w:val="FFFFFF"/>
        </w:rPr>
      </w:pPr>
    </w:p>
    <w:p>
      <w:pPr>
        <w:ind w:left="524" w:hanging="524"/>
        <w:spacing w:after="0"/>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-619125</wp:posOffset>
            </wp:positionV>
            <wp:extent cx="2146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137160"/>
                    </a:xfrm>
                    <a:prstGeom prst="rect">
                      <a:avLst/>
                    </a:prstGeom>
                    <a:noFill/>
                  </pic:spPr>
                </pic:pic>
              </a:graphicData>
            </a:graphic>
          </wp:anchor>
        </w:drawing>
      </w:r>
    </w:p>
    <w:p>
      <w:pPr>
        <w:spacing w:after="0" w:line="57" w:lineRule="exact"/>
        <w:rPr>
          <w:sz w:val="20"/>
          <w:szCs w:val="20"/>
          <w:color w:val="auto"/>
        </w:rPr>
      </w:pPr>
    </w:p>
    <w:tbl>
      <w:tblPr>
        <w:tblLayout w:type="fixed"/>
        <w:tblInd w:w="524"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3"/>
              </w:rPr>
              <w:t>01 -</w:t>
            </w:r>
          </w:p>
        </w:tc>
        <w:tc>
          <w:tcPr>
            <w:tcW w:w="1720" w:type="dxa"/>
            <w:vAlign w:val="bottom"/>
          </w:tcPr>
          <w:p>
            <w:pPr>
              <w:ind w:left="80"/>
              <w:spacing w:after="0"/>
              <w:rPr>
                <w:sz w:val="20"/>
                <w:szCs w:val="20"/>
                <w:color w:val="auto"/>
              </w:rPr>
            </w:pPr>
            <w:r>
              <w:rPr>
                <w:rFonts w:ascii="Arial" w:cs="Arial" w:eastAsia="Arial" w:hAnsi="Arial"/>
                <w:sz w:val="18"/>
                <w:szCs w:val="18"/>
                <w:color w:val="auto"/>
              </w:rPr>
              <w:t>Kenneth J. Bacon</w:t>
            </w:r>
          </w:p>
        </w:tc>
        <w:tc>
          <w:tcPr>
            <w:tcW w:w="480" w:type="dxa"/>
            <w:vAlign w:val="bottom"/>
          </w:tcPr>
          <w:p>
            <w:pPr>
              <w:jc w:val="right"/>
              <w:spacing w:after="0"/>
              <w:rPr>
                <w:sz w:val="20"/>
                <w:szCs w:val="20"/>
                <w:color w:val="auto"/>
              </w:rPr>
            </w:pPr>
            <w:r>
              <w:rPr>
                <w:rFonts w:ascii="Arial" w:cs="Arial" w:eastAsia="Arial" w:hAnsi="Arial"/>
                <w:sz w:val="18"/>
                <w:szCs w:val="18"/>
                <w:color w:val="auto"/>
              </w:rPr>
              <w:t>07 -</w:t>
            </w:r>
          </w:p>
        </w:tc>
        <w:tc>
          <w:tcPr>
            <w:tcW w:w="1660" w:type="dxa"/>
            <w:vAlign w:val="bottom"/>
          </w:tcPr>
          <w:p>
            <w:pPr>
              <w:ind w:left="80"/>
              <w:spacing w:after="0"/>
              <w:rPr>
                <w:sz w:val="20"/>
                <w:szCs w:val="20"/>
                <w:color w:val="auto"/>
              </w:rPr>
            </w:pPr>
            <w:r>
              <w:rPr>
                <w:rFonts w:ascii="Arial" w:cs="Arial" w:eastAsia="Arial" w:hAnsi="Arial"/>
                <w:sz w:val="18"/>
                <w:szCs w:val="18"/>
                <w:color w:val="auto"/>
                <w:w w:val="91"/>
              </w:rPr>
              <w:t>Jeffrey A. Honickman</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3"/>
              </w:rPr>
              <w:t>02 -</w:t>
            </w:r>
          </w:p>
        </w:tc>
        <w:tc>
          <w:tcPr>
            <w:tcW w:w="1720" w:type="dxa"/>
            <w:vAlign w:val="bottom"/>
          </w:tcPr>
          <w:p>
            <w:pPr>
              <w:ind w:left="80"/>
              <w:spacing w:after="0"/>
              <w:rPr>
                <w:sz w:val="20"/>
                <w:szCs w:val="20"/>
                <w:color w:val="auto"/>
              </w:rPr>
            </w:pPr>
            <w:r>
              <w:rPr>
                <w:rFonts w:ascii="Arial" w:cs="Arial" w:eastAsia="Arial" w:hAnsi="Arial"/>
                <w:sz w:val="18"/>
                <w:szCs w:val="18"/>
                <w:color w:val="auto"/>
                <w:w w:val="98"/>
              </w:rPr>
              <w:t>Sheldon M. Bonovitz</w:t>
            </w:r>
          </w:p>
        </w:tc>
        <w:tc>
          <w:tcPr>
            <w:tcW w:w="480" w:type="dxa"/>
            <w:vAlign w:val="bottom"/>
          </w:tcPr>
          <w:p>
            <w:pPr>
              <w:jc w:val="right"/>
              <w:spacing w:after="0"/>
              <w:rPr>
                <w:sz w:val="20"/>
                <w:szCs w:val="20"/>
                <w:color w:val="auto"/>
              </w:rPr>
            </w:pPr>
            <w:r>
              <w:rPr>
                <w:rFonts w:ascii="Arial" w:cs="Arial" w:eastAsia="Arial" w:hAnsi="Arial"/>
                <w:sz w:val="18"/>
                <w:szCs w:val="18"/>
                <w:color w:val="auto"/>
              </w:rPr>
              <w:t>08 -</w:t>
            </w:r>
          </w:p>
        </w:tc>
        <w:tc>
          <w:tcPr>
            <w:tcW w:w="1660" w:type="dxa"/>
            <w:vAlign w:val="bottom"/>
          </w:tcPr>
          <w:p>
            <w:pPr>
              <w:ind w:left="80"/>
              <w:spacing w:after="0"/>
              <w:rPr>
                <w:sz w:val="20"/>
                <w:szCs w:val="20"/>
                <w:color w:val="auto"/>
              </w:rPr>
            </w:pPr>
            <w:r>
              <w:rPr>
                <w:rFonts w:ascii="Arial" w:cs="Arial" w:eastAsia="Arial" w:hAnsi="Arial"/>
                <w:sz w:val="18"/>
                <w:szCs w:val="18"/>
                <w:color w:val="auto"/>
              </w:rPr>
              <w:t>Eduardo Mestre</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3"/>
              </w:rPr>
              <w:t>03 -</w:t>
            </w:r>
          </w:p>
        </w:tc>
        <w:tc>
          <w:tcPr>
            <w:tcW w:w="1720" w:type="dxa"/>
            <w:vAlign w:val="bottom"/>
          </w:tcPr>
          <w:p>
            <w:pPr>
              <w:ind w:left="80"/>
              <w:spacing w:after="0"/>
              <w:rPr>
                <w:sz w:val="20"/>
                <w:szCs w:val="20"/>
                <w:color w:val="auto"/>
              </w:rPr>
            </w:pPr>
            <w:r>
              <w:rPr>
                <w:rFonts w:ascii="Arial" w:cs="Arial" w:eastAsia="Arial" w:hAnsi="Arial"/>
                <w:sz w:val="18"/>
                <w:szCs w:val="18"/>
                <w:color w:val="auto"/>
              </w:rPr>
              <w:t>Edward D. Breen</w:t>
            </w:r>
          </w:p>
        </w:tc>
        <w:tc>
          <w:tcPr>
            <w:tcW w:w="480" w:type="dxa"/>
            <w:vAlign w:val="bottom"/>
          </w:tcPr>
          <w:p>
            <w:pPr>
              <w:jc w:val="right"/>
              <w:spacing w:after="0"/>
              <w:rPr>
                <w:sz w:val="20"/>
                <w:szCs w:val="20"/>
                <w:color w:val="auto"/>
              </w:rPr>
            </w:pPr>
            <w:r>
              <w:rPr>
                <w:rFonts w:ascii="Arial" w:cs="Arial" w:eastAsia="Arial" w:hAnsi="Arial"/>
                <w:sz w:val="18"/>
                <w:szCs w:val="18"/>
                <w:color w:val="auto"/>
              </w:rPr>
              <w:t>09 -</w:t>
            </w:r>
          </w:p>
        </w:tc>
        <w:tc>
          <w:tcPr>
            <w:tcW w:w="1660" w:type="dxa"/>
            <w:vAlign w:val="bottom"/>
          </w:tcPr>
          <w:p>
            <w:pPr>
              <w:ind w:left="80"/>
              <w:spacing w:after="0"/>
              <w:rPr>
                <w:sz w:val="20"/>
                <w:szCs w:val="20"/>
                <w:color w:val="auto"/>
              </w:rPr>
            </w:pPr>
            <w:r>
              <w:rPr>
                <w:rFonts w:ascii="Arial" w:cs="Arial" w:eastAsia="Arial" w:hAnsi="Arial"/>
                <w:sz w:val="18"/>
                <w:szCs w:val="18"/>
                <w:color w:val="auto"/>
              </w:rPr>
              <w:t>Brian L. Roberts</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3"/>
              </w:rPr>
              <w:t>04 -</w:t>
            </w:r>
          </w:p>
        </w:tc>
        <w:tc>
          <w:tcPr>
            <w:tcW w:w="1720" w:type="dxa"/>
            <w:vAlign w:val="bottom"/>
          </w:tcPr>
          <w:p>
            <w:pPr>
              <w:ind w:left="80"/>
              <w:spacing w:after="0"/>
              <w:rPr>
                <w:sz w:val="20"/>
                <w:szCs w:val="20"/>
                <w:color w:val="auto"/>
              </w:rPr>
            </w:pPr>
            <w:r>
              <w:rPr>
                <w:rFonts w:ascii="Arial" w:cs="Arial" w:eastAsia="Arial" w:hAnsi="Arial"/>
                <w:sz w:val="18"/>
                <w:szCs w:val="18"/>
                <w:color w:val="auto"/>
              </w:rPr>
              <w:t>Joseph J. Collins</w:t>
            </w:r>
          </w:p>
        </w:tc>
        <w:tc>
          <w:tcPr>
            <w:tcW w:w="480" w:type="dxa"/>
            <w:vAlign w:val="bottom"/>
          </w:tcPr>
          <w:p>
            <w:pPr>
              <w:jc w:val="right"/>
              <w:spacing w:after="0"/>
              <w:rPr>
                <w:sz w:val="20"/>
                <w:szCs w:val="20"/>
                <w:color w:val="auto"/>
              </w:rPr>
            </w:pPr>
            <w:r>
              <w:rPr>
                <w:rFonts w:ascii="Arial" w:cs="Arial" w:eastAsia="Arial" w:hAnsi="Arial"/>
                <w:sz w:val="18"/>
                <w:szCs w:val="18"/>
                <w:color w:val="auto"/>
              </w:rPr>
              <w:t>10 -</w:t>
            </w:r>
          </w:p>
        </w:tc>
        <w:tc>
          <w:tcPr>
            <w:tcW w:w="1660" w:type="dxa"/>
            <w:vAlign w:val="bottom"/>
          </w:tcPr>
          <w:p>
            <w:pPr>
              <w:ind w:left="80"/>
              <w:spacing w:after="0"/>
              <w:rPr>
                <w:sz w:val="20"/>
                <w:szCs w:val="20"/>
                <w:color w:val="auto"/>
              </w:rPr>
            </w:pPr>
            <w:r>
              <w:rPr>
                <w:rFonts w:ascii="Arial" w:cs="Arial" w:eastAsia="Arial" w:hAnsi="Arial"/>
                <w:sz w:val="18"/>
                <w:szCs w:val="18"/>
                <w:color w:val="auto"/>
              </w:rPr>
              <w:t>Ralph J. Roberts</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3"/>
              </w:rPr>
              <w:t>05 -</w:t>
            </w:r>
          </w:p>
        </w:tc>
        <w:tc>
          <w:tcPr>
            <w:tcW w:w="1720" w:type="dxa"/>
            <w:vAlign w:val="bottom"/>
          </w:tcPr>
          <w:p>
            <w:pPr>
              <w:ind w:left="80"/>
              <w:spacing w:after="0"/>
              <w:rPr>
                <w:sz w:val="20"/>
                <w:szCs w:val="20"/>
                <w:color w:val="auto"/>
              </w:rPr>
            </w:pPr>
            <w:r>
              <w:rPr>
                <w:rFonts w:ascii="Arial" w:cs="Arial" w:eastAsia="Arial" w:hAnsi="Arial"/>
                <w:sz w:val="18"/>
                <w:szCs w:val="18"/>
                <w:color w:val="auto"/>
              </w:rPr>
              <w:t>J. Michael Cook</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11 -</w:t>
            </w:r>
          </w:p>
        </w:tc>
        <w:tc>
          <w:tcPr>
            <w:tcW w:w="1660" w:type="dxa"/>
            <w:vAlign w:val="bottom"/>
          </w:tcPr>
          <w:p>
            <w:pPr>
              <w:ind w:left="80"/>
              <w:spacing w:after="0"/>
              <w:rPr>
                <w:sz w:val="20"/>
                <w:szCs w:val="20"/>
                <w:color w:val="auto"/>
              </w:rPr>
            </w:pPr>
            <w:r>
              <w:rPr>
                <w:rFonts w:ascii="Arial" w:cs="Arial" w:eastAsia="Arial" w:hAnsi="Arial"/>
                <w:sz w:val="18"/>
                <w:szCs w:val="18"/>
                <w:color w:val="auto"/>
                <w:w w:val="87"/>
              </w:rPr>
              <w:t>Johnathan A. Rodgers</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3"/>
              </w:rPr>
              <w:t>06 -</w:t>
            </w:r>
          </w:p>
        </w:tc>
        <w:tc>
          <w:tcPr>
            <w:tcW w:w="1720" w:type="dxa"/>
            <w:vAlign w:val="bottom"/>
          </w:tcPr>
          <w:p>
            <w:pPr>
              <w:ind w:left="80"/>
              <w:spacing w:after="0"/>
              <w:rPr>
                <w:sz w:val="20"/>
                <w:szCs w:val="20"/>
                <w:color w:val="auto"/>
              </w:rPr>
            </w:pPr>
            <w:r>
              <w:rPr>
                <w:rFonts w:ascii="Arial" w:cs="Arial" w:eastAsia="Arial" w:hAnsi="Arial"/>
                <w:sz w:val="18"/>
                <w:szCs w:val="18"/>
                <w:color w:val="auto"/>
              </w:rPr>
              <w:t>Gerald L. Hassell</w:t>
            </w: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660" w:type="dxa"/>
            <w:vAlign w:val="bottom"/>
          </w:tcPr>
          <w:p>
            <w:pPr>
              <w:ind w:left="80"/>
              <w:spacing w:after="0"/>
              <w:rPr>
                <w:sz w:val="20"/>
                <w:szCs w:val="20"/>
                <w:color w:val="auto"/>
              </w:rPr>
            </w:pPr>
            <w:r>
              <w:rPr>
                <w:rFonts w:ascii="Arial" w:cs="Arial" w:eastAsia="Arial" w:hAnsi="Arial"/>
                <w:sz w:val="18"/>
                <w:szCs w:val="18"/>
                <w:color w:val="auto"/>
              </w:rPr>
              <w:t>Dr. Judith Rodin</w:t>
            </w:r>
          </w:p>
        </w:tc>
      </w:tr>
    </w:tbl>
    <w:p>
      <w:pPr>
        <w:spacing w:after="0" w:line="225"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The Board of Directors recommends a vote “FOR” Proposals 2 and 3:</w:t>
      </w:r>
    </w:p>
    <w:p>
      <w:pPr>
        <w:spacing w:after="0" w:line="31" w:lineRule="exact"/>
        <w:rPr>
          <w:sz w:val="20"/>
          <w:szCs w:val="20"/>
          <w:color w:val="auto"/>
        </w:rPr>
      </w:pPr>
    </w:p>
    <w:p>
      <w:pPr>
        <w:ind w:left="524" w:hanging="524"/>
        <w:spacing w:after="0"/>
        <w:tabs>
          <w:tab w:leader="none" w:pos="524"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the appointment of our independent auditors</w:t>
      </w:r>
    </w:p>
    <w:p>
      <w:pPr>
        <w:spacing w:after="0" w:line="99" w:lineRule="exact"/>
        <w:rPr>
          <w:rFonts w:ascii="Arial" w:cs="Arial" w:eastAsia="Arial" w:hAnsi="Arial"/>
          <w:sz w:val="16"/>
          <w:szCs w:val="16"/>
          <w:color w:val="auto"/>
        </w:rPr>
      </w:pPr>
    </w:p>
    <w:p>
      <w:pPr>
        <w:ind w:left="524" w:hanging="524"/>
        <w:spacing w:after="0"/>
        <w:tabs>
          <w:tab w:leader="none" w:pos="5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our 2006 Cash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1275715</wp:posOffset>
            </wp:positionV>
            <wp:extent cx="154305" cy="934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-250190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1" w:lineRule="exact"/>
        <w:rPr>
          <w:sz w:val="20"/>
          <w:szCs w:val="20"/>
          <w:color w:val="auto"/>
        </w:rPr>
      </w:pPr>
    </w:p>
    <w:p>
      <w:pPr>
        <w:ind w:left="500" w:right="899" w:hanging="400"/>
        <w:spacing w:after="0" w:line="258" w:lineRule="auto"/>
        <w:tabs>
          <w:tab w:leader="none" w:pos="500" w:val="left"/>
        </w:tabs>
        <w:numPr>
          <w:ilvl w:val="1"/>
          <w:numId w:val="8"/>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Shareholder Proposals — The Board of Directors recommends a vote “AGAINST” Proposals 4, 5 and 6 if properly presented at the annual meeting:</w:t>
      </w:r>
    </w:p>
    <w:p>
      <w:pPr>
        <w:spacing w:after="0" w:line="93" w:lineRule="exact"/>
        <w:rPr>
          <w:rFonts w:ascii="Arial" w:cs="Arial" w:eastAsia="Arial" w:hAnsi="Arial"/>
          <w:sz w:val="18"/>
          <w:szCs w:val="18"/>
          <w:b w:val="1"/>
          <w:bCs w:val="1"/>
          <w:color w:val="FFFFFF"/>
          <w:highlight w:val="black"/>
        </w:rPr>
      </w:pPr>
    </w:p>
    <w:p>
      <w:pPr>
        <w:ind w:left="500" w:hanging="49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provide an annual report on lobbying activities</w:t>
      </w:r>
    </w:p>
    <w:p>
      <w:pPr>
        <w:spacing w:after="0" w:line="155" w:lineRule="exact"/>
        <w:rPr>
          <w:rFonts w:ascii="Arial" w:cs="Arial" w:eastAsia="Arial" w:hAnsi="Arial"/>
          <w:sz w:val="17"/>
          <w:szCs w:val="17"/>
          <w:color w:val="auto"/>
        </w:rPr>
      </w:pPr>
    </w:p>
    <w:p>
      <w:pPr>
        <w:ind w:left="500" w:right="439" w:hanging="49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prohibit accelerated vesting upon a change of control</w:t>
      </w:r>
    </w:p>
    <w:p>
      <w:pPr>
        <w:spacing w:after="0" w:line="89" w:lineRule="exact"/>
        <w:rPr>
          <w:rFonts w:ascii="Arial" w:cs="Arial" w:eastAsia="Arial" w:hAnsi="Arial"/>
          <w:sz w:val="18"/>
          <w:szCs w:val="18"/>
          <w:color w:val="auto"/>
        </w:rPr>
      </w:pPr>
    </w:p>
    <w:p>
      <w:pPr>
        <w:ind w:left="500" w:hanging="49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each share an equal vote</w:t>
      </w:r>
    </w:p>
    <w:p>
      <w:pPr>
        <w:spacing w:after="0" w:line="262" w:lineRule="exact"/>
        <w:rPr>
          <w:sz w:val="20"/>
          <w:szCs w:val="20"/>
          <w:color w:val="auto"/>
        </w:rPr>
      </w:pPr>
    </w:p>
    <w:p>
      <w:pPr>
        <w:ind w:right="159"/>
        <w:spacing w:after="0" w:line="266" w:lineRule="auto"/>
        <w:rPr>
          <w:sz w:val="20"/>
          <w:szCs w:val="20"/>
          <w:color w:val="auto"/>
        </w:rPr>
      </w:pPr>
      <w:r>
        <w:rPr>
          <w:rFonts w:ascii="Arial" w:cs="Arial" w:eastAsia="Arial" w:hAnsi="Arial"/>
          <w:sz w:val="18"/>
          <w:szCs w:val="18"/>
          <w:b w:val="1"/>
          <w:bCs w:val="1"/>
          <w:color w:val="auto"/>
        </w:rPr>
        <w:t>Please do not submit this card. Please refer to the “How To Vote” section of this notice to view the voting instructions.</w:t>
      </w:r>
    </w:p>
    <w:p>
      <w:pPr>
        <w:sectPr>
          <w:pgSz w:w="11900" w:h="16838" w:orient="portrait"/>
          <w:cols w:equalWidth="0" w:num="2">
            <w:col w:w="4844" w:space="600"/>
            <w:col w:w="4439"/>
          </w:cols>
          <w:pgMar w:left="576" w:top="328" w:right="1440" w:bottom="1440" w:gutter="0" w:footer="0" w:header="0"/>
        </w:sectPr>
      </w:pPr>
    </w:p>
    <w:bookmarkStart w:id="4" w:name="page5"/>
    <w:bookmarkEnd w:id="4"/>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500380</wp:posOffset>
            </wp:positionH>
            <wp:positionV relativeFrom="page">
              <wp:posOffset>2335530</wp:posOffset>
            </wp:positionV>
            <wp:extent cx="655193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1930" cy="26035"/>
                    </a:xfrm>
                    <a:prstGeom prst="rect">
                      <a:avLst/>
                    </a:prstGeom>
                    <a:noFill/>
                  </pic:spPr>
                </pic:pic>
              </a:graphicData>
            </a:graphic>
          </wp:anchor>
        </w:drawing>
        <w:drawing>
          <wp:anchor simplePos="0" relativeHeight="251657728" behindDoc="1" locked="0" layoutInCell="0" allowOverlap="1">
            <wp:simplePos x="0" y="0"/>
            <wp:positionH relativeFrom="page">
              <wp:posOffset>500380</wp:posOffset>
            </wp:positionH>
            <wp:positionV relativeFrom="page">
              <wp:posOffset>2404110</wp:posOffset>
            </wp:positionV>
            <wp:extent cx="6551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3956685</wp:posOffset>
            </wp:positionV>
            <wp:extent cx="120015" cy="934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0015" cy="934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lvl>
    <w:lvl w:ilvl="1">
      <w:lvlJc w:val="left"/>
      <w:lvlText w:val="A"/>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2019-12-08T00:46:21Z</dcterms:created>
  <dcterms:modified xsi:type="dcterms:W3CDTF">2019-12-08T00:46:21Z</dcterms:modified>
</cp:coreProperties>
</file>