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May 23,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73" w:lineRule="exact"/>
        <w:rPr>
          <w:sz w:val="24"/>
          <w:szCs w:val="24"/>
          <w:color w:val="auto"/>
        </w:rPr>
      </w:pPr>
    </w:p>
    <w:p>
      <w:pPr>
        <w:ind w:left="23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27-0000798</w:t>
      </w:r>
    </w:p>
    <w:p>
      <w:pPr>
        <w:spacing w:after="0" w:line="56" w:lineRule="exact"/>
        <w:rPr>
          <w:sz w:val="24"/>
          <w:szCs w:val="24"/>
          <w:color w:val="auto"/>
        </w:rPr>
      </w:pPr>
    </w:p>
    <w:p>
      <w:pPr>
        <w:sectPr>
          <w:pgSz w:w="11900" w:h="16838" w:orient="portrait"/>
          <w:cols w:equalWidth="0" w:num="2">
            <w:col w:w="7540" w:space="720"/>
            <w:col w:w="3160"/>
          </w:cols>
          <w:pgMar w:left="240" w:top="233"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 w:lineRule="exact"/>
        <w:rPr>
          <w:sz w:val="24"/>
          <w:szCs w:val="24"/>
          <w:color w:val="auto"/>
        </w:rPr>
      </w:pPr>
    </w:p>
    <w:p>
      <w:pPr>
        <w:sectPr>
          <w:pgSz w:w="11900" w:h="16838" w:orient="portrait"/>
          <w:cols w:equalWidth="0" w:num="2">
            <w:col w:w="7440" w:space="720"/>
            <w:col w:w="326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Philadelphia, PA 19103-2838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 2002 RESTRICTED STOCK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 2003 STOCK OPTION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R. Block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18"/>
                <w:szCs w:val="18"/>
                <w:color w:val="auto"/>
                <w:w w:val="93"/>
              </w:rPr>
              <w:t>Large accelerated filer</w:t>
            </w:r>
          </w:p>
        </w:tc>
        <w:tc>
          <w:tcPr>
            <w:tcW w:w="21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4"/>
              </w:rPr>
              <w:t>Accelerated filer</w:t>
            </w:r>
          </w:p>
        </w:tc>
        <w:tc>
          <w:tcPr>
            <w:tcW w:w="1140" w:type="dxa"/>
            <w:vAlign w:val="bottom"/>
          </w:tcPr>
          <w:p>
            <w:pPr>
              <w:spacing w:after="0"/>
              <w:rPr>
                <w:sz w:val="23"/>
                <w:szCs w:val="23"/>
                <w:color w:val="auto"/>
              </w:rPr>
            </w:pP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80" w:type="dxa"/>
            <w:vAlign w:val="bottom"/>
            <w:gridSpan w:val="2"/>
          </w:tcPr>
          <w:p>
            <w:pPr>
              <w:spacing w:after="0"/>
              <w:rPr>
                <w:sz w:val="20"/>
                <w:szCs w:val="20"/>
                <w:color w:val="auto"/>
              </w:rPr>
            </w:pPr>
            <w:r>
              <w:rPr>
                <w:rFonts w:ascii="Arial" w:cs="Arial" w:eastAsia="Arial" w:hAnsi="Arial"/>
                <w:sz w:val="18"/>
                <w:szCs w:val="18"/>
                <w:color w:val="auto"/>
                <w:w w:val="99"/>
              </w:rPr>
              <w:t>Non-accelerated filer</w:t>
            </w:r>
          </w:p>
        </w:tc>
        <w:tc>
          <w:tcPr>
            <w:tcW w:w="21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44"/>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60" w:type="dxa"/>
            <w:vAlign w:val="bottom"/>
            <w:gridSpan w:val="5"/>
          </w:tcPr>
          <w:p>
            <w:pPr>
              <w:ind w:left="22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7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5"/>
              <w:spacing w:after="0" w:line="117" w:lineRule="exact"/>
              <w:rPr>
                <w:sz w:val="20"/>
                <w:szCs w:val="20"/>
                <w:color w:val="auto"/>
              </w:rPr>
            </w:pPr>
            <w:r>
              <w:rPr>
                <w:rFonts w:ascii="Arial" w:cs="Arial" w:eastAsia="Arial" w:hAnsi="Arial"/>
                <w:sz w:val="12"/>
                <w:szCs w:val="12"/>
                <w:b w:val="1"/>
                <w:bCs w:val="1"/>
                <w:color w:val="auto"/>
                <w:w w:val="97"/>
              </w:rPr>
              <w:t>Proposed</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8"/>
              </w:rPr>
              <w:t>maximum</w:t>
            </w:r>
          </w:p>
        </w:tc>
        <w:tc>
          <w:tcPr>
            <w:tcW w:w="1600" w:type="dxa"/>
            <w:vAlign w:val="bottom"/>
            <w:tcBorders>
              <w:right w:val="single" w:sz="8" w:color="auto"/>
            </w:tcBorders>
          </w:tcPr>
          <w:p>
            <w:pPr>
              <w:jc w:val="center"/>
              <w:ind w:left="25"/>
              <w:spacing w:after="0" w:line="149" w:lineRule="exact"/>
              <w:rPr>
                <w:sz w:val="20"/>
                <w:szCs w:val="20"/>
                <w:color w:val="auto"/>
              </w:rPr>
            </w:pPr>
            <w:r>
              <w:rPr>
                <w:rFonts w:ascii="Arial" w:cs="Arial" w:eastAsia="Arial" w:hAnsi="Arial"/>
                <w:sz w:val="14"/>
                <w:szCs w:val="14"/>
                <w:b w:val="1"/>
                <w:bCs w:val="1"/>
                <w:color w:val="auto"/>
                <w:w w:val="88"/>
              </w:rPr>
              <w:t>maximum</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87"/>
              </w:rPr>
              <w:t>Title of</w:t>
            </w:r>
          </w:p>
        </w:tc>
        <w:tc>
          <w:tcPr>
            <w:tcW w:w="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3"/>
              </w:rPr>
              <w:t>aggregate</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84"/>
              </w:rPr>
              <w:t>securities to be registered</w:t>
            </w: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7"/>
              </w:rPr>
              <w:t>registered (1) (2)</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8"/>
              </w:rPr>
              <w:t>per unit (1)</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88"/>
              </w:rPr>
              <w:t>offering price (3)</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 (3)</w:t>
            </w:r>
          </w:p>
        </w:tc>
        <w:tc>
          <w:tcPr>
            <w:tcW w:w="18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Class A Common Stock, par value $0.01 per share</w:t>
            </w:r>
          </w:p>
        </w:tc>
        <w:tc>
          <w:tcPr>
            <w:tcW w:w="126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8"/>
              </w:rPr>
              <w:t>78,500,000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7"/>
              </w:rPr>
              <w:t>$24.79</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8"/>
                <w:szCs w:val="18"/>
                <w:color w:val="auto"/>
                <w:w w:val="87"/>
              </w:rPr>
              <w:t>$1,946,015,000</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$225,933</w:t>
            </w:r>
          </w:p>
        </w:tc>
        <w:tc>
          <w:tcPr>
            <w:tcW w:w="1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20" w:hanging="452"/>
        <w:spacing w:after="0" w:line="252"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(this “Registration Statement”) registers the issuance of 78,500,000 shares of Class A Common Stock (the “Class A Common Stock”) of Comcast Corporation (the “Registrant”), par value $0.01, 22,500,000 of which are issuable pursuant to the Comcast Corporation 2002 Restricted Stock Plan, as amended and restated, and 56,000,000 of which are issuable pursuant to the Comcast Corporation 2003 Stock Option Plan, as amended and restated (collectively, the “Plans”).</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shall also be deemed covered hereby such additional shares as may result from anti-dilution adjustments under the Plans and which may hereinafter be offered or issued to prevent dilution resulting from stock splits, stock dividends, recapitalizations or certain other capital adjustments.</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paragraphs (c) and (h) of Rule 457 of the Securities Act of 1933, as amended (the “Securities Act”), solely for the purpose of calculating the registration fee on the basis of the high and low sales prices of shares of Class A Common Stock on the Nasdaq National Market on May 17,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ind w:left="4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Registration of Additional Shares under Comcast Corporation 2002 Restricted Stock Plan</w:t>
      </w:r>
    </w:p>
    <w:p>
      <w:pPr>
        <w:spacing w:after="0" w:line="90"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Pursuant to General Instruction E of Form S-8, this Registration Statement is also being filed in order to register an additional 22,500,000 shares of the Registrant’s Class A Common Stock, par value $0.01 per share, which are securities of the same class and relate to the same employee benefit plan, the Comcast Corporation 2002 Restricted Stock Plan, as amended and restated, as those shares registered on the Registrant’s registration statements on Form S-8, previously filed with the Commission on November 19, 2002 (Registration No. 333-101295, as amended by post-effective amendment no. 1 filed on December 4,</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2002), December 4, 2002 (Registration No. 333-101645), April 8, 2003 (Registration No. 333-104385), March 1, 2005 (Registration No. 333-123059), January 4, 2006 (Registration No. 333-130847), May 16, 2008 (Registration No. 333-150976), and August 21, 2009 (Registration No. 333-161468), all of which are hereby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Registration of Additional Shares under Comcast Corporation 2003 Stock Option Plan</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Pursuant to General Instruction E of Form S-8, this Registration Statement is also being filed in order to register an additional 56,000,000 shares of the Registrant’s Class A Common Stock, par value $0.01 per share, which are securities of the same class and relate to the same employee benefit plan, the Comcast Corporation 2003 Stock Option Plan, as amended and restated, as those shares registered on the Registrant’s registration statements on Form S-8, previously filed with the Commission on April 8, 2003 (Registration No. 333-104385) and May 16, 2008 (Registration No. 333-150976), and August 21, 2009 (Registration No. 333-161468), all of which are hereby incorporated by reference.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Information Required in the Registration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96"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KPMG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Pepper Hamilton LLP (contained in Exhibits 5.1 and 5.2).</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in the signature pages hereto).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May 23, 2011.</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Arthur R. Block, Senior Vice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General Counsel and Secretary</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each of Brian L. Roberts, Michael J. Angelakis, David L. Cohen, Arthur R. Block and Lawrence J. Salva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ind w:left="1840"/>
              <w:spacing w:after="0"/>
              <w:rPr>
                <w:sz w:val="20"/>
                <w:szCs w:val="20"/>
                <w:color w:val="auto"/>
              </w:rPr>
            </w:pPr>
            <w:r>
              <w:rPr>
                <w:rFonts w:ascii="Arial" w:cs="Arial" w:eastAsia="Arial" w:hAnsi="Arial"/>
                <w:sz w:val="14"/>
                <w:szCs w:val="14"/>
                <w:b w:val="1"/>
                <w:bCs w:val="1"/>
                <w:color w:val="auto"/>
              </w:rPr>
              <w:t>Signature</w:t>
            </w:r>
          </w:p>
        </w:tc>
        <w:tc>
          <w:tcPr>
            <w:tcW w:w="4860" w:type="dxa"/>
            <w:vAlign w:val="bottom"/>
          </w:tcPr>
          <w:p>
            <w:pPr>
              <w:jc w:val="center"/>
              <w:ind w:left="535"/>
              <w:spacing w:after="0"/>
              <w:rPr>
                <w:sz w:val="20"/>
                <w:szCs w:val="20"/>
                <w:color w:val="auto"/>
              </w:rPr>
            </w:pPr>
            <w:r>
              <w:rPr>
                <w:rFonts w:ascii="Arial" w:cs="Arial" w:eastAsia="Arial" w:hAnsi="Arial"/>
                <w:sz w:val="14"/>
                <w:szCs w:val="14"/>
                <w:b w:val="1"/>
                <w:bCs w:val="1"/>
                <w:color w:val="auto"/>
                <w:w w:val="97"/>
              </w:rPr>
              <w:t>Title</w:t>
            </w:r>
          </w:p>
        </w:tc>
        <w:tc>
          <w:tcPr>
            <w:tcW w:w="1600" w:type="dxa"/>
            <w:vAlign w:val="bottom"/>
          </w:tcPr>
          <w:p>
            <w:pPr>
              <w:ind w:left="1340"/>
              <w:spacing w:after="0"/>
              <w:rPr>
                <w:sz w:val="20"/>
                <w:szCs w:val="20"/>
                <w:color w:val="auto"/>
              </w:rPr>
            </w:pPr>
            <w:r>
              <w:rPr>
                <w:rFonts w:ascii="Arial" w:cs="Arial" w:eastAsia="Arial" w:hAnsi="Arial"/>
                <w:sz w:val="14"/>
                <w:szCs w:val="14"/>
                <w:b w:val="1"/>
                <w:bCs w:val="1"/>
                <w:color w:val="auto"/>
                <w:w w:val="78"/>
              </w:rPr>
              <w:t>Date</w:t>
            </w:r>
          </w:p>
        </w:tc>
      </w:tr>
      <w:tr>
        <w:trPr>
          <w:trHeight w:val="41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 Roberts</w:t>
            </w:r>
          </w:p>
        </w:tc>
        <w:tc>
          <w:tcPr>
            <w:tcW w:w="4860" w:type="dxa"/>
            <w:vAlign w:val="bottom"/>
          </w:tcPr>
          <w:p>
            <w:pPr>
              <w:jc w:val="center"/>
              <w:ind w:left="515"/>
              <w:spacing w:after="0"/>
              <w:rPr>
                <w:sz w:val="20"/>
                <w:szCs w:val="20"/>
                <w:color w:val="auto"/>
              </w:rPr>
            </w:pPr>
            <w:r>
              <w:rPr>
                <w:rFonts w:ascii="Arial" w:cs="Arial" w:eastAsia="Arial" w:hAnsi="Arial"/>
                <w:sz w:val="18"/>
                <w:szCs w:val="18"/>
                <w:color w:val="auto"/>
                <w:w w:val="89"/>
              </w:rPr>
              <w:t>Chairman and CEO; Director</w:t>
            </w:r>
          </w:p>
        </w:tc>
        <w:tc>
          <w:tcPr>
            <w:tcW w:w="1600" w:type="dxa"/>
            <w:vAlign w:val="bottom"/>
          </w:tcPr>
          <w:p>
            <w:pPr>
              <w:ind w:left="620"/>
              <w:spacing w:after="0"/>
              <w:rPr>
                <w:sz w:val="20"/>
                <w:szCs w:val="20"/>
                <w:color w:val="auto"/>
              </w:rPr>
            </w:pPr>
            <w:r>
              <w:rPr>
                <w:rFonts w:ascii="Arial" w:cs="Arial" w:eastAsia="Arial" w:hAnsi="Arial"/>
                <w:sz w:val="18"/>
                <w:szCs w:val="18"/>
                <w:color w:val="auto"/>
                <w:w w:val="87"/>
              </w:rPr>
              <w:t>May 23, 2011</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Brian L. Roberts</w:t>
            </w:r>
          </w:p>
        </w:tc>
        <w:tc>
          <w:tcPr>
            <w:tcW w:w="4860" w:type="dxa"/>
            <w:vAlign w:val="bottom"/>
          </w:tcPr>
          <w:p>
            <w:pPr>
              <w:jc w:val="center"/>
              <w:ind w:left="535"/>
              <w:spacing w:after="0" w:line="202" w:lineRule="exact"/>
              <w:rPr>
                <w:sz w:val="20"/>
                <w:szCs w:val="20"/>
                <w:color w:val="auto"/>
              </w:rPr>
            </w:pPr>
            <w:r>
              <w:rPr>
                <w:rFonts w:ascii="Arial" w:cs="Arial" w:eastAsia="Arial" w:hAnsi="Arial"/>
                <w:sz w:val="18"/>
                <w:szCs w:val="18"/>
                <w:color w:val="auto"/>
                <w:w w:val="91"/>
              </w:rPr>
              <w:t>(Principal Executive Officer)</w:t>
            </w:r>
          </w:p>
        </w:tc>
        <w:tc>
          <w:tcPr>
            <w:tcW w:w="16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Ralph J. Roberts</w:t>
            </w:r>
          </w:p>
        </w:tc>
        <w:tc>
          <w:tcPr>
            <w:tcW w:w="4860" w:type="dxa"/>
            <w:vAlign w:val="bottom"/>
          </w:tcPr>
          <w:p>
            <w:pPr>
              <w:jc w:val="center"/>
              <w:ind w:left="515"/>
              <w:spacing w:after="0"/>
              <w:rPr>
                <w:sz w:val="20"/>
                <w:szCs w:val="20"/>
                <w:color w:val="auto"/>
              </w:rPr>
            </w:pPr>
            <w:r>
              <w:rPr>
                <w:rFonts w:ascii="Arial" w:cs="Arial" w:eastAsia="Arial" w:hAnsi="Arial"/>
                <w:sz w:val="18"/>
                <w:szCs w:val="18"/>
                <w:color w:val="auto"/>
                <w:w w:val="89"/>
              </w:rPr>
              <w:t>Founder; Chairman Emeritus of the Board;</w:t>
            </w:r>
          </w:p>
        </w:tc>
        <w:tc>
          <w:tcPr>
            <w:tcW w:w="1600" w:type="dxa"/>
            <w:vAlign w:val="bottom"/>
          </w:tcPr>
          <w:p>
            <w:pPr>
              <w:ind w:left="620"/>
              <w:spacing w:after="0"/>
              <w:rPr>
                <w:sz w:val="20"/>
                <w:szCs w:val="20"/>
                <w:color w:val="auto"/>
              </w:rPr>
            </w:pPr>
            <w:r>
              <w:rPr>
                <w:rFonts w:ascii="Arial" w:cs="Arial" w:eastAsia="Arial" w:hAnsi="Arial"/>
                <w:sz w:val="18"/>
                <w:szCs w:val="18"/>
                <w:color w:val="auto"/>
                <w:w w:val="87"/>
              </w:rPr>
              <w:t>May 23, 2011</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Ralph J. Roberts</w:t>
            </w:r>
          </w:p>
        </w:tc>
        <w:tc>
          <w:tcPr>
            <w:tcW w:w="4860" w:type="dxa"/>
            <w:vAlign w:val="bottom"/>
          </w:tcPr>
          <w:p>
            <w:pPr>
              <w:jc w:val="center"/>
              <w:ind w:left="515"/>
              <w:spacing w:after="0" w:line="202" w:lineRule="exact"/>
              <w:rPr>
                <w:sz w:val="20"/>
                <w:szCs w:val="20"/>
                <w:color w:val="auto"/>
              </w:rPr>
            </w:pPr>
            <w:r>
              <w:rPr>
                <w:rFonts w:ascii="Arial" w:cs="Arial" w:eastAsia="Arial" w:hAnsi="Arial"/>
                <w:sz w:val="18"/>
                <w:szCs w:val="18"/>
                <w:color w:val="auto"/>
                <w:w w:val="91"/>
              </w:rPr>
              <w:t>Director</w:t>
            </w:r>
          </w:p>
        </w:tc>
        <w:tc>
          <w:tcPr>
            <w:tcW w:w="16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Angelakis</w:t>
            </w:r>
          </w:p>
        </w:tc>
        <w:tc>
          <w:tcPr>
            <w:tcW w:w="4860" w:type="dxa"/>
            <w:vAlign w:val="bottom"/>
          </w:tcPr>
          <w:p>
            <w:pPr>
              <w:jc w:val="center"/>
              <w:ind w:left="535"/>
              <w:spacing w:after="0"/>
              <w:rPr>
                <w:sz w:val="20"/>
                <w:szCs w:val="20"/>
                <w:color w:val="auto"/>
              </w:rPr>
            </w:pPr>
            <w:r>
              <w:rPr>
                <w:rFonts w:ascii="Arial" w:cs="Arial" w:eastAsia="Arial" w:hAnsi="Arial"/>
                <w:sz w:val="18"/>
                <w:szCs w:val="18"/>
                <w:color w:val="auto"/>
                <w:w w:val="88"/>
              </w:rPr>
              <w:t>Executive Vice President</w:t>
            </w:r>
          </w:p>
        </w:tc>
        <w:tc>
          <w:tcPr>
            <w:tcW w:w="1600" w:type="dxa"/>
            <w:vAlign w:val="bottom"/>
          </w:tcPr>
          <w:p>
            <w:pPr>
              <w:ind w:left="620"/>
              <w:spacing w:after="0"/>
              <w:rPr>
                <w:sz w:val="20"/>
                <w:szCs w:val="20"/>
                <w:color w:val="auto"/>
              </w:rPr>
            </w:pPr>
            <w:r>
              <w:rPr>
                <w:rFonts w:ascii="Arial" w:cs="Arial" w:eastAsia="Arial" w:hAnsi="Arial"/>
                <w:sz w:val="18"/>
                <w:szCs w:val="18"/>
                <w:color w:val="auto"/>
                <w:w w:val="87"/>
              </w:rPr>
              <w:t>May 23, 2011</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Michael J. Angelakis</w:t>
            </w:r>
          </w:p>
        </w:tc>
        <w:tc>
          <w:tcPr>
            <w:tcW w:w="4860" w:type="dxa"/>
            <w:vAlign w:val="bottom"/>
          </w:tcPr>
          <w:p>
            <w:pPr>
              <w:jc w:val="center"/>
              <w:ind w:left="535"/>
              <w:spacing w:after="0" w:line="202" w:lineRule="exact"/>
              <w:rPr>
                <w:sz w:val="20"/>
                <w:szCs w:val="20"/>
                <w:color w:val="auto"/>
              </w:rPr>
            </w:pPr>
            <w:r>
              <w:rPr>
                <w:rFonts w:ascii="Arial" w:cs="Arial" w:eastAsia="Arial" w:hAnsi="Arial"/>
                <w:sz w:val="18"/>
                <w:szCs w:val="18"/>
                <w:color w:val="auto"/>
                <w:w w:val="92"/>
              </w:rPr>
              <w:t>(Principal Financial Officer)</w:t>
            </w:r>
          </w:p>
        </w:tc>
        <w:tc>
          <w:tcPr>
            <w:tcW w:w="16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4860" w:type="dxa"/>
            <w:vAlign w:val="bottom"/>
          </w:tcPr>
          <w:p>
            <w:pPr>
              <w:jc w:val="right"/>
              <w:ind w:right="3195"/>
              <w:spacing w:after="0"/>
              <w:rPr>
                <w:sz w:val="20"/>
                <w:szCs w:val="20"/>
                <w:color w:val="auto"/>
              </w:rPr>
            </w:pPr>
            <w:r>
              <w:rPr>
                <w:rFonts w:ascii="Arial" w:cs="Arial" w:eastAsia="Arial" w:hAnsi="Arial"/>
                <w:sz w:val="18"/>
                <w:szCs w:val="18"/>
                <w:color w:val="auto"/>
              </w:rPr>
              <w:t>-4-</w:t>
            </w:r>
          </w:p>
        </w:tc>
        <w:tc>
          <w:tcPr>
            <w:tcW w:w="160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ind w:left="1820"/>
              <w:spacing w:after="0"/>
              <w:rPr>
                <w:sz w:val="20"/>
                <w:szCs w:val="20"/>
                <w:color w:val="auto"/>
              </w:rPr>
            </w:pPr>
            <w:r>
              <w:rPr>
                <w:rFonts w:ascii="Arial" w:cs="Arial" w:eastAsia="Arial" w:hAnsi="Arial"/>
                <w:sz w:val="14"/>
                <w:szCs w:val="14"/>
                <w:b w:val="1"/>
                <w:bCs w:val="1"/>
                <w:color w:val="auto"/>
              </w:rPr>
              <w:t>Signature</w:t>
            </w:r>
          </w:p>
        </w:tc>
        <w:tc>
          <w:tcPr>
            <w:tcW w:w="4820" w:type="dxa"/>
            <w:vAlign w:val="bottom"/>
          </w:tcPr>
          <w:p>
            <w:pPr>
              <w:jc w:val="center"/>
              <w:ind w:left="574"/>
              <w:spacing w:after="0"/>
              <w:rPr>
                <w:sz w:val="20"/>
                <w:szCs w:val="20"/>
                <w:color w:val="auto"/>
              </w:rPr>
            </w:pPr>
            <w:r>
              <w:rPr>
                <w:rFonts w:ascii="Arial" w:cs="Arial" w:eastAsia="Arial" w:hAnsi="Arial"/>
                <w:sz w:val="14"/>
                <w:szCs w:val="14"/>
                <w:b w:val="1"/>
                <w:bCs w:val="1"/>
                <w:color w:val="auto"/>
                <w:w w:val="97"/>
              </w:rPr>
              <w:t>Title</w:t>
            </w:r>
          </w:p>
        </w:tc>
        <w:tc>
          <w:tcPr>
            <w:tcW w:w="1640" w:type="dxa"/>
            <w:vAlign w:val="bottom"/>
          </w:tcPr>
          <w:p>
            <w:pPr>
              <w:ind w:left="1380"/>
              <w:spacing w:after="0"/>
              <w:rPr>
                <w:sz w:val="20"/>
                <w:szCs w:val="20"/>
                <w:color w:val="auto"/>
              </w:rPr>
            </w:pPr>
            <w:r>
              <w:rPr>
                <w:rFonts w:ascii="Arial" w:cs="Arial" w:eastAsia="Arial" w:hAnsi="Arial"/>
                <w:sz w:val="14"/>
                <w:szCs w:val="14"/>
                <w:b w:val="1"/>
                <w:bCs w:val="1"/>
                <w:color w:val="auto"/>
                <w:w w:val="78"/>
              </w:rPr>
              <w:t>Date</w:t>
            </w:r>
          </w:p>
        </w:tc>
      </w:tr>
      <w:tr>
        <w:trPr>
          <w:trHeight w:val="417"/>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J. Salva</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89"/>
              </w:rPr>
              <w:t>Senior Vice President, Chief Accounting</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190"/>
        </w:trPr>
        <w:tc>
          <w:tcPr>
            <w:tcW w:w="4240" w:type="dxa"/>
            <w:vAlign w:val="bottom"/>
            <w:gridSpan w:val="2"/>
          </w:tcPr>
          <w:p>
            <w:pPr>
              <w:spacing w:after="0" w:line="190" w:lineRule="exact"/>
              <w:rPr>
                <w:sz w:val="20"/>
                <w:szCs w:val="20"/>
                <w:color w:val="auto"/>
              </w:rPr>
            </w:pPr>
            <w:r>
              <w:rPr>
                <w:rFonts w:ascii="Arial" w:cs="Arial" w:eastAsia="Arial" w:hAnsi="Arial"/>
                <w:sz w:val="18"/>
                <w:szCs w:val="18"/>
                <w:color w:val="auto"/>
              </w:rPr>
              <w:t>Lawrence J. Salva</w:t>
            </w:r>
          </w:p>
        </w:tc>
        <w:tc>
          <w:tcPr>
            <w:tcW w:w="4820" w:type="dxa"/>
            <w:vAlign w:val="bottom"/>
          </w:tcPr>
          <w:p>
            <w:pPr>
              <w:jc w:val="center"/>
              <w:ind w:left="574"/>
              <w:spacing w:after="0" w:line="190" w:lineRule="exact"/>
              <w:rPr>
                <w:sz w:val="20"/>
                <w:szCs w:val="20"/>
                <w:color w:val="auto"/>
              </w:rPr>
            </w:pPr>
            <w:r>
              <w:rPr>
                <w:rFonts w:ascii="Arial" w:cs="Arial" w:eastAsia="Arial" w:hAnsi="Arial"/>
                <w:sz w:val="18"/>
                <w:szCs w:val="18"/>
                <w:color w:val="auto"/>
                <w:w w:val="91"/>
              </w:rPr>
              <w:t>Officer and Controller</w:t>
            </w:r>
          </w:p>
        </w:tc>
        <w:tc>
          <w:tcPr>
            <w:tcW w:w="164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820" w:type="dxa"/>
            <w:vAlign w:val="bottom"/>
          </w:tcPr>
          <w:p>
            <w:pPr>
              <w:jc w:val="center"/>
              <w:ind w:left="574"/>
              <w:spacing w:after="0"/>
              <w:rPr>
                <w:sz w:val="20"/>
                <w:szCs w:val="20"/>
                <w:color w:val="auto"/>
              </w:rPr>
            </w:pPr>
            <w:r>
              <w:rPr>
                <w:rFonts w:ascii="Arial" w:cs="Arial" w:eastAsia="Arial" w:hAnsi="Arial"/>
                <w:sz w:val="18"/>
                <w:szCs w:val="18"/>
                <w:color w:val="auto"/>
                <w:w w:val="92"/>
              </w:rPr>
              <w:t>(Principal Accounting Officer)</w:t>
            </w:r>
          </w:p>
        </w:tc>
        <w:tc>
          <w:tcPr>
            <w:tcW w:w="1640" w:type="dxa"/>
            <w:vAlign w:val="bottom"/>
          </w:tcPr>
          <w:p>
            <w:pPr>
              <w:spacing w:after="0"/>
              <w:rPr>
                <w:sz w:val="19"/>
                <w:szCs w:val="19"/>
                <w:color w:val="auto"/>
              </w:rPr>
            </w:pPr>
          </w:p>
        </w:tc>
      </w:tr>
      <w:tr>
        <w:trPr>
          <w:trHeight w:val="447"/>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 Decker Anstrom</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S. Decker Anstrom</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Kenneth J. Bacon</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Sheldon M. Bonovitz</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Sheldon M. Bonovitz</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D. Breen</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Edward D. Breen</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J. Collins</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Joseph J. Collins</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 Michael Cook</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J. Michael Cook</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Gerald L. Hassell</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A. Honickman</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Jeffrey A. Honickman</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Eduardo G. Mestre</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Eduardo G. Mestre</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Judith Rodin</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Dr. Judith Rodin</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820" w:type="dxa"/>
            <w:vAlign w:val="bottom"/>
          </w:tcPr>
          <w:p>
            <w:pPr>
              <w:jc w:val="right"/>
              <w:ind w:right="3154"/>
              <w:spacing w:after="0"/>
              <w:rPr>
                <w:sz w:val="20"/>
                <w:szCs w:val="20"/>
                <w:color w:val="auto"/>
              </w:rPr>
            </w:pPr>
            <w:r>
              <w:rPr>
                <w:rFonts w:ascii="Arial" w:cs="Arial" w:eastAsia="Arial" w:hAnsi="Arial"/>
                <w:sz w:val="18"/>
                <w:szCs w:val="18"/>
                <w:color w:val="auto"/>
              </w:rPr>
              <w:t>-5-</w:t>
            </w:r>
          </w:p>
        </w:tc>
        <w:tc>
          <w:tcPr>
            <w:tcW w:w="1640" w:type="dxa"/>
            <w:vAlign w:val="bottom"/>
          </w:tcPr>
          <w:p>
            <w:pPr>
              <w:spacing w:after="0"/>
              <w:rPr>
                <w:sz w:val="24"/>
                <w:szCs w:val="24"/>
                <w:color w:val="auto"/>
              </w:rPr>
            </w:pPr>
          </w:p>
        </w:tc>
      </w:tr>
    </w:tbl>
    <w:p>
      <w:pPr>
        <w:sectPr>
          <w:pgSz w:w="11900" w:h="16838" w:orient="portrait"/>
          <w:cols w:equalWidth="0" w:num="1">
            <w:col w:w="10700"/>
          </w:cols>
          <w:pgMar w:left="240" w:top="275" w:right="959" w:bottom="1440" w:gutter="0" w:footer="0" w:header="0"/>
        </w:sectPr>
      </w:pPr>
    </w:p>
    <w:bookmarkStart w:id="5" w:name="page6"/>
    <w:bookmarkEnd w:id="5"/>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5440" w:type="dxa"/>
            <w:vAlign w:val="bottom"/>
            <w:gridSpan w:val="3"/>
          </w:tcPr>
          <w:p>
            <w:pPr>
              <w:ind w:left="560"/>
              <w:spacing w:after="0"/>
              <w:rPr>
                <w:sz w:val="20"/>
                <w:szCs w:val="20"/>
                <w:color w:val="auto"/>
              </w:rPr>
            </w:pPr>
            <w:r>
              <w:rPr>
                <w:rFonts w:ascii="Arial" w:cs="Arial" w:eastAsia="Arial" w:hAnsi="Arial"/>
                <w:sz w:val="14"/>
                <w:szCs w:val="14"/>
                <w:color w:val="auto"/>
              </w:rPr>
              <w:t>Exhibit</w:t>
            </w:r>
          </w:p>
        </w:tc>
      </w:tr>
      <w:tr>
        <w:trPr>
          <w:trHeight w:val="159"/>
        </w:trPr>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88"/>
              </w:rPr>
              <w:t>Number</w:t>
            </w:r>
          </w:p>
        </w:tc>
        <w:tc>
          <w:tcPr>
            <w:tcW w:w="5440" w:type="dxa"/>
            <w:vAlign w:val="bottom"/>
            <w:gridSpan w:val="3"/>
          </w:tcPr>
          <w:p>
            <w:pPr>
              <w:ind w:left="560"/>
              <w:spacing w:after="0" w:line="159" w:lineRule="exact"/>
              <w:rPr>
                <w:sz w:val="20"/>
                <w:szCs w:val="20"/>
                <w:color w:val="auto"/>
              </w:rPr>
            </w:pPr>
            <w:r>
              <w:rPr>
                <w:rFonts w:ascii="Arial" w:cs="Arial" w:eastAsia="Arial" w:hAnsi="Arial"/>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16"/>
        </w:trPr>
        <w:tc>
          <w:tcPr>
            <w:tcW w:w="480" w:type="dxa"/>
            <w:vAlign w:val="bottom"/>
          </w:tcPr>
          <w:p>
            <w:pPr>
              <w:jc w:val="right"/>
              <w:ind w:right="77"/>
              <w:spacing w:after="0"/>
              <w:rPr>
                <w:sz w:val="20"/>
                <w:szCs w:val="20"/>
                <w:color w:val="auto"/>
              </w:rPr>
            </w:pPr>
            <w:r>
              <w:rPr>
                <w:rFonts w:ascii="Arial" w:cs="Arial" w:eastAsia="Arial" w:hAnsi="Arial"/>
                <w:sz w:val="18"/>
                <w:szCs w:val="18"/>
                <w:color w:val="auto"/>
              </w:rPr>
              <w:t>5.1</w:t>
            </w:r>
          </w:p>
        </w:tc>
        <w:tc>
          <w:tcPr>
            <w:tcW w:w="5440" w:type="dxa"/>
            <w:vAlign w:val="bottom"/>
            <w:gridSpan w:val="3"/>
          </w:tcPr>
          <w:p>
            <w:pPr>
              <w:ind w:left="560"/>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480" w:type="dxa"/>
            <w:vAlign w:val="bottom"/>
          </w:tcPr>
          <w:p>
            <w:pPr>
              <w:jc w:val="right"/>
              <w:ind w:right="77"/>
              <w:spacing w:after="0"/>
              <w:rPr>
                <w:sz w:val="20"/>
                <w:szCs w:val="20"/>
                <w:color w:val="auto"/>
              </w:rPr>
            </w:pPr>
            <w:r>
              <w:rPr>
                <w:rFonts w:ascii="Arial" w:cs="Arial" w:eastAsia="Arial" w:hAnsi="Arial"/>
                <w:sz w:val="18"/>
                <w:szCs w:val="18"/>
                <w:color w:val="auto"/>
              </w:rPr>
              <w:t>5.2</w:t>
            </w:r>
          </w:p>
        </w:tc>
        <w:tc>
          <w:tcPr>
            <w:tcW w:w="5440" w:type="dxa"/>
            <w:vAlign w:val="bottom"/>
            <w:gridSpan w:val="3"/>
          </w:tcPr>
          <w:p>
            <w:pPr>
              <w:ind w:left="560"/>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480" w:type="dxa"/>
            <w:vAlign w:val="bottom"/>
          </w:tcPr>
          <w:p>
            <w:pPr>
              <w:jc w:val="right"/>
              <w:ind w:right="77"/>
              <w:spacing w:after="0"/>
              <w:rPr>
                <w:sz w:val="20"/>
                <w:szCs w:val="20"/>
                <w:color w:val="auto"/>
              </w:rPr>
            </w:pPr>
            <w:r>
              <w:rPr>
                <w:rFonts w:ascii="Arial" w:cs="Arial" w:eastAsia="Arial" w:hAnsi="Arial"/>
                <w:sz w:val="18"/>
                <w:szCs w:val="18"/>
                <w:color w:val="auto"/>
                <w:w w:val="85"/>
              </w:rPr>
              <w:t>23.1</w:t>
            </w:r>
          </w:p>
        </w:tc>
        <w:tc>
          <w:tcPr>
            <w:tcW w:w="5440" w:type="dxa"/>
            <w:vAlign w:val="bottom"/>
            <w:gridSpan w:val="3"/>
          </w:tcPr>
          <w:p>
            <w:pPr>
              <w:ind w:left="56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480" w:type="dxa"/>
            <w:vAlign w:val="bottom"/>
          </w:tcPr>
          <w:p>
            <w:pPr>
              <w:jc w:val="right"/>
              <w:ind w:right="77"/>
              <w:spacing w:after="0"/>
              <w:rPr>
                <w:sz w:val="20"/>
                <w:szCs w:val="20"/>
                <w:color w:val="auto"/>
              </w:rPr>
            </w:pPr>
            <w:r>
              <w:rPr>
                <w:rFonts w:ascii="Arial" w:cs="Arial" w:eastAsia="Arial" w:hAnsi="Arial"/>
                <w:sz w:val="18"/>
                <w:szCs w:val="18"/>
                <w:color w:val="auto"/>
                <w:w w:val="85"/>
              </w:rPr>
              <w:t>23.2</w:t>
            </w:r>
          </w:p>
        </w:tc>
        <w:tc>
          <w:tcPr>
            <w:tcW w:w="5440" w:type="dxa"/>
            <w:vAlign w:val="bottom"/>
            <w:gridSpan w:val="3"/>
          </w:tcPr>
          <w:p>
            <w:pPr>
              <w:ind w:left="560"/>
              <w:spacing w:after="0"/>
              <w:rPr>
                <w:sz w:val="20"/>
                <w:szCs w:val="20"/>
                <w:color w:val="auto"/>
              </w:rPr>
            </w:pPr>
            <w:r>
              <w:rPr>
                <w:rFonts w:ascii="Arial" w:cs="Arial" w:eastAsia="Arial" w:hAnsi="Arial"/>
                <w:sz w:val="18"/>
                <w:szCs w:val="18"/>
                <w:color w:val="auto"/>
              </w:rPr>
              <w:t>Consent of KPMG LLP.</w:t>
            </w:r>
          </w:p>
        </w:tc>
      </w:tr>
      <w:tr>
        <w:trPr>
          <w:trHeight w:val="324"/>
        </w:trPr>
        <w:tc>
          <w:tcPr>
            <w:tcW w:w="480" w:type="dxa"/>
            <w:vAlign w:val="bottom"/>
          </w:tcPr>
          <w:p>
            <w:pPr>
              <w:jc w:val="right"/>
              <w:ind w:right="77"/>
              <w:spacing w:after="0"/>
              <w:rPr>
                <w:sz w:val="20"/>
                <w:szCs w:val="20"/>
                <w:color w:val="auto"/>
              </w:rPr>
            </w:pPr>
            <w:r>
              <w:rPr>
                <w:rFonts w:ascii="Arial" w:cs="Arial" w:eastAsia="Arial" w:hAnsi="Arial"/>
                <w:sz w:val="18"/>
                <w:szCs w:val="18"/>
                <w:color w:val="auto"/>
                <w:w w:val="85"/>
              </w:rPr>
              <w:t>23.3</w:t>
            </w:r>
          </w:p>
        </w:tc>
        <w:tc>
          <w:tcPr>
            <w:tcW w:w="5440" w:type="dxa"/>
            <w:vAlign w:val="bottom"/>
            <w:gridSpan w:val="3"/>
          </w:tcPr>
          <w:p>
            <w:pPr>
              <w:ind w:left="560"/>
              <w:spacing w:after="0"/>
              <w:rPr>
                <w:sz w:val="20"/>
                <w:szCs w:val="20"/>
                <w:color w:val="auto"/>
              </w:rPr>
            </w:pPr>
            <w:r>
              <w:rPr>
                <w:rFonts w:ascii="Arial" w:cs="Arial" w:eastAsia="Arial" w:hAnsi="Arial"/>
                <w:sz w:val="18"/>
                <w:szCs w:val="18"/>
                <w:color w:val="auto"/>
                <w:w w:val="89"/>
              </w:rPr>
              <w:t>Consent of Pepper Hamilton LLP (contained in Exhibits 5.1 and 5.2).</w:t>
            </w:r>
          </w:p>
        </w:tc>
      </w:tr>
      <w:tr>
        <w:trPr>
          <w:trHeight w:val="324"/>
        </w:trPr>
        <w:tc>
          <w:tcPr>
            <w:tcW w:w="480" w:type="dxa"/>
            <w:vAlign w:val="bottom"/>
          </w:tcPr>
          <w:p>
            <w:pPr>
              <w:jc w:val="right"/>
              <w:ind w:right="77"/>
              <w:spacing w:after="0"/>
              <w:rPr>
                <w:sz w:val="20"/>
                <w:szCs w:val="20"/>
                <w:color w:val="auto"/>
              </w:rPr>
            </w:pPr>
            <w:r>
              <w:rPr>
                <w:rFonts w:ascii="Arial" w:cs="Arial" w:eastAsia="Arial" w:hAnsi="Arial"/>
                <w:sz w:val="18"/>
                <w:szCs w:val="18"/>
                <w:color w:val="auto"/>
                <w:w w:val="85"/>
              </w:rPr>
              <w:t>24.1</w:t>
            </w:r>
          </w:p>
        </w:tc>
        <w:tc>
          <w:tcPr>
            <w:tcW w:w="5440" w:type="dxa"/>
            <w:vAlign w:val="bottom"/>
            <w:gridSpan w:val="3"/>
          </w:tcPr>
          <w:p>
            <w:pPr>
              <w:ind w:left="560"/>
              <w:spacing w:after="0"/>
              <w:rPr>
                <w:sz w:val="20"/>
                <w:szCs w:val="20"/>
                <w:color w:val="auto"/>
              </w:rPr>
            </w:pPr>
            <w:r>
              <w:rPr>
                <w:rFonts w:ascii="Arial" w:cs="Arial" w:eastAsia="Arial" w:hAnsi="Arial"/>
                <w:sz w:val="18"/>
                <w:szCs w:val="18"/>
                <w:color w:val="auto"/>
              </w:rPr>
              <w:t>Power of Attorney (contained in the signature pages hereto).</w:t>
            </w:r>
          </w:p>
        </w:tc>
      </w:tr>
    </w:tbl>
    <w:p>
      <w:pPr>
        <w:sectPr>
          <w:pgSz w:w="11900" w:h="16838" w:orient="portrait"/>
          <w:cols w:equalWidth="0" w:num="1">
            <w:col w:w="10219"/>
          </w:cols>
          <w:pgMar w:left="240" w:top="274"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40"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The Registration Statement relates to 78,500,000 shares of Class A Common Stock, par value $0.01, of the Company (the “Shares”), 56,000,000 of which may be issued by the Company pursuant to the Comcast Corporation 2003 Stock Option Plan, as Amended and Restated (the “Stock Option Plan”) and 22,500,000 of which may be issued by the Company pursuant to the Comcast Corporation 2002 Restricted Stock Plan (the “Restricted Stock Plan”, and together with the Stock Option Plan, the “Plans”).</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connection with our representation of the Company, as a basis for our opinions hereinafter set forth, we have examined the Registration Statement, including the exhibits thereto, the Company’s Articles of Incorporation, as amended and restated, the Company’s By-laws, as amended and restated, the Plans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43"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Based on the foregoing, we are of the opinion that the Shares, when issued in accordance with the terms of the Plans, will be validly issued, fully paid and non-assessable.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14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Our opinion is limited to the Business Corporation Law of the Commonwealth of Pennsylvania, as amended, including the statutory provisions and all applicable provisions of the Constitution of the</w:t>
      </w:r>
    </w:p>
    <w:p>
      <w:pPr>
        <w:sectPr>
          <w:pgSz w:w="11900" w:h="16838" w:orient="portrait"/>
          <w:cols w:equalWidth="0" w:num="1">
            <w:col w:w="11420"/>
          </w:cols>
          <w:pgMar w:left="240" w:top="125" w:right="239" w:bottom="1440" w:gutter="0" w:footer="0" w:header="0"/>
        </w:sectPr>
      </w:pPr>
    </w:p>
    <w:bookmarkStart w:id="7" w:name="page8"/>
    <w:bookmarkEnd w:id="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ectPr>
          <w:pgSz w:w="11900" w:h="16838" w:orient="portrait"/>
          <w:cols w:equalWidth="0" w:num="1">
            <w:col w:w="11220"/>
          </w:cols>
          <w:pgMar w:left="240" w:top="280"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Comcast Corporation 2002 Restricted Stock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firstLine="913"/>
        <w:spacing w:after="0" w:line="323" w:lineRule="auto"/>
        <w:rPr>
          <w:sz w:val="20"/>
          <w:szCs w:val="20"/>
          <w:color w:val="auto"/>
        </w:rPr>
      </w:pPr>
      <w:r>
        <w:rPr>
          <w:rFonts w:ascii="Arial" w:cs="Arial" w:eastAsia="Arial" w:hAnsi="Arial"/>
          <w:sz w:val="15"/>
          <w:szCs w:val="15"/>
          <w:color w:val="auto"/>
        </w:rPr>
        <w:t>We have served as counsel to Comcast Corporation, a Pennsylvania Corporation (the “Company”), in connection with the registration by the Company of 78,500,000 shares of Class A Common Stock, par value $0.01 (the “Shares”), on Form S-8 with the Securities and Exchange Commission (the “Commission”). Of the total Shares registered, 22,500,000 may be issued pursuant to the Company’s 2002 Restricted Stock Plan, as Amended and Restated (the “Restricted Stock Plan”). Unless otherwise defined herein, capitalized terms used herein shall have the meanings assigned to them in the Registration Statement.</w:t>
      </w:r>
    </w:p>
    <w:p>
      <w:pPr>
        <w:spacing w:after="0" w:line="98"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3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Restricted Stock Plan document states that the Restricted Stock Plan was established to permit eligible employees and non-employee directors to defer the receipt of compensation otherwise payable to such outside directors and eligible employees in accordance with the terms of the Restricted Stock Plan. The Restricted Stock Plan is unfunded and states that it is maintained primarily for the purpose of providing deferred compensation to outside directors and to a select group of management or highly compensated employees. For the purpose of this opinion, we have assumed that (1) the Restricted Stock Plan was duly adopted by the Company on December 19, 1990 and amended and restated, effective as of February 22, 2011 in its current form, and (2) the deferral provisions of the Restricted Stock Plan are maintained primarily for the purpose of providing the opportunity to defer the receipt of shares upon the vesting of awards of restricted stock and restricted stock units and to convert the right to receive shares to the right to receive the cash value of the shares to non-employee directors and a select group of management or highly compensated employees.</w:t>
      </w:r>
    </w:p>
    <w:p>
      <w:pPr>
        <w:sectPr>
          <w:pgSz w:w="11900" w:h="16838" w:orient="portrait"/>
          <w:cols w:equalWidth="0" w:num="1">
            <w:col w:w="11420"/>
          </w:cols>
          <w:pgMar w:left="240" w:top="125" w:right="239" w:bottom="1440" w:gutter="0" w:footer="0" w:header="0"/>
        </w:sectPr>
      </w:pPr>
    </w:p>
    <w:bookmarkStart w:id="9" w:name="page10"/>
    <w:bookmarkEnd w:id="9"/>
    <w:p>
      <w:pPr>
        <w:ind w:right="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express terms, the Restricted Stock Plan potentially results in a deferral of income by employees for periods extending to the termination of covered employment or beyond. Accordingly, the Restricted Stock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Restricted Stock Plan is subject to parts 1 and 5 of Title I of ERISA, but not to any other provisions of ERISA.</w:t>
      </w:r>
    </w:p>
    <w:p>
      <w:pPr>
        <w:spacing w:after="0" w:line="143"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Restricted Stock Plan is not designed or operated with the purpose of satisfying the requirements for qualification under section 401(a) of the Internal Revenue Code of 1986, as amended.</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Parts 1 and 5 of Title 1 of ERISA do not impose any specific written requirements on non-qualified deferred compensation arrangements such as the Restricted Stock Plan as a condition to compliance with the applicable provisions of ERISA. Further, the operation of the Restricted Stock Plan pursuant to the written provisions of the Restricted Stock Plan will not cause the Restricted Stock Plan to fail to comply with parts 1 or 5 of Title 5 of ERISA.</w:t>
      </w:r>
    </w:p>
    <w:p>
      <w:pPr>
        <w:spacing w:after="0" w:line="10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On the basis of the foregoing, we are of the opinion that the provisions of the written document constituting the Restricted Stock Plan comply with the requirements of ERISA pertaining to such provisions.</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ectPr>
          <w:pgSz w:w="11900" w:h="16838" w:orient="portrait"/>
          <w:cols w:equalWidth="0" w:num="1">
            <w:col w:w="11360"/>
          </w:cols>
          <w:pgMar w:left="240" w:top="280"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25, 2011, relating to the consolidated financial statements and financial statement schedule of Comcast Corporation, and the effectiveness of Comcast Corporation’s internal control over financial reporting, appearing in the Annual Report on Form 10-K of Comcast Corporation for the year ended December 31, 2010.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23, 2011</w:t>
      </w:r>
    </w:p>
    <w:p>
      <w:pPr>
        <w:sectPr>
          <w:pgSz w:w="11900" w:h="16838" w:orient="portrait"/>
          <w:cols w:equalWidth="0" w:num="1">
            <w:col w:w="11420"/>
          </w:cols>
          <w:pgMar w:left="240" w:top="12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NBC Universal, Inc.:</w:t>
      </w:r>
    </w:p>
    <w:p>
      <w:pPr>
        <w:spacing w:after="0" w:line="16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on Form S-8 of Comcast Corporation of our report dated February 28, 2011, with respect to the consolidated balance sheets of NBC Universal, Inc. as of December 31, 2010 and 2009, and the related consolidated statements of income, equity and cash flows for each of the years in the three-year period ended December 31, 2010, not included herein, which report appears in the Form 8-K/A of Comcast Corporation dated April 15,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23,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2019-12-10T21:11:22Z</dcterms:created>
  <dcterms:modified xsi:type="dcterms:W3CDTF">2019-12-10T21:11:22Z</dcterms:modified>
</cp:coreProperties>
</file>