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333-191239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March 22, 2016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$350,000,000 2.75% NOTES DUE 2023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$700,000,000 3.15% NOTES DUE 2026</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Comcast Cable Communications,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112"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2.75% Notes due 2023</w:t>
      </w:r>
    </w:p>
    <w:p>
      <w:pPr>
        <w:spacing w:after="0" w:line="154"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ind w:left="3340"/>
        <w:spacing w:after="0"/>
        <w:rPr>
          <w:sz w:val="20"/>
          <w:szCs w:val="20"/>
          <w:color w:val="auto"/>
        </w:rPr>
      </w:pPr>
      <w:r>
        <w:rPr>
          <w:rFonts w:ascii="Arial" w:cs="Arial" w:eastAsia="Arial" w:hAnsi="Arial"/>
          <w:sz w:val="16"/>
          <w:szCs w:val="16"/>
          <w:color w:val="auto"/>
        </w:rPr>
        <w:t>3.15% Notes due 2026</w:t>
      </w:r>
    </w:p>
    <w:p>
      <w:pPr>
        <w:sectPr>
          <w:pgSz w:w="11900" w:h="16838" w:orient="portrait"/>
          <w:cols w:equalWidth="0" w:num="1">
            <w:col w:w="11420"/>
          </w:cols>
          <w:pgMar w:left="240" w:top="229" w:right="239" w:bottom="1440" w:gutter="0" w:footer="0" w:header="0"/>
          <w:type w:val="continuous"/>
        </w:sectPr>
      </w:pP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36"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ind w:right="80"/>
        <w:spacing w:after="0" w:line="277" w:lineRule="auto"/>
        <w:rPr>
          <w:sz w:val="20"/>
          <w:szCs w:val="20"/>
          <w:color w:val="auto"/>
        </w:rPr>
      </w:pPr>
      <w:r>
        <w:rPr>
          <w:rFonts w:ascii="Arial" w:cs="Arial" w:eastAsia="Arial" w:hAnsi="Arial"/>
          <w:sz w:val="18"/>
          <w:szCs w:val="18"/>
          <w:color w:val="auto"/>
        </w:rPr>
        <w:t>The Company intends to use the net proceeds from this offering, after deducting the underwriters’ discount and expenses, for working capital and general corporate purposes.</w:t>
      </w:r>
    </w:p>
    <w:p>
      <w:pPr>
        <w:spacing w:after="0" w:line="58"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Indenture:</w:t>
      </w:r>
    </w:p>
    <w:p>
      <w:pPr>
        <w:spacing w:after="0" w:line="20" w:lineRule="exact"/>
        <w:rPr>
          <w:sz w:val="24"/>
          <w:szCs w:val="24"/>
          <w:color w:val="auto"/>
        </w:rPr>
      </w:pPr>
      <w:r>
        <w:rPr>
          <w:sz w:val="24"/>
          <w:szCs w:val="24"/>
          <w:color w:val="auto"/>
        </w:rPr>
        <w:br w:type="column"/>
      </w:r>
    </w:p>
    <w:p>
      <w:pPr>
        <w:ind w:right="40"/>
        <w:spacing w:after="0" w:line="312" w:lineRule="auto"/>
        <w:rPr>
          <w:sz w:val="20"/>
          <w:szCs w:val="20"/>
          <w:color w:val="auto"/>
        </w:rPr>
      </w:pPr>
      <w:r>
        <w:rPr>
          <w:rFonts w:ascii="Arial" w:cs="Arial" w:eastAsia="Arial" w:hAnsi="Arial"/>
          <w:sz w:val="16"/>
          <w:szCs w:val="16"/>
          <w:color w:val="auto"/>
        </w:rPr>
        <w:t>Indenture dated as of September 18, 2013 by and among the Company,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November 17, 2015 by and among the Company, the guarantors named therein and the Trustee.</w:t>
      </w:r>
    </w:p>
    <w:p>
      <w:pPr>
        <w:sectPr>
          <w:pgSz w:w="11900" w:h="16838" w:orient="portrait"/>
          <w:cols w:equalWidth="0" w:num="2">
            <w:col w:w="2620" w:space="720"/>
            <w:col w:w="808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620" w:space="720"/>
            <w:col w:w="6879"/>
          </w:cols>
          <w:pgMar w:left="240" w:top="270" w:right="1440" w:bottom="1440" w:gutter="0" w:footer="0" w:header="0"/>
        </w:sectPr>
      </w:pPr>
    </w:p>
    <w:p>
      <w:pPr>
        <w:spacing w:after="0"/>
        <w:rPr>
          <w:sz w:val="20"/>
          <w:szCs w:val="20"/>
          <w:color w:val="auto"/>
        </w:rPr>
      </w:pPr>
      <w:r>
        <w:rPr>
          <w:rFonts w:ascii="Arial" w:cs="Arial" w:eastAsia="Arial" w:hAnsi="Arial"/>
          <w:sz w:val="16"/>
          <w:szCs w:val="16"/>
          <w:b w:val="1"/>
          <w:bCs w:val="1"/>
          <w:color w:val="auto"/>
        </w:rPr>
        <w:t xml:space="preserve">Expected Ratings: </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Moody’s: A3; S&amp;P: A-; Fitch: A-</w:t>
      </w:r>
    </w:p>
    <w:p>
      <w:pPr>
        <w:spacing w:after="0" w:line="125" w:lineRule="exact"/>
        <w:rPr>
          <w:sz w:val="20"/>
          <w:szCs w:val="20"/>
          <w:color w:val="auto"/>
        </w:rPr>
      </w:pPr>
    </w:p>
    <w:p>
      <w:pPr>
        <w:sectPr>
          <w:pgSz w:w="11900" w:h="16838" w:orient="portrait"/>
          <w:cols w:equalWidth="0" w:num="2">
            <w:col w:w="2620" w:space="720"/>
            <w:col w:w="687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112" w:lineRule="exact"/>
        <w:rPr>
          <w:sz w:val="20"/>
          <w:szCs w:val="20"/>
          <w:color w:val="auto"/>
        </w:rPr>
      </w:pPr>
    </w:p>
    <w:p>
      <w:pPr>
        <w:sectPr>
          <w:pgSz w:w="11900" w:h="16838" w:orient="portrait"/>
          <w:cols w:equalWidth="0" w:num="2">
            <w:col w:w="2620" w:space="720"/>
            <w:col w:w="687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Credit Suisse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Santander Investment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9" w:lineRule="exact"/>
        <w:rPr>
          <w:sz w:val="20"/>
          <w:szCs w:val="20"/>
          <w:color w:val="auto"/>
        </w:rPr>
      </w:pPr>
    </w:p>
    <w:p>
      <w:pPr>
        <w:sectPr>
          <w:pgSz w:w="11900" w:h="16838" w:orient="portrait"/>
          <w:cols w:equalWidth="0" w:num="2">
            <w:col w:w="2620" w:space="720"/>
            <w:col w:w="687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Williams Capital Group,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 King &amp;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Lebenthal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and Company, Inc.</w:t>
      </w:r>
    </w:p>
    <w:p>
      <w:pPr>
        <w:spacing w:after="0" w:line="122" w:lineRule="exact"/>
        <w:rPr>
          <w:sz w:val="20"/>
          <w:szCs w:val="20"/>
          <w:color w:val="auto"/>
        </w:rPr>
      </w:pPr>
    </w:p>
    <w:p>
      <w:pPr>
        <w:sectPr>
          <w:pgSz w:w="11900" w:h="16838" w:orient="portrait"/>
          <w:cols w:equalWidth="0" w:num="2">
            <w:col w:w="2620" w:space="720"/>
            <w:col w:w="687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22, 2016</w:t>
      </w:r>
    </w:p>
    <w:p>
      <w:pPr>
        <w:spacing w:after="0" w:line="136" w:lineRule="exact"/>
        <w:rPr>
          <w:sz w:val="20"/>
          <w:szCs w:val="20"/>
          <w:color w:val="auto"/>
        </w:rPr>
      </w:pPr>
    </w:p>
    <w:p>
      <w:pPr>
        <w:sectPr>
          <w:pgSz w:w="11900" w:h="16838" w:orient="portrait"/>
          <w:cols w:equalWidth="0" w:num="2">
            <w:col w:w="2620" w:space="720"/>
            <w:col w:w="687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30, 2016 (T+5)</w:t>
      </w:r>
    </w:p>
    <w:p>
      <w:pPr>
        <w:spacing w:after="0" w:line="200" w:lineRule="exact"/>
        <w:rPr>
          <w:sz w:val="20"/>
          <w:szCs w:val="20"/>
          <w:color w:val="auto"/>
        </w:rPr>
      </w:pPr>
    </w:p>
    <w:p>
      <w:pPr>
        <w:sectPr>
          <w:pgSz w:w="11900" w:h="16838" w:orient="portrait"/>
          <w:cols w:equalWidth="0" w:num="2">
            <w:col w:w="2620" w:space="720"/>
            <w:col w:w="6879"/>
          </w:cols>
          <w:pgMar w:left="240" w:top="270" w:right="1440" w:bottom="1440" w:gutter="0" w:footer="0" w:header="0"/>
          <w:type w:val="continuous"/>
        </w:sectPr>
      </w:pPr>
    </w:p>
    <w:p>
      <w:pPr>
        <w:spacing w:after="0" w:line="2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0219"/>
          </w:cols>
          <w:pgMar w:left="240" w:top="27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2.75% Notes Due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Reoffer Yield: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$350,000,000. The 2.75% Notes due 2023 offered hereby will be a further issuance of and form a single series with the existing 2.75% Notes due 2023 issued by Comcast Corporation on February 23, 2016. Upon completion of this offering, Comcast Corporation will have $1,100,000,000 aggregate principal amount outstanding of its 2.75%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-943610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2.75% per annum (calculated on the basis of a 360-day year consisting of twelve 30-day months)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March 1 and September 1, commencing September 1, 2016 (interest will accrue from February 23,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UST 1.50% due February 28,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98-22 / 1.701%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+75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2.451%</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2.75% Notes due 2023 are redeemable at the option of the Company at any time, in whole or in part, at the “Redemption Price.” Prior to February 1, 2023 (one month prior to the maturity of the Notes due 2023), the Redemption Price is the greater of (i) 100% of the principal amount of such notes, and (ii) the sum of the present values of the principal amount of such notes and the scheduled payments of interest thereon (exclusive of interest accrued to the date of redemption) from the redemption date to February 1, 2023, in each case discounted to the redemption date on a semiannual basis at the Treasury Rate plus 20 basis points. On and after February 1, 2023 (one month prior to the maturity of the Notes due 2023), the Redemption Price will equal 100% of the principal amount of such notes. In each case described in this paragraph, the Redemption Price will include accrued and unpaid interest thereon to the date of redemption</w:t>
      </w:r>
    </w:p>
    <w:p>
      <w:pPr>
        <w:spacing w:after="0" w:line="5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 unlimited amount of additional 2.75% Notes due 2023 may be issued. The 2.75% Notes due 2023 and any additional 2.75% Notes due 2023 that may be issued may be treated as a single series for all purposes under the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20030N BR1 / US20030NBR17</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101.871% plus interest accrued from February 23, 2016 to, but excluding, March 30, 2016 ($989,236.11 in the aggregate for the additional 2.75% Notes due 2023 assuming a closing of the offering on March 30, 2016)</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0.350%</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101.521% per $1,000 principal amount of 2.75% Notes due 2023 ($355,323,500) plus accrued interest of $989,236.11 for a total of $356,312,736.11</w:t>
      </w:r>
    </w:p>
    <w:p>
      <w:pPr>
        <w:sectPr>
          <w:pgSz w:w="11900" w:h="16838" w:orient="portrait"/>
          <w:cols w:equalWidth="0" w:num="2">
            <w:col w:w="2620" w:space="720"/>
            <w:col w:w="8060"/>
          </w:cols>
          <w:pgMar w:left="240" w:top="27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3.15% Notes Due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Reoffer Yield: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$700,000,000. The 3.15% Notes due 2026 offered hereby will be a further issuance of and form a single series with the existing 3.15% Notes due 2026 issued by Comcast Corporation on February 23, 2016. Upon completion of this offering, Comcast Corporation will have $2,200,000,000 aggregate principal amount outstanding of its 3.15%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-943610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March 1,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3.15% per annum (calculated on the basis of a 360-day year consisting of twelve 30-day months)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March 1 and September 1, commencing September 1, 2016 (interest will accrue from February 23,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UST 1.625% due February 15,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97-14 / 1.910%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+90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2.810%</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3.15% Notes due 2026 are redeemable at the option of the Company at any time, in whole or in part, at the “Redemption Price.” Prior to December 1, 2025 (three months prior to the maturity of the Notes due 2026), the Redemption Price is the greater of (i) 100% of the principal amount of such notes, and (ii) the sum of the present values of the principal amount of such notes and the scheduled payments of interest thereon (exclusive of interest accrued to the date of redemption) from the redemption date to December 1, 2025, in each case discounted to the redemption date on a semiannual basis at the Treasury Rate plus 25 basis points. On and after December 1, 2025 (three months prior to the maturity of the Notes due 2026), the Redemption Price will equal 100% of the principal amount of such notes. In each case described in this paragraph, the Redemption Price will include accrued and unpaid interest thereon to the date of redemption</w:t>
      </w:r>
    </w:p>
    <w:p>
      <w:pPr>
        <w:spacing w:after="0" w:line="5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 unlimited amount of additional 3.15% Notes due 2026 may be issued. The 3.15% Notes due 2026 and any additional 3.15% Notes due 2026 that may be issued may be treated as a single series for all purposes under the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20030N BS9 / US20030NBS99</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102.861% plus interest accrued from February 23, 2016 to, but excluding, March 30, 2016 ($2,266,250.00 in the aggregate for the additional 3.15% Notes due 2026, assuming a closing of the offering on March 30, 2016)</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0.450%</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102.411% per $1,000 principal amount of 3.15% Notes due 2026 ($716,877,000) plus accrued interest of $2,266,250.00 for a total of $719,143,250.00</w:t>
      </w:r>
    </w:p>
    <w:p>
      <w:pPr>
        <w:sectPr>
          <w:pgSz w:w="11900" w:h="16838" w:orient="portrait"/>
          <w:cols w:equalWidth="0" w:num="2">
            <w:col w:w="2620" w:space="720"/>
            <w:col w:w="8060"/>
          </w:cols>
          <w:pgMar w:left="240" w:top="270" w:right="259" w:bottom="1440" w:gutter="0" w:footer="0" w:header="0"/>
        </w:sectPr>
      </w:pPr>
    </w:p>
    <w:bookmarkStart w:id="4" w:name="page5"/>
    <w:bookmarkEnd w:id="4"/>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expected that delivery of the notes will be made against payment therefor on or about March 30, 2016,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Merrill Lynch, Pierce, Fenner &amp; Smith Incorporated toll-free at (800)294-1322, RBC Capital Markets, LLC toll-free at (866)375-6829 or Wells Fargo Securities, LLC toll-free at (800)645-3751.</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2019-12-07T15:11:14Z</dcterms:created>
  <dcterms:modified xsi:type="dcterms:W3CDTF">2019-12-07T15:11:14Z</dcterms:modified>
</cp:coreProperties>
</file>