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The Securities Exchange Act of 1934</w:t>
      </w: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26, 2017</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Comcast Corporation</w:t>
      </w:r>
    </w:p>
    <w:p>
      <w:pPr>
        <w:spacing w:after="0" w:line="2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color w:val="auto"/>
        </w:rPr>
        <w:t>(Exact Name of Registrant</w:t>
      </w:r>
    </w:p>
    <w:p>
      <w:pPr>
        <w:ind w:left="4940"/>
        <w:spacing w:after="0"/>
        <w:rPr>
          <w:sz w:val="20"/>
          <w:szCs w:val="20"/>
          <w:color w:val="auto"/>
        </w:rPr>
      </w:pPr>
      <w:r>
        <w:rPr>
          <w:rFonts w:ascii="Times New Roman" w:cs="Times New Roman" w:eastAsia="Times New Roman" w:hAnsi="Times New Roman"/>
          <w:sz w:val="14"/>
          <w:szCs w:val="14"/>
          <w:color w:val="auto"/>
        </w:rPr>
        <w:t>as Specified in its Charter)</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188"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244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6580" w:type="dxa"/>
            <w:vAlign w:val="bottom"/>
          </w:tcPr>
          <w:p>
            <w:pPr>
              <w:jc w:val="center"/>
              <w:ind w:left="4502"/>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6580" w:type="dxa"/>
            <w:vAlign w:val="bottom"/>
          </w:tcPr>
          <w:p>
            <w:pPr>
              <w:jc w:val="center"/>
              <w:ind w:left="4522"/>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01"/>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6580" w:type="dxa"/>
            <w:vAlign w:val="bottom"/>
          </w:tcPr>
          <w:p>
            <w:pPr>
              <w:spacing w:after="0"/>
              <w:rPr>
                <w:sz w:val="24"/>
                <w:szCs w:val="24"/>
                <w:color w:val="auto"/>
              </w:rPr>
            </w:pPr>
          </w:p>
        </w:tc>
      </w:tr>
      <w:tr>
        <w:trPr>
          <w:trHeight w:val="216"/>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6580" w:type="dxa"/>
            <w:vAlign w:val="bottom"/>
          </w:tcPr>
          <w:p>
            <w:pPr>
              <w:jc w:val="center"/>
              <w:ind w:left="4502"/>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580" w:type="dxa"/>
            <w:vAlign w:val="bottom"/>
          </w:tcPr>
          <w:p>
            <w:pPr>
              <w:jc w:val="center"/>
              <w:ind w:left="4502"/>
              <w:spacing w:after="0"/>
              <w:rPr>
                <w:sz w:val="20"/>
                <w:szCs w:val="20"/>
                <w:color w:val="auto"/>
              </w:rPr>
            </w:pPr>
            <w:r>
              <w:rPr>
                <w:rFonts w:ascii="Times New Roman" w:cs="Times New Roman" w:eastAsia="Times New Roman" w:hAnsi="Times New Roman"/>
                <w:sz w:val="14"/>
                <w:szCs w:val="14"/>
                <w:color w:val="auto"/>
              </w:rPr>
              <w:t>(Zip Code)</w:t>
            </w:r>
          </w:p>
        </w:tc>
      </w:tr>
      <w:tr>
        <w:trPr>
          <w:trHeight w:val="631"/>
        </w:trPr>
        <w:tc>
          <w:tcPr>
            <w:tcW w:w="2440" w:type="dxa"/>
            <w:vAlign w:val="bottom"/>
          </w:tcPr>
          <w:p>
            <w:pPr>
              <w:spacing w:after="0"/>
              <w:rPr>
                <w:sz w:val="24"/>
                <w:szCs w:val="24"/>
                <w:color w:val="auto"/>
              </w:rPr>
            </w:pPr>
          </w:p>
        </w:tc>
        <w:tc>
          <w:tcPr>
            <w:tcW w:w="6580" w:type="dxa"/>
            <w:vAlign w:val="bottom"/>
          </w:tcPr>
          <w:p>
            <w:pPr>
              <w:jc w:val="center"/>
              <w:ind w:right="2182"/>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tc>
      </w:tr>
      <w:tr>
        <w:trPr>
          <w:trHeight w:val="598"/>
        </w:trPr>
        <w:tc>
          <w:tcPr>
            <w:tcW w:w="2440" w:type="dxa"/>
            <w:vAlign w:val="bottom"/>
          </w:tcPr>
          <w:p>
            <w:pPr>
              <w:spacing w:after="0"/>
              <w:rPr>
                <w:sz w:val="24"/>
                <w:szCs w:val="24"/>
                <w:color w:val="auto"/>
              </w:rPr>
            </w:pPr>
          </w:p>
        </w:tc>
        <w:tc>
          <w:tcPr>
            <w:tcW w:w="6580" w:type="dxa"/>
            <w:vAlign w:val="bottom"/>
          </w:tcPr>
          <w:p>
            <w:pPr>
              <w:jc w:val="center"/>
              <w:ind w:right="2182"/>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397" w:lineRule="exact"/>
        <w:rPr>
          <w:sz w:val="24"/>
          <w:szCs w:val="24"/>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26, 2017, Comcast Corporation (“Comcast”) issued a press release reporting the results of its operations for the three and twelve months ended December 31, 2016.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34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4"/>
          <w:szCs w:val="24"/>
          <w:color w:val="auto"/>
        </w:rPr>
      </w:pPr>
    </w:p>
    <w:p>
      <w:pPr>
        <w:ind w:left="200"/>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7" w:lineRule="exact"/>
        <w:rPr>
          <w:sz w:val="24"/>
          <w:szCs w:val="24"/>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Comcast Corporation press release dated January 26, 2017.</w:t>
      </w:r>
    </w:p>
    <w:p>
      <w:pPr>
        <w:spacing w:after="0" w:line="27" w:lineRule="exact"/>
        <w:rPr>
          <w:sz w:val="24"/>
          <w:szCs w:val="24"/>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Explanation of Non-GAAP and Other Financial Measures.</w:t>
      </w:r>
    </w:p>
    <w:p>
      <w:pPr>
        <w:sectPr>
          <w:pgSz w:w="11900" w:h="16838" w:orient="portrait"/>
          <w:cols w:equalWidth="0" w:num="1">
            <w:col w:w="11420"/>
          </w:cols>
          <w:pgMar w:left="240" w:top="547" w:right="239" w:bottom="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t>SIGNATURES</w:t>
      </w:r>
    </w:p>
    <w:p>
      <w:pPr>
        <w:spacing w:after="0" w:line="229"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26, 2017</w:t>
            </w:r>
          </w:p>
        </w:tc>
        <w:tc>
          <w:tcPr>
            <w:tcW w:w="77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Lawrence J. Salva</w:t>
            </w:r>
          </w:p>
        </w:tc>
        <w:tc>
          <w:tcPr>
            <w:tcW w:w="40" w:type="dxa"/>
            <w:vAlign w:val="bottom"/>
          </w:tcPr>
          <w:p>
            <w:pPr>
              <w:spacing w:after="0"/>
              <w:rPr>
                <w:sz w:val="24"/>
                <w:szCs w:val="24"/>
                <w:color w:val="auto"/>
              </w:rPr>
            </w:pPr>
          </w:p>
        </w:tc>
      </w:tr>
      <w:tr>
        <w:trPr>
          <w:trHeight w:val="191"/>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Lawrence J. Salva</w:t>
            </w:r>
          </w:p>
        </w:tc>
        <w:tc>
          <w:tcPr>
            <w:tcW w:w="4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c>
          <w:tcPr>
            <w:tcW w:w="4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72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49" w:right="199" w:bottom="1440" w:gutter="0" w:footer="0" w:header="0"/>
        </w:sectPr>
      </w:pPr>
    </w:p>
    <w:bookmarkStart w:id="2" w:name="page3"/>
    <w:bookmarkEnd w:id="2"/>
    <w:p>
      <w:pPr>
        <w:ind w:left="1042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136334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COMCAST REPORTS 4th QUARTER AND YEAR END 2016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2016 Highlights:</w:t>
      </w:r>
    </w:p>
    <w:p>
      <w:pPr>
        <w:spacing w:after="0" w:line="231" w:lineRule="exact"/>
        <w:rPr>
          <w:sz w:val="20"/>
          <w:szCs w:val="20"/>
          <w:color w:val="auto"/>
        </w:rPr>
      </w:pPr>
    </w:p>
    <w:p>
      <w:pPr>
        <w:ind w:left="620" w:hanging="288"/>
        <w:spacing w:after="0"/>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Consolidated Revenue Increased 7.9%, Operating Income Increased 5.4%, Operating Cash Flow Increased 7.0%</w:t>
      </w:r>
    </w:p>
    <w:p>
      <w:pPr>
        <w:spacing w:after="0" w:line="138"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Net Cash Provided by Operating Activities was $19.2 Billion; Free Cash Flow was $8.2 Billion</w:t>
      </w:r>
    </w:p>
    <w:p>
      <w:pPr>
        <w:spacing w:after="0" w:line="138"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Earnings per Share Increased 10.2% to $3.57; On an Adjusted Basis, EPS Increased 7.1% to $3.48</w:t>
      </w:r>
    </w:p>
    <w:p>
      <w:pPr>
        <w:spacing w:after="0" w:line="138"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Cable Communications Revenue Increased 6.6% and Operating Cash Flow Increased 5.6%</w:t>
      </w:r>
    </w:p>
    <w:p>
      <w:pPr>
        <w:spacing w:after="0" w:line="148" w:lineRule="exact"/>
        <w:rPr>
          <w:rFonts w:ascii="Times New Roman" w:cs="Times New Roman" w:eastAsia="Times New Roman" w:hAnsi="Times New Roman"/>
          <w:sz w:val="22"/>
          <w:szCs w:val="22"/>
          <w:color w:val="auto"/>
        </w:rPr>
      </w:pPr>
    </w:p>
    <w:p>
      <w:pPr>
        <w:ind w:left="660" w:right="260" w:hanging="328"/>
        <w:spacing w:after="0" w:line="239" w:lineRule="auto"/>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Customer Relationships Increased by 858,000, a 29.0% Improvement Compared to 2015; Best Video Customer Results in 10 Years; Best High-Speed Internet Customer Results in 9 Years</w:t>
      </w:r>
    </w:p>
    <w:p>
      <w:pPr>
        <w:spacing w:after="0" w:line="126"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NBCUniversal Revenue Increased 11.0% and Operating Cash Flow Increased 13.8%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color w:val="auto"/>
          <w:vertAlign w:val="superscript"/>
        </w:rPr>
        <w:t>th</w:t>
      </w:r>
      <w:r>
        <w:rPr>
          <w:rFonts w:ascii="Arial" w:cs="Arial" w:eastAsia="Arial" w:hAnsi="Arial"/>
          <w:sz w:val="18"/>
          <w:szCs w:val="18"/>
          <w:b w:val="1"/>
          <w:bCs w:val="1"/>
          <w:color w:val="auto"/>
        </w:rPr>
        <w:t xml:space="preserve"> Quarter 2016 Highlights:</w:t>
      </w:r>
    </w:p>
    <w:p>
      <w:pPr>
        <w:spacing w:after="0" w:line="232" w:lineRule="exact"/>
        <w:rPr>
          <w:sz w:val="20"/>
          <w:szCs w:val="20"/>
          <w:color w:val="auto"/>
        </w:rPr>
      </w:pPr>
    </w:p>
    <w:p>
      <w:pPr>
        <w:ind w:left="620" w:hanging="288"/>
        <w:spacing w:after="0"/>
        <w:tabs>
          <w:tab w:leader="none" w:pos="6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Consolidated Revenue Increased 9.2%, Operating Income Increased 6.6%, Operating Cash Flow Increased 7.8%</w:t>
      </w:r>
    </w:p>
    <w:p>
      <w:pPr>
        <w:spacing w:after="0" w:line="138"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Net Cash Provided by Operating Activities was $5.7 Billion; Free Cash Flow was $2.6 Billion</w:t>
      </w:r>
    </w:p>
    <w:p>
      <w:pPr>
        <w:spacing w:after="0" w:line="138"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Earnings per Share Increased 20.3% to $0.95; On an Adjusted Basis, EPS Increased 9.9% to $0.89</w:t>
      </w:r>
    </w:p>
    <w:p>
      <w:pPr>
        <w:spacing w:after="0" w:line="138"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Cable Communications Revenue Increased 7.1% and Operating Cash Flow Increased 6.4%</w:t>
      </w:r>
    </w:p>
    <w:p>
      <w:pPr>
        <w:spacing w:after="0" w:line="148" w:lineRule="exact"/>
        <w:rPr>
          <w:rFonts w:ascii="Times New Roman" w:cs="Times New Roman" w:eastAsia="Times New Roman" w:hAnsi="Times New Roman"/>
          <w:sz w:val="22"/>
          <w:szCs w:val="22"/>
          <w:color w:val="auto"/>
        </w:rPr>
      </w:pPr>
    </w:p>
    <w:p>
      <w:pPr>
        <w:ind w:left="660" w:right="420" w:hanging="328"/>
        <w:spacing w:after="0" w:line="239" w:lineRule="auto"/>
        <w:tabs>
          <w:tab w:leader="none" w:pos="6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Added 258,000 Customer Relationships; Video Customer Net Additions were 80,000; High-Speed Internet Customer Net Additions were 385,000</w:t>
      </w:r>
    </w:p>
    <w:p>
      <w:pPr>
        <w:spacing w:after="0" w:line="126"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NBCUniversal Revenue Increased 13.0% and Operating Cash Flow Increased 14.0%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Share Repurchases:</w:t>
      </w:r>
    </w:p>
    <w:p>
      <w:pPr>
        <w:spacing w:after="0" w:line="231" w:lineRule="exact"/>
        <w:rPr>
          <w:sz w:val="20"/>
          <w:szCs w:val="20"/>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Dividends and Share Repurchases Totaled $7.6 Billion in 2016</w:t>
      </w:r>
    </w:p>
    <w:p>
      <w:pPr>
        <w:spacing w:after="0" w:line="138"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Declared a Two-for-One Stock Split in the Form of a 100% Dividend Payable on February 17, 2017; 12</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Stock Split in Company History</w:t>
      </w:r>
    </w:p>
    <w:p>
      <w:pPr>
        <w:spacing w:after="0" w:line="148" w:lineRule="exact"/>
        <w:rPr>
          <w:rFonts w:ascii="Times New Roman" w:cs="Times New Roman" w:eastAsia="Times New Roman" w:hAnsi="Times New Roman"/>
          <w:sz w:val="22"/>
          <w:szCs w:val="22"/>
          <w:color w:val="auto"/>
        </w:rPr>
      </w:pPr>
    </w:p>
    <w:p>
      <w:pPr>
        <w:ind w:left="660" w:right="100" w:hanging="328"/>
        <w:spacing w:after="0" w:line="239" w:lineRule="auto"/>
        <w:tabs>
          <w:tab w:leader="none" w:pos="62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Increased Dividend by 15% to $1.26 per Share on an Annualized, Pre-Split Basis; Increased Share Repurchase Authorization to $12.0 Billion, with $5.0 Billion Expected to be Repurchased in 2017</w:t>
      </w:r>
    </w:p>
    <w:p>
      <w:pPr>
        <w:spacing w:after="0" w:line="17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PHILADELPHIA – January 26, 2017… Comcast Corporation (NASDAQ: CMCSA) today reported results for the quarter and year ended December 31, 2016.</w:t>
      </w:r>
    </w:p>
    <w:p>
      <w:pPr>
        <w:spacing w:after="0" w:line="145" w:lineRule="exact"/>
        <w:rPr>
          <w:sz w:val="20"/>
          <w:szCs w:val="20"/>
          <w:color w:val="auto"/>
        </w:rPr>
      </w:pPr>
    </w:p>
    <w:p>
      <w:pPr>
        <w:jc w:val="both"/>
        <w:spacing w:after="0"/>
        <w:rPr>
          <w:sz w:val="20"/>
          <w:szCs w:val="20"/>
          <w:color w:val="auto"/>
        </w:rPr>
      </w:pPr>
      <w:r>
        <w:rPr>
          <w:rFonts w:ascii="Arial" w:cs="Arial" w:eastAsia="Arial" w:hAnsi="Arial"/>
          <w:sz w:val="18"/>
          <w:szCs w:val="18"/>
          <w:color w:val="auto"/>
        </w:rPr>
        <w:t>Brian L. Roberts, Chairman and Chief Executive Officer of Comcast Corporation, said, “I look back on 2016 with pride and enthusiasm. This is a special company, with a team I am delighted to work with, executing at a high level. We’re pleased to report another year of strong financial and operational results, which reflect our focus on innovation, investing in the business and putting the customer first. Our performance at Comcast Cable was exceptionally strong. We grew operating cash flow 5.6%, added 161,000 video subscribers, the best video customer results in a decade, and delivered our best high-speed Internet customer results in nine years. NBCUniversal also had a terrific year, fueled by the tremendous success of the Olympics, the opening of new attractions at our theme parks, and strong theatrical performances, particularly in animation. The consistency and strength of our results enables us to announce that we are increasing our dividend by 15% per share, we will split our stock two-for-one, the twelfth split in our company’s history, and we expect to repurchase $ 5 billion of our stock this year. As we begin 2017, we are well positioned to continue driving growth and shareholder value as we embark on the opportunities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jc w:val="right"/>
              <w:ind w:right="428"/>
              <w:spacing w:after="0"/>
              <w:rPr>
                <w:sz w:val="20"/>
                <w:szCs w:val="20"/>
                <w:color w:val="auto"/>
              </w:rPr>
            </w:pPr>
            <w:r>
              <w:rPr>
                <w:rFonts w:ascii="Arial" w:cs="Arial" w:eastAsia="Arial" w:hAnsi="Arial"/>
                <w:sz w:val="14"/>
                <w:szCs w:val="14"/>
                <w:color w:val="auto"/>
              </w:rPr>
              <w:t>4th Quarter</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Arial" w:cs="Arial" w:eastAsia="Arial" w:hAnsi="Arial"/>
                <w:sz w:val="14"/>
                <w:szCs w:val="14"/>
                <w:color w:val="auto"/>
              </w:rPr>
              <w:t>Full Year</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408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2015</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2016</w:t>
            </w:r>
          </w:p>
        </w:tc>
        <w:tc>
          <w:tcPr>
            <w:tcW w:w="1400" w:type="dxa"/>
            <w:vAlign w:val="bottom"/>
          </w:tcPr>
          <w:p>
            <w:pPr>
              <w:jc w:val="right"/>
              <w:ind w:right="508"/>
              <w:spacing w:after="0"/>
              <w:rPr>
                <w:sz w:val="20"/>
                <w:szCs w:val="20"/>
                <w:color w:val="auto"/>
              </w:rPr>
            </w:pPr>
            <w:r>
              <w:rPr>
                <w:rFonts w:ascii="Arial" w:cs="Arial" w:eastAsia="Arial" w:hAnsi="Arial"/>
                <w:sz w:val="14"/>
                <w:szCs w:val="14"/>
                <w:color w:val="auto"/>
              </w:rPr>
              <w:t>Growth</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2015</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2016</w:t>
            </w:r>
          </w:p>
        </w:tc>
        <w:tc>
          <w:tcPr>
            <w:tcW w:w="820" w:type="dxa"/>
            <w:vAlign w:val="bottom"/>
            <w:gridSpan w:val="2"/>
          </w:tcPr>
          <w:p>
            <w:pPr>
              <w:ind w:left="340"/>
              <w:spacing w:after="0"/>
              <w:rPr>
                <w:sz w:val="20"/>
                <w:szCs w:val="20"/>
                <w:color w:val="auto"/>
              </w:rPr>
            </w:pPr>
            <w:r>
              <w:rPr>
                <w:rFonts w:ascii="Arial" w:cs="Arial" w:eastAsia="Arial" w:hAnsi="Arial"/>
                <w:sz w:val="14"/>
                <w:szCs w:val="14"/>
                <w:color w:val="auto"/>
              </w:rPr>
              <w:t>Growth</w:t>
            </w:r>
          </w:p>
        </w:tc>
      </w:tr>
      <w:tr>
        <w:trPr>
          <w:trHeight w:val="151"/>
        </w:trPr>
        <w:tc>
          <w:tcPr>
            <w:tcW w:w="4080" w:type="dxa"/>
            <w:vAlign w:val="bottom"/>
            <w:tcBorders>
              <w:top w:val="single" w:sz="8" w:color="auto"/>
            </w:tcBorders>
          </w:tcPr>
          <w:p>
            <w:pPr>
              <w:ind w:left="40"/>
              <w:spacing w:after="0" w:line="151" w:lineRule="exact"/>
              <w:rPr>
                <w:sz w:val="20"/>
                <w:szCs w:val="20"/>
                <w:color w:val="auto"/>
              </w:rPr>
            </w:pPr>
            <w:r>
              <w:rPr>
                <w:rFonts w:ascii="Arial" w:cs="Arial" w:eastAsia="Arial" w:hAnsi="Arial"/>
                <w:sz w:val="14"/>
                <w:szCs w:val="14"/>
                <w:color w:val="auto"/>
              </w:rPr>
              <w:t>Revenue</w:t>
            </w:r>
          </w:p>
        </w:tc>
        <w:tc>
          <w:tcPr>
            <w:tcW w:w="1380" w:type="dxa"/>
            <w:vAlign w:val="bottom"/>
            <w:tcBorders>
              <w:top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$19,245</w:t>
            </w:r>
          </w:p>
        </w:tc>
        <w:tc>
          <w:tcPr>
            <w:tcW w:w="1300" w:type="dxa"/>
            <w:vAlign w:val="bottom"/>
            <w:tcBorders>
              <w:top w:val="single" w:sz="8" w:color="auto"/>
            </w:tcBorders>
          </w:tcPr>
          <w:p>
            <w:pPr>
              <w:jc w:val="right"/>
              <w:ind w:right="268"/>
              <w:spacing w:after="0" w:line="151" w:lineRule="exact"/>
              <w:rPr>
                <w:sz w:val="20"/>
                <w:szCs w:val="20"/>
                <w:color w:val="auto"/>
              </w:rPr>
            </w:pPr>
            <w:r>
              <w:rPr>
                <w:rFonts w:ascii="Arial" w:cs="Arial" w:eastAsia="Arial" w:hAnsi="Arial"/>
                <w:sz w:val="14"/>
                <w:szCs w:val="14"/>
                <w:color w:val="auto"/>
              </w:rPr>
              <w:t>$21,025</w:t>
            </w:r>
          </w:p>
        </w:tc>
        <w:tc>
          <w:tcPr>
            <w:tcW w:w="1400" w:type="dxa"/>
            <w:vAlign w:val="bottom"/>
            <w:tcBorders>
              <w:top w:val="single" w:sz="8" w:color="auto"/>
            </w:tcBorders>
          </w:tcPr>
          <w:p>
            <w:pPr>
              <w:jc w:val="right"/>
              <w:ind w:right="508"/>
              <w:spacing w:after="0" w:line="151" w:lineRule="exact"/>
              <w:rPr>
                <w:sz w:val="20"/>
                <w:szCs w:val="20"/>
                <w:color w:val="auto"/>
              </w:rPr>
            </w:pPr>
            <w:r>
              <w:rPr>
                <w:rFonts w:ascii="Arial" w:cs="Arial" w:eastAsia="Arial" w:hAnsi="Arial"/>
                <w:sz w:val="14"/>
                <w:szCs w:val="14"/>
                <w:color w:val="auto"/>
              </w:rPr>
              <w:t>9.2%</w:t>
            </w:r>
          </w:p>
        </w:tc>
        <w:tc>
          <w:tcPr>
            <w:tcW w:w="1220" w:type="dxa"/>
            <w:vAlign w:val="bottom"/>
            <w:tcBorders>
              <w:top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$74,510</w:t>
            </w:r>
          </w:p>
        </w:tc>
        <w:tc>
          <w:tcPr>
            <w:tcW w:w="1240" w:type="dxa"/>
            <w:vAlign w:val="bottom"/>
            <w:tcBorders>
              <w:top w:val="single" w:sz="8" w:color="auto"/>
            </w:tcBorders>
          </w:tcPr>
          <w:p>
            <w:pPr>
              <w:jc w:val="right"/>
              <w:ind w:right="268"/>
              <w:spacing w:after="0" w:line="151" w:lineRule="exact"/>
              <w:rPr>
                <w:sz w:val="20"/>
                <w:szCs w:val="20"/>
                <w:color w:val="auto"/>
              </w:rPr>
            </w:pPr>
            <w:r>
              <w:rPr>
                <w:rFonts w:ascii="Arial" w:cs="Arial" w:eastAsia="Arial" w:hAnsi="Arial"/>
                <w:sz w:val="14"/>
                <w:szCs w:val="14"/>
                <w:color w:val="auto"/>
              </w:rPr>
              <w:t>$80,403</w:t>
            </w: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3"/>
                <w:szCs w:val="13"/>
                <w:color w:val="auto"/>
              </w:rPr>
            </w:pPr>
          </w:p>
        </w:tc>
      </w:tr>
      <w:tr>
        <w:trPr>
          <w:trHeight w:val="173"/>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and Super Bowl (see Table 7)</w:t>
            </w:r>
          </w:p>
        </w:tc>
        <w:tc>
          <w:tcPr>
            <w:tcW w:w="1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$74,134</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$78,783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6.3%</w:t>
            </w:r>
          </w:p>
        </w:tc>
        <w:tc>
          <w:tcPr>
            <w:tcW w:w="20" w:type="dxa"/>
            <w:vAlign w:val="bottom"/>
          </w:tcPr>
          <w:p>
            <w:pPr>
              <w:spacing w:after="0"/>
              <w:rPr>
                <w:sz w:val="15"/>
                <w:szCs w:val="15"/>
                <w:color w:val="auto"/>
              </w:rPr>
            </w:pPr>
          </w:p>
        </w:tc>
      </w:tr>
      <w:tr>
        <w:trPr>
          <w:trHeight w:val="156"/>
        </w:trPr>
        <w:tc>
          <w:tcPr>
            <w:tcW w:w="40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Operating Income</w:t>
            </w:r>
          </w:p>
        </w:tc>
        <w:tc>
          <w:tcPr>
            <w:tcW w:w="13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$4,002</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$4,264</w:t>
            </w:r>
          </w:p>
        </w:tc>
        <w:tc>
          <w:tcPr>
            <w:tcW w:w="140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6.6%</w:t>
            </w:r>
          </w:p>
        </w:tc>
        <w:tc>
          <w:tcPr>
            <w:tcW w:w="12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$15,998</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$16,859</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3"/>
                <w:szCs w:val="13"/>
                <w:color w:val="auto"/>
              </w:rPr>
            </w:pPr>
          </w:p>
        </w:tc>
      </w:tr>
      <w:tr>
        <w:trPr>
          <w:trHeight w:val="144"/>
        </w:trPr>
        <w:tc>
          <w:tcPr>
            <w:tcW w:w="4080" w:type="dxa"/>
            <w:vAlign w:val="bottom"/>
          </w:tcPr>
          <w:p>
            <w:pPr>
              <w:ind w:left="40"/>
              <w:spacing w:after="0" w:line="145" w:lineRule="exact"/>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1380" w:type="dxa"/>
            <w:vAlign w:val="bottom"/>
          </w:tcPr>
          <w:p>
            <w:pPr>
              <w:jc w:val="right"/>
              <w:ind w:right="8"/>
              <w:spacing w:after="0" w:line="145" w:lineRule="exact"/>
              <w:rPr>
                <w:sz w:val="20"/>
                <w:szCs w:val="20"/>
                <w:color w:val="auto"/>
              </w:rPr>
            </w:pPr>
            <w:r>
              <w:rPr>
                <w:rFonts w:ascii="Arial" w:cs="Arial" w:eastAsia="Arial" w:hAnsi="Arial"/>
                <w:sz w:val="14"/>
                <w:szCs w:val="14"/>
                <w:color w:val="auto"/>
              </w:rPr>
              <w:t>$6,272</w:t>
            </w:r>
          </w:p>
        </w:tc>
        <w:tc>
          <w:tcPr>
            <w:tcW w:w="1300" w:type="dxa"/>
            <w:vAlign w:val="bottom"/>
          </w:tcPr>
          <w:p>
            <w:pPr>
              <w:jc w:val="right"/>
              <w:ind w:right="268"/>
              <w:spacing w:after="0" w:line="145" w:lineRule="exact"/>
              <w:rPr>
                <w:sz w:val="20"/>
                <w:szCs w:val="20"/>
                <w:color w:val="auto"/>
              </w:rPr>
            </w:pPr>
            <w:r>
              <w:rPr>
                <w:rFonts w:ascii="Arial" w:cs="Arial" w:eastAsia="Arial" w:hAnsi="Arial"/>
                <w:sz w:val="14"/>
                <w:szCs w:val="14"/>
                <w:color w:val="auto"/>
              </w:rPr>
              <w:t>$6,760</w:t>
            </w:r>
          </w:p>
        </w:tc>
        <w:tc>
          <w:tcPr>
            <w:tcW w:w="1400" w:type="dxa"/>
            <w:vAlign w:val="bottom"/>
          </w:tcPr>
          <w:p>
            <w:pPr>
              <w:jc w:val="right"/>
              <w:ind w:right="508"/>
              <w:spacing w:after="0" w:line="145" w:lineRule="exact"/>
              <w:rPr>
                <w:sz w:val="20"/>
                <w:szCs w:val="20"/>
                <w:color w:val="auto"/>
              </w:rPr>
            </w:pPr>
            <w:r>
              <w:rPr>
                <w:rFonts w:ascii="Arial" w:cs="Arial" w:eastAsia="Arial" w:hAnsi="Arial"/>
                <w:sz w:val="14"/>
                <w:szCs w:val="14"/>
                <w:color w:val="auto"/>
              </w:rPr>
              <w:t>7.8%</w:t>
            </w:r>
          </w:p>
        </w:tc>
        <w:tc>
          <w:tcPr>
            <w:tcW w:w="1220" w:type="dxa"/>
            <w:vAlign w:val="bottom"/>
          </w:tcPr>
          <w:p>
            <w:pPr>
              <w:jc w:val="right"/>
              <w:ind w:right="28"/>
              <w:spacing w:after="0" w:line="145" w:lineRule="exact"/>
              <w:rPr>
                <w:sz w:val="20"/>
                <w:szCs w:val="20"/>
                <w:color w:val="auto"/>
              </w:rPr>
            </w:pPr>
            <w:r>
              <w:rPr>
                <w:rFonts w:ascii="Arial" w:cs="Arial" w:eastAsia="Arial" w:hAnsi="Arial"/>
                <w:sz w:val="14"/>
                <w:szCs w:val="14"/>
                <w:color w:val="auto"/>
              </w:rPr>
              <w:t>$24,678</w:t>
            </w:r>
          </w:p>
        </w:tc>
        <w:tc>
          <w:tcPr>
            <w:tcW w:w="1240" w:type="dxa"/>
            <w:vAlign w:val="bottom"/>
          </w:tcPr>
          <w:p>
            <w:pPr>
              <w:jc w:val="right"/>
              <w:ind w:right="268"/>
              <w:spacing w:after="0" w:line="145" w:lineRule="exact"/>
              <w:rPr>
                <w:sz w:val="20"/>
                <w:szCs w:val="20"/>
                <w:color w:val="auto"/>
              </w:rPr>
            </w:pPr>
            <w:r>
              <w:rPr>
                <w:rFonts w:ascii="Arial" w:cs="Arial" w:eastAsia="Arial" w:hAnsi="Arial"/>
                <w:sz w:val="14"/>
                <w:szCs w:val="14"/>
                <w:color w:val="auto"/>
              </w:rPr>
              <w:t>$26,417</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r>
      <w:tr>
        <w:trPr>
          <w:trHeight w:val="173"/>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Transaction-Related Costs (see Table 7)</w:t>
            </w:r>
          </w:p>
        </w:tc>
        <w:tc>
          <w:tcPr>
            <w:tcW w:w="1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$24,856</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$26,417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6.3%</w:t>
            </w:r>
          </w:p>
        </w:tc>
        <w:tc>
          <w:tcPr>
            <w:tcW w:w="20" w:type="dxa"/>
            <w:vAlign w:val="bottom"/>
          </w:tcPr>
          <w:p>
            <w:pPr>
              <w:spacing w:after="0"/>
              <w:rPr>
                <w:sz w:val="15"/>
                <w:szCs w:val="15"/>
                <w:color w:val="auto"/>
              </w:rPr>
            </w:pPr>
          </w:p>
        </w:tc>
      </w:tr>
      <w:tr>
        <w:trPr>
          <w:trHeight w:val="144"/>
        </w:trPr>
        <w:tc>
          <w:tcPr>
            <w:tcW w:w="4080" w:type="dxa"/>
            <w:vAlign w:val="bottom"/>
          </w:tcPr>
          <w:p>
            <w:pPr>
              <w:ind w:left="40"/>
              <w:spacing w:after="0" w:line="145" w:lineRule="exact"/>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1380" w:type="dxa"/>
            <w:vAlign w:val="bottom"/>
          </w:tcPr>
          <w:p>
            <w:pPr>
              <w:jc w:val="right"/>
              <w:ind w:right="8"/>
              <w:spacing w:after="0" w:line="145" w:lineRule="exact"/>
              <w:rPr>
                <w:sz w:val="20"/>
                <w:szCs w:val="20"/>
                <w:color w:val="auto"/>
              </w:rPr>
            </w:pPr>
            <w:r>
              <w:rPr>
                <w:rFonts w:ascii="Arial" w:cs="Arial" w:eastAsia="Arial" w:hAnsi="Arial"/>
                <w:sz w:val="14"/>
                <w:szCs w:val="14"/>
                <w:color w:val="auto"/>
              </w:rPr>
              <w:t>$0.79</w:t>
            </w:r>
          </w:p>
        </w:tc>
        <w:tc>
          <w:tcPr>
            <w:tcW w:w="1300" w:type="dxa"/>
            <w:vAlign w:val="bottom"/>
          </w:tcPr>
          <w:p>
            <w:pPr>
              <w:jc w:val="right"/>
              <w:ind w:right="268"/>
              <w:spacing w:after="0" w:line="145" w:lineRule="exact"/>
              <w:rPr>
                <w:sz w:val="20"/>
                <w:szCs w:val="20"/>
                <w:color w:val="auto"/>
              </w:rPr>
            </w:pPr>
            <w:r>
              <w:rPr>
                <w:rFonts w:ascii="Arial" w:cs="Arial" w:eastAsia="Arial" w:hAnsi="Arial"/>
                <w:sz w:val="14"/>
                <w:szCs w:val="14"/>
                <w:color w:val="auto"/>
              </w:rPr>
              <w:t>$0.95</w:t>
            </w:r>
          </w:p>
        </w:tc>
        <w:tc>
          <w:tcPr>
            <w:tcW w:w="1400" w:type="dxa"/>
            <w:vAlign w:val="bottom"/>
          </w:tcPr>
          <w:p>
            <w:pPr>
              <w:jc w:val="right"/>
              <w:ind w:right="508"/>
              <w:spacing w:after="0" w:line="145" w:lineRule="exact"/>
              <w:rPr>
                <w:sz w:val="20"/>
                <w:szCs w:val="20"/>
                <w:color w:val="auto"/>
              </w:rPr>
            </w:pPr>
            <w:r>
              <w:rPr>
                <w:rFonts w:ascii="Arial" w:cs="Arial" w:eastAsia="Arial" w:hAnsi="Arial"/>
                <w:sz w:val="14"/>
                <w:szCs w:val="14"/>
                <w:color w:val="auto"/>
              </w:rPr>
              <w:t>20.3%</w:t>
            </w:r>
          </w:p>
        </w:tc>
        <w:tc>
          <w:tcPr>
            <w:tcW w:w="1220" w:type="dxa"/>
            <w:vAlign w:val="bottom"/>
          </w:tcPr>
          <w:p>
            <w:pPr>
              <w:jc w:val="right"/>
              <w:ind w:right="28"/>
              <w:spacing w:after="0" w:line="145" w:lineRule="exact"/>
              <w:rPr>
                <w:sz w:val="20"/>
                <w:szCs w:val="20"/>
                <w:color w:val="auto"/>
              </w:rPr>
            </w:pPr>
            <w:r>
              <w:rPr>
                <w:rFonts w:ascii="Arial" w:cs="Arial" w:eastAsia="Arial" w:hAnsi="Arial"/>
                <w:sz w:val="14"/>
                <w:szCs w:val="14"/>
                <w:color w:val="auto"/>
              </w:rPr>
              <w:t>$3.24</w:t>
            </w:r>
          </w:p>
        </w:tc>
        <w:tc>
          <w:tcPr>
            <w:tcW w:w="1240" w:type="dxa"/>
            <w:vAlign w:val="bottom"/>
          </w:tcPr>
          <w:p>
            <w:pPr>
              <w:jc w:val="right"/>
              <w:ind w:right="268"/>
              <w:spacing w:after="0" w:line="145" w:lineRule="exact"/>
              <w:rPr>
                <w:sz w:val="20"/>
                <w:szCs w:val="20"/>
                <w:color w:val="auto"/>
              </w:rPr>
            </w:pPr>
            <w:r>
              <w:rPr>
                <w:rFonts w:ascii="Arial" w:cs="Arial" w:eastAsia="Arial" w:hAnsi="Arial"/>
                <w:sz w:val="14"/>
                <w:szCs w:val="14"/>
                <w:color w:val="auto"/>
              </w:rPr>
              <w:t>$3.57</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2"/>
                <w:szCs w:val="12"/>
                <w:color w:val="auto"/>
              </w:rPr>
            </w:pPr>
          </w:p>
        </w:tc>
      </w:tr>
      <w:tr>
        <w:trPr>
          <w:trHeight w:val="173"/>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 (see Table 5)</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$0.81</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$0.89</w:t>
            </w: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i w:val="1"/>
                <w:iCs w:val="1"/>
                <w:color w:val="auto"/>
              </w:rPr>
              <w:t>9.9%</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$3.25</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$3.48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7.1%</w:t>
            </w:r>
          </w:p>
        </w:tc>
        <w:tc>
          <w:tcPr>
            <w:tcW w:w="20" w:type="dxa"/>
            <w:vAlign w:val="bottom"/>
          </w:tcPr>
          <w:p>
            <w:pPr>
              <w:spacing w:after="0"/>
              <w:rPr>
                <w:sz w:val="15"/>
                <w:szCs w:val="15"/>
                <w:color w:val="auto"/>
              </w:rPr>
            </w:pPr>
          </w:p>
        </w:tc>
      </w:tr>
      <w:tr>
        <w:trPr>
          <w:trHeight w:val="156"/>
        </w:trPr>
        <w:tc>
          <w:tcPr>
            <w:tcW w:w="40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3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$4,965</w:t>
            </w:r>
          </w:p>
        </w:tc>
        <w:tc>
          <w:tcPr>
            <w:tcW w:w="13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$5,743</w:t>
            </w:r>
          </w:p>
        </w:tc>
        <w:tc>
          <w:tcPr>
            <w:tcW w:w="140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15.7%</w:t>
            </w:r>
          </w:p>
        </w:tc>
        <w:tc>
          <w:tcPr>
            <w:tcW w:w="12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$18,778</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$19,240</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3"/>
                <w:szCs w:val="13"/>
                <w:color w:val="auto"/>
              </w:rPr>
            </w:pPr>
          </w:p>
        </w:tc>
      </w:tr>
      <w:tr>
        <w:trPr>
          <w:trHeight w:val="188"/>
        </w:trPr>
        <w:tc>
          <w:tcPr>
            <w:tcW w:w="408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$1,588</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$2,607</w:t>
            </w:r>
          </w:p>
        </w:tc>
        <w:tc>
          <w:tcPr>
            <w:tcW w:w="1400" w:type="dxa"/>
            <w:vAlign w:val="bottom"/>
          </w:tcPr>
          <w:p>
            <w:pPr>
              <w:jc w:val="right"/>
              <w:ind w:right="508"/>
              <w:spacing w:after="0"/>
              <w:rPr>
                <w:sz w:val="20"/>
                <w:szCs w:val="20"/>
                <w:color w:val="auto"/>
              </w:rPr>
            </w:pPr>
            <w:r>
              <w:rPr>
                <w:rFonts w:ascii="Arial" w:cs="Arial" w:eastAsia="Arial" w:hAnsi="Arial"/>
                <w:sz w:val="14"/>
                <w:szCs w:val="14"/>
                <w:color w:val="auto"/>
              </w:rPr>
              <w:t>64.2%</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$8,935</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$8,203</w:t>
            </w:r>
          </w:p>
        </w:tc>
        <w:tc>
          <w:tcPr>
            <w:tcW w:w="800" w:type="dxa"/>
            <w:vAlign w:val="bottom"/>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6"/>
                <w:szCs w:val="16"/>
                <w:color w:val="auto"/>
              </w:rPr>
            </w:pPr>
          </w:p>
        </w:tc>
      </w:tr>
    </w:tbl>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ectPr>
          <w:pgSz w:w="11900" w:h="16838" w:orient="portrait"/>
          <w:cols w:equalWidth="0" w:num="1">
            <w:col w:w="11420"/>
          </w:cols>
          <w:pgMar w:left="240" w:top="114" w:right="239" w:bottom="0" w:gutter="0" w:footer="0" w:header="0"/>
        </w:sectPr>
      </w:pPr>
    </w:p>
    <w:bookmarkStart w:id="3" w:name="page4"/>
    <w:bookmarkEnd w:id="3"/>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fourth quarter of 2016 increased 9.2% to $21.0 billion.</w:t>
      </w:r>
      <w:r>
        <w:rPr>
          <w:rFonts w:ascii="Arial" w:cs="Arial" w:eastAsia="Arial" w:hAnsi="Arial"/>
          <w:sz w:val="18"/>
          <w:szCs w:val="18"/>
          <w:b w:val="1"/>
          <w:bCs w:val="1"/>
          <w:i w:val="1"/>
          <w:iCs w:val="1"/>
          <w:color w:val="auto"/>
        </w:rPr>
        <w:t xml:space="preserve"> Consolidated Operating Income </w:t>
      </w:r>
      <w:r>
        <w:rPr>
          <w:rFonts w:ascii="Arial" w:cs="Arial" w:eastAsia="Arial" w:hAnsi="Arial"/>
          <w:sz w:val="18"/>
          <w:szCs w:val="18"/>
          <w:color w:val="auto"/>
        </w:rPr>
        <w:t>increased 6.6%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$4.3 billion. </w:t>
      </w:r>
      <w:r>
        <w:rPr>
          <w:rFonts w:ascii="Arial" w:cs="Arial" w:eastAsia="Arial" w:hAnsi="Arial"/>
          <w:sz w:val="18"/>
          <w:szCs w:val="18"/>
          <w:b w:val="1"/>
          <w:bCs w:val="1"/>
          <w:i w:val="1"/>
          <w:iCs w:val="1"/>
          <w:color w:val="auto"/>
        </w:rPr>
        <w:t>Consolidated Operating Cash Flow</w:t>
      </w:r>
      <w:r>
        <w:rPr>
          <w:rFonts w:ascii="Arial" w:cs="Arial" w:eastAsia="Arial" w:hAnsi="Arial"/>
          <w:sz w:val="18"/>
          <w:szCs w:val="18"/>
          <w:color w:val="auto"/>
        </w:rPr>
        <w:t xml:space="preserve"> increased 7.8% to $6.8 billion.</w:t>
      </w:r>
    </w:p>
    <w:p>
      <w:pPr>
        <w:spacing w:after="0" w:line="12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For the year ended December 31, 2016, consolidated revenue increased 7.9% to $80.4 billion compared to 2015. Excluding $1.6 billion of revenue generated by the broadcast of the 2016 Rio Olympics in the third quarter of 2016, as well as $376 million of revenue generated by the broadcast of the NFL’s Super Bowl in the first quarter of 2015, consolidated revenue increased 6.3% (see Table 7). Consolidated operating income increased 5.4% to $16.9 billion compared to 2015. Consolidated operating cash flow increased 7.0% to $26.4 billion compared to 2015. Excluding $178 million of transaction-related costs in 2015, consolidated operating cash flow increased 6.3% (see Table 7).</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fourth quarter of 2016 was $0.95, a 20.3% increase compared to the fourth quarter of 2015. On an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EPS increased 9.9% to $0.89 (see Table 5).</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year ended December 31, 2016, EPS was $3.57, a 10.2% increase compared to the prior year. On an adjusted basis, EPS increased 7.1% to $3.48 (see Table 5).</w:t>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2.4% to $ 2.6 billion in the fourth quarter of 2016 compared to 2015. Cable Communications’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expenditures increased 1.5% to $2.1 billion in the fourth quarter of 2016, reflecting increased spending on line extensions, support capital and scalable infrastructure, as well as continued spending on customer premise equipment related to the deployment of the X1 platform and wireless gateways. Cable capital expenditures represented 16.3% of Cable revenue in the fourth quarter of 2016 compared to 17.2% in last year’s fourth quarter. NBCUniversal’s capital expenditures of $461 million decreased 17.2% compared to 2015, which included a land purchase adjacent to an existing theme park of $130 million.</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For the year ended December 31, 2016, capital expenditures increased 7.5% to $9.1 billion compared to 2015. Cable Communications’ capital expenditures increased 7.9% to $7.6 billion, primarily reflecting increased investment in line extensions, a higher level of investment in scalable infrastructure to increase network capacity and continued spending on customer premise equipment related to the deployment of the X1 platform and wireless gateways. For the year, Cable capital expenditures represented 15.2% of Cable revenue compared to 15.0% in 2015. NBCUniversal’s capital expenditures increased 4.8% to $1.5 billion in 2016, primarily reflecting increased spending at our Theme Parks.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increased 15.7% to $5.7 billion in the fourth quarter of 2016.</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increased 64.2%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$2.6 billion, reflecting growth in consolidated operating cash flow and improvements in working capital, partially offset by higher cash taxes (see Table 4).</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2016, net cash provided by operating activities increased 2.5% to $ 19.2 billion. Free cash flow decreased 8.2% to $8.2 billion compared to 2015, reflecting growth in consolidated operating cash flow, offset by higher working capital, an increase in capital expenditures, an increase in capitalized software and intangibles, and higher cash taxes (see Table 4).</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Dividends, Share Repurchases and Stock Split. </w:t>
      </w:r>
      <w:r>
        <w:rPr>
          <w:rFonts w:ascii="Arial" w:cs="Arial" w:eastAsia="Arial" w:hAnsi="Arial"/>
          <w:sz w:val="18"/>
          <w:szCs w:val="18"/>
          <w:color w:val="auto"/>
        </w:rPr>
        <w:t>During the fourth quarter of 2016, Comcast paid dividends totaling $658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repurchased 19.3 million of its common shares for $1.2 billion. For the full year, Comcast made four cash dividend payments totaling $2.6 billion and repurchased 80.6 million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its common shares for $5.0 billion, resulting in a total return of capital to shareholders of $7.6 billion for 2016.</w:t>
      </w:r>
    </w:p>
    <w:p>
      <w:pPr>
        <w:spacing w:after="0" w:line="198"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Today, Comcast announced that its Board of Directors has increased its stock repurchase program authorization to $12.0 billion. Comcast expects to repurchase $5.0 billion of its Class A common stock during 2017, subject to market conditions.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Comcast also announced that its Board of Directors declared a two-for-one stock split in the form of a 100% dividend payable on February 17, 2017 to shareholders of record as of the close of business on February 8, 2017. As the common stock is not yet trading on a post-split basis, all share and per-share amounts in this earnings release and the accompanying schedules are presented on a pre-split basis.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Comcast announced that it increased its dividend by 15% to $1.26 per share on an annualized, pre-split basis, or $0.63 per share on an annualized, post-split basis. In accordance with the increase, the Board of Directors declared a quarterly cash dividend of $ 0.1575 a share, on a post-split basis, on the company’s common stock, payable on April 26, 2017 to shareholders of record as of the close of business on April 5, 2017.</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80" w:type="dxa"/>
            <w:vAlign w:val="bottom"/>
            <w:tcBorders>
              <w:top w:val="single" w:sz="8" w:color="C9C9C9"/>
            </w:tcBorders>
          </w:tcPr>
          <w:p>
            <w:pPr>
              <w:spacing w:after="0"/>
              <w:rPr>
                <w:sz w:val="13"/>
                <w:szCs w:val="13"/>
                <w:color w:val="auto"/>
              </w:rPr>
            </w:pPr>
          </w:p>
        </w:tc>
        <w:tc>
          <w:tcPr>
            <w:tcW w:w="1440" w:type="dxa"/>
            <w:vAlign w:val="bottom"/>
            <w:tcBorders>
              <w:top w:val="single" w:sz="8" w:color="C9C9C9"/>
            </w:tcBorders>
          </w:tcPr>
          <w:p>
            <w:pPr>
              <w:spacing w:after="0"/>
              <w:rPr>
                <w:sz w:val="13"/>
                <w:szCs w:val="13"/>
                <w:color w:val="auto"/>
              </w:rPr>
            </w:pPr>
          </w:p>
        </w:tc>
        <w:tc>
          <w:tcPr>
            <w:tcW w:w="1240" w:type="dxa"/>
            <w:vAlign w:val="bottom"/>
            <w:tcBorders>
              <w:top w:val="single" w:sz="8" w:color="C9C9C9"/>
            </w:tcBorders>
          </w:tcPr>
          <w:p>
            <w:pPr>
              <w:jc w:val="right"/>
              <w:ind w:right="348"/>
              <w:spacing w:after="0" w:line="156" w:lineRule="exact"/>
              <w:rPr>
                <w:sz w:val="20"/>
                <w:szCs w:val="20"/>
                <w:color w:val="auto"/>
              </w:rPr>
            </w:pPr>
            <w:r>
              <w:rPr>
                <w:rFonts w:ascii="Arial" w:cs="Arial" w:eastAsia="Arial" w:hAnsi="Arial"/>
                <w:sz w:val="14"/>
                <w:szCs w:val="14"/>
                <w:color w:val="auto"/>
              </w:rPr>
              <w:t>4th Quarter</w:t>
            </w:r>
          </w:p>
        </w:tc>
        <w:tc>
          <w:tcPr>
            <w:tcW w:w="1440" w:type="dxa"/>
            <w:vAlign w:val="bottom"/>
            <w:tcBorders>
              <w:top w:val="single" w:sz="8" w:color="C9C9C9"/>
            </w:tcBorders>
          </w:tcPr>
          <w:p>
            <w:pPr>
              <w:spacing w:after="0"/>
              <w:rPr>
                <w:sz w:val="13"/>
                <w:szCs w:val="13"/>
                <w:color w:val="auto"/>
              </w:rPr>
            </w:pPr>
          </w:p>
        </w:tc>
        <w:tc>
          <w:tcPr>
            <w:tcW w:w="1280" w:type="dxa"/>
            <w:vAlign w:val="bottom"/>
            <w:tcBorders>
              <w:top w:val="single" w:sz="8" w:color="C9C9C9"/>
            </w:tcBorders>
          </w:tcPr>
          <w:p>
            <w:pPr>
              <w:spacing w:after="0"/>
              <w:rPr>
                <w:sz w:val="13"/>
                <w:szCs w:val="13"/>
                <w:color w:val="auto"/>
              </w:rPr>
            </w:pPr>
          </w:p>
        </w:tc>
        <w:tc>
          <w:tcPr>
            <w:tcW w:w="1260" w:type="dxa"/>
            <w:vAlign w:val="bottom"/>
            <w:tcBorders>
              <w:top w:val="single" w:sz="8" w:color="C9C9C9"/>
            </w:tcBorders>
          </w:tcPr>
          <w:p>
            <w:pPr>
              <w:jc w:val="right"/>
              <w:ind w:right="528"/>
              <w:spacing w:after="0" w:line="156" w:lineRule="exact"/>
              <w:rPr>
                <w:sz w:val="20"/>
                <w:szCs w:val="20"/>
                <w:color w:val="auto"/>
              </w:rPr>
            </w:pPr>
            <w:r>
              <w:rPr>
                <w:rFonts w:ascii="Arial" w:cs="Arial" w:eastAsia="Arial" w:hAnsi="Arial"/>
                <w:sz w:val="14"/>
                <w:szCs w:val="14"/>
                <w:color w:val="auto"/>
              </w:rPr>
              <w:t>Full Year</w:t>
            </w:r>
          </w:p>
        </w:tc>
        <w:tc>
          <w:tcPr>
            <w:tcW w:w="780" w:type="dxa"/>
            <w:vAlign w:val="bottom"/>
            <w:tcBorders>
              <w:top w:val="single" w:sz="8" w:color="C9C9C9"/>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398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2015</w:t>
            </w:r>
            <w:r>
              <w:rPr>
                <w:rFonts w:ascii="Arial" w:cs="Arial" w:eastAsia="Arial" w:hAnsi="Arial"/>
                <w:sz w:val="14"/>
                <w:szCs w:val="14"/>
                <w:color w:val="auto"/>
                <w:vertAlign w:val="superscript"/>
              </w:rPr>
              <w:t>4</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2016</w:t>
            </w:r>
          </w:p>
        </w:tc>
        <w:tc>
          <w:tcPr>
            <w:tcW w:w="1440" w:type="dxa"/>
            <w:vAlign w:val="bottom"/>
          </w:tcPr>
          <w:p>
            <w:pPr>
              <w:jc w:val="right"/>
              <w:ind w:right="588"/>
              <w:spacing w:after="0"/>
              <w:rPr>
                <w:sz w:val="20"/>
                <w:szCs w:val="20"/>
                <w:color w:val="auto"/>
              </w:rPr>
            </w:pPr>
            <w:r>
              <w:rPr>
                <w:rFonts w:ascii="Arial" w:cs="Arial" w:eastAsia="Arial" w:hAnsi="Arial"/>
                <w:sz w:val="14"/>
                <w:szCs w:val="14"/>
                <w:color w:val="auto"/>
              </w:rPr>
              <w:t>Growth</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2015</w:t>
            </w:r>
            <w:r>
              <w:rPr>
                <w:rFonts w:ascii="Arial" w:cs="Arial" w:eastAsia="Arial" w:hAnsi="Arial"/>
                <w:sz w:val="14"/>
                <w:szCs w:val="14"/>
                <w:color w:val="auto"/>
                <w:vertAlign w:val="superscript"/>
              </w:rPr>
              <w:t>4</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2016</w:t>
            </w:r>
          </w:p>
        </w:tc>
        <w:tc>
          <w:tcPr>
            <w:tcW w:w="820" w:type="dxa"/>
            <w:vAlign w:val="bottom"/>
            <w:gridSpan w:val="3"/>
          </w:tcPr>
          <w:p>
            <w:pPr>
              <w:ind w:left="320"/>
              <w:spacing w:after="0"/>
              <w:rPr>
                <w:sz w:val="20"/>
                <w:szCs w:val="20"/>
                <w:color w:val="auto"/>
              </w:rPr>
            </w:pPr>
            <w:r>
              <w:rPr>
                <w:rFonts w:ascii="Arial" w:cs="Arial" w:eastAsia="Arial" w:hAnsi="Arial"/>
                <w:sz w:val="14"/>
                <w:szCs w:val="14"/>
                <w:color w:val="auto"/>
              </w:rPr>
              <w:t>Growth</w:t>
            </w:r>
          </w:p>
        </w:tc>
      </w:tr>
      <w:tr>
        <w:trPr>
          <w:trHeight w:val="162"/>
        </w:trPr>
        <w:tc>
          <w:tcPr>
            <w:tcW w:w="39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4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9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Video</w:t>
            </w:r>
          </w:p>
        </w:tc>
        <w:tc>
          <w:tcPr>
            <w:tcW w:w="14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$5,416</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$5,647</w:t>
            </w:r>
          </w:p>
        </w:tc>
        <w:tc>
          <w:tcPr>
            <w:tcW w:w="14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4.3%</w:t>
            </w:r>
          </w:p>
        </w:tc>
        <w:tc>
          <w:tcPr>
            <w:tcW w:w="1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$21,526</w:t>
            </w:r>
          </w:p>
        </w:tc>
        <w:tc>
          <w:tcPr>
            <w:tcW w:w="12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$22,357</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9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High-Speed Internet</w:t>
            </w:r>
          </w:p>
        </w:tc>
        <w:tc>
          <w:tcPr>
            <w:tcW w:w="14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3,197</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3,483</w:t>
            </w:r>
          </w:p>
        </w:tc>
        <w:tc>
          <w:tcPr>
            <w:tcW w:w="14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9.0%</w:t>
            </w:r>
          </w:p>
        </w:tc>
        <w:tc>
          <w:tcPr>
            <w:tcW w:w="1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12,471</w:t>
            </w:r>
          </w:p>
        </w:tc>
        <w:tc>
          <w:tcPr>
            <w:tcW w:w="12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13,532</w:t>
            </w:r>
          </w:p>
        </w:tc>
        <w:tc>
          <w:tcPr>
            <w:tcW w:w="8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3"/>
                <w:szCs w:val="13"/>
                <w:color w:val="auto"/>
              </w:rPr>
            </w:pPr>
          </w:p>
        </w:tc>
      </w:tr>
      <w:tr>
        <w:trPr>
          <w:trHeight w:val="156"/>
        </w:trPr>
        <w:tc>
          <w:tcPr>
            <w:tcW w:w="39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Voice</w:t>
            </w:r>
          </w:p>
        </w:tc>
        <w:tc>
          <w:tcPr>
            <w:tcW w:w="14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899</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873</w:t>
            </w:r>
          </w:p>
        </w:tc>
        <w:tc>
          <w:tcPr>
            <w:tcW w:w="14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(3.0%)</w:t>
            </w:r>
          </w:p>
        </w:tc>
        <w:tc>
          <w:tcPr>
            <w:tcW w:w="1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3,608</w:t>
            </w:r>
          </w:p>
        </w:tc>
        <w:tc>
          <w:tcPr>
            <w:tcW w:w="12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3,540</w:t>
            </w:r>
          </w:p>
        </w:tc>
        <w:tc>
          <w:tcPr>
            <w:tcW w:w="8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(1.9%)</w:t>
            </w:r>
          </w:p>
        </w:tc>
        <w:tc>
          <w:tcPr>
            <w:tcW w:w="20" w:type="dxa"/>
            <w:vAlign w:val="bottom"/>
            <w:tcBorders>
              <w:bottom w:val="single" w:sz="8" w:color="auto"/>
            </w:tcBorders>
          </w:tcPr>
          <w:p>
            <w:pPr>
              <w:spacing w:after="0"/>
              <w:rPr>
                <w:sz w:val="13"/>
                <w:szCs w:val="13"/>
                <w:color w:val="auto"/>
              </w:rPr>
            </w:pPr>
          </w:p>
        </w:tc>
      </w:tr>
      <w:tr>
        <w:trPr>
          <w:trHeight w:val="156"/>
        </w:trPr>
        <w:tc>
          <w:tcPr>
            <w:tcW w:w="3980" w:type="dxa"/>
            <w:vAlign w:val="bottom"/>
          </w:tcPr>
          <w:p>
            <w:pPr>
              <w:ind w:left="40"/>
              <w:spacing w:after="0" w:line="155" w:lineRule="exact"/>
              <w:rPr>
                <w:sz w:val="20"/>
                <w:szCs w:val="20"/>
                <w:color w:val="auto"/>
              </w:rPr>
            </w:pPr>
            <w:r>
              <w:rPr>
                <w:rFonts w:ascii="Arial" w:cs="Arial" w:eastAsia="Arial" w:hAnsi="Arial"/>
                <w:sz w:val="14"/>
                <w:szCs w:val="14"/>
                <w:color w:val="auto"/>
              </w:rPr>
              <w:t>Business Services</w:t>
            </w:r>
          </w:p>
        </w:tc>
        <w:tc>
          <w:tcPr>
            <w:tcW w:w="14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1,261</w:t>
            </w:r>
          </w:p>
        </w:tc>
        <w:tc>
          <w:tcPr>
            <w:tcW w:w="124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1,444</w:t>
            </w:r>
          </w:p>
        </w:tc>
        <w:tc>
          <w:tcPr>
            <w:tcW w:w="1440" w:type="dxa"/>
            <w:vAlign w:val="bottom"/>
          </w:tcPr>
          <w:p>
            <w:pPr>
              <w:jc w:val="right"/>
              <w:ind w:right="588"/>
              <w:spacing w:after="0" w:line="155" w:lineRule="exact"/>
              <w:rPr>
                <w:sz w:val="20"/>
                <w:szCs w:val="20"/>
                <w:color w:val="auto"/>
              </w:rPr>
            </w:pPr>
            <w:r>
              <w:rPr>
                <w:rFonts w:ascii="Arial" w:cs="Arial" w:eastAsia="Arial" w:hAnsi="Arial"/>
                <w:sz w:val="14"/>
                <w:szCs w:val="14"/>
                <w:color w:val="auto"/>
              </w:rPr>
              <w:t>14.5%</w:t>
            </w:r>
          </w:p>
        </w:tc>
        <w:tc>
          <w:tcPr>
            <w:tcW w:w="1280" w:type="dxa"/>
            <w:vAlign w:val="bottom"/>
          </w:tcPr>
          <w:p>
            <w:pPr>
              <w:jc w:val="right"/>
              <w:ind w:right="8"/>
              <w:spacing w:after="0" w:line="155" w:lineRule="exact"/>
              <w:rPr>
                <w:sz w:val="20"/>
                <w:szCs w:val="20"/>
                <w:color w:val="auto"/>
              </w:rPr>
            </w:pPr>
            <w:r>
              <w:rPr>
                <w:rFonts w:ascii="Arial" w:cs="Arial" w:eastAsia="Arial" w:hAnsi="Arial"/>
                <w:sz w:val="14"/>
                <w:szCs w:val="14"/>
                <w:color w:val="auto"/>
              </w:rPr>
              <w:t>4,751</w:t>
            </w:r>
          </w:p>
        </w:tc>
        <w:tc>
          <w:tcPr>
            <w:tcW w:w="126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5,514</w:t>
            </w:r>
          </w:p>
        </w:tc>
        <w:tc>
          <w:tcPr>
            <w:tcW w:w="8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16.1%</w:t>
            </w:r>
          </w:p>
        </w:tc>
      </w:tr>
      <w:tr>
        <w:trPr>
          <w:trHeight w:val="156"/>
        </w:trPr>
        <w:tc>
          <w:tcPr>
            <w:tcW w:w="39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Advertising</w:t>
            </w:r>
          </w:p>
        </w:tc>
        <w:tc>
          <w:tcPr>
            <w:tcW w:w="1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634</w:t>
            </w:r>
          </w:p>
        </w:tc>
        <w:tc>
          <w:tcPr>
            <w:tcW w:w="124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728</w:t>
            </w:r>
          </w:p>
        </w:tc>
        <w:tc>
          <w:tcPr>
            <w:tcW w:w="144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14.9%</w:t>
            </w:r>
          </w:p>
        </w:tc>
        <w:tc>
          <w:tcPr>
            <w:tcW w:w="12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2,298</w:t>
            </w:r>
          </w:p>
        </w:tc>
        <w:tc>
          <w:tcPr>
            <w:tcW w:w="12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2,518</w:t>
            </w:r>
          </w:p>
        </w:tc>
        <w:tc>
          <w:tcPr>
            <w:tcW w:w="8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9.6%</w:t>
            </w:r>
          </w:p>
        </w:tc>
        <w:tc>
          <w:tcPr>
            <w:tcW w:w="20" w:type="dxa"/>
            <w:vAlign w:val="bottom"/>
          </w:tcPr>
          <w:p>
            <w:pPr>
              <w:spacing w:after="0"/>
              <w:rPr>
                <w:sz w:val="13"/>
                <w:szCs w:val="13"/>
                <w:color w:val="auto"/>
              </w:rPr>
            </w:pPr>
          </w:p>
        </w:tc>
      </w:tr>
      <w:tr>
        <w:trPr>
          <w:trHeight w:val="163"/>
        </w:trPr>
        <w:tc>
          <w:tcPr>
            <w:tcW w:w="39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Other</w:t>
            </w:r>
          </w:p>
        </w:tc>
        <w:tc>
          <w:tcPr>
            <w:tcW w:w="14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589</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668</w:t>
            </w:r>
          </w:p>
        </w:tc>
        <w:tc>
          <w:tcPr>
            <w:tcW w:w="14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13.6%</w:t>
            </w:r>
          </w:p>
        </w:tc>
        <w:tc>
          <w:tcPr>
            <w:tcW w:w="1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2,274</w:t>
            </w:r>
          </w:p>
        </w:tc>
        <w:tc>
          <w:tcPr>
            <w:tcW w:w="12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2,587</w:t>
            </w:r>
          </w:p>
        </w:tc>
        <w:tc>
          <w:tcPr>
            <w:tcW w:w="8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13.8%</w:t>
            </w:r>
          </w:p>
        </w:tc>
        <w:tc>
          <w:tcPr>
            <w:tcW w:w="20" w:type="dxa"/>
            <w:vAlign w:val="bottom"/>
          </w:tcPr>
          <w:p>
            <w:pPr>
              <w:spacing w:after="0"/>
              <w:rPr>
                <w:sz w:val="14"/>
                <w:szCs w:val="14"/>
                <w:color w:val="auto"/>
              </w:rPr>
            </w:pPr>
          </w:p>
        </w:tc>
      </w:tr>
      <w:tr>
        <w:trPr>
          <w:trHeight w:val="202"/>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440" w:type="dxa"/>
            <w:vAlign w:val="bottom"/>
          </w:tcPr>
          <w:p>
            <w:pPr>
              <w:jc w:val="right"/>
              <w:ind w:right="28"/>
              <w:spacing w:after="0"/>
              <w:rPr>
                <w:sz w:val="20"/>
                <w:szCs w:val="20"/>
                <w:color w:val="auto"/>
              </w:rPr>
            </w:pPr>
            <w:r>
              <w:rPr>
                <w:rFonts w:ascii="Arial" w:cs="Arial" w:eastAsia="Arial" w:hAnsi="Arial"/>
                <w:sz w:val="14"/>
                <w:szCs w:val="14"/>
                <w:b w:val="1"/>
                <w:bCs w:val="1"/>
                <w:color w:val="auto"/>
              </w:rPr>
              <w:t>$11,996</w:t>
            </w:r>
          </w:p>
        </w:tc>
        <w:tc>
          <w:tcPr>
            <w:tcW w:w="1240" w:type="dxa"/>
            <w:vAlign w:val="bottom"/>
          </w:tcPr>
          <w:p>
            <w:pPr>
              <w:jc w:val="right"/>
              <w:ind w:right="268"/>
              <w:spacing w:after="0"/>
              <w:rPr>
                <w:sz w:val="20"/>
                <w:szCs w:val="20"/>
                <w:color w:val="auto"/>
              </w:rPr>
            </w:pPr>
            <w:r>
              <w:rPr>
                <w:rFonts w:ascii="Arial" w:cs="Arial" w:eastAsia="Arial" w:hAnsi="Arial"/>
                <w:sz w:val="14"/>
                <w:szCs w:val="14"/>
                <w:b w:val="1"/>
                <w:bCs w:val="1"/>
                <w:color w:val="auto"/>
              </w:rPr>
              <w:t>$12,843</w:t>
            </w:r>
          </w:p>
        </w:tc>
        <w:tc>
          <w:tcPr>
            <w:tcW w:w="1440" w:type="dxa"/>
            <w:vAlign w:val="bottom"/>
          </w:tcPr>
          <w:p>
            <w:pPr>
              <w:jc w:val="right"/>
              <w:ind w:right="588"/>
              <w:spacing w:after="0"/>
              <w:rPr>
                <w:sz w:val="20"/>
                <w:szCs w:val="20"/>
                <w:color w:val="auto"/>
              </w:rPr>
            </w:pPr>
            <w:r>
              <w:rPr>
                <w:rFonts w:ascii="Arial" w:cs="Arial" w:eastAsia="Arial" w:hAnsi="Arial"/>
                <w:sz w:val="14"/>
                <w:szCs w:val="14"/>
                <w:b w:val="1"/>
                <w:bCs w:val="1"/>
                <w:color w:val="auto"/>
              </w:rPr>
              <w:t>7.1%</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$46,928</w:t>
            </w: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$50,048</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6.6%</w:t>
            </w:r>
          </w:p>
        </w:tc>
        <w:tc>
          <w:tcPr>
            <w:tcW w:w="20" w:type="dxa"/>
            <w:vAlign w:val="bottom"/>
          </w:tcPr>
          <w:p>
            <w:pPr>
              <w:spacing w:after="0"/>
              <w:rPr>
                <w:sz w:val="17"/>
                <w:szCs w:val="17"/>
                <w:color w:val="auto"/>
              </w:rPr>
            </w:pPr>
          </w:p>
        </w:tc>
      </w:tr>
      <w:tr>
        <w:trPr>
          <w:trHeight w:val="129"/>
        </w:trPr>
        <w:tc>
          <w:tcPr>
            <w:tcW w:w="39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Operating Cash Flow</w:t>
            </w:r>
          </w:p>
        </w:tc>
        <w:tc>
          <w:tcPr>
            <w:tcW w:w="1440" w:type="dxa"/>
            <w:vAlign w:val="bottom"/>
          </w:tcPr>
          <w:p>
            <w:pPr>
              <w:jc w:val="right"/>
              <w:ind w:right="28"/>
              <w:spacing w:after="0"/>
              <w:rPr>
                <w:sz w:val="20"/>
                <w:szCs w:val="20"/>
                <w:color w:val="auto"/>
              </w:rPr>
            </w:pPr>
            <w:r>
              <w:rPr>
                <w:rFonts w:ascii="Arial" w:cs="Arial" w:eastAsia="Arial" w:hAnsi="Arial"/>
                <w:sz w:val="14"/>
                <w:szCs w:val="14"/>
                <w:b w:val="1"/>
                <w:bCs w:val="1"/>
                <w:color w:val="auto"/>
              </w:rPr>
              <w:t>$4,876</w:t>
            </w:r>
          </w:p>
        </w:tc>
        <w:tc>
          <w:tcPr>
            <w:tcW w:w="1240" w:type="dxa"/>
            <w:vAlign w:val="bottom"/>
          </w:tcPr>
          <w:p>
            <w:pPr>
              <w:jc w:val="right"/>
              <w:ind w:right="268"/>
              <w:spacing w:after="0"/>
              <w:rPr>
                <w:sz w:val="20"/>
                <w:szCs w:val="20"/>
                <w:color w:val="auto"/>
              </w:rPr>
            </w:pPr>
            <w:r>
              <w:rPr>
                <w:rFonts w:ascii="Arial" w:cs="Arial" w:eastAsia="Arial" w:hAnsi="Arial"/>
                <w:sz w:val="14"/>
                <w:szCs w:val="14"/>
                <w:b w:val="1"/>
                <w:bCs w:val="1"/>
                <w:color w:val="auto"/>
              </w:rPr>
              <w:t>$5,186</w:t>
            </w:r>
          </w:p>
        </w:tc>
        <w:tc>
          <w:tcPr>
            <w:tcW w:w="1440" w:type="dxa"/>
            <w:vAlign w:val="bottom"/>
          </w:tcPr>
          <w:p>
            <w:pPr>
              <w:jc w:val="right"/>
              <w:ind w:right="588"/>
              <w:spacing w:after="0"/>
              <w:rPr>
                <w:sz w:val="20"/>
                <w:szCs w:val="20"/>
                <w:color w:val="auto"/>
              </w:rPr>
            </w:pPr>
            <w:r>
              <w:rPr>
                <w:rFonts w:ascii="Arial" w:cs="Arial" w:eastAsia="Arial" w:hAnsi="Arial"/>
                <w:sz w:val="14"/>
                <w:szCs w:val="14"/>
                <w:b w:val="1"/>
                <w:bCs w:val="1"/>
                <w:color w:val="auto"/>
              </w:rPr>
              <w:t>6.4%</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$19,037</w:t>
            </w: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$20,109</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5.6%</w:t>
            </w:r>
          </w:p>
        </w:tc>
        <w:tc>
          <w:tcPr>
            <w:tcW w:w="20" w:type="dxa"/>
            <w:vAlign w:val="bottom"/>
          </w:tcPr>
          <w:p>
            <w:pPr>
              <w:spacing w:after="0"/>
              <w:rPr>
                <w:sz w:val="14"/>
                <w:szCs w:val="14"/>
                <w:color w:val="auto"/>
              </w:rPr>
            </w:pPr>
          </w:p>
        </w:tc>
      </w:tr>
      <w:tr>
        <w:trPr>
          <w:trHeight w:val="186"/>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Operating Cash Flow Margin</w:t>
            </w:r>
          </w:p>
        </w:tc>
        <w:tc>
          <w:tcPr>
            <w:tcW w:w="1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40.6%</w:t>
            </w:r>
          </w:p>
        </w:tc>
        <w:tc>
          <w:tcPr>
            <w:tcW w:w="12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40.4%</w:t>
            </w:r>
          </w:p>
        </w:tc>
        <w:tc>
          <w:tcPr>
            <w:tcW w:w="14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40.6%</w:t>
            </w:r>
          </w:p>
        </w:tc>
        <w:tc>
          <w:tcPr>
            <w:tcW w:w="12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40.2%</w:t>
            </w: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9"/>
        </w:trPr>
        <w:tc>
          <w:tcPr>
            <w:tcW w:w="3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9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1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$2,063</w:t>
            </w:r>
          </w:p>
        </w:tc>
        <w:tc>
          <w:tcPr>
            <w:tcW w:w="12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$2,095</w:t>
            </w:r>
          </w:p>
        </w:tc>
        <w:tc>
          <w:tcPr>
            <w:tcW w:w="14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1.5%</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$7,040</w:t>
            </w:r>
          </w:p>
        </w:tc>
        <w:tc>
          <w:tcPr>
            <w:tcW w:w="12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$7,596</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9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Percent of Cable Communications Revenue</w:t>
            </w:r>
          </w:p>
        </w:tc>
        <w:tc>
          <w:tcPr>
            <w:tcW w:w="14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i w:val="1"/>
                <w:iCs w:val="1"/>
                <w:color w:val="auto"/>
              </w:rPr>
              <w:t>17.2%</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i w:val="1"/>
                <w:iCs w:val="1"/>
                <w:color w:val="auto"/>
              </w:rPr>
              <w:t>16.3%</w:t>
            </w:r>
          </w:p>
        </w:tc>
        <w:tc>
          <w:tcPr>
            <w:tcW w:w="1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i w:val="1"/>
                <w:iCs w:val="1"/>
                <w:color w:val="auto"/>
              </w:rPr>
              <w:t>15.0%</w:t>
            </w:r>
          </w:p>
        </w:tc>
        <w:tc>
          <w:tcPr>
            <w:tcW w:w="12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i w:val="1"/>
                <w:iCs w:val="1"/>
                <w:color w:val="auto"/>
              </w:rPr>
              <w:t>15.2%</w:t>
            </w: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19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7.1% to $12.8 billion in the fourth quarter of 2016,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video and business services revenue. High-speed Internet revenue increased 9.0%, driven by an increase in the number of residential high-speed Internet customers and rate adjustments. Video revenue increased 4.3%, reflecting rate adjustments and an increase in the number of customers subscribing to additional services. Business services revenue increased 14.5%, primarily due to an increase in the number of small business customers, as well as continued growth in our medium-sized business services. Advertising revenue increased 14.9%,</w:t>
      </w:r>
    </w:p>
    <w:p>
      <w:pPr>
        <w:sectPr>
          <w:pgSz w:w="11900" w:h="16838" w:orient="portrait"/>
          <w:cols w:equalWidth="0" w:num="1">
            <w:col w:w="11420"/>
          </w:cols>
          <w:pgMar w:left="240" w:top="116" w:right="239" w:bottom="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reflecting an increase in political advertising revenue. Other revenue increased 13.6%, primarily reflecting an increase in Xfinity Home revenue and higher franchise and regulatory fees.</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year ended December 31, 2016, Cable revenue increased 6.6% to $50.0 billion compared to 2015, driven by growth in high-speed Internet, video and business services.</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increased by 258,000 to 28.6 million in the fourth quarter of 2016, primarily reflecting an increase in double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At the end of the fourth quarter, penetration of our double and triple product customers increased to 70.1% compared to 69.8% in the fourth quarter of 2015. Video customer net additions were 80,000, high-speed Internet customer net additions were 385,000 and voice customer net additions were 44,000.</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year ended December 31, 2016, customer relationships increased by 858,000, a 29.0% increase compared to net additions of 666,000 in 2015. Video customer net additions of 161,000 were the best result in ten years. High-speed Internet customer net additions of 1.4 million marked the 11</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consecutive year of more than one million net additions, and were the best result in nine years. Voice customer net additions were 211,000.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820" w:type="dxa"/>
            <w:vAlign w:val="bottom"/>
            <w:gridSpan w:val="2"/>
          </w:tcPr>
          <w:p>
            <w:pPr>
              <w:jc w:val="right"/>
              <w:ind w:right="788"/>
              <w:spacing w:after="0"/>
              <w:rPr>
                <w:sz w:val="20"/>
                <w:szCs w:val="20"/>
                <w:color w:val="auto"/>
              </w:rPr>
            </w:pPr>
            <w:r>
              <w:rPr>
                <w:rFonts w:ascii="Arial" w:cs="Arial" w:eastAsia="Arial" w:hAnsi="Arial"/>
                <w:sz w:val="14"/>
                <w:szCs w:val="14"/>
                <w:color w:val="auto"/>
              </w:rPr>
              <w:t>Customers</w:t>
            </w:r>
          </w:p>
        </w:tc>
        <w:tc>
          <w:tcPr>
            <w:tcW w:w="1240" w:type="dxa"/>
            <w:vAlign w:val="bottom"/>
          </w:tcPr>
          <w:p>
            <w:pPr>
              <w:spacing w:after="0"/>
              <w:rPr>
                <w:sz w:val="15"/>
                <w:szCs w:val="15"/>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color w:val="auto"/>
              </w:rPr>
              <w:t>Net Additions</w:t>
            </w: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31"/>
        </w:trPr>
        <w:tc>
          <w:tcPr>
            <w:tcW w:w="478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rPr>
              <w:t>(in thousands)</w:t>
            </w: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YE15</w:t>
            </w:r>
          </w:p>
        </w:tc>
        <w:tc>
          <w:tcPr>
            <w:tcW w:w="13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YE16</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4Q15</w:t>
            </w:r>
          </w:p>
        </w:tc>
        <w:tc>
          <w:tcPr>
            <w:tcW w:w="8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4Q16</w:t>
            </w: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r>
      <w:tr>
        <w:trPr>
          <w:trHeight w:val="162"/>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Video Customers</w:t>
            </w: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22,347</w:t>
            </w: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22,508</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89</w:t>
            </w:r>
          </w:p>
        </w:tc>
        <w:tc>
          <w:tcPr>
            <w:tcW w:w="8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80</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r>
      <w:tr>
        <w:trPr>
          <w:trHeight w:val="156"/>
        </w:trPr>
        <w:tc>
          <w:tcPr>
            <w:tcW w:w="4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High-Speed Internet Customers</w:t>
            </w:r>
          </w:p>
        </w:tc>
        <w:tc>
          <w:tcPr>
            <w:tcW w:w="15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23,329</w:t>
            </w:r>
          </w:p>
        </w:tc>
        <w:tc>
          <w:tcPr>
            <w:tcW w:w="13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color w:val="auto"/>
              </w:rPr>
              <w:t>24,701</w:t>
            </w:r>
          </w:p>
        </w:tc>
        <w:tc>
          <w:tcPr>
            <w:tcW w:w="12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460</w:t>
            </w:r>
          </w:p>
        </w:tc>
        <w:tc>
          <w:tcPr>
            <w:tcW w:w="800" w:type="dxa"/>
            <w:vAlign w:val="bottom"/>
            <w:tcBorders>
              <w:bottom w:val="single" w:sz="8" w:color="auto"/>
              <w:right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385</w:t>
            </w: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1,367</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1,373</w:t>
            </w:r>
          </w:p>
        </w:tc>
      </w:tr>
      <w:tr>
        <w:trPr>
          <w:trHeight w:val="163"/>
        </w:trPr>
        <w:tc>
          <w:tcPr>
            <w:tcW w:w="4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Voice Customers</w:t>
            </w:r>
          </w:p>
        </w:tc>
        <w:tc>
          <w:tcPr>
            <w:tcW w:w="15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11,475</w:t>
            </w:r>
          </w:p>
        </w:tc>
        <w:tc>
          <w:tcPr>
            <w:tcW w:w="132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11,687</w:t>
            </w:r>
          </w:p>
        </w:tc>
        <w:tc>
          <w:tcPr>
            <w:tcW w:w="12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139</w:t>
            </w:r>
          </w:p>
        </w:tc>
        <w:tc>
          <w:tcPr>
            <w:tcW w:w="800" w:type="dxa"/>
            <w:vAlign w:val="bottom"/>
            <w:tcBorders>
              <w:bottom w:val="single" w:sz="8" w:color="auto"/>
              <w:right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44</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282</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w:t>
            </w:r>
          </w:p>
        </w:tc>
      </w:tr>
      <w:tr>
        <w:trPr>
          <w:trHeight w:val="169"/>
        </w:trPr>
        <w:tc>
          <w:tcPr>
            <w:tcW w:w="4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62"/>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Single Product Customers</w:t>
            </w:r>
          </w:p>
        </w:tc>
        <w:tc>
          <w:tcPr>
            <w:tcW w:w="1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8,366</w:t>
            </w:r>
          </w:p>
        </w:tc>
        <w:tc>
          <w:tcPr>
            <w:tcW w:w="13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8,541</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53</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r>
      <w:tr>
        <w:trPr>
          <w:trHeight w:val="156"/>
        </w:trPr>
        <w:tc>
          <w:tcPr>
            <w:tcW w:w="4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Double Product Customers</w:t>
            </w:r>
          </w:p>
        </w:tc>
        <w:tc>
          <w:tcPr>
            <w:tcW w:w="15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9,221</w:t>
            </w:r>
          </w:p>
        </w:tc>
        <w:tc>
          <w:tcPr>
            <w:tcW w:w="132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9,699</w:t>
            </w:r>
          </w:p>
        </w:tc>
        <w:tc>
          <w:tcPr>
            <w:tcW w:w="12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156</w:t>
            </w:r>
          </w:p>
        </w:tc>
        <w:tc>
          <w:tcPr>
            <w:tcW w:w="800" w:type="dxa"/>
            <w:vAlign w:val="bottom"/>
            <w:tcBorders>
              <w:bottom w:val="single" w:sz="8" w:color="auto"/>
              <w:right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159</w:t>
            </w: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472</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w:t>
            </w:r>
          </w:p>
        </w:tc>
      </w:tr>
      <w:tr>
        <w:trPr>
          <w:trHeight w:val="163"/>
        </w:trPr>
        <w:tc>
          <w:tcPr>
            <w:tcW w:w="4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Triple Product Customers</w:t>
            </w:r>
          </w:p>
        </w:tc>
        <w:tc>
          <w:tcPr>
            <w:tcW w:w="15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10,114</w:t>
            </w:r>
          </w:p>
        </w:tc>
        <w:tc>
          <w:tcPr>
            <w:tcW w:w="13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color w:val="auto"/>
              </w:rPr>
              <w:t>10,319</w:t>
            </w:r>
          </w:p>
        </w:tc>
        <w:tc>
          <w:tcPr>
            <w:tcW w:w="12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126</w:t>
            </w:r>
          </w:p>
        </w:tc>
        <w:tc>
          <w:tcPr>
            <w:tcW w:w="800" w:type="dxa"/>
            <w:vAlign w:val="bottom"/>
            <w:tcBorders>
              <w:bottom w:val="single" w:sz="8" w:color="auto"/>
              <w:right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46</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238</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w:t>
            </w: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b w:val="1"/>
                <w:bCs w:val="1"/>
                <w:color w:val="auto"/>
              </w:rPr>
              <w:t>Customer Relationships</w:t>
            </w:r>
          </w:p>
        </w:tc>
        <w:tc>
          <w:tcPr>
            <w:tcW w:w="15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27,701</w:t>
            </w:r>
          </w:p>
        </w:tc>
        <w:tc>
          <w:tcPr>
            <w:tcW w:w="1320" w:type="dxa"/>
            <w:vAlign w:val="bottom"/>
          </w:tcPr>
          <w:p>
            <w:pPr>
              <w:jc w:val="right"/>
              <w:ind w:right="568"/>
              <w:spacing w:after="0" w:line="149" w:lineRule="exact"/>
              <w:rPr>
                <w:sz w:val="20"/>
                <w:szCs w:val="20"/>
                <w:color w:val="auto"/>
              </w:rPr>
            </w:pPr>
            <w:r>
              <w:rPr>
                <w:rFonts w:ascii="Arial" w:cs="Arial" w:eastAsia="Arial" w:hAnsi="Arial"/>
                <w:sz w:val="14"/>
                <w:szCs w:val="14"/>
                <w:b w:val="1"/>
                <w:bCs w:val="1"/>
                <w:color w:val="auto"/>
              </w:rPr>
              <w:t>28,559</w:t>
            </w:r>
          </w:p>
        </w:tc>
        <w:tc>
          <w:tcPr>
            <w:tcW w:w="124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281</w:t>
            </w:r>
          </w:p>
        </w:tc>
        <w:tc>
          <w:tcPr>
            <w:tcW w:w="800" w:type="dxa"/>
            <w:vAlign w:val="bottom"/>
            <w:tcBorders>
              <w:right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258</w:t>
            </w:r>
          </w:p>
        </w:tc>
        <w:tc>
          <w:tcPr>
            <w:tcW w:w="460" w:type="dxa"/>
            <w:vAlign w:val="bottom"/>
          </w:tcPr>
          <w:p>
            <w:pPr>
              <w:spacing w:after="0"/>
              <w:rPr>
                <w:sz w:val="12"/>
                <w:szCs w:val="12"/>
                <w:color w:val="auto"/>
              </w:rPr>
            </w:pPr>
          </w:p>
        </w:tc>
        <w:tc>
          <w:tcPr>
            <w:tcW w:w="66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666</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858</w:t>
            </w:r>
          </w:p>
        </w:tc>
      </w:tr>
      <w:tr>
        <w:trPr>
          <w:trHeight w:val="175"/>
        </w:trPr>
        <w:tc>
          <w:tcPr>
            <w:tcW w:w="4780" w:type="dxa"/>
            <w:vAlign w:val="bottom"/>
          </w:tcPr>
          <w:p>
            <w:pPr>
              <w:spacing w:after="0"/>
              <w:rPr>
                <w:sz w:val="20"/>
                <w:szCs w:val="20"/>
                <w:color w:val="auto"/>
              </w:rPr>
            </w:pPr>
            <w:r>
              <w:rPr>
                <w:rFonts w:ascii="Arial" w:cs="Arial" w:eastAsia="Arial" w:hAnsi="Arial"/>
                <w:sz w:val="14"/>
                <w:szCs w:val="14"/>
                <w:color w:val="auto"/>
              </w:rPr>
              <w:t>Customer metrics include residential and business customers.</w:t>
            </w:r>
          </w:p>
        </w:tc>
        <w:tc>
          <w:tcPr>
            <w:tcW w:w="1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342"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6.4% to $5.2 billion in the fourth quarter of 2016, reflecting higher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a 7.5% increase in operating expenses. The higher expenses were primarily due to a 12.2% increase in video programming costs, reflecting the timing of contract renewals, as well as higher retransmission consent fees and sports programming costs. Technical and product support expenses increased 6.6% related to the development, delivery and support of our X1 platform, cloud DVR technology and wireless gateways, and the continued growth in business services and home security and automation services. Advertising, marketing and promotion costs increased 3.5%, primarily due to increases in spending associated with attracting new residential and business services customers. Customer service expenses decreased 2.1%, reflecting reduced call volumes. This quarter’s operating cash flow margin was 40.4% compared to 40.6% in the fourth quarter of 2015.</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year ended December 31, 2016, Cable operating cash flow increased 5.6% to $20.1 billion compared to 2015, driven by higher revenue, partially offset by a 7.3% increase in operating expenses, primarily related to a 10.1% increase in video programming costs, as well as higher technical and product support expenses, higher advertising, marketing and promotion costs, and higher customer service expenses. For the year, operating cash flow margin was 40.2% compared to 40.6% in 2015.</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4th Quarter</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Full Year</w:t>
            </w:r>
          </w:p>
        </w:tc>
        <w:tc>
          <w:tcPr>
            <w:tcW w:w="7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Pro</w:t>
            </w:r>
          </w:p>
        </w:tc>
        <w:tc>
          <w:tcPr>
            <w:tcW w:w="0" w:type="dxa"/>
            <w:vAlign w:val="bottom"/>
          </w:tcPr>
          <w:p>
            <w:pPr>
              <w:spacing w:after="0"/>
              <w:rPr>
                <w:sz w:val="1"/>
                <w:szCs w:val="1"/>
                <w:color w:val="auto"/>
              </w:rPr>
            </w:pPr>
          </w:p>
        </w:tc>
      </w:tr>
      <w:tr>
        <w:trPr>
          <w:trHeight w:val="130"/>
        </w:trPr>
        <w:tc>
          <w:tcPr>
            <w:tcW w:w="3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Reported</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Pro Forma</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Reported</w:t>
            </w:r>
          </w:p>
        </w:tc>
        <w:tc>
          <w:tcPr>
            <w:tcW w:w="600" w:type="dxa"/>
            <w:vAlign w:val="bottom"/>
          </w:tcPr>
          <w:p>
            <w:pPr>
              <w:jc w:val="right"/>
              <w:spacing w:after="0"/>
              <w:rPr>
                <w:sz w:val="20"/>
                <w:szCs w:val="20"/>
                <w:color w:val="auto"/>
              </w:rPr>
            </w:pPr>
            <w:r>
              <w:rPr>
                <w:rFonts w:ascii="Arial" w:cs="Arial" w:eastAsia="Arial" w:hAnsi="Arial"/>
                <w:sz w:val="14"/>
                <w:szCs w:val="14"/>
                <w:color w:val="auto"/>
              </w:rPr>
              <w:t>Forma</w:t>
            </w:r>
          </w:p>
        </w:tc>
        <w:tc>
          <w:tcPr>
            <w:tcW w:w="0" w:type="dxa"/>
            <w:vAlign w:val="bottom"/>
          </w:tcPr>
          <w:p>
            <w:pPr>
              <w:spacing w:after="0"/>
              <w:rPr>
                <w:sz w:val="1"/>
                <w:szCs w:val="1"/>
                <w:color w:val="auto"/>
              </w:rPr>
            </w:pPr>
          </w:p>
        </w:tc>
      </w:tr>
      <w:tr>
        <w:trPr>
          <w:trHeight w:val="18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2016</w:t>
            </w: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Growth</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Growth</w:t>
            </w:r>
            <w:r>
              <w:rPr>
                <w:rFonts w:ascii="Arial" w:cs="Arial" w:eastAsia="Arial" w:hAnsi="Arial"/>
                <w:sz w:val="14"/>
                <w:szCs w:val="14"/>
                <w:color w:val="auto"/>
                <w:vertAlign w:val="superscript"/>
              </w:rPr>
              <w:t>5</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2015</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r>
              <w:rPr>
                <w:rFonts w:ascii="Arial" w:cs="Arial" w:eastAsia="Arial" w:hAnsi="Arial"/>
                <w:sz w:val="14"/>
                <w:szCs w:val="14"/>
                <w:color w:val="auto"/>
                <w:vertAlign w:val="superscript"/>
              </w:rPr>
              <w:t>5</w:t>
            </w:r>
          </w:p>
        </w:tc>
        <w:tc>
          <w:tcPr>
            <w:tcW w:w="0" w:type="dxa"/>
            <w:vAlign w:val="bottom"/>
          </w:tcPr>
          <w:p>
            <w:pPr>
              <w:spacing w:after="0"/>
              <w:rPr>
                <w:sz w:val="1"/>
                <w:szCs w:val="1"/>
                <w:color w:val="auto"/>
              </w:rPr>
            </w:pPr>
          </w:p>
        </w:tc>
      </w:tr>
      <w:tr>
        <w:trPr>
          <w:trHeight w:val="16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380" w:type="dxa"/>
            <w:vAlign w:val="bottom"/>
          </w:tcPr>
          <w:p>
            <w:pPr>
              <w:ind w:left="40"/>
              <w:spacing w:after="0" w:line="145" w:lineRule="exact"/>
              <w:rPr>
                <w:sz w:val="20"/>
                <w:szCs w:val="20"/>
                <w:color w:val="auto"/>
              </w:rPr>
            </w:pPr>
            <w:r>
              <w:rPr>
                <w:rFonts w:ascii="Arial" w:cs="Arial" w:eastAsia="Arial" w:hAnsi="Arial"/>
                <w:sz w:val="14"/>
                <w:szCs w:val="14"/>
                <w:color w:val="auto"/>
              </w:rPr>
              <w:t>Cable Networks</w:t>
            </w:r>
          </w:p>
        </w:tc>
        <w:tc>
          <w:tcPr>
            <w:tcW w:w="1680" w:type="dxa"/>
            <w:vAlign w:val="bottom"/>
          </w:tcPr>
          <w:p>
            <w:pPr>
              <w:jc w:val="right"/>
              <w:ind w:right="328"/>
              <w:spacing w:after="0" w:line="145" w:lineRule="exact"/>
              <w:rPr>
                <w:sz w:val="20"/>
                <w:szCs w:val="20"/>
                <w:color w:val="auto"/>
              </w:rPr>
            </w:pPr>
            <w:r>
              <w:rPr>
                <w:rFonts w:ascii="Arial" w:cs="Arial" w:eastAsia="Arial" w:hAnsi="Arial"/>
                <w:sz w:val="14"/>
                <w:szCs w:val="14"/>
                <w:color w:val="auto"/>
              </w:rPr>
              <w:t>$2,407</w:t>
            </w:r>
          </w:p>
        </w:tc>
        <w:tc>
          <w:tcPr>
            <w:tcW w:w="1160" w:type="dxa"/>
            <w:vAlign w:val="bottom"/>
          </w:tcPr>
          <w:p>
            <w:pPr>
              <w:jc w:val="right"/>
              <w:ind w:right="188"/>
              <w:spacing w:after="0" w:line="145" w:lineRule="exact"/>
              <w:rPr>
                <w:sz w:val="20"/>
                <w:szCs w:val="20"/>
                <w:color w:val="auto"/>
              </w:rPr>
            </w:pPr>
            <w:r>
              <w:rPr>
                <w:rFonts w:ascii="Arial" w:cs="Arial" w:eastAsia="Arial" w:hAnsi="Arial"/>
                <w:sz w:val="14"/>
                <w:szCs w:val="14"/>
                <w:color w:val="auto"/>
              </w:rPr>
              <w:t>$2,503</w:t>
            </w:r>
          </w:p>
        </w:tc>
        <w:tc>
          <w:tcPr>
            <w:tcW w:w="820" w:type="dxa"/>
            <w:vAlign w:val="bottom"/>
          </w:tcPr>
          <w:p>
            <w:pPr>
              <w:jc w:val="right"/>
              <w:ind w:right="148"/>
              <w:spacing w:after="0" w:line="145" w:lineRule="exact"/>
              <w:rPr>
                <w:sz w:val="20"/>
                <w:szCs w:val="20"/>
                <w:color w:val="auto"/>
              </w:rPr>
            </w:pPr>
            <w:r>
              <w:rPr>
                <w:rFonts w:ascii="Arial" w:cs="Arial" w:eastAsia="Arial" w:hAnsi="Arial"/>
                <w:sz w:val="14"/>
                <w:szCs w:val="14"/>
                <w:color w:val="auto"/>
              </w:rPr>
              <w:t>4.0%</w:t>
            </w:r>
          </w:p>
        </w:tc>
        <w:tc>
          <w:tcPr>
            <w:tcW w:w="1060" w:type="dxa"/>
            <w:vAlign w:val="bottom"/>
          </w:tcPr>
          <w:p>
            <w:pPr>
              <w:spacing w:after="0"/>
              <w:rPr>
                <w:sz w:val="12"/>
                <w:szCs w:val="12"/>
                <w:color w:val="auto"/>
              </w:rPr>
            </w:pPr>
          </w:p>
        </w:tc>
        <w:tc>
          <w:tcPr>
            <w:tcW w:w="88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$9,628</w:t>
            </w:r>
          </w:p>
        </w:tc>
        <w:tc>
          <w:tcPr>
            <w:tcW w:w="1080" w:type="dxa"/>
            <w:vAlign w:val="bottom"/>
          </w:tcPr>
          <w:p>
            <w:pPr>
              <w:jc w:val="right"/>
              <w:ind w:right="288"/>
              <w:spacing w:after="0" w:line="145" w:lineRule="exact"/>
              <w:rPr>
                <w:sz w:val="20"/>
                <w:szCs w:val="20"/>
                <w:color w:val="auto"/>
              </w:rPr>
            </w:pPr>
            <w:r>
              <w:rPr>
                <w:rFonts w:ascii="Arial" w:cs="Arial" w:eastAsia="Arial" w:hAnsi="Arial"/>
                <w:sz w:val="14"/>
                <w:szCs w:val="14"/>
                <w:color w:val="auto"/>
              </w:rPr>
              <w:t>$10,464</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8.7%</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w:t>
            </w:r>
          </w:p>
        </w:tc>
        <w:tc>
          <w:tcPr>
            <w:tcW w:w="1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$9,628</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i w:val="1"/>
                <w:iCs w:val="1"/>
                <w:color w:val="auto"/>
              </w:rPr>
              <w:t>$10,032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4.2%</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380" w:type="dxa"/>
            <w:vAlign w:val="bottom"/>
          </w:tcPr>
          <w:p>
            <w:pPr>
              <w:ind w:left="40"/>
              <w:spacing w:after="0" w:line="145" w:lineRule="exact"/>
              <w:rPr>
                <w:sz w:val="20"/>
                <w:szCs w:val="20"/>
                <w:color w:val="auto"/>
              </w:rPr>
            </w:pPr>
            <w:r>
              <w:rPr>
                <w:rFonts w:ascii="Arial" w:cs="Arial" w:eastAsia="Arial" w:hAnsi="Arial"/>
                <w:sz w:val="14"/>
                <w:szCs w:val="14"/>
                <w:color w:val="auto"/>
              </w:rPr>
              <w:t>Broadcast Television</w:t>
            </w:r>
          </w:p>
        </w:tc>
        <w:tc>
          <w:tcPr>
            <w:tcW w:w="1680" w:type="dxa"/>
            <w:vAlign w:val="bottom"/>
          </w:tcPr>
          <w:p>
            <w:pPr>
              <w:jc w:val="right"/>
              <w:ind w:right="328"/>
              <w:spacing w:after="0" w:line="145" w:lineRule="exact"/>
              <w:rPr>
                <w:sz w:val="20"/>
                <w:szCs w:val="20"/>
                <w:color w:val="auto"/>
              </w:rPr>
            </w:pPr>
            <w:r>
              <w:rPr>
                <w:rFonts w:ascii="Arial" w:cs="Arial" w:eastAsia="Arial" w:hAnsi="Arial"/>
                <w:sz w:val="14"/>
                <w:szCs w:val="14"/>
                <w:color w:val="auto"/>
              </w:rPr>
              <w:t>2,498</w:t>
            </w:r>
          </w:p>
        </w:tc>
        <w:tc>
          <w:tcPr>
            <w:tcW w:w="1160" w:type="dxa"/>
            <w:vAlign w:val="bottom"/>
          </w:tcPr>
          <w:p>
            <w:pPr>
              <w:jc w:val="right"/>
              <w:ind w:right="188"/>
              <w:spacing w:after="0" w:line="145" w:lineRule="exact"/>
              <w:rPr>
                <w:sz w:val="20"/>
                <w:szCs w:val="20"/>
                <w:color w:val="auto"/>
              </w:rPr>
            </w:pPr>
            <w:r>
              <w:rPr>
                <w:rFonts w:ascii="Arial" w:cs="Arial" w:eastAsia="Arial" w:hAnsi="Arial"/>
                <w:sz w:val="14"/>
                <w:szCs w:val="14"/>
                <w:color w:val="auto"/>
              </w:rPr>
              <w:t>2,848</w:t>
            </w:r>
          </w:p>
        </w:tc>
        <w:tc>
          <w:tcPr>
            <w:tcW w:w="820" w:type="dxa"/>
            <w:vAlign w:val="bottom"/>
          </w:tcPr>
          <w:p>
            <w:pPr>
              <w:jc w:val="right"/>
              <w:ind w:right="148"/>
              <w:spacing w:after="0" w:line="145" w:lineRule="exact"/>
              <w:rPr>
                <w:sz w:val="20"/>
                <w:szCs w:val="20"/>
                <w:color w:val="auto"/>
              </w:rPr>
            </w:pPr>
            <w:r>
              <w:rPr>
                <w:rFonts w:ascii="Arial" w:cs="Arial" w:eastAsia="Arial" w:hAnsi="Arial"/>
                <w:sz w:val="14"/>
                <w:szCs w:val="14"/>
                <w:color w:val="auto"/>
              </w:rPr>
              <w:t>14.0%</w:t>
            </w:r>
          </w:p>
        </w:tc>
        <w:tc>
          <w:tcPr>
            <w:tcW w:w="1060" w:type="dxa"/>
            <w:vAlign w:val="bottom"/>
          </w:tcPr>
          <w:p>
            <w:pPr>
              <w:spacing w:after="0"/>
              <w:rPr>
                <w:sz w:val="12"/>
                <w:szCs w:val="12"/>
                <w:color w:val="auto"/>
              </w:rPr>
            </w:pPr>
          </w:p>
        </w:tc>
        <w:tc>
          <w:tcPr>
            <w:tcW w:w="88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8,530</w:t>
            </w:r>
          </w:p>
        </w:tc>
        <w:tc>
          <w:tcPr>
            <w:tcW w:w="1080" w:type="dxa"/>
            <w:vAlign w:val="bottom"/>
          </w:tcPr>
          <w:p>
            <w:pPr>
              <w:jc w:val="right"/>
              <w:ind w:right="288"/>
              <w:spacing w:after="0" w:line="145" w:lineRule="exact"/>
              <w:rPr>
                <w:sz w:val="20"/>
                <w:szCs w:val="20"/>
                <w:color w:val="auto"/>
              </w:rPr>
            </w:pPr>
            <w:r>
              <w:rPr>
                <w:rFonts w:ascii="Arial" w:cs="Arial" w:eastAsia="Arial" w:hAnsi="Arial"/>
                <w:sz w:val="14"/>
                <w:szCs w:val="14"/>
                <w:color w:val="auto"/>
              </w:rPr>
              <w:t>10,147</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19.0%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and Super Bowl</w:t>
            </w:r>
          </w:p>
        </w:tc>
        <w:tc>
          <w:tcPr>
            <w:tcW w:w="1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8,154</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i w:val="1"/>
                <w:iCs w:val="1"/>
                <w:color w:val="auto"/>
              </w:rPr>
              <w:t>8,959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9.9%</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Filmed Entertainment</w:t>
            </w:r>
          </w:p>
        </w:tc>
        <w:tc>
          <w:tcPr>
            <w:tcW w:w="16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1,629</w:t>
            </w:r>
          </w:p>
        </w:tc>
        <w:tc>
          <w:tcPr>
            <w:tcW w:w="11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1,834</w:t>
            </w:r>
          </w:p>
        </w:tc>
        <w:tc>
          <w:tcPr>
            <w:tcW w:w="8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12.6%</w:t>
            </w:r>
          </w:p>
        </w:tc>
        <w:tc>
          <w:tcPr>
            <w:tcW w:w="10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7,287</w:t>
            </w:r>
          </w:p>
        </w:tc>
        <w:tc>
          <w:tcPr>
            <w:tcW w:w="10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6,360</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Theme Parks</w:t>
            </w:r>
          </w:p>
        </w:tc>
        <w:tc>
          <w:tcPr>
            <w:tcW w:w="16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1,019</w:t>
            </w:r>
          </w:p>
        </w:tc>
        <w:tc>
          <w:tcPr>
            <w:tcW w:w="11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1,344</w:t>
            </w:r>
          </w:p>
        </w:tc>
        <w:tc>
          <w:tcPr>
            <w:tcW w:w="8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32.1%</w:t>
            </w:r>
          </w:p>
        </w:tc>
        <w:tc>
          <w:tcPr>
            <w:tcW w:w="10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13.2%</w:t>
            </w: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3,339</w:t>
            </w:r>
          </w:p>
        </w:tc>
        <w:tc>
          <w:tcPr>
            <w:tcW w:w="10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4,946</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48.2%</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3"/>
        </w:trPr>
        <w:tc>
          <w:tcPr>
            <w:tcW w:w="33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Headquarters, Other and Eliminations</w:t>
            </w:r>
          </w:p>
        </w:tc>
        <w:tc>
          <w:tcPr>
            <w:tcW w:w="16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(76)</w:t>
            </w:r>
          </w:p>
        </w:tc>
        <w:tc>
          <w:tcPr>
            <w:tcW w:w="11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(78)</w:t>
            </w:r>
          </w:p>
        </w:tc>
        <w:tc>
          <w:tcPr>
            <w:tcW w:w="8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NM</w:t>
            </w:r>
          </w:p>
        </w:tc>
        <w:tc>
          <w:tcPr>
            <w:tcW w:w="10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(322)</w:t>
            </w:r>
          </w:p>
        </w:tc>
        <w:tc>
          <w:tcPr>
            <w:tcW w:w="10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(324)</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NBCUniversal Revenue</w:t>
            </w:r>
          </w:p>
        </w:tc>
        <w:tc>
          <w:tcPr>
            <w:tcW w:w="168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$7,477</w:t>
            </w:r>
          </w:p>
        </w:tc>
        <w:tc>
          <w:tcPr>
            <w:tcW w:w="116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$8,451</w:t>
            </w: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13.0%</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10.5%</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$28,462</w:t>
            </w:r>
          </w:p>
        </w:tc>
        <w:tc>
          <w:tcPr>
            <w:tcW w:w="108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$31,593</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11.0%</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200"/>
        </w:trPr>
        <w:tc>
          <w:tcPr>
            <w:tcW w:w="3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Excluding Olympics and Super Bowl</w:t>
            </w: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$28,086</w:t>
            </w:r>
          </w:p>
        </w:tc>
        <w:tc>
          <w:tcPr>
            <w:tcW w:w="1080" w:type="dxa"/>
            <w:vAlign w:val="bottom"/>
          </w:tcPr>
          <w:p>
            <w:pPr>
              <w:jc w:val="right"/>
              <w:ind w:right="288"/>
              <w:spacing w:after="0"/>
              <w:rPr>
                <w:sz w:val="20"/>
                <w:szCs w:val="20"/>
                <w:color w:val="auto"/>
              </w:rPr>
            </w:pPr>
            <w:r>
              <w:rPr>
                <w:rFonts w:ascii="Arial" w:cs="Arial" w:eastAsia="Arial" w:hAnsi="Arial"/>
                <w:sz w:val="14"/>
                <w:szCs w:val="14"/>
                <w:b w:val="1"/>
                <w:bCs w:val="1"/>
                <w:i w:val="1"/>
                <w:iCs w:val="1"/>
                <w:color w:val="auto"/>
              </w:rPr>
              <w:t>$29,973</w:t>
            </w:r>
          </w:p>
        </w:tc>
        <w:tc>
          <w:tcPr>
            <w:tcW w:w="7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6.7%</w:t>
            </w:r>
          </w:p>
        </w:tc>
        <w:tc>
          <w:tcPr>
            <w:tcW w:w="6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2.9%</w:t>
            </w:r>
          </w:p>
        </w:tc>
        <w:tc>
          <w:tcPr>
            <w:tcW w:w="0" w:type="dxa"/>
            <w:vAlign w:val="bottom"/>
          </w:tcPr>
          <w:p>
            <w:pPr>
              <w:spacing w:after="0"/>
              <w:rPr>
                <w:sz w:val="1"/>
                <w:szCs w:val="1"/>
                <w:color w:val="auto"/>
              </w:rPr>
            </w:pPr>
          </w:p>
        </w:tc>
      </w:tr>
      <w:tr>
        <w:trPr>
          <w:trHeight w:val="185"/>
        </w:trPr>
        <w:tc>
          <w:tcPr>
            <w:tcW w:w="3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1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Cable Networks</w:t>
            </w:r>
          </w:p>
        </w:tc>
        <w:tc>
          <w:tcPr>
            <w:tcW w:w="16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$894</w:t>
            </w:r>
          </w:p>
        </w:tc>
        <w:tc>
          <w:tcPr>
            <w:tcW w:w="11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$916</w:t>
            </w:r>
          </w:p>
        </w:tc>
        <w:tc>
          <w:tcPr>
            <w:tcW w:w="8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2.4%</w:t>
            </w:r>
          </w:p>
        </w:tc>
        <w:tc>
          <w:tcPr>
            <w:tcW w:w="10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$3,499</w:t>
            </w:r>
          </w:p>
        </w:tc>
        <w:tc>
          <w:tcPr>
            <w:tcW w:w="10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$3,709</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Broadcast Television</w:t>
            </w:r>
          </w:p>
        </w:tc>
        <w:tc>
          <w:tcPr>
            <w:tcW w:w="16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217</w:t>
            </w:r>
          </w:p>
        </w:tc>
        <w:tc>
          <w:tcPr>
            <w:tcW w:w="11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264</w:t>
            </w:r>
          </w:p>
        </w:tc>
        <w:tc>
          <w:tcPr>
            <w:tcW w:w="8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21.1%</w:t>
            </w:r>
          </w:p>
        </w:tc>
        <w:tc>
          <w:tcPr>
            <w:tcW w:w="10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780</w:t>
            </w:r>
          </w:p>
        </w:tc>
        <w:tc>
          <w:tcPr>
            <w:tcW w:w="10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1,320</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Filmed Entertainment</w:t>
            </w:r>
          </w:p>
        </w:tc>
        <w:tc>
          <w:tcPr>
            <w:tcW w:w="16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143</w:t>
            </w:r>
          </w:p>
        </w:tc>
        <w:tc>
          <w:tcPr>
            <w:tcW w:w="11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121</w:t>
            </w:r>
          </w:p>
        </w:tc>
        <w:tc>
          <w:tcPr>
            <w:tcW w:w="8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(15.3%)</w:t>
            </w:r>
          </w:p>
        </w:tc>
        <w:tc>
          <w:tcPr>
            <w:tcW w:w="10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1,234</w:t>
            </w:r>
          </w:p>
        </w:tc>
        <w:tc>
          <w:tcPr>
            <w:tcW w:w="10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697</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Theme Parks</w:t>
            </w:r>
          </w:p>
        </w:tc>
        <w:tc>
          <w:tcPr>
            <w:tcW w:w="16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452</w:t>
            </w:r>
          </w:p>
        </w:tc>
        <w:tc>
          <w:tcPr>
            <w:tcW w:w="11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640</w:t>
            </w:r>
          </w:p>
        </w:tc>
        <w:tc>
          <w:tcPr>
            <w:tcW w:w="8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41.9%</w:t>
            </w:r>
          </w:p>
        </w:tc>
        <w:tc>
          <w:tcPr>
            <w:tcW w:w="10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18.4%</w:t>
            </w: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1,464</w:t>
            </w:r>
          </w:p>
        </w:tc>
        <w:tc>
          <w:tcPr>
            <w:tcW w:w="10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2,190</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63"/>
        </w:trPr>
        <w:tc>
          <w:tcPr>
            <w:tcW w:w="33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Headquarters, Other and Eliminations</w:t>
            </w:r>
          </w:p>
        </w:tc>
        <w:tc>
          <w:tcPr>
            <w:tcW w:w="16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(154)</w:t>
            </w:r>
          </w:p>
        </w:tc>
        <w:tc>
          <w:tcPr>
            <w:tcW w:w="11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(171)</w:t>
            </w:r>
          </w:p>
        </w:tc>
        <w:tc>
          <w:tcPr>
            <w:tcW w:w="8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NM</w:t>
            </w:r>
          </w:p>
        </w:tc>
        <w:tc>
          <w:tcPr>
            <w:tcW w:w="10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(625)</w:t>
            </w:r>
          </w:p>
        </w:tc>
        <w:tc>
          <w:tcPr>
            <w:tcW w:w="10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(689)</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80" w:type="dxa"/>
            <w:vAlign w:val="bottom"/>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1680" w:type="dxa"/>
            <w:vAlign w:val="bottom"/>
          </w:tcPr>
          <w:p>
            <w:pPr>
              <w:jc w:val="right"/>
              <w:ind w:right="328"/>
              <w:spacing w:after="0"/>
              <w:rPr>
                <w:sz w:val="20"/>
                <w:szCs w:val="20"/>
                <w:color w:val="auto"/>
              </w:rPr>
            </w:pPr>
            <w:r>
              <w:rPr>
                <w:rFonts w:ascii="Arial" w:cs="Arial" w:eastAsia="Arial" w:hAnsi="Arial"/>
                <w:sz w:val="14"/>
                <w:szCs w:val="14"/>
                <w:b w:val="1"/>
                <w:bCs w:val="1"/>
                <w:color w:val="auto"/>
              </w:rPr>
              <w:t>$1,552</w:t>
            </w: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$1,770</w:t>
            </w: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14.0%</w:t>
            </w: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7.8%</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$6,352</w:t>
            </w:r>
          </w:p>
        </w:tc>
        <w:tc>
          <w:tcPr>
            <w:tcW w:w="1080" w:type="dxa"/>
            <w:vAlign w:val="bottom"/>
          </w:tcPr>
          <w:p>
            <w:pPr>
              <w:jc w:val="right"/>
              <w:ind w:right="288"/>
              <w:spacing w:after="0"/>
              <w:rPr>
                <w:sz w:val="20"/>
                <w:szCs w:val="20"/>
                <w:color w:val="auto"/>
              </w:rPr>
            </w:pPr>
            <w:r>
              <w:rPr>
                <w:rFonts w:ascii="Arial" w:cs="Arial" w:eastAsia="Arial" w:hAnsi="Arial"/>
                <w:sz w:val="14"/>
                <w:szCs w:val="14"/>
                <w:b w:val="1"/>
                <w:bCs w:val="1"/>
                <w:color w:val="auto"/>
              </w:rPr>
              <w:t>$7,227</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NM=comparison not meaningful.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13.0% to $8.5 billion in the fourth quarter of 2016 and</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14.0% to $1.8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w:t>
      </w:r>
      <w:r>
        <w:rPr>
          <w:rFonts w:ascii="Arial" w:cs="Arial" w:eastAsia="Arial" w:hAnsi="Arial"/>
          <w:sz w:val="18"/>
          <w:szCs w:val="18"/>
          <w:b w:val="1"/>
          <w:bCs w:val="1"/>
          <w:i w:val="1"/>
          <w:iCs w:val="1"/>
          <w:color w:val="auto"/>
        </w:rPr>
        <w:t>Pro Forma</w:t>
      </w:r>
      <w:r>
        <w:rPr>
          <w:rFonts w:ascii="Arial" w:cs="Arial" w:eastAsia="Arial" w:hAnsi="Arial"/>
          <w:sz w:val="18"/>
          <w:szCs w:val="18"/>
          <w:b w:val="1"/>
          <w:bCs w:val="1"/>
          <w:i w:val="1"/>
          <w:iCs w:val="1"/>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Revenue</w:t>
      </w:r>
      <w:r>
        <w:rPr>
          <w:rFonts w:ascii="Arial" w:cs="Arial" w:eastAsia="Arial" w:hAnsi="Arial"/>
          <w:sz w:val="18"/>
          <w:szCs w:val="18"/>
          <w:color w:val="auto"/>
        </w:rPr>
        <w:t xml:space="preserve"> for NBCUniversal increased 10.5%. </w:t>
      </w:r>
      <w:r>
        <w:rPr>
          <w:rFonts w:ascii="Arial" w:cs="Arial" w:eastAsia="Arial" w:hAnsi="Arial"/>
          <w:sz w:val="18"/>
          <w:szCs w:val="18"/>
          <w:b w:val="1"/>
          <w:bCs w:val="1"/>
          <w:i w:val="1"/>
          <w:iCs w:val="1"/>
          <w:color w:val="auto"/>
        </w:rPr>
        <w:t>Pro Forma</w:t>
      </w:r>
      <w:r>
        <w:rPr>
          <w:rFonts w:ascii="Arial" w:cs="Arial" w:eastAsia="Arial" w:hAnsi="Arial"/>
          <w:sz w:val="18"/>
          <w:szCs w:val="18"/>
          <w:b w:val="1"/>
          <w:bCs w:val="1"/>
          <w:i w:val="1"/>
          <w:iCs w:val="1"/>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7.8%, reflecting increases at Theme Parks, Broadcast Television and Cable Networks, partially offset by a decline at Filmed Entertainment.</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2016, NBCUniversal revenue increased 11.0% to $31.6 billion compared to 2015 and operating cash flow increased 13.8% to $7.2 billion.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revenue for NBCUniversal increased 7.0%.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operating cash flow increased 5.7%, reflecting increases at Broadcast Television, Theme Parks and Cable Networks, partially offset by a decline at Filmed Entertainment.</w:t>
      </w:r>
    </w:p>
    <w:p>
      <w:pPr>
        <w:sectPr>
          <w:pgSz w:w="11900" w:h="16838" w:orient="portrait"/>
          <w:cols w:equalWidth="0" w:num="1">
            <w:col w:w="11420"/>
          </w:cols>
          <w:pgMar w:left="240" w:top="116"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Cable Networks</w:t>
      </w:r>
    </w:p>
    <w:p>
      <w:pPr>
        <w:spacing w:after="0" w:line="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Cable Networks revenue increased 4.0% to $ 2.5 billion in the fourth quarter of 2016, reflecting higher distribution, content licensing and other, and advertising revenue. Distribution revenue increased 4.7%, driven by contractual rate increases and contract renewals, partially offset by a decline in subscribers at our cable networks. Content licensing and other revenue increased 14.6%, due to the timing of content provided under licensing agreements. Advertising revenue increased 0.6%, due to higher rates, mostly offset by audience ratings declines. Operating cash flow increased 2.4% to $916 million in the fourth quarter of 2016, reflecting higher revenue, partially offset by an increase in programming and production costs.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year ended December 31, 2016, revenue from the Cable Networks segment increased 8.7% to $10.5 billion compared to 2015, reflecting higher distribution, advertising, and content licensing and other revenue. Excluding $432 million of revenue generated by the broadcast of the 2016 Rio Olympics in the third quarter of 2016, revenue increased 4.2% (see Table 7). Operating cash flow increased 6.0% to $3.7 billion compared to 2015, reflecting higher revenue, partially offset by an increase in programming and production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Broadcast Television revenue increased 14.0% to $2.8 billion in the fourth quarter of 2016, reflecting higher advertising, content licensing, and distribution and other revenue. Advertising revenue increased 12.4%, driven by the premiere of </w:t>
      </w:r>
      <w:r>
        <w:rPr>
          <w:rFonts w:ascii="Arial" w:cs="Arial" w:eastAsia="Arial" w:hAnsi="Arial"/>
          <w:sz w:val="18"/>
          <w:szCs w:val="18"/>
          <w:i w:val="1"/>
          <w:iCs w:val="1"/>
          <w:color w:val="auto"/>
        </w:rPr>
        <w:t>Thursday Night Football</w:t>
      </w:r>
      <w:r>
        <w:rPr>
          <w:rFonts w:ascii="Arial" w:cs="Arial" w:eastAsia="Arial" w:hAnsi="Arial"/>
          <w:sz w:val="18"/>
          <w:szCs w:val="18"/>
          <w:color w:val="auto"/>
        </w:rPr>
        <w:t xml:space="preserve">, higher rates, and higher political advertising. Content licensing revenue increased 20.2%, primarily due to the timing of content provided under licensing agreements. Distribution and other revenue increased 14.1%, due to higher retransmission consent fees. Operating cash flow increased 21.1% to $264 million in the fourth quarter of 2016, reflecting higher revenue, partially offset by an increase in programming and production costs, driven by the premiere of </w:t>
      </w:r>
      <w:r>
        <w:rPr>
          <w:rFonts w:ascii="Arial" w:cs="Arial" w:eastAsia="Arial" w:hAnsi="Arial"/>
          <w:sz w:val="18"/>
          <w:szCs w:val="18"/>
          <w:i w:val="1"/>
          <w:iCs w:val="1"/>
          <w:color w:val="auto"/>
        </w:rPr>
        <w:t>Thursday Night Football</w:t>
      </w:r>
      <w:r>
        <w:rPr>
          <w:rFonts w:ascii="Arial" w:cs="Arial" w:eastAsia="Arial" w:hAnsi="Arial"/>
          <w:sz w:val="18"/>
          <w:szCs w:val="18"/>
          <w:color w:val="auto"/>
        </w:rPr>
        <w:t>.</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For the year ended December 31, 2016, revenue from the Broadcast Television segment increased 19.0% to $10.1 billion compared to 2015. Excluding $1.2 billion of revenue generated by the broadcast of the 2016 Rio Olympics in the third quarter of 2016, as well as $376 million of revenue generated by the broadcast of the NFL’s Super Bowl in the first quarter of 2015, revenue increased 9.9% (see Table 7). Operating cash flow increased 69.1% to $1.3 billion compared to 2015, reflecting higher revenue, partially offset by an increase in programming and production costs primarily associated with the broadcast of the 2016 Rio Olympics.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Filmed Entertainment revenue increased 12.6% to $1.8 billion in the fourth quarter of 2016, which included a full quarter of revenue attributable to DreamWorks, which was acquired on August 22</w:t>
      </w:r>
      <w:r>
        <w:rPr>
          <w:rFonts w:ascii="Arial" w:cs="Arial" w:eastAsia="Arial" w:hAnsi="Arial"/>
          <w:sz w:val="18"/>
          <w:szCs w:val="18"/>
          <w:color w:val="auto"/>
          <w:vertAlign w:val="superscript"/>
        </w:rPr>
        <w:t>nd</w:t>
      </w:r>
      <w:r>
        <w:rPr>
          <w:rFonts w:ascii="Arial" w:cs="Arial" w:eastAsia="Arial" w:hAnsi="Arial"/>
          <w:sz w:val="18"/>
          <w:szCs w:val="18"/>
          <w:color w:val="auto"/>
        </w:rPr>
        <w:t xml:space="preserve">. Content licensing revenue increased 37.5%, due to the inclusion of DreamWorks, as well as the timing of when content was made available under licensing agreements. Theatrical revenue increased 96.7%, primarily due to the strong performance of </w:t>
      </w:r>
      <w:r>
        <w:rPr>
          <w:rFonts w:ascii="Arial" w:cs="Arial" w:eastAsia="Arial" w:hAnsi="Arial"/>
          <w:sz w:val="18"/>
          <w:szCs w:val="18"/>
          <w:i w:val="1"/>
          <w:iCs w:val="1"/>
          <w:color w:val="auto"/>
        </w:rPr>
        <w:t>Sing</w:t>
      </w:r>
      <w:r>
        <w:rPr>
          <w:rFonts w:ascii="Arial" w:cs="Arial" w:eastAsia="Arial" w:hAnsi="Arial"/>
          <w:sz w:val="18"/>
          <w:szCs w:val="18"/>
          <w:color w:val="auto"/>
        </w:rPr>
        <w:t xml:space="preserve"> in this year’s fourth quarter. Other revenue increased 55.5%, primarily driven by the inclusion of DreamWorks. Home entertainment revenue declined 36.0%, reflecting the success of several releases in the prior year period, including </w:t>
      </w:r>
      <w:r>
        <w:rPr>
          <w:rFonts w:ascii="Arial" w:cs="Arial" w:eastAsia="Arial" w:hAnsi="Arial"/>
          <w:sz w:val="18"/>
          <w:szCs w:val="18"/>
          <w:i w:val="1"/>
          <w:iCs w:val="1"/>
          <w:color w:val="auto"/>
        </w:rPr>
        <w:t>Jurassic World, Minions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Trainwreck</w:t>
      </w:r>
      <w:r>
        <w:rPr>
          <w:rFonts w:ascii="Arial" w:cs="Arial" w:eastAsia="Arial" w:hAnsi="Arial"/>
          <w:sz w:val="18"/>
          <w:szCs w:val="18"/>
          <w:color w:val="auto"/>
        </w:rPr>
        <w:t>. Operating cash flow decreased 15.3% to $121 million in the fourth quarter of 2016, reflecting higher revenue, offset by increased expenses driven by DreamWorks, which included integration and restructuring costs.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2016, revenue from the Filmed Entertainment segment decreased 12.7% to $6.4 billion compared to 2015, reflecting lower theatrical and home entertainment revenue, partially offset by higher content licensing and other revenue. Operating cash flow decreased 43.5% to $697 million compared to 2015, reflecting lower revenue, partially offset by lower programming and production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Theme Parks revenue increased 32.1% to $1.3 billion in the fourth quarter of 2016.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revenue increased 13.2%, reflecting higher attendance and higher per capita spending, driven by the success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Hollywood’s </w:t>
      </w:r>
      <w:r>
        <w:rPr>
          <w:rFonts w:ascii="Arial" w:cs="Arial" w:eastAsia="Arial" w:hAnsi="Arial"/>
          <w:sz w:val="18"/>
          <w:szCs w:val="18"/>
          <w:i w:val="1"/>
          <w:iCs w:val="1"/>
          <w:color w:val="auto"/>
        </w:rPr>
        <w:t>The Wizarding World of Harry Potte</w:t>
      </w:r>
      <w:r>
        <w:rPr>
          <w:rFonts w:ascii="Arial" w:cs="Arial" w:eastAsia="Arial" w:hAnsi="Arial"/>
          <w:sz w:val="18"/>
          <w:szCs w:val="18"/>
          <w:color w:val="auto"/>
        </w:rPr>
        <w:t>r™ attraction, as well as the positive impact of a stronger Japanese yen. Operating cash flow increased 41.9% to $640 million in the fourth quarter of 2016.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operating cash flow increased 18.4%, reflecting higher revenue, partially offset by an increase in operating expenses, including costs to support new attractions.</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year ended December 31, 2016, revenue from the Theme Parks segment increased 48.2% to $4.9 billion compared to 2015.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revenue increased 12.7%, reflecting higher attendance and per capita spending, as well as the positive impact of a stronger Japanese yen. Operating cash flow increased 49.6% to $2.2 billion compared to 2015.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operating cash flow increased 12.2%, reflecting higher revenue, partially offset by an increase in operating expenses, including costs to support new attractions.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December 31, 2016, NBCUniversal Headquarters, Other and Eliminations operating cash flow loss was $171 million compared to a loss of $154 million in the fourth quarter of 2015.</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year ended December 31, 2016, NBCUniversal Headquarters, Other and Eliminations operating cash flow loss was $689 million compared to a loss of $625 million in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Corporate, Other and Eliminations primarily include corporate operations, Comcast Spectacor and eliminations among Comcast’s businesses.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 December 31, 2016, Corporate, Other and Eliminations revenue was ($269) million compared to ($228) million in 2015.</w:t>
      </w:r>
    </w:p>
    <w:p>
      <w:pPr>
        <w:spacing w:after="0"/>
        <w:rPr>
          <w:sz w:val="20"/>
          <w:szCs w:val="20"/>
          <w:color w:val="auto"/>
        </w:rPr>
      </w:pPr>
      <w:r>
        <w:rPr>
          <w:rFonts w:ascii="Arial" w:cs="Arial" w:eastAsia="Arial" w:hAnsi="Arial"/>
          <w:sz w:val="18"/>
          <w:szCs w:val="18"/>
          <w:color w:val="auto"/>
        </w:rPr>
        <w:t>The operating cash flow loss was $196 million compared to a loss of $156 million in the fourth quarter of 2015.</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year ended December 31, 2016, Corporate, Other and Eliminations revenue was ($1.2) billion compared to ($880) million in 2015. The operating cash flow loss was $919 million compared to a loss of $711 million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p>
    <w:p>
      <w:pPr>
        <w:ind w:left="180" w:hanging="166"/>
        <w:spacing w:after="0" w:line="251" w:lineRule="auto"/>
        <w:tabs>
          <w:tab w:leader="none" w:pos="24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 See Table 4 for reconciliation of non-GAAP financial measures.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pre-split, diluted basis.</w:t>
      </w:r>
    </w:p>
    <w:p>
      <w:pPr>
        <w:sectPr>
          <w:pgSz w:w="11900" w:h="16838" w:orient="portrait"/>
          <w:cols w:equalWidth="0" w:num="1">
            <w:col w:w="11420"/>
          </w:cols>
          <w:pgMar w:left="240" w:top="317" w:right="239" w:bottom="0" w:gutter="0" w:footer="0" w:header="0"/>
        </w:sectPr>
      </w:pPr>
    </w:p>
    <w:bookmarkStart w:id="6" w:name="page7"/>
    <w:bookmarkEnd w:id="6"/>
    <w:p>
      <w:pPr>
        <w:jc w:val="both"/>
        <w:ind w:left="180" w:hanging="166"/>
        <w:spacing w:after="0" w:line="245"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benefits. The definition of Free Cash Flow excludes any impact from Economic Stimulus packages. These amounts have been excluded from Free Cash Flow to provide an appropriate comparison. See Table 4 for reconciliation of non-GAAP financial measures.</w:t>
      </w:r>
    </w:p>
    <w:p>
      <w:pPr>
        <w:spacing w:after="0" w:line="159" w:lineRule="exact"/>
        <w:rPr>
          <w:sz w:val="20"/>
          <w:szCs w:val="20"/>
          <w:color w:val="auto"/>
        </w:rPr>
      </w:pPr>
    </w:p>
    <w:p>
      <w:pPr>
        <w:jc w:val="both"/>
        <w:ind w:left="180" w:hanging="166"/>
        <w:spacing w:after="0" w:line="255"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the first quarter of 2016, certain operations and businesses including several strategic business initiatives that were previously presented in Corporate, Other and Eliminations are now presented in our Cable Communications segment to reflect a change in our management reporting presentation. For segment reporting purposes, we have adjusted all periods presented to reflect this change.</w:t>
      </w:r>
    </w:p>
    <w:p>
      <w:pPr>
        <w:spacing w:after="0" w:line="151" w:lineRule="exact"/>
        <w:rPr>
          <w:sz w:val="20"/>
          <w:szCs w:val="20"/>
          <w:color w:val="auto"/>
        </w:rPr>
      </w:pPr>
    </w:p>
    <w:p>
      <w:pPr>
        <w:ind w:left="180" w:hanging="166"/>
        <w:spacing w:after="0" w:line="276"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 forma information is presented for the acquisition of the 51% interest of Universal Studios Japan. See Table 6 for more detailed information.</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Comcast Corporation will host a conference call with the financial community today, January 26, 2017 at 8:30 a.m. Eastern Time (ET). The conference call and related materials will be broadcast live and posted on its Investor Relations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Those parties interested in participating via telephone should dial (800) 263-8495 with the conference ID number 40819623. A replay of the call will be available starting at 12:00 p.m. ET on January 26, 2017, on the Investor Relations website or by telephone. To access the telephone replay, which will be available until Thursday, February 2, 2017 at midnight ET, please dial (855) 859-2056 and enter the conference ID number 40819623.</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http://corporate.comcast.com/comcast-voices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subscribe to email alerts.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520" w:type="dxa"/>
            <w:vAlign w:val="bottom"/>
          </w:tcPr>
          <w:p>
            <w:pPr>
              <w:jc w:val="right"/>
              <w:ind w:right="209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62"/>
        </w:trPr>
        <w:tc>
          <w:tcPr>
            <w:tcW w:w="186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40" w:type="dxa"/>
            <w:vAlign w:val="bottom"/>
          </w:tcPr>
          <w:p>
            <w:pPr>
              <w:spacing w:after="0"/>
              <w:rPr>
                <w:sz w:val="24"/>
                <w:szCs w:val="24"/>
                <w:color w:val="auto"/>
              </w:rPr>
            </w:pPr>
          </w:p>
        </w:tc>
        <w:tc>
          <w:tcPr>
            <w:tcW w:w="3520" w:type="dxa"/>
            <w:vAlign w:val="bottom"/>
          </w:tcPr>
          <w:p>
            <w:pPr>
              <w:ind w:left="1920"/>
              <w:spacing w:after="0"/>
              <w:rPr>
                <w:sz w:val="20"/>
                <w:szCs w:val="20"/>
                <w:color w:val="auto"/>
              </w:rPr>
            </w:pPr>
            <w:r>
              <w:rPr>
                <w:rFonts w:ascii="Arial" w:cs="Arial" w:eastAsia="Arial" w:hAnsi="Arial"/>
                <w:sz w:val="16"/>
                <w:szCs w:val="16"/>
                <w:b w:val="1"/>
                <w:bCs w:val="1"/>
                <w:color w:val="auto"/>
              </w:rPr>
              <w:t>Press Contacts:</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9"/>
        </w:trPr>
        <w:tc>
          <w:tcPr>
            <w:tcW w:w="1860" w:type="dxa"/>
            <w:vAlign w:val="bottom"/>
          </w:tcPr>
          <w:p>
            <w:pPr>
              <w:spacing w:after="0"/>
              <w:rPr>
                <w:sz w:val="20"/>
                <w:szCs w:val="20"/>
                <w:color w:val="auto"/>
              </w:rPr>
            </w:pPr>
            <w:r>
              <w:rPr>
                <w:rFonts w:ascii="Arial" w:cs="Arial" w:eastAsia="Arial" w:hAnsi="Arial"/>
                <w:sz w:val="16"/>
                <w:szCs w:val="16"/>
                <w:color w:val="auto"/>
              </w:rPr>
              <w:t>Jason Armstrong</w:t>
            </w:r>
          </w:p>
        </w:tc>
        <w:tc>
          <w:tcPr>
            <w:tcW w:w="2640" w:type="dxa"/>
            <w:vAlign w:val="bottom"/>
          </w:tcPr>
          <w:p>
            <w:pPr>
              <w:jc w:val="right"/>
              <w:ind w:right="999"/>
              <w:spacing w:after="0"/>
              <w:rPr>
                <w:sz w:val="20"/>
                <w:szCs w:val="20"/>
                <w:color w:val="auto"/>
              </w:rPr>
            </w:pPr>
            <w:r>
              <w:rPr>
                <w:rFonts w:ascii="Arial" w:cs="Arial" w:eastAsia="Arial" w:hAnsi="Arial"/>
                <w:sz w:val="16"/>
                <w:szCs w:val="16"/>
                <w:color w:val="auto"/>
              </w:rPr>
              <w:t>(215) 286-7972</w:t>
            </w:r>
          </w:p>
        </w:tc>
        <w:tc>
          <w:tcPr>
            <w:tcW w:w="3520" w:type="dxa"/>
            <w:vAlign w:val="bottom"/>
          </w:tcPr>
          <w:p>
            <w:pPr>
              <w:ind w:left="1920"/>
              <w:spacing w:after="0"/>
              <w:rPr>
                <w:sz w:val="20"/>
                <w:szCs w:val="20"/>
                <w:color w:val="auto"/>
              </w:rPr>
            </w:pPr>
            <w:r>
              <w:rPr>
                <w:rFonts w:ascii="Arial" w:cs="Arial" w:eastAsia="Arial" w:hAnsi="Arial"/>
                <w:sz w:val="16"/>
                <w:szCs w:val="16"/>
                <w:color w:val="auto"/>
              </w:rPr>
              <w:t>D’Arcy Rudnay</w:t>
            </w:r>
          </w:p>
        </w:tc>
        <w:tc>
          <w:tcPr>
            <w:tcW w:w="760" w:type="dxa"/>
            <w:vAlign w:val="bottom"/>
          </w:tcPr>
          <w:p>
            <w:pPr>
              <w:jc w:val="right"/>
              <w:spacing w:after="0"/>
              <w:rPr>
                <w:sz w:val="20"/>
                <w:szCs w:val="20"/>
                <w:color w:val="auto"/>
              </w:rPr>
            </w:pPr>
            <w:r>
              <w:rPr>
                <w:rFonts w:ascii="Arial" w:cs="Arial" w:eastAsia="Arial" w:hAnsi="Arial"/>
                <w:sz w:val="16"/>
                <w:szCs w:val="16"/>
                <w:color w:val="auto"/>
              </w:rPr>
              <w:t>(215)</w:t>
            </w:r>
          </w:p>
        </w:tc>
        <w:tc>
          <w:tcPr>
            <w:tcW w:w="700" w:type="dxa"/>
            <w:vAlign w:val="bottom"/>
          </w:tcPr>
          <w:p>
            <w:pPr>
              <w:jc w:val="right"/>
              <w:spacing w:after="0"/>
              <w:rPr>
                <w:sz w:val="20"/>
                <w:szCs w:val="20"/>
                <w:color w:val="auto"/>
              </w:rPr>
            </w:pPr>
            <w:r>
              <w:rPr>
                <w:rFonts w:ascii="Arial" w:cs="Arial" w:eastAsia="Arial" w:hAnsi="Arial"/>
                <w:sz w:val="16"/>
                <w:szCs w:val="16"/>
                <w:color w:val="auto"/>
              </w:rPr>
              <w:t>286-8582</w:t>
            </w:r>
          </w:p>
        </w:tc>
      </w:tr>
      <w:tr>
        <w:trPr>
          <w:trHeight w:val="219"/>
        </w:trPr>
        <w:tc>
          <w:tcPr>
            <w:tcW w:w="1860" w:type="dxa"/>
            <w:vAlign w:val="bottom"/>
          </w:tcPr>
          <w:p>
            <w:pPr>
              <w:spacing w:after="0"/>
              <w:rPr>
                <w:sz w:val="20"/>
                <w:szCs w:val="20"/>
                <w:color w:val="auto"/>
              </w:rPr>
            </w:pPr>
            <w:r>
              <w:rPr>
                <w:rFonts w:ascii="Arial" w:cs="Arial" w:eastAsia="Arial" w:hAnsi="Arial"/>
                <w:sz w:val="16"/>
                <w:szCs w:val="16"/>
                <w:color w:val="auto"/>
              </w:rPr>
              <w:t>Jane Kearns</w:t>
            </w:r>
          </w:p>
        </w:tc>
        <w:tc>
          <w:tcPr>
            <w:tcW w:w="2640" w:type="dxa"/>
            <w:vAlign w:val="bottom"/>
          </w:tcPr>
          <w:p>
            <w:pPr>
              <w:jc w:val="right"/>
              <w:ind w:right="999"/>
              <w:spacing w:after="0"/>
              <w:rPr>
                <w:sz w:val="20"/>
                <w:szCs w:val="20"/>
                <w:color w:val="auto"/>
              </w:rPr>
            </w:pPr>
            <w:r>
              <w:rPr>
                <w:rFonts w:ascii="Arial" w:cs="Arial" w:eastAsia="Arial" w:hAnsi="Arial"/>
                <w:sz w:val="16"/>
                <w:szCs w:val="16"/>
                <w:color w:val="auto"/>
              </w:rPr>
              <w:t>(215) 286-4794</w:t>
            </w:r>
          </w:p>
        </w:tc>
        <w:tc>
          <w:tcPr>
            <w:tcW w:w="3520" w:type="dxa"/>
            <w:vAlign w:val="bottom"/>
          </w:tcPr>
          <w:p>
            <w:pPr>
              <w:ind w:left="1920"/>
              <w:spacing w:after="0"/>
              <w:rPr>
                <w:sz w:val="20"/>
                <w:szCs w:val="20"/>
                <w:color w:val="auto"/>
              </w:rPr>
            </w:pPr>
            <w:r>
              <w:rPr>
                <w:rFonts w:ascii="Arial" w:cs="Arial" w:eastAsia="Arial" w:hAnsi="Arial"/>
                <w:sz w:val="16"/>
                <w:szCs w:val="16"/>
                <w:color w:val="auto"/>
              </w:rPr>
              <w:t>John Demming</w:t>
            </w:r>
          </w:p>
        </w:tc>
        <w:tc>
          <w:tcPr>
            <w:tcW w:w="760" w:type="dxa"/>
            <w:vAlign w:val="bottom"/>
          </w:tcPr>
          <w:p>
            <w:pPr>
              <w:jc w:val="right"/>
              <w:spacing w:after="0"/>
              <w:rPr>
                <w:sz w:val="20"/>
                <w:szCs w:val="20"/>
                <w:color w:val="auto"/>
              </w:rPr>
            </w:pPr>
            <w:r>
              <w:rPr>
                <w:rFonts w:ascii="Arial" w:cs="Arial" w:eastAsia="Arial" w:hAnsi="Arial"/>
                <w:sz w:val="16"/>
                <w:szCs w:val="16"/>
                <w:color w:val="auto"/>
              </w:rPr>
              <w:t>(215)</w:t>
            </w:r>
          </w:p>
        </w:tc>
        <w:tc>
          <w:tcPr>
            <w:tcW w:w="700" w:type="dxa"/>
            <w:vAlign w:val="bottom"/>
          </w:tcPr>
          <w:p>
            <w:pPr>
              <w:jc w:val="right"/>
              <w:spacing w:after="0"/>
              <w:rPr>
                <w:sz w:val="20"/>
                <w:szCs w:val="20"/>
                <w:color w:val="auto"/>
              </w:rPr>
            </w:pPr>
            <w:r>
              <w:rPr>
                <w:rFonts w:ascii="Arial" w:cs="Arial" w:eastAsia="Arial" w:hAnsi="Arial"/>
                <w:sz w:val="16"/>
                <w:szCs w:val="16"/>
                <w:color w:val="auto"/>
              </w:rPr>
              <w:t>286-8011</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cause actual events or our actual results to differ materially from those expressed in any such forward-looking statements. Readers are directed to Comcast’s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periodic and other reports filed with the Securities and Exchange Commission (SEC) for a description of such risks and uncertainties. We undertake 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obligation to update any forward-looking statements.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 ###</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6"/>
          <w:szCs w:val="16"/>
          <w:u w:val="single" w:color="auto"/>
          <w:color w:val="auto"/>
        </w:rPr>
        <w:t>www.comcastcorporation.com</w:t>
      </w:r>
      <w:r>
        <w:rPr>
          <w:rFonts w:ascii="Arial" w:cs="Arial" w:eastAsia="Arial" w:hAnsi="Arial"/>
          <w:sz w:val="16"/>
          <w:szCs w:val="16"/>
          <w:color w:val="auto"/>
        </w:rPr>
        <w:t xml:space="preserve"> for more information.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wp:posOffset>
            </wp:positionV>
            <wp:extent cx="7246620" cy="454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26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23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(in millions, except per share data)</w:t>
            </w:r>
          </w:p>
        </w:tc>
        <w:tc>
          <w:tcPr>
            <w:tcW w:w="2620" w:type="dxa"/>
            <w:vAlign w:val="bottom"/>
            <w:gridSpan w:val="4"/>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2340" w:type="dxa"/>
            <w:vAlign w:val="bottom"/>
            <w:gridSpan w:val="3"/>
          </w:tcPr>
          <w:p>
            <w:pPr>
              <w:jc w:val="right"/>
              <w:ind w:right="51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7"/>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6"/>
        </w:trPr>
        <w:tc>
          <w:tcPr>
            <w:tcW w:w="6320" w:type="dxa"/>
            <w:vAlign w:val="bottom"/>
            <w:vMerge w:val="continue"/>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$19,245</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$21,025</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$74,510</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$80,403</w:t>
            </w:r>
          </w:p>
        </w:tc>
        <w:tc>
          <w:tcPr>
            <w:tcW w:w="0" w:type="dxa"/>
            <w:vAlign w:val="bottom"/>
          </w:tcPr>
          <w:p>
            <w:pPr>
              <w:spacing w:after="0"/>
              <w:rPr>
                <w:sz w:val="1"/>
                <w:szCs w:val="1"/>
                <w:color w:val="auto"/>
              </w:rPr>
            </w:pPr>
          </w:p>
        </w:tc>
      </w:tr>
      <w:tr>
        <w:trPr>
          <w:trHeight w:val="330"/>
        </w:trPr>
        <w:tc>
          <w:tcPr>
            <w:tcW w:w="632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1020" w:type="dxa"/>
            <w:vAlign w:val="bottom"/>
          </w:tcPr>
          <w:p>
            <w:pPr>
              <w:jc w:val="right"/>
              <w:spacing w:after="0"/>
              <w:rPr>
                <w:sz w:val="20"/>
                <w:szCs w:val="20"/>
                <w:color w:val="auto"/>
              </w:rPr>
            </w:pPr>
            <w:r>
              <w:rPr>
                <w:rFonts w:ascii="Arial" w:cs="Arial" w:eastAsia="Arial" w:hAnsi="Arial"/>
                <w:sz w:val="18"/>
                <w:szCs w:val="18"/>
                <w:color w:val="auto"/>
              </w:rPr>
              <w:t>5,836</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6,537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22,550</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24,463</w:t>
            </w:r>
          </w:p>
        </w:tc>
        <w:tc>
          <w:tcPr>
            <w:tcW w:w="0" w:type="dxa"/>
            <w:vAlign w:val="bottom"/>
          </w:tcPr>
          <w:p>
            <w:pPr>
              <w:spacing w:after="0"/>
              <w:rPr>
                <w:sz w:val="1"/>
                <w:szCs w:val="1"/>
                <w:color w:val="auto"/>
              </w:rPr>
            </w:pPr>
          </w:p>
        </w:tc>
      </w:tr>
      <w:tr>
        <w:trPr>
          <w:trHeight w:val="203"/>
        </w:trPr>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5,581</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6,129</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21,319</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23,409</w:t>
            </w:r>
          </w:p>
        </w:tc>
        <w:tc>
          <w:tcPr>
            <w:tcW w:w="0" w:type="dxa"/>
            <w:vAlign w:val="bottom"/>
          </w:tcPr>
          <w:p>
            <w:pPr>
              <w:spacing w:after="0"/>
              <w:rPr>
                <w:sz w:val="1"/>
                <w:szCs w:val="1"/>
                <w:color w:val="auto"/>
              </w:rPr>
            </w:pPr>
          </w:p>
        </w:tc>
      </w:tr>
      <w:tr>
        <w:trPr>
          <w:trHeight w:val="227"/>
        </w:trPr>
        <w:tc>
          <w:tcPr>
            <w:tcW w:w="632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1,599</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6,114</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12,973</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14,265</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49,832</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53,986</w:t>
            </w:r>
          </w:p>
        </w:tc>
        <w:tc>
          <w:tcPr>
            <w:tcW w:w="0" w:type="dxa"/>
            <w:vAlign w:val="bottom"/>
          </w:tcPr>
          <w:p>
            <w:pPr>
              <w:spacing w:after="0"/>
              <w:rPr>
                <w:sz w:val="1"/>
                <w:szCs w:val="1"/>
                <w:color w:val="auto"/>
              </w:rPr>
            </w:pPr>
          </w:p>
        </w:tc>
      </w:tr>
      <w:tr>
        <w:trPr>
          <w:trHeight w:val="424"/>
        </w:trPr>
        <w:tc>
          <w:tcPr>
            <w:tcW w:w="632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020" w:type="dxa"/>
            <w:vAlign w:val="bottom"/>
          </w:tcPr>
          <w:p>
            <w:pPr>
              <w:jc w:val="right"/>
              <w:spacing w:after="0"/>
              <w:rPr>
                <w:sz w:val="20"/>
                <w:szCs w:val="20"/>
                <w:color w:val="auto"/>
              </w:rPr>
            </w:pPr>
            <w:r>
              <w:rPr>
                <w:rFonts w:ascii="Arial" w:cs="Arial" w:eastAsia="Arial" w:hAnsi="Arial"/>
                <w:sz w:val="18"/>
                <w:szCs w:val="18"/>
                <w:color w:val="auto"/>
              </w:rPr>
              <w:t>6,272</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6,760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24,678</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26,417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319" w:right="239" w:bottom="0" w:gutter="0" w:footer="0" w:header="0"/>
        </w:sectPr>
      </w:pPr>
    </w:p>
    <w:bookmarkStart w:id="7" w:name="page8"/>
    <w:bookmarkEnd w:id="7"/>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1,776</w:t>
            </w:r>
          </w:p>
        </w:tc>
        <w:tc>
          <w:tcPr>
            <w:tcW w:w="28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1,946</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6,781</w:t>
            </w:r>
          </w:p>
        </w:tc>
        <w:tc>
          <w:tcPr>
            <w:tcW w:w="28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7,464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2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550</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2,270</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2,496</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8,680</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9,558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320" w:type="dxa"/>
            <w:vAlign w:val="bottom"/>
            <w:vMerge w:val="continue"/>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4,002</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4,264</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15,998</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16,859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6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(756)</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(2,942)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200"/>
              <w:spacing w:after="0" w:line="201" w:lineRule="exact"/>
              <w:rPr>
                <w:sz w:val="20"/>
                <w:szCs w:val="20"/>
                <w:color w:val="auto"/>
              </w:rPr>
            </w:pPr>
            <w:r>
              <w:rPr>
                <w:rFonts w:ascii="Arial" w:cs="Arial" w:eastAsia="Arial" w:hAnsi="Arial"/>
                <w:sz w:val="18"/>
                <w:szCs w:val="18"/>
                <w:color w:val="auto"/>
              </w:rPr>
              <w:t>Interest expense</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(674)</w:t>
            </w:r>
          </w:p>
        </w:tc>
        <w:tc>
          <w:tcPr>
            <w:tcW w:w="2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(2,702)</w:t>
            </w:r>
          </w:p>
        </w:tc>
        <w:tc>
          <w:tcPr>
            <w:tcW w:w="2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45</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28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213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223</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(784)</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(528)</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(2,626)</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6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3,218</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3,736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13,372</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14,353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320" w:type="dxa"/>
            <w:vAlign w:val="bottom"/>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3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2,056</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2,417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8,413</w:t>
            </w: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9,045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320" w:type="dxa"/>
            <w:vAlign w:val="bottom"/>
          </w:tcPr>
          <w:p>
            <w:pPr>
              <w:ind w:left="200"/>
              <w:spacing w:after="0"/>
              <w:rPr>
                <w:sz w:val="20"/>
                <w:szCs w:val="20"/>
                <w:color w:val="auto"/>
              </w:rPr>
            </w:pPr>
            <w:r>
              <w:rPr>
                <w:rFonts w:ascii="Arial" w:cs="Arial" w:eastAsia="Arial" w:hAnsi="Arial"/>
                <w:sz w:val="18"/>
                <w:szCs w:val="18"/>
                <w:color w:val="auto"/>
              </w:rPr>
              <w:t>Net (income) loss attributable to noncontrolling interests and redeemable</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320" w:type="dxa"/>
            <w:vAlign w:val="bottom"/>
          </w:tcPr>
          <w:p>
            <w:pPr>
              <w:ind w:left="380"/>
              <w:spacing w:after="0"/>
              <w:rPr>
                <w:sz w:val="20"/>
                <w:szCs w:val="20"/>
                <w:color w:val="auto"/>
              </w:rPr>
            </w:pPr>
            <w:r>
              <w:rPr>
                <w:rFonts w:ascii="Arial" w:cs="Arial" w:eastAsia="Arial" w:hAnsi="Arial"/>
                <w:sz w:val="18"/>
                <w:szCs w:val="18"/>
                <w:color w:val="auto"/>
              </w:rPr>
              <w:t>subsidiary preferred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0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2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$1,971</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$2,296</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$8,163</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$8,695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 Comcast</w:t>
            </w: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6320" w:type="dxa"/>
            <w:vAlign w:val="bottom"/>
            <w:vMerge w:val="continue"/>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$0.79</w:t>
            </w:r>
          </w:p>
        </w:tc>
        <w:tc>
          <w:tcPr>
            <w:tcW w:w="280" w:type="dxa"/>
            <w:vAlign w:val="bottom"/>
          </w:tcPr>
          <w:p>
            <w:pPr>
              <w:spacing w:after="0"/>
              <w:rPr>
                <w:sz w:val="24"/>
                <w:szCs w:val="2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$0.95</w:t>
            </w:r>
          </w:p>
        </w:tc>
        <w:tc>
          <w:tcPr>
            <w:tcW w:w="2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24"/>
                <w:szCs w:val="2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$3.57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32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32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$0.275</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632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2,410</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5660"/>
              <w:spacing w:after="0"/>
              <w:rPr>
                <w:sz w:val="20"/>
                <w:szCs w:val="20"/>
                <w:color w:val="auto"/>
              </w:rPr>
            </w:pPr>
            <w:r>
              <w:rPr>
                <w:rFonts w:ascii="Arial" w:cs="Arial" w:eastAsia="Arial" w:hAnsi="Arial"/>
                <w:sz w:val="16"/>
                <w:szCs w:val="16"/>
                <w:color w:val="auto"/>
              </w:rPr>
              <w:t>8</w:t>
            </w: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63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349250</wp:posOffset>
            </wp:positionV>
            <wp:extent cx="995045" cy="43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504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20"/>
                <w:szCs w:val="20"/>
                <w:color w:val="auto"/>
              </w:rPr>
            </w:pPr>
            <w:r>
              <w:rPr>
                <w:rFonts w:ascii="Arial" w:cs="Arial" w:eastAsia="Arial" w:hAnsi="Arial"/>
                <w:sz w:val="18"/>
                <w:szCs w:val="18"/>
                <w:color w:val="auto"/>
              </w:rPr>
              <w:t>(in millions)</w:t>
            </w:r>
          </w:p>
        </w:tc>
        <w:tc>
          <w:tcPr>
            <w:tcW w:w="174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7"/>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8"/>
        </w:trPr>
        <w:tc>
          <w:tcPr>
            <w:tcW w:w="804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0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$3,301</w:t>
            </w:r>
          </w:p>
        </w:tc>
        <w:tc>
          <w:tcPr>
            <w:tcW w:w="0" w:type="dxa"/>
            <w:vAlign w:val="bottom"/>
          </w:tcPr>
          <w:p>
            <w:pPr>
              <w:spacing w:after="0"/>
              <w:rPr>
                <w:sz w:val="1"/>
                <w:szCs w:val="1"/>
                <w:color w:val="auto"/>
              </w:rPr>
            </w:pPr>
          </w:p>
        </w:tc>
      </w:tr>
      <w:tr>
        <w:trPr>
          <w:trHeight w:val="201"/>
        </w:trPr>
        <w:tc>
          <w:tcPr>
            <w:tcW w:w="8040" w:type="dxa"/>
            <w:vAlign w:val="bottom"/>
          </w:tcPr>
          <w:p>
            <w:pPr>
              <w:ind w:left="260"/>
              <w:spacing w:after="0" w:line="201" w:lineRule="exact"/>
              <w:rPr>
                <w:sz w:val="20"/>
                <w:szCs w:val="20"/>
                <w:color w:val="auto"/>
              </w:rPr>
            </w:pPr>
            <w:r>
              <w:rPr>
                <w:rFonts w:ascii="Arial" w:cs="Arial" w:eastAsia="Arial" w:hAnsi="Arial"/>
                <w:sz w:val="18"/>
                <w:szCs w:val="18"/>
                <w:color w:val="auto"/>
              </w:rPr>
              <w:t>Cash and cash equivalents</w:t>
            </w:r>
          </w:p>
        </w:tc>
        <w:tc>
          <w:tcPr>
            <w:tcW w:w="14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$2,295</w:t>
            </w:r>
          </w:p>
        </w:tc>
        <w:tc>
          <w:tcPr>
            <w:tcW w:w="2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260"/>
              <w:spacing w:after="0" w:line="202" w:lineRule="exact"/>
              <w:rPr>
                <w:sz w:val="20"/>
                <w:szCs w:val="20"/>
                <w:color w:val="auto"/>
              </w:rPr>
            </w:pPr>
            <w:r>
              <w:rPr>
                <w:rFonts w:ascii="Arial" w:cs="Arial" w:eastAsia="Arial" w:hAnsi="Arial"/>
                <w:sz w:val="18"/>
                <w:szCs w:val="18"/>
                <w:color w:val="auto"/>
              </w:rPr>
              <w:t>Receivables, net</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6,896</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7,955</w:t>
            </w:r>
          </w:p>
        </w:tc>
        <w:tc>
          <w:tcPr>
            <w:tcW w:w="0" w:type="dxa"/>
            <w:vAlign w:val="bottom"/>
          </w:tcPr>
          <w:p>
            <w:pPr>
              <w:spacing w:after="0"/>
              <w:rPr>
                <w:sz w:val="1"/>
                <w:szCs w:val="1"/>
                <w:color w:val="auto"/>
              </w:rPr>
            </w:pPr>
          </w:p>
        </w:tc>
      </w:tr>
      <w:tr>
        <w:trPr>
          <w:trHeight w:val="203"/>
        </w:trPr>
        <w:tc>
          <w:tcPr>
            <w:tcW w:w="8040" w:type="dxa"/>
            <w:vAlign w:val="bottom"/>
          </w:tcPr>
          <w:p>
            <w:pPr>
              <w:ind w:left="260"/>
              <w:spacing w:after="0" w:line="202" w:lineRule="exact"/>
              <w:rPr>
                <w:sz w:val="20"/>
                <w:szCs w:val="20"/>
                <w:color w:val="auto"/>
              </w:rPr>
            </w:pPr>
            <w:r>
              <w:rPr>
                <w:rFonts w:ascii="Arial" w:cs="Arial" w:eastAsia="Arial" w:hAnsi="Arial"/>
                <w:sz w:val="18"/>
                <w:szCs w:val="18"/>
                <w:color w:val="auto"/>
              </w:rPr>
              <w:t>Programming rights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1,213</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r>
        <w:trPr>
          <w:trHeight w:val="203"/>
        </w:trPr>
        <w:tc>
          <w:tcPr>
            <w:tcW w:w="8040" w:type="dxa"/>
            <w:vAlign w:val="bottom"/>
          </w:tcPr>
          <w:p>
            <w:pPr>
              <w:ind w:left="260"/>
              <w:spacing w:after="0" w:line="202" w:lineRule="exact"/>
              <w:rPr>
                <w:sz w:val="20"/>
                <w:szCs w:val="20"/>
                <w:color w:val="auto"/>
              </w:rPr>
            </w:pPr>
            <w:r>
              <w:rPr>
                <w:rFonts w:ascii="Arial" w:cs="Arial" w:eastAsia="Arial" w:hAnsi="Arial"/>
                <w:sz w:val="18"/>
                <w:szCs w:val="18"/>
                <w:color w:val="auto"/>
              </w:rPr>
              <w:t>Deposits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1,772</w:t>
            </w:r>
          </w:p>
        </w:tc>
        <w:tc>
          <w:tcPr>
            <w:tcW w:w="0" w:type="dxa"/>
            <w:vAlign w:val="bottom"/>
          </w:tcPr>
          <w:p>
            <w:pPr>
              <w:spacing w:after="0"/>
              <w:rPr>
                <w:sz w:val="1"/>
                <w:szCs w:val="1"/>
                <w:color w:val="auto"/>
              </w:rPr>
            </w:pPr>
          </w:p>
        </w:tc>
      </w:tr>
      <w:tr>
        <w:trPr>
          <w:trHeight w:val="205"/>
        </w:trPr>
        <w:tc>
          <w:tcPr>
            <w:tcW w:w="8040" w:type="dxa"/>
            <w:vAlign w:val="bottom"/>
          </w:tcPr>
          <w:p>
            <w:pPr>
              <w:ind w:left="260"/>
              <w:spacing w:after="0" w:line="205" w:lineRule="exact"/>
              <w:rPr>
                <w:sz w:val="20"/>
                <w:szCs w:val="20"/>
                <w:color w:val="auto"/>
              </w:rPr>
            </w:pPr>
            <w:r>
              <w:rPr>
                <w:rFonts w:ascii="Arial" w:cs="Arial" w:eastAsia="Arial" w:hAnsi="Arial"/>
                <w:sz w:val="18"/>
                <w:szCs w:val="18"/>
                <w:color w:val="auto"/>
              </w:rPr>
              <w:t>Other current assets</w:t>
            </w:r>
          </w:p>
        </w:tc>
        <w:tc>
          <w:tcPr>
            <w:tcW w:w="1460" w:type="dxa"/>
            <w:vAlign w:val="bottom"/>
          </w:tcPr>
          <w:p>
            <w:pPr>
              <w:jc w:val="right"/>
              <w:ind w:right="10"/>
              <w:spacing w:after="0" w:line="205" w:lineRule="exact"/>
              <w:rPr>
                <w:sz w:val="20"/>
                <w:szCs w:val="20"/>
                <w:color w:val="auto"/>
              </w:rPr>
            </w:pPr>
            <w:r>
              <w:rPr>
                <w:rFonts w:ascii="Arial" w:cs="Arial" w:eastAsia="Arial" w:hAnsi="Arial"/>
                <w:sz w:val="18"/>
                <w:szCs w:val="18"/>
                <w:color w:val="auto"/>
              </w:rPr>
              <w:t>1,878</w:t>
            </w:r>
          </w:p>
        </w:tc>
        <w:tc>
          <w:tcPr>
            <w:tcW w:w="280" w:type="dxa"/>
            <w:vAlign w:val="bottom"/>
          </w:tcPr>
          <w:p>
            <w:pPr>
              <w:spacing w:after="0"/>
              <w:rPr>
                <w:sz w:val="17"/>
                <w:szCs w:val="17"/>
                <w:color w:val="auto"/>
              </w:rPr>
            </w:pPr>
          </w:p>
        </w:tc>
        <w:tc>
          <w:tcPr>
            <w:tcW w:w="148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2,083</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400"/>
              <w:spacing w:after="0"/>
              <w:rPr>
                <w:sz w:val="20"/>
                <w:szCs w:val="20"/>
                <w:color w:val="auto"/>
              </w:rPr>
            </w:pPr>
            <w:r>
              <w:rPr>
                <w:rFonts w:ascii="Arial" w:cs="Arial" w:eastAsia="Arial" w:hAnsi="Arial"/>
                <w:sz w:val="18"/>
                <w:szCs w:val="18"/>
                <w:color w:val="auto"/>
              </w:rPr>
              <w:t>Total current assets</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12,303</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16,361</w:t>
            </w:r>
          </w:p>
        </w:tc>
        <w:tc>
          <w:tcPr>
            <w:tcW w:w="0" w:type="dxa"/>
            <w:vAlign w:val="bottom"/>
          </w:tcPr>
          <w:p>
            <w:pPr>
              <w:spacing w:after="0"/>
              <w:rPr>
                <w:sz w:val="1"/>
                <w:szCs w:val="1"/>
                <w:color w:val="auto"/>
              </w:rPr>
            </w:pPr>
          </w:p>
        </w:tc>
      </w:tr>
      <w:tr>
        <w:trPr>
          <w:trHeight w:val="424"/>
        </w:trPr>
        <w:tc>
          <w:tcPr>
            <w:tcW w:w="8040" w:type="dxa"/>
            <w:vAlign w:val="bottom"/>
          </w:tcPr>
          <w:p>
            <w:pPr>
              <w:ind w:left="140"/>
              <w:spacing w:after="0"/>
              <w:rPr>
                <w:sz w:val="20"/>
                <w:szCs w:val="20"/>
                <w:color w:val="auto"/>
              </w:rPr>
            </w:pPr>
            <w:r>
              <w:rPr>
                <w:rFonts w:ascii="Arial" w:cs="Arial" w:eastAsia="Arial" w:hAnsi="Arial"/>
                <w:sz w:val="18"/>
                <w:szCs w:val="18"/>
                <w:color w:val="auto"/>
              </w:rPr>
              <w:t>Film and television costs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5,855</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7,252</w:t>
            </w:r>
          </w:p>
        </w:tc>
        <w:tc>
          <w:tcPr>
            <w:tcW w:w="0" w:type="dxa"/>
            <w:vAlign w:val="bottom"/>
          </w:tcPr>
          <w:p>
            <w:pPr>
              <w:spacing w:after="0"/>
              <w:rPr>
                <w:sz w:val="1"/>
                <w:szCs w:val="1"/>
                <w:color w:val="auto"/>
              </w:rPr>
            </w:pPr>
          </w:p>
        </w:tc>
      </w:tr>
      <w:tr>
        <w:trPr>
          <w:trHeight w:val="405"/>
        </w:trPr>
        <w:tc>
          <w:tcPr>
            <w:tcW w:w="804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5,247</w:t>
            </w:r>
          </w:p>
        </w:tc>
        <w:tc>
          <w:tcPr>
            <w:tcW w:w="0" w:type="dxa"/>
            <w:vAlign w:val="bottom"/>
          </w:tcPr>
          <w:p>
            <w:pPr>
              <w:spacing w:after="0"/>
              <w:rPr>
                <w:sz w:val="1"/>
                <w:szCs w:val="1"/>
                <w:color w:val="auto"/>
              </w:rPr>
            </w:pPr>
          </w:p>
        </w:tc>
      </w:tr>
      <w:tr>
        <w:trPr>
          <w:trHeight w:val="405"/>
        </w:trPr>
        <w:tc>
          <w:tcPr>
            <w:tcW w:w="804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33,665</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36,253</w:t>
            </w:r>
          </w:p>
        </w:tc>
        <w:tc>
          <w:tcPr>
            <w:tcW w:w="0" w:type="dxa"/>
            <w:vAlign w:val="bottom"/>
          </w:tcPr>
          <w:p>
            <w:pPr>
              <w:spacing w:after="0"/>
              <w:rPr>
                <w:sz w:val="1"/>
                <w:szCs w:val="1"/>
                <w:color w:val="auto"/>
              </w:rPr>
            </w:pPr>
          </w:p>
        </w:tc>
      </w:tr>
      <w:tr>
        <w:trPr>
          <w:trHeight w:val="405"/>
        </w:trPr>
        <w:tc>
          <w:tcPr>
            <w:tcW w:w="8040" w:type="dxa"/>
            <w:vAlign w:val="bottom"/>
          </w:tcPr>
          <w:p>
            <w:pPr>
              <w:ind w:left="140"/>
              <w:spacing w:after="0"/>
              <w:rPr>
                <w:sz w:val="20"/>
                <w:szCs w:val="20"/>
                <w:color w:val="auto"/>
              </w:rPr>
            </w:pPr>
            <w:r>
              <w:rPr>
                <w:rFonts w:ascii="Arial" w:cs="Arial" w:eastAsia="Arial" w:hAnsi="Arial"/>
                <w:sz w:val="18"/>
                <w:szCs w:val="18"/>
                <w:color w:val="auto"/>
              </w:rPr>
              <w:t>Franchise rights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59,364</w:t>
            </w:r>
          </w:p>
        </w:tc>
        <w:tc>
          <w:tcPr>
            <w:tcW w:w="0" w:type="dxa"/>
            <w:vAlign w:val="bottom"/>
          </w:tcPr>
          <w:p>
            <w:pPr>
              <w:spacing w:after="0"/>
              <w:rPr>
                <w:sz w:val="1"/>
                <w:szCs w:val="1"/>
                <w:color w:val="auto"/>
              </w:rPr>
            </w:pPr>
          </w:p>
        </w:tc>
      </w:tr>
      <w:tr>
        <w:trPr>
          <w:trHeight w:val="405"/>
        </w:trPr>
        <w:tc>
          <w:tcPr>
            <w:tcW w:w="80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32,945</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35,980</w:t>
            </w:r>
          </w:p>
        </w:tc>
        <w:tc>
          <w:tcPr>
            <w:tcW w:w="0" w:type="dxa"/>
            <w:vAlign w:val="bottom"/>
          </w:tcPr>
          <w:p>
            <w:pPr>
              <w:spacing w:after="0"/>
              <w:rPr>
                <w:sz w:val="1"/>
                <w:szCs w:val="1"/>
                <w:color w:val="auto"/>
              </w:rPr>
            </w:pPr>
          </w:p>
        </w:tc>
      </w:tr>
      <w:tr>
        <w:trPr>
          <w:trHeight w:val="405"/>
        </w:trPr>
        <w:tc>
          <w:tcPr>
            <w:tcW w:w="8040" w:type="dxa"/>
            <w:vAlign w:val="bottom"/>
          </w:tcPr>
          <w:p>
            <w:pPr>
              <w:ind w:left="140"/>
              <w:spacing w:after="0"/>
              <w:rPr>
                <w:sz w:val="20"/>
                <w:szCs w:val="20"/>
                <w:color w:val="auto"/>
              </w:rPr>
            </w:pPr>
            <w:r>
              <w:rPr>
                <w:rFonts w:ascii="Arial" w:cs="Arial" w:eastAsia="Arial" w:hAnsi="Arial"/>
                <w:sz w:val="18"/>
                <w:szCs w:val="18"/>
                <w:color w:val="auto"/>
              </w:rPr>
              <w:t>Other intangible assets, net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16,946</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17,274</w:t>
            </w:r>
          </w:p>
        </w:tc>
        <w:tc>
          <w:tcPr>
            <w:tcW w:w="0" w:type="dxa"/>
            <w:vAlign w:val="bottom"/>
          </w:tcPr>
          <w:p>
            <w:pPr>
              <w:spacing w:after="0"/>
              <w:rPr>
                <w:sz w:val="1"/>
                <w:szCs w:val="1"/>
                <w:color w:val="auto"/>
              </w:rPr>
            </w:pPr>
          </w:p>
        </w:tc>
      </w:tr>
      <w:tr>
        <w:trPr>
          <w:trHeight w:val="380"/>
        </w:trPr>
        <w:tc>
          <w:tcPr>
            <w:tcW w:w="8040" w:type="dxa"/>
            <w:vAlign w:val="bottom"/>
          </w:tcPr>
          <w:p>
            <w:pPr>
              <w:ind w:left="140"/>
              <w:spacing w:after="0"/>
              <w:rPr>
                <w:sz w:val="20"/>
                <w:szCs w:val="20"/>
                <w:color w:val="auto"/>
              </w:rPr>
            </w:pPr>
            <w:r>
              <w:rPr>
                <w:rFonts w:ascii="Arial" w:cs="Arial" w:eastAsia="Arial" w:hAnsi="Arial"/>
                <w:sz w:val="18"/>
                <w:szCs w:val="18"/>
                <w:color w:val="auto"/>
              </w:rPr>
              <w:t>Other noncurrent assets, net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2,272</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2,769</w:t>
            </w:r>
          </w:p>
        </w:tc>
        <w:tc>
          <w:tcPr>
            <w:tcW w:w="0" w:type="dxa"/>
            <w:vAlign w:val="bottom"/>
          </w:tcPr>
          <w:p>
            <w:pPr>
              <w:spacing w:after="0"/>
              <w:rPr>
                <w:sz w:val="1"/>
                <w:szCs w:val="1"/>
                <w:color w:val="auto"/>
              </w:rPr>
            </w:pPr>
          </w:p>
        </w:tc>
      </w:tr>
      <w:tr>
        <w:trPr>
          <w:trHeight w:val="399"/>
        </w:trPr>
        <w:tc>
          <w:tcPr>
            <w:tcW w:w="8040" w:type="dxa"/>
            <w:vAlign w:val="bottom"/>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$166,574</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$180,500</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04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$6,915</w:t>
            </w:r>
          </w:p>
        </w:tc>
        <w:tc>
          <w:tcPr>
            <w:tcW w:w="0" w:type="dxa"/>
            <w:vAlign w:val="bottom"/>
          </w:tcPr>
          <w:p>
            <w:pPr>
              <w:spacing w:after="0"/>
              <w:rPr>
                <w:sz w:val="1"/>
                <w:szCs w:val="1"/>
                <w:color w:val="auto"/>
              </w:rPr>
            </w:pPr>
          </w:p>
        </w:tc>
      </w:tr>
      <w:tr>
        <w:trPr>
          <w:trHeight w:val="201"/>
        </w:trPr>
        <w:tc>
          <w:tcPr>
            <w:tcW w:w="8040" w:type="dxa"/>
            <w:vAlign w:val="bottom"/>
          </w:tcPr>
          <w:p>
            <w:pPr>
              <w:ind w:left="260"/>
              <w:spacing w:after="0" w:line="201" w:lineRule="exact"/>
              <w:rPr>
                <w:sz w:val="20"/>
                <w:szCs w:val="20"/>
                <w:color w:val="auto"/>
              </w:rPr>
            </w:pPr>
            <w:r>
              <w:rPr>
                <w:rFonts w:ascii="Arial" w:cs="Arial" w:eastAsia="Arial" w:hAnsi="Arial"/>
                <w:sz w:val="18"/>
                <w:szCs w:val="18"/>
                <w:color w:val="auto"/>
              </w:rPr>
              <w:t>Accounts payable and accrued expenses related to trade creditors</w:t>
            </w:r>
          </w:p>
        </w:tc>
        <w:tc>
          <w:tcPr>
            <w:tcW w:w="14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$6,215</w:t>
            </w:r>
          </w:p>
        </w:tc>
        <w:tc>
          <w:tcPr>
            <w:tcW w:w="2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260"/>
              <w:spacing w:after="0" w:line="202" w:lineRule="exact"/>
              <w:rPr>
                <w:sz w:val="20"/>
                <w:szCs w:val="20"/>
                <w:color w:val="auto"/>
              </w:rPr>
            </w:pPr>
            <w:r>
              <w:rPr>
                <w:rFonts w:ascii="Arial" w:cs="Arial" w:eastAsia="Arial" w:hAnsi="Arial"/>
                <w:sz w:val="18"/>
                <w:szCs w:val="18"/>
                <w:color w:val="auto"/>
              </w:rPr>
              <w:t>Accrued participations and residuals</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1,572</w:t>
            </w:r>
          </w:p>
        </w:tc>
        <w:tc>
          <w:tcPr>
            <w:tcW w:w="280" w:type="dxa"/>
            <w:vAlign w:val="bottom"/>
          </w:tcPr>
          <w:p>
            <w:pPr>
              <w:spacing w:after="0"/>
              <w:rPr>
                <w:sz w:val="17"/>
                <w:szCs w:val="17"/>
                <w:color w:val="auto"/>
              </w:rPr>
            </w:pP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1,726</w:t>
            </w:r>
          </w:p>
        </w:tc>
        <w:tc>
          <w:tcPr>
            <w:tcW w:w="0" w:type="dxa"/>
            <w:vAlign w:val="bottom"/>
          </w:tcPr>
          <w:p>
            <w:pPr>
              <w:spacing w:after="0"/>
              <w:rPr>
                <w:sz w:val="1"/>
                <w:szCs w:val="1"/>
                <w:color w:val="auto"/>
              </w:rPr>
            </w:pPr>
          </w:p>
        </w:tc>
      </w:tr>
      <w:tr>
        <w:trPr>
          <w:trHeight w:val="253"/>
        </w:trPr>
        <w:tc>
          <w:tcPr>
            <w:tcW w:w="80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1,302</w:t>
            </w:r>
          </w:p>
        </w:tc>
        <w:tc>
          <w:tcPr>
            <w:tcW w:w="2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1,132</w:t>
            </w:r>
          </w:p>
        </w:tc>
        <w:tc>
          <w:tcPr>
            <w:tcW w:w="0" w:type="dxa"/>
            <w:vAlign w:val="bottom"/>
          </w:tcPr>
          <w:p>
            <w:pPr>
              <w:spacing w:after="0"/>
              <w:rPr>
                <w:sz w:val="1"/>
                <w:szCs w:val="1"/>
                <w:color w:val="auto"/>
              </w:rPr>
            </w:pPr>
          </w:p>
        </w:tc>
      </w:tr>
    </w:tbl>
    <w:p>
      <w:pPr>
        <w:sectPr>
          <w:pgSz w:w="11900" w:h="16869" w:orient="portrait"/>
          <w:cols w:equalWidth="0" w:num="1">
            <w:col w:w="11460"/>
          </w:cols>
          <w:pgMar w:left="240" w:top="313"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5,462</w:t>
            </w:r>
          </w:p>
        </w:tc>
        <w:tc>
          <w:tcPr>
            <w:tcW w:w="280" w:type="dxa"/>
            <w:vAlign w:val="bottom"/>
          </w:tcPr>
          <w:p>
            <w:pPr>
              <w:spacing w:after="0"/>
              <w:rPr>
                <w:sz w:val="17"/>
                <w:szCs w:val="17"/>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6,282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40" w:type="dxa"/>
            <w:vAlign w:val="bottom"/>
          </w:tcPr>
          <w:p>
            <w:pPr>
              <w:ind w:left="260"/>
              <w:spacing w:after="0" w:line="205" w:lineRule="exact"/>
              <w:rPr>
                <w:sz w:val="20"/>
                <w:szCs w:val="20"/>
                <w:color w:val="auto"/>
              </w:rPr>
            </w:pPr>
            <w:r>
              <w:rPr>
                <w:rFonts w:ascii="Arial" w:cs="Arial" w:eastAsia="Arial" w:hAnsi="Arial"/>
                <w:sz w:val="18"/>
                <w:szCs w:val="18"/>
                <w:color w:val="auto"/>
              </w:rPr>
              <w:t>Current portion of long-term debt</w:t>
            </w:r>
          </w:p>
        </w:tc>
        <w:tc>
          <w:tcPr>
            <w:tcW w:w="1460" w:type="dxa"/>
            <w:vAlign w:val="bottom"/>
          </w:tcPr>
          <w:p>
            <w:pPr>
              <w:jc w:val="right"/>
              <w:ind w:right="10"/>
              <w:spacing w:after="0" w:line="205" w:lineRule="exact"/>
              <w:rPr>
                <w:sz w:val="20"/>
                <w:szCs w:val="20"/>
                <w:color w:val="auto"/>
              </w:rPr>
            </w:pPr>
            <w:r>
              <w:rPr>
                <w:rFonts w:ascii="Arial" w:cs="Arial" w:eastAsia="Arial" w:hAnsi="Arial"/>
                <w:sz w:val="18"/>
                <w:szCs w:val="18"/>
                <w:color w:val="auto"/>
              </w:rPr>
              <w:t>3,627</w:t>
            </w:r>
          </w:p>
        </w:tc>
        <w:tc>
          <w:tcPr>
            <w:tcW w:w="280" w:type="dxa"/>
            <w:vAlign w:val="bottom"/>
          </w:tcPr>
          <w:p>
            <w:pPr>
              <w:spacing w:after="0"/>
              <w:rPr>
                <w:sz w:val="17"/>
                <w:szCs w:val="17"/>
                <w:color w:val="auto"/>
              </w:rPr>
            </w:pPr>
          </w:p>
        </w:tc>
        <w:tc>
          <w:tcPr>
            <w:tcW w:w="148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5,480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40" w:type="dxa"/>
            <w:vAlign w:val="bottom"/>
            <w:vMerge w:val="restart"/>
          </w:tcPr>
          <w:p>
            <w:pPr>
              <w:ind w:left="400"/>
              <w:spacing w:after="0"/>
              <w:rPr>
                <w:sz w:val="20"/>
                <w:szCs w:val="20"/>
                <w:color w:val="auto"/>
              </w:rPr>
            </w:pPr>
            <w:r>
              <w:rPr>
                <w:rFonts w:ascii="Arial" w:cs="Arial" w:eastAsia="Arial" w:hAnsi="Arial"/>
                <w:sz w:val="18"/>
                <w:szCs w:val="18"/>
                <w:color w:val="auto"/>
              </w:rPr>
              <w:t>Total current liabilities</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18,178</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21,535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8040" w:type="dxa"/>
            <w:vAlign w:val="bottom"/>
          </w:tcPr>
          <w:p>
            <w:pPr>
              <w:ind w:left="140"/>
              <w:spacing w:after="0"/>
              <w:rPr>
                <w:sz w:val="20"/>
                <w:szCs w:val="20"/>
                <w:color w:val="auto"/>
              </w:rPr>
            </w:pPr>
            <w:r>
              <w:rPr>
                <w:rFonts w:ascii="Arial" w:cs="Arial" w:eastAsia="Arial" w:hAnsi="Arial"/>
                <w:sz w:val="18"/>
                <w:szCs w:val="18"/>
                <w:color w:val="auto"/>
              </w:rPr>
              <w:t>Long-term debt, less current portion</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48,994</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55,566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4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33,566</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34,854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40" w:type="dxa"/>
            <w:vAlign w:val="bottom"/>
          </w:tcPr>
          <w:p>
            <w:pPr>
              <w:ind w:left="140"/>
              <w:spacing w:after="0"/>
              <w:rPr>
                <w:sz w:val="20"/>
                <w:szCs w:val="20"/>
                <w:color w:val="auto"/>
              </w:rPr>
            </w:pPr>
            <w:r>
              <w:rPr>
                <w:rFonts w:ascii="Arial" w:cs="Arial" w:eastAsia="Arial" w:hAnsi="Arial"/>
                <w:sz w:val="18"/>
                <w:szCs w:val="18"/>
                <w:color w:val="auto"/>
              </w:rPr>
              <w:t>Other noncurrent liabilities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10,637</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10,925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40" w:type="dxa"/>
            <w:vAlign w:val="bottom"/>
          </w:tcPr>
          <w:p>
            <w:pPr>
              <w:ind w:left="1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1,446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040" w:type="dxa"/>
            <w:vAlign w:val="bottom"/>
          </w:tcPr>
          <w:p>
            <w:pPr>
              <w:ind w:left="140"/>
              <w:spacing w:after="0"/>
              <w:rPr>
                <w:sz w:val="20"/>
                <w:szCs w:val="20"/>
                <w:color w:val="auto"/>
              </w:rPr>
            </w:pPr>
            <w:r>
              <w:rPr>
                <w:rFonts w:ascii="Arial" w:cs="Arial" w:eastAsia="Arial" w:hAnsi="Arial"/>
                <w:sz w:val="18"/>
                <w:szCs w:val="18"/>
                <w:color w:val="auto"/>
              </w:rPr>
              <w:t>Equity</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53,943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260"/>
              <w:spacing w:after="0" w:line="201" w:lineRule="exact"/>
              <w:rPr>
                <w:sz w:val="20"/>
                <w:szCs w:val="20"/>
                <w:color w:val="auto"/>
              </w:rPr>
            </w:pPr>
            <w:r>
              <w:rPr>
                <w:rFonts w:ascii="Arial" w:cs="Arial" w:eastAsia="Arial" w:hAnsi="Arial"/>
                <w:sz w:val="18"/>
                <w:szCs w:val="18"/>
                <w:color w:val="auto"/>
              </w:rPr>
              <w:t>Comcast Corporation shareholders’ equity</w:t>
            </w:r>
          </w:p>
        </w:tc>
        <w:tc>
          <w:tcPr>
            <w:tcW w:w="14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52,269</w:t>
            </w:r>
          </w:p>
        </w:tc>
        <w:tc>
          <w:tcPr>
            <w:tcW w:w="2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40" w:type="dxa"/>
            <w:vAlign w:val="bottom"/>
          </w:tcPr>
          <w:p>
            <w:pPr>
              <w:ind w:left="260"/>
              <w:spacing w:after="0" w:line="205" w:lineRule="exact"/>
              <w:rPr>
                <w:sz w:val="20"/>
                <w:szCs w:val="20"/>
                <w:color w:val="auto"/>
              </w:rPr>
            </w:pPr>
            <w:r>
              <w:rPr>
                <w:rFonts w:ascii="Arial" w:cs="Arial" w:eastAsia="Arial" w:hAnsi="Arial"/>
                <w:sz w:val="18"/>
                <w:szCs w:val="18"/>
                <w:color w:val="auto"/>
              </w:rPr>
              <w:t>Noncontrolling interests</w:t>
            </w:r>
          </w:p>
        </w:tc>
        <w:tc>
          <w:tcPr>
            <w:tcW w:w="1460" w:type="dxa"/>
            <w:vAlign w:val="bottom"/>
          </w:tcPr>
          <w:p>
            <w:pPr>
              <w:jc w:val="right"/>
              <w:ind w:right="10"/>
              <w:spacing w:after="0" w:line="205" w:lineRule="exact"/>
              <w:rPr>
                <w:sz w:val="20"/>
                <w:szCs w:val="20"/>
                <w:color w:val="auto"/>
              </w:rPr>
            </w:pPr>
            <w:r>
              <w:rPr>
                <w:rFonts w:ascii="Arial" w:cs="Arial" w:eastAsia="Arial" w:hAnsi="Arial"/>
                <w:sz w:val="18"/>
                <w:szCs w:val="18"/>
                <w:color w:val="auto"/>
              </w:rPr>
              <w:t>1,709</w:t>
            </w:r>
          </w:p>
        </w:tc>
        <w:tc>
          <w:tcPr>
            <w:tcW w:w="280" w:type="dxa"/>
            <w:vAlign w:val="bottom"/>
          </w:tcPr>
          <w:p>
            <w:pPr>
              <w:spacing w:after="0"/>
              <w:rPr>
                <w:sz w:val="17"/>
                <w:szCs w:val="17"/>
                <w:color w:val="auto"/>
              </w:rPr>
            </w:pPr>
          </w:p>
        </w:tc>
        <w:tc>
          <w:tcPr>
            <w:tcW w:w="148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2,231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40" w:type="dxa"/>
            <w:vAlign w:val="bottom"/>
            <w:vMerge w:val="restart"/>
          </w:tcPr>
          <w:p>
            <w:pPr>
              <w:ind w:left="400"/>
              <w:spacing w:after="0"/>
              <w:rPr>
                <w:sz w:val="20"/>
                <w:szCs w:val="20"/>
                <w:color w:val="auto"/>
              </w:rPr>
            </w:pPr>
            <w:r>
              <w:rPr>
                <w:rFonts w:ascii="Arial" w:cs="Arial" w:eastAsia="Arial" w:hAnsi="Arial"/>
                <w:sz w:val="18"/>
                <w:szCs w:val="18"/>
                <w:color w:val="auto"/>
              </w:rPr>
              <w:t>Total equity</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53,978</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56,174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8040" w:type="dxa"/>
            <w:vAlign w:val="bottom"/>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$166,574</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$180,500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80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54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20"/>
                <w:szCs w:val="20"/>
                <w:color w:val="auto"/>
              </w:rPr>
            </w:pPr>
            <w:r>
              <w:rPr>
                <w:rFonts w:ascii="Arial" w:cs="Arial" w:eastAsia="Arial" w:hAnsi="Arial"/>
                <w:sz w:val="18"/>
                <w:szCs w:val="18"/>
                <w:color w:val="auto"/>
              </w:rPr>
              <w:t>(in millions)</w:t>
            </w:r>
          </w:p>
        </w:tc>
        <w:tc>
          <w:tcPr>
            <w:tcW w:w="318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9"/>
              </w:rPr>
              <w:t>Twelve Months Ended</w:t>
            </w:r>
          </w:p>
        </w:tc>
        <w:tc>
          <w:tcPr>
            <w:tcW w:w="0" w:type="dxa"/>
            <w:vAlign w:val="bottom"/>
          </w:tcPr>
          <w:p>
            <w:pPr>
              <w:spacing w:after="0"/>
              <w:rPr>
                <w:sz w:val="1"/>
                <w:szCs w:val="1"/>
                <w:color w:val="auto"/>
              </w:rPr>
            </w:pPr>
          </w:p>
        </w:tc>
      </w:tr>
      <w:tr>
        <w:trPr>
          <w:trHeight w:val="253"/>
        </w:trPr>
        <w:tc>
          <w:tcPr>
            <w:tcW w:w="8240" w:type="dxa"/>
            <w:vAlign w:val="bottom"/>
          </w:tcPr>
          <w:p>
            <w:pPr>
              <w:spacing w:after="0"/>
              <w:rPr>
                <w:sz w:val="21"/>
                <w:szCs w:val="21"/>
                <w:color w:val="auto"/>
              </w:rPr>
            </w:pPr>
          </w:p>
        </w:tc>
        <w:tc>
          <w:tcPr>
            <w:tcW w:w="216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5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0"/>
        </w:trPr>
        <w:tc>
          <w:tcPr>
            <w:tcW w:w="82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$9,045</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$8,413</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9,558</w:t>
            </w:r>
          </w:p>
        </w:tc>
        <w:tc>
          <w:tcPr>
            <w:tcW w:w="0" w:type="dxa"/>
            <w:vAlign w:val="bottom"/>
          </w:tcPr>
          <w:p>
            <w:pPr>
              <w:spacing w:after="0"/>
              <w:rPr>
                <w:sz w:val="1"/>
                <w:szCs w:val="1"/>
                <w:color w:val="auto"/>
              </w:rPr>
            </w:pPr>
          </w:p>
        </w:tc>
      </w:tr>
      <w:tr>
        <w:trPr>
          <w:trHeight w:val="241"/>
        </w:trPr>
        <w:tc>
          <w:tcPr>
            <w:tcW w:w="8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8,680</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640</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Noncash interest expense (income),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230</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Equity in net (income) losses of investees,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Cash received from investees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Net (gain) loss on investment activity and other</w:t>
            </w:r>
          </w:p>
        </w:tc>
        <w:tc>
          <w:tcPr>
            <w:tcW w:w="150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45"/>
        </w:trPr>
        <w:tc>
          <w:tcPr>
            <w:tcW w:w="82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958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1,444</w:t>
            </w:r>
          </w:p>
        </w:tc>
        <w:tc>
          <w:tcPr>
            <w:tcW w:w="0" w:type="dxa"/>
            <w:vAlign w:val="bottom"/>
          </w:tcPr>
          <w:p>
            <w:pPr>
              <w:spacing w:after="0"/>
              <w:rPr>
                <w:sz w:val="1"/>
                <w:szCs w:val="1"/>
                <w:color w:val="auto"/>
              </w:rPr>
            </w:pPr>
          </w:p>
        </w:tc>
      </w:tr>
      <w:tr>
        <w:trPr>
          <w:trHeight w:val="243"/>
        </w:trPr>
        <w:tc>
          <w:tcPr>
            <w:tcW w:w="82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(782)</w:t>
            </w:r>
          </w:p>
        </w:tc>
        <w:tc>
          <w:tcPr>
            <w:tcW w:w="0" w:type="dxa"/>
            <w:vAlign w:val="bottom"/>
          </w:tcPr>
          <w:p>
            <w:pPr>
              <w:spacing w:after="0"/>
              <w:rPr>
                <w:sz w:val="1"/>
                <w:szCs w:val="1"/>
                <w:color w:val="auto"/>
              </w:rPr>
            </w:pPr>
          </w:p>
        </w:tc>
      </w:tr>
      <w:tr>
        <w:trPr>
          <w:trHeight w:val="241"/>
        </w:trPr>
        <w:tc>
          <w:tcPr>
            <w:tcW w:w="8240" w:type="dxa"/>
            <w:vAlign w:val="bottom"/>
          </w:tcPr>
          <w:p>
            <w:pPr>
              <w:ind w:left="360"/>
              <w:spacing w:after="0"/>
              <w:rPr>
                <w:sz w:val="20"/>
                <w:szCs w:val="20"/>
                <w:color w:val="auto"/>
              </w:rPr>
            </w:pPr>
            <w:r>
              <w:rPr>
                <w:rFonts w:ascii="Arial" w:cs="Arial" w:eastAsia="Arial" w:hAnsi="Arial"/>
                <w:sz w:val="18"/>
                <w:szCs w:val="18"/>
                <w:color w:val="auto"/>
              </w:rPr>
              <w:t>Current and noncurrent receivables, net</w:t>
            </w:r>
          </w:p>
        </w:tc>
        <w:tc>
          <w:tcPr>
            <w:tcW w:w="1500" w:type="dxa"/>
            <w:vAlign w:val="bottom"/>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Film and television costs, net</w:t>
            </w:r>
          </w:p>
        </w:tc>
        <w:tc>
          <w:tcPr>
            <w:tcW w:w="150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374</w:t>
            </w:r>
          </w:p>
        </w:tc>
        <w:tc>
          <w:tcPr>
            <w:tcW w:w="0" w:type="dxa"/>
            <w:vAlign w:val="bottom"/>
          </w:tcPr>
          <w:p>
            <w:pPr>
              <w:spacing w:after="0"/>
              <w:rPr>
                <w:sz w:val="1"/>
                <w:szCs w:val="1"/>
                <w:color w:val="auto"/>
              </w:rPr>
            </w:pPr>
          </w:p>
        </w:tc>
      </w:tr>
      <w:tr>
        <w:trPr>
          <w:trHeight w:val="227"/>
        </w:trPr>
        <w:tc>
          <w:tcPr>
            <w:tcW w:w="8240" w:type="dxa"/>
            <w:vAlign w:val="bottom"/>
          </w:tcPr>
          <w:p>
            <w:pPr>
              <w:ind w:left="360"/>
              <w:spacing w:after="0"/>
              <w:rPr>
                <w:sz w:val="20"/>
                <w:szCs w:val="20"/>
                <w:color w:val="auto"/>
              </w:rPr>
            </w:pPr>
            <w:r>
              <w:rPr>
                <w:rFonts w:ascii="Arial" w:cs="Arial" w:eastAsia="Arial" w:hAnsi="Arial"/>
                <w:sz w:val="18"/>
                <w:szCs w:val="18"/>
                <w:color w:val="auto"/>
              </w:rPr>
              <w:t>Other operating assets and liabilities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(794)</w:t>
            </w:r>
          </w:p>
        </w:tc>
        <w:tc>
          <w:tcPr>
            <w:tcW w:w="0" w:type="dxa"/>
            <w:vAlign w:val="bottom"/>
          </w:tcPr>
          <w:p>
            <w:pPr>
              <w:spacing w:after="0"/>
              <w:rPr>
                <w:sz w:val="1"/>
                <w:szCs w:val="1"/>
                <w:color w:val="auto"/>
              </w:rPr>
            </w:pPr>
          </w:p>
        </w:tc>
      </w:tr>
      <w:tr>
        <w:trPr>
          <w:trHeight w:val="412"/>
        </w:trPr>
        <w:tc>
          <w:tcPr>
            <w:tcW w:w="824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18,778</w:t>
            </w: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19,240</w:t>
            </w:r>
          </w:p>
        </w:tc>
        <w:tc>
          <w:tcPr>
            <w:tcW w:w="0" w:type="dxa"/>
            <w:vAlign w:val="bottom"/>
          </w:tcPr>
          <w:p>
            <w:pPr>
              <w:spacing w:after="0"/>
              <w:rPr>
                <w:sz w:val="1"/>
                <w:szCs w:val="1"/>
                <w:color w:val="auto"/>
              </w:rPr>
            </w:pPr>
          </w:p>
        </w:tc>
      </w:tr>
      <w:tr>
        <w:trPr>
          <w:trHeight w:val="470"/>
        </w:trPr>
        <w:tc>
          <w:tcPr>
            <w:tcW w:w="8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(9,135)</w:t>
            </w:r>
          </w:p>
        </w:tc>
        <w:tc>
          <w:tcPr>
            <w:tcW w:w="0" w:type="dxa"/>
            <w:vAlign w:val="bottom"/>
          </w:tcPr>
          <w:p>
            <w:pPr>
              <w:spacing w:after="0"/>
              <w:rPr>
                <w:sz w:val="1"/>
                <w:szCs w:val="1"/>
                <w:color w:val="auto"/>
              </w:rPr>
            </w:pPr>
          </w:p>
        </w:tc>
      </w:tr>
      <w:tr>
        <w:trPr>
          <w:trHeight w:val="241"/>
        </w:trPr>
        <w:tc>
          <w:tcPr>
            <w:tcW w:w="82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(8,499)</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(1,370)</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(1,686)</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Acquisitions and construction of real estate properties</w:t>
            </w:r>
          </w:p>
        </w:tc>
        <w:tc>
          <w:tcPr>
            <w:tcW w:w="150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1500" w:type="dxa"/>
            <w:vAlign w:val="bottom"/>
          </w:tcPr>
          <w:p>
            <w:pPr>
              <w:jc w:val="right"/>
              <w:spacing w:after="0"/>
              <w:rPr>
                <w:sz w:val="20"/>
                <w:szCs w:val="20"/>
                <w:color w:val="auto"/>
              </w:rPr>
            </w:pPr>
            <w:r>
              <w:rPr>
                <w:rFonts w:ascii="Arial" w:cs="Arial" w:eastAsia="Arial" w:hAnsi="Arial"/>
                <w:sz w:val="18"/>
                <w:szCs w:val="18"/>
                <w:color w:val="auto"/>
              </w:rPr>
              <w:t>(1,786)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(3,929)</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Proceeds from sales of businesses and investments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218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(1,697)</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(1,749)</w:t>
            </w:r>
          </w:p>
        </w:tc>
        <w:tc>
          <w:tcPr>
            <w:tcW w:w="0" w:type="dxa"/>
            <w:vAlign w:val="bottom"/>
          </w:tcPr>
          <w:p>
            <w:pPr>
              <w:spacing w:after="0"/>
              <w:rPr>
                <w:sz w:val="1"/>
                <w:szCs w:val="1"/>
                <w:color w:val="auto"/>
              </w:rPr>
            </w:pPr>
          </w:p>
        </w:tc>
      </w:tr>
      <w:tr>
        <w:trPr>
          <w:trHeight w:val="227"/>
        </w:trPr>
        <w:tc>
          <w:tcPr>
            <w:tcW w:w="8240" w:type="dxa"/>
            <w:vAlign w:val="bottom"/>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453"/>
        </w:trPr>
        <w:tc>
          <w:tcPr>
            <w:tcW w:w="8240" w:type="dxa"/>
            <w:vAlign w:val="bottom"/>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w:t>
            </w: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(18,385)</w:t>
            </w:r>
          </w:p>
        </w:tc>
        <w:tc>
          <w:tcPr>
            <w:tcW w:w="0" w:type="dxa"/>
            <w:vAlign w:val="bottom"/>
          </w:tcPr>
          <w:p>
            <w:pPr>
              <w:spacing w:after="0"/>
              <w:rPr>
                <w:sz w:val="1"/>
                <w:szCs w:val="1"/>
                <w:color w:val="auto"/>
              </w:rPr>
            </w:pPr>
          </w:p>
        </w:tc>
      </w:tr>
      <w:tr>
        <w:trPr>
          <w:trHeight w:val="511"/>
        </w:trPr>
        <w:tc>
          <w:tcPr>
            <w:tcW w:w="8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1,790</w:t>
            </w:r>
          </w:p>
        </w:tc>
        <w:tc>
          <w:tcPr>
            <w:tcW w:w="0" w:type="dxa"/>
            <w:vAlign w:val="bottom"/>
          </w:tcPr>
          <w:p>
            <w:pPr>
              <w:spacing w:after="0"/>
              <w:rPr>
                <w:sz w:val="1"/>
                <w:szCs w:val="1"/>
                <w:color w:val="auto"/>
              </w:rPr>
            </w:pPr>
          </w:p>
        </w:tc>
      </w:tr>
      <w:tr>
        <w:trPr>
          <w:trHeight w:val="241"/>
        </w:trPr>
        <w:tc>
          <w:tcPr>
            <w:tcW w:w="8240" w:type="dxa"/>
            <w:vAlign w:val="bottom"/>
          </w:tcPr>
          <w:p>
            <w:pPr>
              <w:ind w:left="180"/>
              <w:spacing w:after="0"/>
              <w:rPr>
                <w:sz w:val="20"/>
                <w:szCs w:val="20"/>
                <w:color w:val="auto"/>
              </w:rPr>
            </w:pPr>
            <w:r>
              <w:rPr>
                <w:rFonts w:ascii="Arial" w:cs="Arial" w:eastAsia="Arial" w:hAnsi="Arial"/>
                <w:sz w:val="18"/>
                <w:szCs w:val="18"/>
                <w:color w:val="auto"/>
              </w:rPr>
              <w:t>Proceeds from (repayments of) short-term borrowings, net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5,486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9,231</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1500" w:type="dxa"/>
            <w:vAlign w:val="bottom"/>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(3,052)</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Repurchases and retirements of common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(6,750)</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(2,437)</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(2,601)</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43"/>
        </w:trPr>
        <w:tc>
          <w:tcPr>
            <w:tcW w:w="8240" w:type="dxa"/>
            <w:vAlign w:val="bottom"/>
          </w:tcPr>
          <w:p>
            <w:pPr>
              <w:ind w:left="20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0" w:type="dxa"/>
            <w:vAlign w:val="bottom"/>
          </w:tcPr>
          <w:p>
            <w:pPr>
              <w:spacing w:after="0"/>
              <w:rPr>
                <w:sz w:val="1"/>
                <w:szCs w:val="1"/>
                <w:color w:val="auto"/>
              </w:rPr>
            </w:pPr>
          </w:p>
        </w:tc>
      </w:tr>
      <w:tr>
        <w:trPr>
          <w:trHeight w:val="227"/>
        </w:trPr>
        <w:tc>
          <w:tcPr>
            <w:tcW w:w="8240" w:type="dxa"/>
            <w:vAlign w:val="bottom"/>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0" w:right="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3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(8,429)</w:t>
            </w: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50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2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1,006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0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180" w:type="dxa"/>
            <w:vAlign w:val="bottom"/>
          </w:tcPr>
          <w:p>
            <w:pPr>
              <w:spacing w:after="0"/>
              <w:rPr>
                <w:sz w:val="24"/>
                <w:szCs w:val="24"/>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3,910</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0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680" w:type="dxa"/>
            <w:vAlign w:val="bottom"/>
            <w:gridSpan w:val="2"/>
          </w:tcPr>
          <w:p>
            <w:pPr>
              <w:jc w:val="right"/>
              <w:ind w:right="30"/>
              <w:spacing w:after="0"/>
              <w:rPr>
                <w:sz w:val="20"/>
                <w:szCs w:val="20"/>
                <w:color w:val="auto"/>
              </w:rPr>
            </w:pPr>
            <w:r>
              <w:rPr>
                <w:rFonts w:ascii="Arial" w:cs="Arial" w:eastAsia="Arial" w:hAnsi="Arial"/>
                <w:sz w:val="18"/>
                <w:szCs w:val="18"/>
                <w:color w:val="auto"/>
              </w:rPr>
              <w:t>$2,295</w:t>
            </w:r>
          </w:p>
        </w:tc>
        <w:tc>
          <w:tcPr>
            <w:tcW w:w="2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$3,301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180" w:type="dxa"/>
            <w:vAlign w:val="bottom"/>
            <w:vMerge w:val="restart"/>
          </w:tcPr>
          <w:p>
            <w:pPr>
              <w:jc w:val="right"/>
              <w:ind w:right="2356"/>
              <w:spacing w:after="0"/>
              <w:rPr>
                <w:sz w:val="20"/>
                <w:szCs w:val="20"/>
                <w:color w:val="auto"/>
              </w:rPr>
            </w:pPr>
            <w:r>
              <w:rPr>
                <w:rFonts w:ascii="Arial" w:cs="Arial" w:eastAsia="Arial" w:hAnsi="Arial"/>
                <w:sz w:val="14"/>
                <w:szCs w:val="14"/>
                <w:color w:val="auto"/>
              </w:rPr>
              <w:t>10</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0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06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454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75" w:lineRule="exact"/>
        <w:rPr>
          <w:sz w:val="20"/>
          <w:szCs w:val="20"/>
          <w:color w:val="auto"/>
        </w:rPr>
      </w:pPr>
    </w:p>
    <w:p>
      <w:pPr>
        <w:ind w:right="2460"/>
        <w:spacing w:after="0" w:line="280" w:lineRule="auto"/>
        <w:rPr>
          <w:sz w:val="20"/>
          <w:szCs w:val="20"/>
          <w:color w:val="auto"/>
        </w:rPr>
      </w:pPr>
      <w:r>
        <w:rPr>
          <w:rFonts w:ascii="Arial" w:cs="Arial" w:eastAsia="Arial" w:hAnsi="Arial"/>
          <w:sz w:val="22"/>
          <w:szCs w:val="22"/>
          <w:b w:val="1"/>
          <w:bCs w:val="1"/>
          <w:color w:val="C9C9C9"/>
        </w:rPr>
        <w:t>Reconciliations to Operating Cash Flow and Free Cash Flow and Alternate Presentation of Net Cash Provided by Operating Activities (Unaudited)</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80" w:type="dxa"/>
            <w:vAlign w:val="bottom"/>
            <w:tcBorders>
              <w:right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66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2015</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17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0"/>
        </w:trPr>
        <w:tc>
          <w:tcPr>
            <w:tcW w:w="5300" w:type="dxa"/>
            <w:vAlign w:val="bottom"/>
          </w:tcPr>
          <w:p>
            <w:pPr>
              <w:spacing w:after="0" w:line="141" w:lineRule="exact"/>
              <w:rPr>
                <w:sz w:val="20"/>
                <w:szCs w:val="20"/>
                <w:color w:val="auto"/>
              </w:rPr>
            </w:pPr>
            <w:r>
              <w:rPr>
                <w:rFonts w:ascii="Arial" w:cs="Arial" w:eastAsia="Arial" w:hAnsi="Arial"/>
                <w:sz w:val="14"/>
                <w:szCs w:val="14"/>
                <w:b w:val="1"/>
                <w:bCs w:val="1"/>
                <w:color w:val="auto"/>
              </w:rPr>
              <w:t>Operating income</w:t>
            </w:r>
          </w:p>
        </w:tc>
        <w:tc>
          <w:tcPr>
            <w:tcW w:w="820" w:type="dxa"/>
            <w:vAlign w:val="bottom"/>
            <w:tcBorders>
              <w:top w:val="single" w:sz="8" w:color="auto"/>
            </w:tcBorders>
          </w:tcPr>
          <w:p>
            <w:pPr>
              <w:jc w:val="right"/>
              <w:ind w:right="68"/>
              <w:spacing w:after="0" w:line="141" w:lineRule="exact"/>
              <w:rPr>
                <w:sz w:val="20"/>
                <w:szCs w:val="20"/>
                <w:color w:val="auto"/>
              </w:rPr>
            </w:pPr>
            <w:r>
              <w:rPr>
                <w:rFonts w:ascii="Arial" w:cs="Arial" w:eastAsia="Arial" w:hAnsi="Arial"/>
                <w:sz w:val="14"/>
                <w:szCs w:val="14"/>
                <w:color w:val="auto"/>
              </w:rPr>
              <w:t>$4,002</w:t>
            </w:r>
          </w:p>
        </w:tc>
        <w:tc>
          <w:tcPr>
            <w:tcW w:w="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$4,264</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$15,998</w:t>
            </w:r>
          </w:p>
        </w:tc>
        <w:tc>
          <w:tcPr>
            <w:tcW w:w="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Borders>
              <w:top w:val="single" w:sz="8" w:color="auto"/>
            </w:tcBorders>
          </w:tcPr>
          <w:p>
            <w:pPr>
              <w:jc w:val="right"/>
              <w:ind w:right="48"/>
              <w:spacing w:after="0" w:line="141" w:lineRule="exact"/>
              <w:rPr>
                <w:sz w:val="20"/>
                <w:szCs w:val="20"/>
                <w:color w:val="auto"/>
              </w:rPr>
            </w:pPr>
            <w:r>
              <w:rPr>
                <w:rFonts w:ascii="Arial" w:cs="Arial" w:eastAsia="Arial" w:hAnsi="Arial"/>
                <w:sz w:val="14"/>
                <w:szCs w:val="14"/>
                <w:b w:val="1"/>
                <w:bCs w:val="1"/>
                <w:color w:val="auto"/>
              </w:rPr>
              <w:t>$16,859</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2,270</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2,496</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8,680</w:t>
            </w:r>
          </w:p>
        </w:tc>
        <w:tc>
          <w:tcPr>
            <w:tcW w:w="17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9,558</w:t>
            </w:r>
          </w:p>
        </w:tc>
        <w:tc>
          <w:tcPr>
            <w:tcW w:w="0" w:type="dxa"/>
            <w:vAlign w:val="bottom"/>
          </w:tcPr>
          <w:p>
            <w:pPr>
              <w:spacing w:after="0"/>
              <w:rPr>
                <w:sz w:val="1"/>
                <w:szCs w:val="1"/>
                <w:color w:val="auto"/>
              </w:rPr>
            </w:pPr>
          </w:p>
        </w:tc>
      </w:tr>
      <w:tr>
        <w:trPr>
          <w:trHeight w:val="127"/>
        </w:trPr>
        <w:tc>
          <w:tcPr>
            <w:tcW w:w="5300" w:type="dxa"/>
            <w:vAlign w:val="bottom"/>
          </w:tcPr>
          <w:p>
            <w:pPr>
              <w:spacing w:after="0" w:line="127" w:lineRule="exact"/>
              <w:rPr>
                <w:sz w:val="20"/>
                <w:szCs w:val="20"/>
                <w:color w:val="auto"/>
              </w:rPr>
            </w:pPr>
            <w:r>
              <w:rPr>
                <w:rFonts w:ascii="Arial" w:cs="Arial" w:eastAsia="Arial" w:hAnsi="Arial"/>
                <w:sz w:val="14"/>
                <w:szCs w:val="14"/>
                <w:b w:val="1"/>
                <w:bCs w:val="1"/>
                <w:color w:val="auto"/>
              </w:rPr>
              <w:t>Operating income before depreciation and amortization (Operating Cash</w:t>
            </w:r>
          </w:p>
        </w:tc>
        <w:tc>
          <w:tcPr>
            <w:tcW w:w="82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180"/>
              <w:spacing w:after="0"/>
              <w:rPr>
                <w:sz w:val="20"/>
                <w:szCs w:val="20"/>
                <w:color w:val="auto"/>
              </w:rPr>
            </w:pPr>
            <w:r>
              <w:rPr>
                <w:rFonts w:ascii="Arial" w:cs="Arial" w:eastAsia="Arial" w:hAnsi="Arial"/>
                <w:sz w:val="14"/>
                <w:szCs w:val="14"/>
                <w:b w:val="1"/>
                <w:bCs w:val="1"/>
                <w:color w:val="auto"/>
              </w:rPr>
              <w:t>Flow)</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6,272</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6,760</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24,678</w:t>
            </w:r>
          </w:p>
        </w:tc>
        <w:tc>
          <w:tcPr>
            <w:tcW w:w="17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26,417</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567</w:t>
            </w:r>
          </w:p>
        </w:tc>
        <w:tc>
          <w:tcPr>
            <w:tcW w:w="17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640</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(267)</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(1,782)</w:t>
            </w:r>
          </w:p>
        </w:tc>
        <w:tc>
          <w:tcPr>
            <w:tcW w:w="0" w:type="dxa"/>
            <w:vAlign w:val="bottom"/>
          </w:tcPr>
          <w:p>
            <w:pPr>
              <w:spacing w:after="0"/>
              <w:rPr>
                <w:sz w:val="1"/>
                <w:szCs w:val="1"/>
                <w:color w:val="auto"/>
              </w:rPr>
            </w:pPr>
          </w:p>
        </w:tc>
      </w:tr>
      <w:tr>
        <w:trPr>
          <w:trHeight w:val="140"/>
        </w:trPr>
        <w:tc>
          <w:tcPr>
            <w:tcW w:w="5300" w:type="dxa"/>
            <w:vAlign w:val="bottom"/>
          </w:tcPr>
          <w:p>
            <w:pPr>
              <w:spacing w:after="0" w:line="141" w:lineRule="exact"/>
              <w:rPr>
                <w:sz w:val="20"/>
                <w:szCs w:val="20"/>
                <w:color w:val="auto"/>
              </w:rPr>
            </w:pPr>
            <w:r>
              <w:rPr>
                <w:rFonts w:ascii="Arial" w:cs="Arial" w:eastAsia="Arial" w:hAnsi="Arial"/>
                <w:sz w:val="14"/>
                <w:szCs w:val="14"/>
                <w:color w:val="auto"/>
              </w:rPr>
              <w:t>Cash basis operating income</w:t>
            </w:r>
          </w:p>
        </w:tc>
        <w:tc>
          <w:tcPr>
            <w:tcW w:w="820" w:type="dxa"/>
            <w:vAlign w:val="bottom"/>
            <w:tcBorders>
              <w:top w:val="single" w:sz="8" w:color="auto"/>
            </w:tcBorders>
          </w:tcPr>
          <w:p>
            <w:pPr>
              <w:jc w:val="right"/>
              <w:ind w:right="68"/>
              <w:spacing w:after="0" w:line="141" w:lineRule="exact"/>
              <w:rPr>
                <w:sz w:val="20"/>
                <w:szCs w:val="20"/>
                <w:color w:val="auto"/>
              </w:rPr>
            </w:pPr>
            <w:r>
              <w:rPr>
                <w:rFonts w:ascii="Arial" w:cs="Arial" w:eastAsia="Arial" w:hAnsi="Arial"/>
                <w:sz w:val="14"/>
                <w:szCs w:val="14"/>
                <w:color w:val="auto"/>
              </w:rPr>
              <w:t>6,034</w:t>
            </w:r>
          </w:p>
        </w:tc>
        <w:tc>
          <w:tcPr>
            <w:tcW w:w="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6,997</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24,978</w:t>
            </w:r>
          </w:p>
        </w:tc>
        <w:tc>
          <w:tcPr>
            <w:tcW w:w="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Borders>
              <w:top w:val="single" w:sz="8" w:color="auto"/>
            </w:tcBorders>
          </w:tcPr>
          <w:p>
            <w:pPr>
              <w:jc w:val="right"/>
              <w:ind w:right="48"/>
              <w:spacing w:after="0" w:line="141" w:lineRule="exact"/>
              <w:rPr>
                <w:sz w:val="20"/>
                <w:szCs w:val="20"/>
                <w:color w:val="auto"/>
              </w:rPr>
            </w:pPr>
            <w:r>
              <w:rPr>
                <w:rFonts w:ascii="Arial" w:cs="Arial" w:eastAsia="Arial" w:hAnsi="Arial"/>
                <w:sz w:val="14"/>
                <w:szCs w:val="14"/>
                <w:b w:val="1"/>
                <w:bCs w:val="1"/>
                <w:color w:val="auto"/>
              </w:rPr>
              <w:t>25,275</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Payments of interest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(522)</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(2,443)</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(2,565)</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(977)</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(3,726)</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(3,693)</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(282)</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(233)</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4"/>
                <w:szCs w:val="14"/>
                <w:color w:val="auto"/>
              </w:rPr>
              <w:t>Other</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285</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251</w:t>
            </w:r>
          </w:p>
        </w:tc>
        <w:tc>
          <w:tcPr>
            <w:tcW w:w="17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456</w:t>
            </w:r>
          </w:p>
        </w:tc>
        <w:tc>
          <w:tcPr>
            <w:tcW w:w="0" w:type="dxa"/>
            <w:vAlign w:val="bottom"/>
          </w:tcPr>
          <w:p>
            <w:pPr>
              <w:spacing w:after="0"/>
              <w:rPr>
                <w:sz w:val="1"/>
                <w:szCs w:val="1"/>
                <w:color w:val="auto"/>
              </w:rPr>
            </w:pPr>
          </w:p>
        </w:tc>
      </w:tr>
      <w:tr>
        <w:trPr>
          <w:trHeight w:val="156"/>
        </w:trPr>
        <w:tc>
          <w:tcPr>
            <w:tcW w:w="530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8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$4,965</w:t>
            </w:r>
          </w:p>
        </w:tc>
        <w:tc>
          <w:tcPr>
            <w:tcW w:w="6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$5,743</w:t>
            </w:r>
          </w:p>
        </w:tc>
        <w:tc>
          <w:tcPr>
            <w:tcW w:w="1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$18,778</w:t>
            </w:r>
          </w:p>
        </w:tc>
        <w:tc>
          <w:tcPr>
            <w:tcW w:w="60" w:type="dxa"/>
            <w:vAlign w:val="bottom"/>
            <w:tcBorders>
              <w:top w:val="single" w:sz="8" w:color="auto"/>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$19,240</w:t>
            </w:r>
          </w:p>
        </w:tc>
        <w:tc>
          <w:tcPr>
            <w:tcW w:w="0" w:type="dxa"/>
            <w:vAlign w:val="bottom"/>
          </w:tcPr>
          <w:p>
            <w:pPr>
              <w:spacing w:after="0"/>
              <w:rPr>
                <w:sz w:val="1"/>
                <w:szCs w:val="1"/>
                <w:color w:val="auto"/>
              </w:rPr>
            </w:pPr>
          </w:p>
        </w:tc>
      </w:tr>
      <w:tr>
        <w:trPr>
          <w:trHeight w:val="140"/>
        </w:trPr>
        <w:tc>
          <w:tcPr>
            <w:tcW w:w="5300" w:type="dxa"/>
            <w:vAlign w:val="bottom"/>
          </w:tcPr>
          <w:p>
            <w:pPr>
              <w:spacing w:after="0" w:line="141" w:lineRule="exact"/>
              <w:rPr>
                <w:sz w:val="20"/>
                <w:szCs w:val="20"/>
                <w:color w:val="auto"/>
              </w:rPr>
            </w:pPr>
            <w:r>
              <w:rPr>
                <w:rFonts w:ascii="Arial" w:cs="Arial" w:eastAsia="Arial" w:hAnsi="Arial"/>
                <w:sz w:val="14"/>
                <w:szCs w:val="14"/>
                <w:color w:val="auto"/>
              </w:rPr>
              <w:t>Capital expenditures</w:t>
            </w:r>
          </w:p>
        </w:tc>
        <w:tc>
          <w:tcPr>
            <w:tcW w:w="820" w:type="dxa"/>
            <w:vAlign w:val="bottom"/>
          </w:tcPr>
          <w:p>
            <w:pPr>
              <w:jc w:val="right"/>
              <w:ind w:right="28"/>
              <w:spacing w:after="0" w:line="141" w:lineRule="exact"/>
              <w:rPr>
                <w:sz w:val="20"/>
                <w:szCs w:val="20"/>
                <w:color w:val="auto"/>
              </w:rPr>
            </w:pPr>
            <w:r>
              <w:rPr>
                <w:rFonts w:ascii="Arial" w:cs="Arial" w:eastAsia="Arial" w:hAnsi="Arial"/>
                <w:sz w:val="14"/>
                <w:szCs w:val="14"/>
                <w:color w:val="auto"/>
              </w:rPr>
              <w:t>(2,637)</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(2,573)</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(8,499)</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(9,135)</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(523)</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(1,370)</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(1,686)</w:t>
            </w:r>
          </w:p>
        </w:tc>
        <w:tc>
          <w:tcPr>
            <w:tcW w:w="0" w:type="dxa"/>
            <w:vAlign w:val="bottom"/>
          </w:tcPr>
          <w:p>
            <w:pPr>
              <w:spacing w:after="0"/>
              <w:rPr>
                <w:sz w:val="1"/>
                <w:szCs w:val="1"/>
                <w:color w:val="auto"/>
              </w:rPr>
            </w:pPr>
          </w:p>
        </w:tc>
      </w:tr>
      <w:tr>
        <w:trPr>
          <w:trHeight w:val="164"/>
        </w:trPr>
        <w:tc>
          <w:tcPr>
            <w:tcW w:w="5300" w:type="dxa"/>
            <w:vAlign w:val="bottom"/>
          </w:tcPr>
          <w:p>
            <w:pPr>
              <w:spacing w:after="0"/>
              <w:rPr>
                <w:sz w:val="20"/>
                <w:szCs w:val="20"/>
                <w:color w:val="auto"/>
              </w:rPr>
            </w:pPr>
            <w:r>
              <w:rPr>
                <w:rFonts w:ascii="Arial" w:cs="Arial" w:eastAsia="Arial" w:hAnsi="Arial"/>
                <w:sz w:val="14"/>
                <w:szCs w:val="14"/>
                <w:color w:val="auto"/>
              </w:rPr>
              <w:t>Principal payments on capital leases</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 redeemable subsidiary</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160"/>
        </w:trPr>
        <w:tc>
          <w:tcPr>
            <w:tcW w:w="530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w:t>
            </w:r>
          </w:p>
        </w:tc>
        <w:tc>
          <w:tcPr>
            <w:tcW w:w="1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4"/>
                <w:szCs w:val="14"/>
                <w:color w:val="auto"/>
              </w:rPr>
              <w:t>Nonoperating items</w:t>
            </w:r>
            <w:r>
              <w:rPr>
                <w:rFonts w:ascii="Arial" w:cs="Arial" w:eastAsia="Arial" w:hAnsi="Arial"/>
                <w:sz w:val="14"/>
                <w:szCs w:val="14"/>
                <w:color w:val="auto"/>
                <w:vertAlign w:val="superscript"/>
              </w:rPr>
              <w:t>(1)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282</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277</w:t>
            </w:r>
          </w:p>
        </w:tc>
        <w:tc>
          <w:tcPr>
            <w:tcW w:w="17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40"/>
        </w:trPr>
        <w:tc>
          <w:tcPr>
            <w:tcW w:w="5300" w:type="dxa"/>
            <w:vAlign w:val="bottom"/>
          </w:tcPr>
          <w:p>
            <w:pPr>
              <w:spacing w:after="0" w:line="141" w:lineRule="exact"/>
              <w:rPr>
                <w:sz w:val="20"/>
                <w:szCs w:val="20"/>
                <w:color w:val="auto"/>
              </w:rPr>
            </w:pPr>
            <w:r>
              <w:rPr>
                <w:rFonts w:ascii="Arial" w:cs="Arial" w:eastAsia="Arial" w:hAnsi="Arial"/>
                <w:sz w:val="14"/>
                <w:szCs w:val="14"/>
                <w:color w:val="auto"/>
              </w:rPr>
              <w:t>Free Cash Flow (including Economic Stimulus Packages)</w:t>
            </w:r>
          </w:p>
        </w:tc>
        <w:tc>
          <w:tcPr>
            <w:tcW w:w="820" w:type="dxa"/>
            <w:vAlign w:val="bottom"/>
            <w:tcBorders>
              <w:top w:val="single" w:sz="8" w:color="auto"/>
            </w:tcBorders>
          </w:tcPr>
          <w:p>
            <w:pPr>
              <w:jc w:val="right"/>
              <w:ind w:right="68"/>
              <w:spacing w:after="0" w:line="141" w:lineRule="exact"/>
              <w:rPr>
                <w:sz w:val="20"/>
                <w:szCs w:val="20"/>
                <w:color w:val="auto"/>
              </w:rPr>
            </w:pPr>
            <w:r>
              <w:rPr>
                <w:rFonts w:ascii="Arial" w:cs="Arial" w:eastAsia="Arial" w:hAnsi="Arial"/>
                <w:sz w:val="14"/>
                <w:szCs w:val="14"/>
                <w:color w:val="auto"/>
              </w:rPr>
              <w:t>2,091</w:t>
            </w:r>
          </w:p>
        </w:tc>
        <w:tc>
          <w:tcPr>
            <w:tcW w:w="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2,630</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8,937</w:t>
            </w:r>
          </w:p>
        </w:tc>
        <w:tc>
          <w:tcPr>
            <w:tcW w:w="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Borders>
              <w:top w:val="single" w:sz="8" w:color="auto"/>
            </w:tcBorders>
          </w:tcPr>
          <w:p>
            <w:pPr>
              <w:jc w:val="right"/>
              <w:ind w:right="48"/>
              <w:spacing w:after="0" w:line="141" w:lineRule="exact"/>
              <w:rPr>
                <w:sz w:val="20"/>
                <w:szCs w:val="20"/>
                <w:color w:val="auto"/>
              </w:rPr>
            </w:pPr>
            <w:r>
              <w:rPr>
                <w:rFonts w:ascii="Arial" w:cs="Arial" w:eastAsia="Arial" w:hAnsi="Arial"/>
                <w:sz w:val="14"/>
                <w:szCs w:val="14"/>
                <w:b w:val="1"/>
                <w:bCs w:val="1"/>
                <w:color w:val="auto"/>
              </w:rPr>
              <w:t>8,377</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4"/>
                <w:szCs w:val="14"/>
                <w:color w:val="auto"/>
              </w:rPr>
              <w:t>Economic Stimulus Packages</w:t>
            </w:r>
            <w:r>
              <w:rPr>
                <w:rFonts w:ascii="Arial" w:cs="Arial" w:eastAsia="Arial" w:hAnsi="Arial"/>
                <w:sz w:val="14"/>
                <w:szCs w:val="14"/>
                <w:color w:val="auto"/>
                <w:vertAlign w:val="superscript"/>
              </w:rPr>
              <w:t>(1)</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(503)</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156"/>
        </w:trPr>
        <w:tc>
          <w:tcPr>
            <w:tcW w:w="530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8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$1,588</w:t>
            </w:r>
          </w:p>
        </w:tc>
        <w:tc>
          <w:tcPr>
            <w:tcW w:w="6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$2,607</w:t>
            </w:r>
          </w:p>
        </w:tc>
        <w:tc>
          <w:tcPr>
            <w:tcW w:w="1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$8,935</w:t>
            </w:r>
          </w:p>
        </w:tc>
        <w:tc>
          <w:tcPr>
            <w:tcW w:w="60" w:type="dxa"/>
            <w:vAlign w:val="bottom"/>
            <w:tcBorders>
              <w:top w:val="single" w:sz="8" w:color="auto"/>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$8,203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80" w:type="dxa"/>
            <w:vAlign w:val="bottom"/>
            <w:tcBorders>
              <w:right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66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5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2015</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17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7"/>
        </w:trPr>
        <w:tc>
          <w:tcPr>
            <w:tcW w:w="5300" w:type="dxa"/>
            <w:vAlign w:val="bottom"/>
            <w:vMerge w:val="continue"/>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b w:val="1"/>
                <w:bCs w:val="1"/>
                <w:color w:val="auto"/>
              </w:rPr>
              <w:t>Operating Cash Flow</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$6,272</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$6,760</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$24,678</w:t>
            </w:r>
          </w:p>
        </w:tc>
        <w:tc>
          <w:tcPr>
            <w:tcW w:w="17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$26,417</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Capital expenditures</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(2,637)</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(2,573)</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(8,499)</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(9,135)</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(523)</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(1,370)</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(1,686)</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Cash interest expense</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(522)</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(2,443)</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(2,565)</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Cash taxes on operating items (including Economic Stimulus Packages)</w:t>
            </w:r>
            <w:r>
              <w:rPr>
                <w:rFonts w:ascii="Arial" w:cs="Arial" w:eastAsia="Arial" w:hAnsi="Arial"/>
                <w:sz w:val="14"/>
                <w:szCs w:val="14"/>
                <w:color w:val="auto"/>
                <w:vertAlign w:val="superscript"/>
              </w:rPr>
              <w:t>(2)</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(967)</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(3,731)</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(3,830)</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Changes in operating assets and liabilities</w:t>
            </w:r>
            <w:r>
              <w:rPr>
                <w:rFonts w:ascii="Arial" w:cs="Arial" w:eastAsia="Arial" w:hAnsi="Arial"/>
                <w:sz w:val="14"/>
                <w:szCs w:val="14"/>
                <w:color w:val="auto"/>
                <w:vertAlign w:val="superscript"/>
              </w:rPr>
              <w:t>(3)</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(267)</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(1,636)</w:t>
            </w:r>
          </w:p>
        </w:tc>
        <w:tc>
          <w:tcPr>
            <w:tcW w:w="0" w:type="dxa"/>
            <w:vAlign w:val="bottom"/>
          </w:tcPr>
          <w:p>
            <w:pPr>
              <w:spacing w:after="0"/>
              <w:rPr>
                <w:sz w:val="1"/>
                <w:szCs w:val="1"/>
                <w:color w:val="auto"/>
              </w:rPr>
            </w:pPr>
          </w:p>
        </w:tc>
      </w:tr>
      <w:tr>
        <w:trPr>
          <w:trHeight w:val="164"/>
        </w:trPr>
        <w:tc>
          <w:tcPr>
            <w:tcW w:w="530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567</w:t>
            </w:r>
          </w:p>
        </w:tc>
        <w:tc>
          <w:tcPr>
            <w:tcW w:w="17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640</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 redeemable subsidiary</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(253)</w:t>
            </w:r>
          </w:p>
        </w:tc>
        <w:tc>
          <w:tcPr>
            <w:tcW w:w="0" w:type="dxa"/>
            <w:vAlign w:val="bottom"/>
          </w:tcPr>
          <w:p>
            <w:pPr>
              <w:spacing w:after="0"/>
              <w:rPr>
                <w:sz w:val="1"/>
                <w:szCs w:val="1"/>
                <w:color w:val="auto"/>
              </w:rPr>
            </w:pPr>
          </w:p>
        </w:tc>
      </w:tr>
      <w:tr>
        <w:trPr>
          <w:trHeight w:val="160"/>
        </w:trPr>
        <w:tc>
          <w:tcPr>
            <w:tcW w:w="530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w:t>
            </w:r>
          </w:p>
        </w:tc>
        <w:tc>
          <w:tcPr>
            <w:tcW w:w="1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4"/>
                <w:szCs w:val="14"/>
                <w:color w:val="auto"/>
              </w:rPr>
              <w:t>Other</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277</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234</w:t>
            </w:r>
          </w:p>
        </w:tc>
        <w:tc>
          <w:tcPr>
            <w:tcW w:w="17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425</w:t>
            </w:r>
          </w:p>
        </w:tc>
        <w:tc>
          <w:tcPr>
            <w:tcW w:w="0" w:type="dxa"/>
            <w:vAlign w:val="bottom"/>
          </w:tcPr>
          <w:p>
            <w:pPr>
              <w:spacing w:after="0"/>
              <w:rPr>
                <w:sz w:val="1"/>
                <w:szCs w:val="1"/>
                <w:color w:val="auto"/>
              </w:rPr>
            </w:pPr>
          </w:p>
        </w:tc>
      </w:tr>
      <w:tr>
        <w:trPr>
          <w:trHeight w:val="140"/>
        </w:trPr>
        <w:tc>
          <w:tcPr>
            <w:tcW w:w="5300" w:type="dxa"/>
            <w:vAlign w:val="bottom"/>
          </w:tcPr>
          <w:p>
            <w:pPr>
              <w:spacing w:after="0" w:line="141" w:lineRule="exact"/>
              <w:rPr>
                <w:sz w:val="20"/>
                <w:szCs w:val="20"/>
                <w:color w:val="auto"/>
              </w:rPr>
            </w:pPr>
            <w:r>
              <w:rPr>
                <w:rFonts w:ascii="Arial" w:cs="Arial" w:eastAsia="Arial" w:hAnsi="Arial"/>
                <w:sz w:val="14"/>
                <w:szCs w:val="14"/>
                <w:color w:val="auto"/>
              </w:rPr>
              <w:t>Free Cash Flow (including Economic Stimulus Packages)</w:t>
            </w:r>
          </w:p>
        </w:tc>
        <w:tc>
          <w:tcPr>
            <w:tcW w:w="820" w:type="dxa"/>
            <w:vAlign w:val="bottom"/>
            <w:tcBorders>
              <w:top w:val="single" w:sz="8" w:color="auto"/>
            </w:tcBorders>
          </w:tcPr>
          <w:p>
            <w:pPr>
              <w:jc w:val="right"/>
              <w:ind w:right="68"/>
              <w:spacing w:after="0" w:line="141" w:lineRule="exact"/>
              <w:rPr>
                <w:sz w:val="20"/>
                <w:szCs w:val="20"/>
                <w:color w:val="auto"/>
              </w:rPr>
            </w:pPr>
            <w:r>
              <w:rPr>
                <w:rFonts w:ascii="Arial" w:cs="Arial" w:eastAsia="Arial" w:hAnsi="Arial"/>
                <w:sz w:val="14"/>
                <w:szCs w:val="14"/>
                <w:color w:val="auto"/>
              </w:rPr>
              <w:t>2,091</w:t>
            </w:r>
          </w:p>
        </w:tc>
        <w:tc>
          <w:tcPr>
            <w:tcW w:w="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2,630</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8,937</w:t>
            </w:r>
          </w:p>
        </w:tc>
        <w:tc>
          <w:tcPr>
            <w:tcW w:w="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Borders>
              <w:top w:val="single" w:sz="8" w:color="auto"/>
            </w:tcBorders>
          </w:tcPr>
          <w:p>
            <w:pPr>
              <w:jc w:val="right"/>
              <w:ind w:right="48"/>
              <w:spacing w:after="0" w:line="141" w:lineRule="exact"/>
              <w:rPr>
                <w:sz w:val="20"/>
                <w:szCs w:val="20"/>
                <w:color w:val="auto"/>
              </w:rPr>
            </w:pPr>
            <w:r>
              <w:rPr>
                <w:rFonts w:ascii="Arial" w:cs="Arial" w:eastAsia="Arial" w:hAnsi="Arial"/>
                <w:sz w:val="14"/>
                <w:szCs w:val="14"/>
                <w:b w:val="1"/>
                <w:bCs w:val="1"/>
                <w:color w:val="auto"/>
              </w:rPr>
              <w:t>8,377</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4"/>
                <w:szCs w:val="14"/>
                <w:color w:val="auto"/>
              </w:rPr>
              <w:t>Economic Stimulus Packages</w:t>
            </w:r>
            <w:r>
              <w:rPr>
                <w:rFonts w:ascii="Arial" w:cs="Arial" w:eastAsia="Arial" w:hAnsi="Arial"/>
                <w:sz w:val="14"/>
                <w:szCs w:val="14"/>
                <w:color w:val="auto"/>
                <w:vertAlign w:val="superscript"/>
              </w:rPr>
              <w:t>(2)</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(503)</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156"/>
        </w:trPr>
        <w:tc>
          <w:tcPr>
            <w:tcW w:w="530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8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$1,588</w:t>
            </w:r>
          </w:p>
        </w:tc>
        <w:tc>
          <w:tcPr>
            <w:tcW w:w="6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$2,607</w:t>
            </w:r>
          </w:p>
        </w:tc>
        <w:tc>
          <w:tcPr>
            <w:tcW w:w="1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$8,935</w:t>
            </w:r>
          </w:p>
        </w:tc>
        <w:tc>
          <w:tcPr>
            <w:tcW w:w="60" w:type="dxa"/>
            <w:vAlign w:val="bottom"/>
            <w:tcBorders>
              <w:top w:val="single" w:sz="8" w:color="auto"/>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$8,203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60" w:right="100" w:hanging="328"/>
        <w:spacing w:after="0" w:line="230" w:lineRule="auto"/>
        <w:tabs>
          <w:tab w:leader="none" w:pos="685"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Nonoperating items include adjustments for cash taxes paid related to certain investing and financing transactions and to reflect cash taxes paid in the year of the related taxable income. Our definition of Free Cash Flow specifically excludes any impact from the Economic Stimulus Packages and these amounts are presented separately. Net Cash Provided by Operating Activities for year to date 2016 includes a $146 million payment for the settlement of a tax receivable agreement immediately after the DreamWorks acquisition. For Free Cash Flow purposes, we consider this payment to be nonrecurring in nature and therefore, we excluded this amount from Free Cash Flow as a nonoperating item.</w:t>
      </w:r>
    </w:p>
    <w:p>
      <w:pPr>
        <w:spacing w:after="0" w:line="102" w:lineRule="exact"/>
        <w:rPr>
          <w:rFonts w:ascii="Arial" w:cs="Arial" w:eastAsia="Arial" w:hAnsi="Arial"/>
          <w:sz w:val="13"/>
          <w:szCs w:val="13"/>
          <w:color w:val="auto"/>
        </w:rPr>
      </w:pPr>
    </w:p>
    <w:p>
      <w:pPr>
        <w:ind w:left="660" w:right="80" w:hanging="328"/>
        <w:spacing w:after="0" w:line="262" w:lineRule="auto"/>
        <w:tabs>
          <w:tab w:leader="none" w:pos="685" w:val="left"/>
        </w:tabs>
        <w:numPr>
          <w:ilvl w:val="0"/>
          <w:numId w:val="9"/>
        </w:numPr>
        <w:rPr>
          <w:rFonts w:ascii="Arial" w:cs="Arial" w:eastAsia="Arial" w:hAnsi="Arial"/>
          <w:sz w:val="12"/>
          <w:szCs w:val="12"/>
          <w:color w:val="auto"/>
        </w:rPr>
      </w:pPr>
      <w:r>
        <w:rPr>
          <w:rFonts w:ascii="Arial" w:cs="Arial" w:eastAsia="Arial" w:hAnsi="Arial"/>
          <w:sz w:val="12"/>
          <w:szCs w:val="12"/>
          <w:color w:val="auto"/>
        </w:rPr>
        <w:t>Cash taxes on operating items (including Economic Stimulus Packages) has been adjusted to include the impact of excess tax benefits under share-based compensation arrangements and to exclude the impact of nonoperating items. Nonoperating items include adjustments for cash taxes paid related to certain investing and financing transactions and to reflect cash taxes paid in the year of the related taxable income. Our definition of Free Cash Flow specifically excludes any impact from the Economic Stimulus Packages and these amounts are presented separately.</w:t>
      </w:r>
    </w:p>
    <w:p>
      <w:pPr>
        <w:sectPr>
          <w:pgSz w:w="11900" w:h="16838" w:orient="portrait"/>
          <w:cols w:equalWidth="0" w:num="1">
            <w:col w:w="11460"/>
          </w:cols>
          <w:pgMar w:left="240" w:top="371" w:right="199" w:bottom="698" w:gutter="0" w:footer="0" w:header="0"/>
        </w:sectPr>
      </w:pPr>
    </w:p>
    <w:p>
      <w:pPr>
        <w:spacing w:after="0" w:line="200" w:lineRule="exact"/>
        <w:rPr>
          <w:sz w:val="20"/>
          <w:szCs w:val="20"/>
          <w:color w:val="auto"/>
        </w:rPr>
      </w:pPr>
    </w:p>
    <w:p>
      <w:pPr>
        <w:spacing w:after="0" w:line="361" w:lineRule="exact"/>
        <w:rPr>
          <w:sz w:val="20"/>
          <w:szCs w:val="20"/>
          <w:color w:val="auto"/>
        </w:rPr>
      </w:pPr>
    </w:p>
    <w:p>
      <w:pPr>
        <w:ind w:left="780"/>
        <w:spacing w:after="0"/>
        <w:rPr>
          <w:sz w:val="20"/>
          <w:szCs w:val="20"/>
          <w:color w:val="auto"/>
        </w:rPr>
      </w:pPr>
      <w:r>
        <w:rPr>
          <w:rFonts w:ascii="Arial" w:cs="Arial" w:eastAsia="Arial" w:hAnsi="Arial"/>
          <w:sz w:val="13"/>
          <w:szCs w:val="13"/>
          <w:color w:val="auto"/>
        </w:rPr>
        <w:t>Payments of income taxes</w:t>
      </w:r>
    </w:p>
    <w:p>
      <w:pPr>
        <w:spacing w:after="0" w:line="15" w:lineRule="exact"/>
        <w:rPr>
          <w:sz w:val="20"/>
          <w:szCs w:val="20"/>
          <w:color w:val="auto"/>
        </w:rPr>
      </w:pPr>
    </w:p>
    <w:p>
      <w:pPr>
        <w:ind w:left="1300" w:right="620"/>
        <w:spacing w:after="0" w:line="216" w:lineRule="auto"/>
        <w:rPr>
          <w:sz w:val="20"/>
          <w:szCs w:val="20"/>
          <w:color w:val="auto"/>
        </w:rPr>
      </w:pPr>
      <w:r>
        <w:rPr>
          <w:rFonts w:ascii="Arial" w:cs="Arial" w:eastAsia="Arial" w:hAnsi="Arial"/>
          <w:sz w:val="13"/>
          <w:szCs w:val="13"/>
          <w:color w:val="auto"/>
        </w:rPr>
        <w:t>Excess tax benefits under share-based compensation Nonoperating items</w:t>
      </w:r>
    </w:p>
    <w:p>
      <w:pPr>
        <w:spacing w:after="0" w:line="1" w:lineRule="exact"/>
        <w:rPr>
          <w:sz w:val="20"/>
          <w:szCs w:val="20"/>
          <w:color w:val="auto"/>
        </w:rPr>
      </w:pPr>
    </w:p>
    <w:p>
      <w:pPr>
        <w:jc w:val="center"/>
        <w:ind w:left="660"/>
        <w:spacing w:after="0"/>
        <w:rPr>
          <w:sz w:val="20"/>
          <w:szCs w:val="20"/>
          <w:color w:val="auto"/>
        </w:rPr>
      </w:pPr>
      <w:r>
        <w:rPr>
          <w:rFonts w:ascii="Arial" w:cs="Arial" w:eastAsia="Arial" w:hAnsi="Arial"/>
          <w:sz w:val="12"/>
          <w:szCs w:val="12"/>
          <w:color w:val="auto"/>
        </w:rPr>
        <w:t>Cash taxes on operating items (including Economic Stimulus Packages)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
        </w:trPr>
        <w:tc>
          <w:tcPr>
            <w:tcW w:w="2460" w:type="dxa"/>
            <w:vAlign w:val="bottom"/>
            <w:gridSpan w:val="5"/>
            <w:vMerge w:val="restart"/>
          </w:tcPr>
          <w:p>
            <w:pPr>
              <w:jc w:val="center"/>
              <w:ind w:right="160"/>
              <w:spacing w:after="0"/>
              <w:rPr>
                <w:sz w:val="20"/>
                <w:szCs w:val="20"/>
                <w:color w:val="auto"/>
              </w:rPr>
            </w:pPr>
            <w:r>
              <w:rPr>
                <w:rFonts w:ascii="Arial" w:cs="Arial" w:eastAsia="Arial" w:hAnsi="Arial"/>
                <w:sz w:val="13"/>
                <w:szCs w:val="13"/>
                <w:color w:val="auto"/>
                <w:w w:val="97"/>
              </w:rPr>
              <w:t>Three Months Ended</w:t>
            </w:r>
          </w:p>
        </w:tc>
        <w:tc>
          <w:tcPr>
            <w:tcW w:w="2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860" w:type="dxa"/>
            <w:vAlign w:val="bottom"/>
            <w:gridSpan w:val="3"/>
            <w:vMerge w:val="restart"/>
          </w:tcPr>
          <w:p>
            <w:pPr>
              <w:jc w:val="center"/>
              <w:ind w:left="518"/>
              <w:spacing w:after="0"/>
              <w:rPr>
                <w:sz w:val="20"/>
                <w:szCs w:val="20"/>
                <w:color w:val="auto"/>
              </w:rPr>
            </w:pPr>
            <w:r>
              <w:rPr>
                <w:rFonts w:ascii="Arial" w:cs="Arial" w:eastAsia="Arial" w:hAnsi="Arial"/>
                <w:sz w:val="13"/>
                <w:szCs w:val="13"/>
                <w:color w:val="auto"/>
                <w:w w:val="96"/>
              </w:rPr>
              <w:t>Twelve Months Ended</w:t>
            </w: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3"/>
        </w:trPr>
        <w:tc>
          <w:tcPr>
            <w:tcW w:w="2460" w:type="dxa"/>
            <w:vAlign w:val="bottom"/>
            <w:gridSpan w:val="5"/>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vMerge w:val="continue"/>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40" w:type="dxa"/>
            <w:vAlign w:val="bottom"/>
            <w:vMerge w:val="restart"/>
          </w:tcPr>
          <w:p>
            <w:pPr>
              <w:jc w:val="right"/>
              <w:ind w:right="118"/>
              <w:spacing w:after="0"/>
              <w:rPr>
                <w:sz w:val="20"/>
                <w:szCs w:val="20"/>
                <w:color w:val="auto"/>
              </w:rPr>
            </w:pPr>
            <w:r>
              <w:rPr>
                <w:rFonts w:ascii="Arial" w:cs="Arial" w:eastAsia="Arial" w:hAnsi="Arial"/>
                <w:sz w:val="13"/>
                <w:szCs w:val="13"/>
                <w:color w:val="auto"/>
              </w:rPr>
              <w:t>2015</w:t>
            </w:r>
          </w:p>
        </w:tc>
        <w:tc>
          <w:tcPr>
            <w:tcW w:w="1720" w:type="dxa"/>
            <w:vAlign w:val="bottom"/>
            <w:gridSpan w:val="4"/>
          </w:tcPr>
          <w:p>
            <w:pPr>
              <w:jc w:val="center"/>
              <w:ind w:right="900"/>
              <w:spacing w:after="0" w:line="135" w:lineRule="exact"/>
              <w:rPr>
                <w:sz w:val="20"/>
                <w:szCs w:val="20"/>
                <w:color w:val="auto"/>
              </w:rPr>
            </w:pPr>
            <w:r>
              <w:rPr>
                <w:rFonts w:ascii="Arial" w:cs="Arial" w:eastAsia="Arial" w:hAnsi="Arial"/>
                <w:sz w:val="13"/>
                <w:szCs w:val="13"/>
                <w:color w:val="auto"/>
                <w:w w:val="95"/>
              </w:rPr>
              <w:t>December 31,</w:t>
            </w: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98"/>
              <w:spacing w:after="0"/>
              <w:rPr>
                <w:sz w:val="20"/>
                <w:szCs w:val="20"/>
                <w:color w:val="auto"/>
              </w:rPr>
            </w:pPr>
            <w:r>
              <w:rPr>
                <w:rFonts w:ascii="Arial" w:cs="Arial" w:eastAsia="Arial" w:hAnsi="Arial"/>
                <w:sz w:val="13"/>
                <w:szCs w:val="13"/>
                <w:color w:val="auto"/>
              </w:rPr>
              <w:t>2015</w:t>
            </w: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5"/>
              </w:rPr>
              <w:t>December 31,</w:t>
            </w:r>
          </w:p>
        </w:tc>
        <w:tc>
          <w:tcPr>
            <w:tcW w:w="600" w:type="dxa"/>
            <w:vAlign w:val="bottom"/>
            <w:vMerge w:val="restart"/>
          </w:tcPr>
          <w:p>
            <w:pPr>
              <w:jc w:val="right"/>
              <w:ind w:right="238"/>
              <w:spacing w:after="0"/>
              <w:rPr>
                <w:sz w:val="20"/>
                <w:szCs w:val="20"/>
                <w:color w:val="auto"/>
              </w:rPr>
            </w:pPr>
            <w:r>
              <w:rPr>
                <w:rFonts w:ascii="Arial" w:cs="Arial" w:eastAsia="Arial" w:hAnsi="Arial"/>
                <w:sz w:val="13"/>
                <w:szCs w:val="13"/>
                <w:color w:val="auto"/>
                <w:w w:val="96"/>
              </w:rPr>
              <w:t>2016</w:t>
            </w:r>
          </w:p>
        </w:tc>
        <w:tc>
          <w:tcPr>
            <w:tcW w:w="0" w:type="dxa"/>
            <w:vAlign w:val="bottom"/>
          </w:tcPr>
          <w:p>
            <w:pPr>
              <w:spacing w:after="0"/>
              <w:rPr>
                <w:sz w:val="1"/>
                <w:szCs w:val="1"/>
                <w:color w:val="auto"/>
              </w:rPr>
            </w:pPr>
          </w:p>
        </w:tc>
      </w:tr>
      <w:tr>
        <w:trPr>
          <w:trHeight w:val="157"/>
        </w:trPr>
        <w:tc>
          <w:tcPr>
            <w:tcW w:w="740" w:type="dxa"/>
            <w:vAlign w:val="bottom"/>
            <w:vMerge w:val="continue"/>
          </w:tcPr>
          <w:p>
            <w:pPr>
              <w:spacing w:after="0"/>
              <w:rPr>
                <w:sz w:val="13"/>
                <w:szCs w:val="13"/>
                <w:color w:val="auto"/>
              </w:rPr>
            </w:pPr>
          </w:p>
        </w:tc>
        <w:tc>
          <w:tcPr>
            <w:tcW w:w="1560" w:type="dxa"/>
            <w:vAlign w:val="bottom"/>
            <w:gridSpan w:val="3"/>
          </w:tcPr>
          <w:p>
            <w:pPr>
              <w:jc w:val="right"/>
              <w:ind w:right="260"/>
              <w:spacing w:after="0"/>
              <w:rPr>
                <w:sz w:val="20"/>
                <w:szCs w:val="20"/>
                <w:color w:val="auto"/>
              </w:rPr>
            </w:pPr>
            <w:r>
              <w:rPr>
                <w:rFonts w:ascii="Arial" w:cs="Arial" w:eastAsia="Arial" w:hAnsi="Arial"/>
                <w:sz w:val="13"/>
                <w:szCs w:val="13"/>
                <w:color w:val="auto"/>
              </w:rPr>
              <w:t>2016</w:t>
            </w:r>
          </w:p>
        </w:tc>
        <w:tc>
          <w:tcPr>
            <w:tcW w:w="1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color w:val="auto"/>
              </w:rPr>
              <w:t>($581)</w:t>
            </w:r>
          </w:p>
        </w:tc>
        <w:tc>
          <w:tcPr>
            <w:tcW w:w="80" w:type="dxa"/>
            <w:vAlign w:val="bottom"/>
            <w:tcBorders>
              <w:top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color w:val="auto"/>
              </w:rPr>
              <w:t>($977)</w:t>
            </w:r>
          </w:p>
        </w:tc>
        <w:tc>
          <w:tcPr>
            <w:tcW w:w="16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color w:val="auto"/>
              </w:rPr>
              <w:t>($3,726)</w:t>
            </w:r>
          </w:p>
        </w:tc>
        <w:tc>
          <w:tcPr>
            <w:tcW w:w="8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color w:val="auto"/>
              </w:rPr>
              <w:t>($3,693)</w:t>
            </w:r>
          </w:p>
        </w:tc>
        <w:tc>
          <w:tcPr>
            <w:tcW w:w="0" w:type="dxa"/>
            <w:vAlign w:val="bottom"/>
          </w:tcPr>
          <w:p>
            <w:pPr>
              <w:spacing w:after="0"/>
              <w:rPr>
                <w:sz w:val="1"/>
                <w:szCs w:val="1"/>
                <w:color w:val="auto"/>
              </w:rPr>
            </w:pPr>
          </w:p>
        </w:tc>
      </w:tr>
      <w:tr>
        <w:trPr>
          <w:trHeight w:val="135"/>
        </w:trPr>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15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(40)</w:t>
            </w:r>
          </w:p>
        </w:tc>
        <w:tc>
          <w:tcPr>
            <w:tcW w:w="1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(282)</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57"/>
        </w:trPr>
        <w:tc>
          <w:tcPr>
            <w:tcW w:w="740" w:type="dxa"/>
            <w:vAlign w:val="bottom"/>
          </w:tcPr>
          <w:p>
            <w:pPr>
              <w:jc w:val="right"/>
              <w:spacing w:after="0"/>
              <w:rPr>
                <w:sz w:val="20"/>
                <w:szCs w:val="20"/>
                <w:color w:val="auto"/>
              </w:rPr>
            </w:pPr>
            <w:r>
              <w:rPr>
                <w:rFonts w:ascii="Arial" w:cs="Arial" w:eastAsia="Arial" w:hAnsi="Arial"/>
                <w:sz w:val="13"/>
                <w:szCs w:val="13"/>
                <w:color w:val="auto"/>
              </w:rPr>
              <w:t>282</w:t>
            </w:r>
          </w:p>
        </w:tc>
        <w:tc>
          <w:tcPr>
            <w:tcW w:w="1560" w:type="dxa"/>
            <w:vAlign w:val="bottom"/>
            <w:gridSpan w:val="3"/>
          </w:tcPr>
          <w:p>
            <w:pPr>
              <w:jc w:val="right"/>
              <w:spacing w:after="0"/>
              <w:rPr>
                <w:sz w:val="20"/>
                <w:szCs w:val="20"/>
                <w:color w:val="auto"/>
              </w:rPr>
            </w:pPr>
            <w:r>
              <w:rPr>
                <w:rFonts w:ascii="Arial" w:cs="Arial" w:eastAsia="Arial" w:hAnsi="Arial"/>
                <w:sz w:val="13"/>
                <w:szCs w:val="13"/>
                <w:color w:val="auto"/>
              </w:rPr>
              <w:t>50</w:t>
            </w:r>
          </w:p>
        </w:tc>
        <w:tc>
          <w:tcPr>
            <w:tcW w:w="1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277</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29"/>
        </w:trPr>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($326)</w:t>
            </w: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($967)</w:t>
            </w:r>
          </w:p>
        </w:tc>
        <w:tc>
          <w:tcPr>
            <w:tcW w:w="160" w:type="dxa"/>
            <w:vAlign w:val="bottom"/>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($3,731)</w:t>
            </w:r>
          </w:p>
        </w:tc>
        <w:tc>
          <w:tcPr>
            <w:tcW w:w="80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($3,830)</w:t>
            </w:r>
          </w:p>
        </w:tc>
        <w:tc>
          <w:tcPr>
            <w:tcW w:w="0" w:type="dxa"/>
            <w:vAlign w:val="bottom"/>
          </w:tcPr>
          <w:p>
            <w:pPr>
              <w:spacing w:after="0"/>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2">
            <w:col w:w="4920" w:space="720"/>
            <w:col w:w="5820"/>
          </w:cols>
          <w:pgMar w:left="240" w:top="371" w:right="199" w:bottom="698" w:gutter="0" w:footer="0" w:header="0"/>
          <w:type w:val="continuous"/>
        </w:sectPr>
      </w:pPr>
    </w:p>
    <w:p>
      <w:pPr>
        <w:ind w:left="660" w:right="140" w:hanging="328"/>
        <w:spacing w:after="0" w:line="262" w:lineRule="auto"/>
        <w:tabs>
          <w:tab w:leader="none" w:pos="685" w:val="left"/>
        </w:tabs>
        <w:numPr>
          <w:ilvl w:val="0"/>
          <w:numId w:val="10"/>
        </w:numPr>
        <w:rPr>
          <w:rFonts w:ascii="Arial" w:cs="Arial" w:eastAsia="Arial" w:hAnsi="Arial"/>
          <w:sz w:val="12"/>
          <w:szCs w:val="12"/>
          <w:color w:val="auto"/>
        </w:rPr>
      </w:pPr>
      <w:r>
        <w:rPr>
          <w:rFonts w:ascii="Arial" w:cs="Arial" w:eastAsia="Arial" w:hAnsi="Arial"/>
          <w:sz w:val="12"/>
          <w:szCs w:val="12"/>
          <w:color w:val="auto"/>
        </w:rPr>
        <w:t>Net Cash Provided by Operating Activities in our Consolidated Statement of Cash Flows for year to date 2016 includes a $146 million decrease resulting from a payment for the settlement of a tax receivable agreement immediately after the DreamWorks acquisition. For Free Cash Flow purposes, we consider this payment to be nonrecurring in nature and therefore, we excluded the amount from Free Cash Flow. Because the amount has no impact on Free Cash Flow, it is not included in the changes in operating assets and liabilities for this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71" w:right="199" w:bottom="698" w:gutter="0" w:footer="0" w:header="0"/>
          <w:type w:val="continuous"/>
        </w:sectPr>
      </w:pPr>
    </w:p>
    <w:bookmarkStart w:id="10" w:name="page11"/>
    <w:bookmarkEnd w:id="10"/>
    <w:p>
      <w:pPr>
        <w:spacing w:after="0" w:line="62"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-182880</wp:posOffset>
            </wp:positionV>
            <wp:extent cx="995045" cy="43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5045" cy="43751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Twelve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2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06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5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60" w:type="dxa"/>
            <w:vAlign w:val="bottom"/>
            <w:vMerge w:val="continue"/>
          </w:tcPr>
          <w:p>
            <w:pPr>
              <w:spacing w:after="0"/>
              <w:rPr>
                <w:sz w:val="14"/>
                <w:szCs w:val="14"/>
                <w:color w:val="auto"/>
              </w:rPr>
            </w:pPr>
          </w:p>
        </w:tc>
        <w:tc>
          <w:tcPr>
            <w:tcW w:w="98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14"/>
                <w:szCs w:val="14"/>
                <w:color w:val="auto"/>
                <w:vertAlign w:val="superscript"/>
              </w:rPr>
              <w:t>(1)</w:t>
            </w:r>
          </w:p>
        </w:tc>
        <w:tc>
          <w:tcPr>
            <w:tcW w:w="180" w:type="dxa"/>
            <w:vAlign w:val="bottom"/>
            <w:vMerge w:val="restart"/>
          </w:tcPr>
          <w:p>
            <w:pPr>
              <w:spacing w:after="0"/>
              <w:rPr>
                <w:sz w:val="14"/>
                <w:szCs w:val="14"/>
                <w:color w:val="auto"/>
              </w:rPr>
            </w:pPr>
          </w:p>
        </w:tc>
        <w:tc>
          <w:tcPr>
            <w:tcW w:w="10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 xml:space="preserve">EPS </w:t>
            </w:r>
            <w:r>
              <w:rPr>
                <w:rFonts w:ascii="Arial" w:cs="Arial" w:eastAsia="Arial" w:hAnsi="Arial"/>
                <w:sz w:val="14"/>
                <w:szCs w:val="14"/>
                <w:b w:val="1"/>
                <w:bCs w:val="1"/>
                <w:color w:val="auto"/>
                <w:w w:val="96"/>
                <w:vertAlign w:val="superscript"/>
              </w:rPr>
              <w:t>(1)</w:t>
            </w:r>
          </w:p>
        </w:tc>
        <w:tc>
          <w:tcPr>
            <w:tcW w:w="180" w:type="dxa"/>
            <w:vAlign w:val="bottom"/>
            <w:tcBorders>
              <w:right w:val="single" w:sz="8" w:color="auto"/>
            </w:tcBorders>
            <w:vMerge w:val="restart"/>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color w:val="auto"/>
                <w:w w:val="96"/>
              </w:rPr>
              <w:t xml:space="preserve">EPS </w:t>
            </w:r>
            <w:r>
              <w:rPr>
                <w:rFonts w:ascii="Arial" w:cs="Arial" w:eastAsia="Arial" w:hAnsi="Arial"/>
                <w:sz w:val="14"/>
                <w:szCs w:val="14"/>
                <w:color w:val="auto"/>
                <w:w w:val="96"/>
                <w:vertAlign w:val="superscript"/>
              </w:rPr>
              <w:t>(1)</w:t>
            </w:r>
          </w:p>
        </w:tc>
        <w:tc>
          <w:tcPr>
            <w:tcW w:w="280" w:type="dxa"/>
            <w:vAlign w:val="bottom"/>
            <w:vMerge w:val="restart"/>
          </w:tcPr>
          <w:p>
            <w:pPr>
              <w:spacing w:after="0"/>
              <w:rPr>
                <w:sz w:val="14"/>
                <w:szCs w:val="14"/>
                <w:color w:val="auto"/>
              </w:rPr>
            </w:pP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6"/>
              </w:rPr>
              <w:t xml:space="preserve">EPS </w:t>
            </w:r>
            <w:r>
              <w:rPr>
                <w:rFonts w:ascii="Arial" w:cs="Arial" w:eastAsia="Arial" w:hAnsi="Arial"/>
                <w:sz w:val="14"/>
                <w:szCs w:val="14"/>
                <w:b w:val="1"/>
                <w:bCs w:val="1"/>
                <w:color w:val="auto"/>
                <w:w w:val="96"/>
                <w:vertAlign w:val="superscript"/>
              </w:rPr>
              <w:t>(1)</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8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406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80" w:type="dxa"/>
            <w:vAlign w:val="bottom"/>
          </w:tcPr>
          <w:p>
            <w:pPr>
              <w:jc w:val="center"/>
              <w:spacing w:after="0"/>
              <w:rPr>
                <w:sz w:val="20"/>
                <w:szCs w:val="20"/>
                <w:color w:val="auto"/>
              </w:rPr>
            </w:pPr>
            <w:r>
              <w:rPr>
                <w:rFonts w:ascii="Arial" w:cs="Arial" w:eastAsia="Arial" w:hAnsi="Arial"/>
                <w:sz w:val="14"/>
                <w:szCs w:val="14"/>
                <w:color w:val="auto"/>
              </w:rPr>
              <w:t>$1,971</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$0.79</w:t>
            </w:r>
          </w:p>
        </w:tc>
        <w:tc>
          <w:tcPr>
            <w:tcW w:w="1000" w:type="dxa"/>
            <w:vAlign w:val="bottom"/>
          </w:tcPr>
          <w:p>
            <w:pPr>
              <w:jc w:val="right"/>
              <w:ind w:right="308"/>
              <w:spacing w:after="0"/>
              <w:rPr>
                <w:sz w:val="20"/>
                <w:szCs w:val="20"/>
                <w:color w:val="auto"/>
              </w:rPr>
            </w:pPr>
            <w:r>
              <w:rPr>
                <w:rFonts w:ascii="Arial" w:cs="Arial" w:eastAsia="Arial" w:hAnsi="Arial"/>
                <w:sz w:val="14"/>
                <w:szCs w:val="14"/>
                <w:b w:val="1"/>
                <w:bCs w:val="1"/>
                <w:color w:val="auto"/>
              </w:rPr>
              <w:t>$2,296</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$0.95</w:t>
            </w: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$8,163</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$3.24</w:t>
            </w: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$8,695</w:t>
            </w: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$3.57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i w:val="1"/>
                <w:iCs w:val="1"/>
                <w:color w:val="auto"/>
              </w:rPr>
              <w:t>16.5%</w:t>
            </w: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i w:val="1"/>
                <w:iCs w:val="1"/>
                <w:color w:val="auto"/>
              </w:rPr>
              <w:t>20.3%</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i w:val="1"/>
                <w:iCs w:val="1"/>
                <w:color w:val="auto"/>
              </w:rPr>
              <w:t>6.5%</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10.2%</w:t>
            </w:r>
          </w:p>
        </w:tc>
        <w:tc>
          <w:tcPr>
            <w:tcW w:w="0" w:type="dxa"/>
            <w:vAlign w:val="bottom"/>
          </w:tcPr>
          <w:p>
            <w:pPr>
              <w:spacing w:after="0"/>
              <w:rPr>
                <w:sz w:val="1"/>
                <w:szCs w:val="1"/>
                <w:color w:val="auto"/>
              </w:rPr>
            </w:pPr>
          </w:p>
        </w:tc>
      </w:tr>
      <w:tr>
        <w:trPr>
          <w:trHeight w:val="276"/>
        </w:trPr>
        <w:tc>
          <w:tcPr>
            <w:tcW w:w="4060" w:type="dxa"/>
            <w:vAlign w:val="bottom"/>
          </w:tcPr>
          <w:p>
            <w:pPr>
              <w:ind w:left="180"/>
              <w:spacing w:after="0"/>
              <w:rPr>
                <w:sz w:val="20"/>
                <w:szCs w:val="20"/>
                <w:color w:val="auto"/>
              </w:rPr>
            </w:pPr>
            <w:r>
              <w:rPr>
                <w:rFonts w:ascii="Arial" w:cs="Arial" w:eastAsia="Arial" w:hAnsi="Arial"/>
                <w:sz w:val="14"/>
                <w:szCs w:val="14"/>
                <w:color w:val="auto"/>
              </w:rPr>
              <w:t>Income from agency agreement</w:t>
            </w:r>
            <w:r>
              <w:rPr>
                <w:rFonts w:ascii="Arial" w:cs="Arial" w:eastAsia="Arial" w:hAnsi="Arial"/>
                <w:sz w:val="14"/>
                <w:szCs w:val="14"/>
                <w:color w:val="auto"/>
                <w:vertAlign w:val="superscript"/>
              </w:rPr>
              <w:t>(2)</w:t>
            </w:r>
          </w:p>
        </w:tc>
        <w:tc>
          <w:tcPr>
            <w:tcW w:w="9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b w:val="1"/>
                <w:bCs w:val="1"/>
                <w:color w:val="auto"/>
              </w:rPr>
              <w:t>(143)</w:t>
            </w: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(0.06)</w:t>
            </w:r>
          </w:p>
        </w:tc>
        <w:tc>
          <w:tcPr>
            <w:tcW w:w="140" w:type="dxa"/>
            <w:vAlign w:val="bottom"/>
          </w:tcPr>
          <w:p>
            <w:pPr>
              <w:spacing w:after="0"/>
              <w:rPr>
                <w:sz w:val="24"/>
                <w:szCs w:val="24"/>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(143)</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(0.06)</w:t>
            </w:r>
          </w:p>
        </w:tc>
        <w:tc>
          <w:tcPr>
            <w:tcW w:w="0" w:type="dxa"/>
            <w:vAlign w:val="bottom"/>
          </w:tcPr>
          <w:p>
            <w:pPr>
              <w:spacing w:after="0"/>
              <w:rPr>
                <w:sz w:val="1"/>
                <w:szCs w:val="1"/>
                <w:color w:val="auto"/>
              </w:rPr>
            </w:pPr>
          </w:p>
        </w:tc>
      </w:tr>
      <w:tr>
        <w:trPr>
          <w:trHeight w:val="162"/>
        </w:trPr>
        <w:tc>
          <w:tcPr>
            <w:tcW w:w="4060" w:type="dxa"/>
            <w:vAlign w:val="bottom"/>
          </w:tcPr>
          <w:p>
            <w:pPr>
              <w:ind w:left="180"/>
              <w:spacing w:after="0"/>
              <w:rPr>
                <w:sz w:val="20"/>
                <w:szCs w:val="20"/>
                <w:color w:val="auto"/>
              </w:rPr>
            </w:pPr>
            <w:r>
              <w:rPr>
                <w:rFonts w:ascii="Arial" w:cs="Arial" w:eastAsia="Arial" w:hAnsi="Arial"/>
                <w:sz w:val="14"/>
                <w:szCs w:val="14"/>
                <w:color w:val="auto"/>
              </w:rPr>
              <w:t>Gains on sales of businesses and investments</w:t>
            </w:r>
            <w:r>
              <w:rPr>
                <w:rFonts w:ascii="Arial" w:cs="Arial" w:eastAsia="Arial" w:hAnsi="Arial"/>
                <w:sz w:val="14"/>
                <w:szCs w:val="14"/>
                <w:color w:val="auto"/>
                <w:vertAlign w:val="superscript"/>
              </w:rPr>
              <w:t>(3)</w:t>
            </w:r>
          </w:p>
        </w:tc>
        <w:tc>
          <w:tcPr>
            <w:tcW w:w="9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(202)</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(0.08)</w:t>
            </w: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(67)</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162"/>
        </w:trPr>
        <w:tc>
          <w:tcPr>
            <w:tcW w:w="4060" w:type="dxa"/>
            <w:vAlign w:val="bottom"/>
          </w:tcPr>
          <w:p>
            <w:pPr>
              <w:ind w:left="180"/>
              <w:spacing w:after="0"/>
              <w:rPr>
                <w:sz w:val="20"/>
                <w:szCs w:val="20"/>
                <w:color w:val="auto"/>
              </w:rPr>
            </w:pPr>
            <w:r>
              <w:rPr>
                <w:rFonts w:ascii="Arial" w:cs="Arial" w:eastAsia="Arial" w:hAnsi="Arial"/>
                <w:sz w:val="14"/>
                <w:szCs w:val="14"/>
                <w:color w:val="auto"/>
              </w:rPr>
              <w:t>Gain on settlement of contingent consideration liability</w:t>
            </w:r>
            <w:r>
              <w:rPr>
                <w:rFonts w:ascii="Arial" w:cs="Arial" w:eastAsia="Arial" w:hAnsi="Arial"/>
                <w:sz w:val="14"/>
                <w:szCs w:val="14"/>
                <w:color w:val="auto"/>
                <w:vertAlign w:val="superscript"/>
              </w:rPr>
              <w:t>(4)</w:t>
            </w:r>
          </w:p>
        </w:tc>
        <w:tc>
          <w:tcPr>
            <w:tcW w:w="9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(150)</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(0.06)</w:t>
            </w: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60" w:type="dxa"/>
            <w:vAlign w:val="bottom"/>
          </w:tcPr>
          <w:p>
            <w:pPr>
              <w:ind w:left="180"/>
              <w:spacing w:after="0"/>
              <w:rPr>
                <w:sz w:val="20"/>
                <w:szCs w:val="20"/>
                <w:color w:val="auto"/>
              </w:rPr>
            </w:pPr>
            <w:r>
              <w:rPr>
                <w:rFonts w:ascii="Arial" w:cs="Arial" w:eastAsia="Arial" w:hAnsi="Arial"/>
                <w:sz w:val="14"/>
                <w:szCs w:val="14"/>
                <w:color w:val="auto"/>
              </w:rPr>
              <w:t>Loss on early redemption of debt</w:t>
            </w:r>
            <w:r>
              <w:rPr>
                <w:rFonts w:ascii="Arial" w:cs="Arial" w:eastAsia="Arial" w:hAnsi="Arial"/>
                <w:sz w:val="14"/>
                <w:szCs w:val="14"/>
                <w:color w:val="auto"/>
                <w:vertAlign w:val="superscript"/>
              </w:rPr>
              <w:t>(5)</w:t>
            </w:r>
          </w:p>
        </w:tc>
        <w:tc>
          <w:tcPr>
            <w:tcW w:w="9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29</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0.01</w:t>
            </w: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180"/>
              <w:spacing w:after="0"/>
              <w:rPr>
                <w:sz w:val="20"/>
                <w:szCs w:val="20"/>
                <w:color w:val="auto"/>
              </w:rPr>
            </w:pPr>
            <w:r>
              <w:rPr>
                <w:rFonts w:ascii="Arial" w:cs="Arial" w:eastAsia="Arial" w:hAnsi="Arial"/>
                <w:sz w:val="14"/>
                <w:szCs w:val="14"/>
                <w:color w:val="auto"/>
              </w:rPr>
              <w:t>Costs related to Time Warner Cable and Charter</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360"/>
              <w:spacing w:after="0"/>
              <w:rPr>
                <w:sz w:val="20"/>
                <w:szCs w:val="20"/>
                <w:color w:val="auto"/>
              </w:rPr>
            </w:pPr>
            <w:r>
              <w:rPr>
                <w:rFonts w:ascii="Arial" w:cs="Arial" w:eastAsia="Arial" w:hAnsi="Arial"/>
                <w:sz w:val="14"/>
                <w:szCs w:val="14"/>
                <w:color w:val="auto"/>
              </w:rPr>
              <w:t>transactions</w:t>
            </w:r>
            <w:r>
              <w:rPr>
                <w:rFonts w:ascii="Arial" w:cs="Arial" w:eastAsia="Arial" w:hAnsi="Arial"/>
                <w:sz w:val="14"/>
                <w:szCs w:val="14"/>
                <w:color w:val="auto"/>
                <w:vertAlign w:val="superscript"/>
              </w:rPr>
              <w:t>(6)</w:t>
            </w:r>
          </w:p>
        </w:tc>
        <w:tc>
          <w:tcPr>
            <w:tcW w:w="9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123</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0.05</w:t>
            </w:r>
          </w:p>
        </w:tc>
        <w:tc>
          <w:tcPr>
            <w:tcW w:w="9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060" w:type="dxa"/>
            <w:vAlign w:val="bottom"/>
          </w:tcPr>
          <w:p>
            <w:pPr>
              <w:ind w:left="180"/>
              <w:spacing w:after="0"/>
              <w:rPr>
                <w:sz w:val="20"/>
                <w:szCs w:val="20"/>
                <w:color w:val="auto"/>
              </w:rPr>
            </w:pPr>
            <w:r>
              <w:rPr>
                <w:rFonts w:ascii="Arial" w:cs="Arial" w:eastAsia="Arial" w:hAnsi="Arial"/>
                <w:sz w:val="14"/>
                <w:szCs w:val="14"/>
                <w:color w:val="auto"/>
              </w:rPr>
              <w:t>Losses on investment</w:t>
            </w:r>
            <w:r>
              <w:rPr>
                <w:rFonts w:ascii="Arial" w:cs="Arial" w:eastAsia="Arial" w:hAnsi="Arial"/>
                <w:sz w:val="14"/>
                <w:szCs w:val="14"/>
                <w:color w:val="auto"/>
                <w:vertAlign w:val="superscript"/>
              </w:rPr>
              <w:t>(7)</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50</w:t>
            </w:r>
          </w:p>
        </w:tc>
        <w:tc>
          <w:tcPr>
            <w:tcW w:w="640" w:type="dxa"/>
            <w:vAlign w:val="bottom"/>
          </w:tcPr>
          <w:p>
            <w:pPr>
              <w:jc w:val="right"/>
              <w:spacing w:after="0"/>
              <w:rPr>
                <w:sz w:val="20"/>
                <w:szCs w:val="20"/>
                <w:color w:val="auto"/>
              </w:rPr>
            </w:pPr>
            <w:r>
              <w:rPr>
                <w:rFonts w:ascii="Arial" w:cs="Arial" w:eastAsia="Arial" w:hAnsi="Arial"/>
                <w:sz w:val="14"/>
                <w:szCs w:val="14"/>
                <w:color w:val="auto"/>
              </w:rPr>
              <w:t>0.02</w:t>
            </w:r>
          </w:p>
        </w:tc>
        <w:tc>
          <w:tcPr>
            <w:tcW w:w="180" w:type="dxa"/>
            <w:vAlign w:val="bottom"/>
          </w:tcPr>
          <w:p>
            <w:pPr>
              <w:spacing w:after="0"/>
              <w:rPr>
                <w:sz w:val="15"/>
                <w:szCs w:val="15"/>
                <w:color w:val="auto"/>
              </w:rPr>
            </w:pPr>
          </w:p>
        </w:tc>
        <w:tc>
          <w:tcPr>
            <w:tcW w:w="100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208</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0.09</w:t>
            </w: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color w:val="auto"/>
              </w:rPr>
              <w:t>Net income attributable to Comcast Corporation (excluding</w:t>
            </w: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$0.81</w:t>
            </w:r>
          </w:p>
        </w:tc>
        <w:tc>
          <w:tcPr>
            <w:tcW w:w="180" w:type="dxa"/>
            <w:vAlign w:val="bottom"/>
            <w:vMerge w:val="restart"/>
          </w:tcPr>
          <w:p>
            <w:pPr>
              <w:spacing w:after="0"/>
              <w:rPr>
                <w:sz w:val="19"/>
                <w:szCs w:val="19"/>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$2,153</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$0.89</w:t>
            </w: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color w:val="auto"/>
              </w:rPr>
              <w:t>$8,171</w:t>
            </w: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$3.25</w:t>
            </w:r>
          </w:p>
        </w:tc>
        <w:tc>
          <w:tcPr>
            <w:tcW w:w="9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$8,485</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9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248"/>
              <w:spacing w:after="0" w:line="143" w:lineRule="exact"/>
              <w:rPr>
                <w:sz w:val="20"/>
                <w:szCs w:val="20"/>
                <w:color w:val="auto"/>
              </w:rPr>
            </w:pPr>
            <w:r>
              <w:rPr>
                <w:rFonts w:ascii="Arial" w:cs="Arial" w:eastAsia="Arial" w:hAnsi="Arial"/>
                <w:sz w:val="14"/>
                <w:szCs w:val="14"/>
                <w:i w:val="1"/>
                <w:iCs w:val="1"/>
                <w:color w:val="auto"/>
              </w:rPr>
              <w:t>6.5%</w:t>
            </w:r>
          </w:p>
        </w:tc>
        <w:tc>
          <w:tcPr>
            <w:tcW w:w="620" w:type="dxa"/>
            <w:vAlign w:val="bottom"/>
          </w:tcPr>
          <w:p>
            <w:pPr>
              <w:jc w:val="right"/>
              <w:spacing w:after="0" w:line="143" w:lineRule="exact"/>
              <w:rPr>
                <w:sz w:val="20"/>
                <w:szCs w:val="20"/>
                <w:color w:val="auto"/>
              </w:rPr>
            </w:pPr>
            <w:r>
              <w:rPr>
                <w:rFonts w:ascii="Arial" w:cs="Arial" w:eastAsia="Arial" w:hAnsi="Arial"/>
                <w:sz w:val="14"/>
                <w:szCs w:val="14"/>
                <w:i w:val="1"/>
                <w:iCs w:val="1"/>
                <w:color w:val="auto"/>
              </w:rPr>
              <w:t>9.9%</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228"/>
              <w:spacing w:after="0" w:line="143" w:lineRule="exact"/>
              <w:rPr>
                <w:sz w:val="20"/>
                <w:szCs w:val="20"/>
                <w:color w:val="auto"/>
              </w:rPr>
            </w:pPr>
            <w:r>
              <w:rPr>
                <w:rFonts w:ascii="Arial" w:cs="Arial" w:eastAsia="Arial" w:hAnsi="Arial"/>
                <w:sz w:val="14"/>
                <w:szCs w:val="14"/>
                <w:i w:val="1"/>
                <w:iCs w:val="1"/>
                <w:color w:val="auto"/>
              </w:rPr>
              <w:t>3.9%</w:t>
            </w:r>
          </w:p>
        </w:tc>
        <w:tc>
          <w:tcPr>
            <w:tcW w:w="680" w:type="dxa"/>
            <w:vAlign w:val="bottom"/>
            <w:gridSpan w:val="2"/>
          </w:tcPr>
          <w:p>
            <w:pPr>
              <w:jc w:val="right"/>
              <w:ind w:right="100"/>
              <w:spacing w:after="0" w:line="143" w:lineRule="exact"/>
              <w:rPr>
                <w:sz w:val="20"/>
                <w:szCs w:val="20"/>
                <w:color w:val="auto"/>
              </w:rPr>
            </w:pPr>
            <w:r>
              <w:rPr>
                <w:rFonts w:ascii="Arial" w:cs="Arial" w:eastAsia="Arial" w:hAnsi="Arial"/>
                <w:sz w:val="14"/>
                <w:szCs w:val="14"/>
                <w:i w:val="1"/>
                <w:iCs w:val="1"/>
                <w:color w:val="auto"/>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Based on pre-split diluted weighted-average number of common shares for the respective periods as presented in Table 1.</w:t>
      </w:r>
    </w:p>
    <w:p>
      <w:pPr>
        <w:spacing w:after="0" w:line="107" w:lineRule="exact"/>
        <w:rPr>
          <w:rFonts w:ascii="Arial" w:cs="Arial" w:eastAsia="Arial" w:hAnsi="Arial"/>
          <w:sz w:val="13"/>
          <w:szCs w:val="13"/>
          <w:color w:val="auto"/>
        </w:rPr>
      </w:pPr>
    </w:p>
    <w:p>
      <w:pPr>
        <w:ind w:left="340" w:right="260" w:hanging="332"/>
        <w:spacing w:after="0" w:line="249" w:lineRule="auto"/>
        <w:tabs>
          <w:tab w:leader="none" w:pos="310" w:val="left"/>
        </w:tabs>
        <w:numPr>
          <w:ilvl w:val="0"/>
          <w:numId w:val="11"/>
        </w:numPr>
        <w:rPr>
          <w:rFonts w:ascii="Arial" w:cs="Arial" w:eastAsia="Arial" w:hAnsi="Arial"/>
          <w:sz w:val="13"/>
          <w:szCs w:val="13"/>
          <w:color w:val="auto"/>
        </w:rPr>
      </w:pPr>
      <w:r>
        <w:rPr>
          <w:rFonts w:ascii="Arial" w:cs="Arial" w:eastAsia="Arial" w:hAnsi="Arial"/>
          <w:sz w:val="13"/>
          <w:szCs w:val="13"/>
          <w:color w:val="auto"/>
        </w:rPr>
        <w:t>4th quarter 2016 net income attributable to Comcast Corporation includes $225 million of other income, $143 million net of tax, recognized in connection with the settlement of amounts owed to us under an agency agreement that provided for, among other things, the sale of our cable services by a third party.</w:t>
      </w:r>
    </w:p>
    <w:p>
      <w:pPr>
        <w:spacing w:after="0" w:line="81" w:lineRule="exact"/>
        <w:rPr>
          <w:rFonts w:ascii="Arial" w:cs="Arial" w:eastAsia="Arial" w:hAnsi="Arial"/>
          <w:sz w:val="13"/>
          <w:szCs w:val="13"/>
          <w:color w:val="auto"/>
        </w:rPr>
      </w:pPr>
    </w:p>
    <w:p>
      <w:pPr>
        <w:ind w:left="340" w:right="380" w:hanging="332"/>
        <w:spacing w:after="0" w:line="235" w:lineRule="auto"/>
        <w:tabs>
          <w:tab w:leader="none" w:pos="310" w:val="left"/>
        </w:tabs>
        <w:numPr>
          <w:ilvl w:val="0"/>
          <w:numId w:val="11"/>
        </w:numPr>
        <w:rPr>
          <w:rFonts w:ascii="Arial" w:cs="Arial" w:eastAsia="Arial" w:hAnsi="Arial"/>
          <w:sz w:val="13"/>
          <w:szCs w:val="13"/>
          <w:color w:val="auto"/>
        </w:rPr>
      </w:pPr>
      <w:r>
        <w:rPr>
          <w:rFonts w:ascii="Arial" w:cs="Arial" w:eastAsia="Arial" w:hAnsi="Arial"/>
          <w:sz w:val="13"/>
          <w:szCs w:val="13"/>
          <w:color w:val="auto"/>
        </w:rPr>
        <w:t>2016 year to date net income attributable to Comcast Corporation includes $108 million of other income, $67 million net of tax, resulting from a gain on the sale of our investment in The Weather Channel’s product and technology business. 2015 year to date net income attributable to Comcast Corporation includes $335 million of other income, $202 million net of tax and noncontrolling interests, resulting from sales of an investment and a business.</w:t>
      </w:r>
    </w:p>
    <w:p>
      <w:pPr>
        <w:spacing w:after="0" w:line="87" w:lineRule="exact"/>
        <w:rPr>
          <w:rFonts w:ascii="Arial" w:cs="Arial" w:eastAsia="Arial" w:hAnsi="Arial"/>
          <w:sz w:val="13"/>
          <w:szCs w:val="13"/>
          <w:color w:val="auto"/>
        </w:rPr>
      </w:pPr>
    </w:p>
    <w:p>
      <w:pPr>
        <w:ind w:left="340" w:right="80" w:hanging="332"/>
        <w:spacing w:after="0" w:line="249" w:lineRule="auto"/>
        <w:tabs>
          <w:tab w:leader="none" w:pos="310" w:val="left"/>
        </w:tabs>
        <w:numPr>
          <w:ilvl w:val="0"/>
          <w:numId w:val="11"/>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$240 million of other income, $150 million net of tax, resulting from the settlement of a contingent consideration liability with General Electric Company related to the acquisition of NBCUniversal.</w:t>
      </w:r>
    </w:p>
    <w:p>
      <w:pPr>
        <w:spacing w:after="0" w:line="81" w:lineRule="exact"/>
        <w:rPr>
          <w:rFonts w:ascii="Arial" w:cs="Arial" w:eastAsia="Arial" w:hAnsi="Arial"/>
          <w:sz w:val="13"/>
          <w:szCs w:val="13"/>
          <w:color w:val="auto"/>
        </w:rPr>
      </w:pPr>
    </w:p>
    <w:p>
      <w:pPr>
        <w:ind w:left="300" w:hanging="292"/>
        <w:spacing w:after="0"/>
        <w:tabs>
          <w:tab w:leader="none" w:pos="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$47 million of interest expense, $29 million net of tax, resulting from the early redemption of debt.</w:t>
      </w:r>
    </w:p>
    <w:p>
      <w:pPr>
        <w:spacing w:after="0" w:line="107" w:lineRule="exact"/>
        <w:rPr>
          <w:rFonts w:ascii="Arial" w:cs="Arial" w:eastAsia="Arial" w:hAnsi="Arial"/>
          <w:sz w:val="13"/>
          <w:szCs w:val="13"/>
          <w:color w:val="auto"/>
        </w:rPr>
      </w:pPr>
    </w:p>
    <w:p>
      <w:pPr>
        <w:ind w:left="340" w:right="300" w:hanging="332"/>
        <w:spacing w:after="0" w:line="249" w:lineRule="auto"/>
        <w:tabs>
          <w:tab w:leader="none" w:pos="310" w:val="left"/>
        </w:tabs>
        <w:numPr>
          <w:ilvl w:val="0"/>
          <w:numId w:val="11"/>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$198 million of expense ($178 million of operating costs and expenses and $20 million of depreciation and amortization expense), $123 million net of tax, related to the Time Warner Cable and Charter transactions.</w:t>
      </w:r>
    </w:p>
    <w:p>
      <w:pPr>
        <w:spacing w:after="0" w:line="81" w:lineRule="exact"/>
        <w:rPr>
          <w:rFonts w:ascii="Arial" w:cs="Arial" w:eastAsia="Arial" w:hAnsi="Arial"/>
          <w:sz w:val="13"/>
          <w:szCs w:val="13"/>
          <w:color w:val="auto"/>
        </w:rPr>
      </w:pPr>
    </w:p>
    <w:p>
      <w:pPr>
        <w:ind w:left="340" w:right="60" w:hanging="332"/>
        <w:spacing w:after="0" w:line="235" w:lineRule="auto"/>
        <w:tabs>
          <w:tab w:leader="none" w:pos="310" w:val="left"/>
        </w:tabs>
        <w:numPr>
          <w:ilvl w:val="0"/>
          <w:numId w:val="11"/>
        </w:numPr>
        <w:rPr>
          <w:rFonts w:ascii="Arial" w:cs="Arial" w:eastAsia="Arial" w:hAnsi="Arial"/>
          <w:sz w:val="13"/>
          <w:szCs w:val="13"/>
          <w:color w:val="auto"/>
        </w:rPr>
      </w:pPr>
      <w:r>
        <w:rPr>
          <w:rFonts w:ascii="Arial" w:cs="Arial" w:eastAsia="Arial" w:hAnsi="Arial"/>
          <w:sz w:val="13"/>
          <w:szCs w:val="13"/>
          <w:color w:val="auto"/>
        </w:rPr>
        <w:t>4th quarter 2015 net income attributable to Comcast Corporation includes $81 million of equity in net losses of investees, $50 million net of tax, resulting from our proportionate share of an impairment loss recorded at The Weather Channel. 2015 year to date net income attributable to Comcast Corporation includes $333 million of equity in net losses of investees, $208 million net of tax, resulting from our proportionate share of impairment losses recorded at The Weather Channel.</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377825</wp:posOffset>
            </wp:positionV>
            <wp:extent cx="995045" cy="43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504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As Reported to Pro Forma</w:t>
      </w:r>
      <w:r>
        <w:rPr>
          <w:rFonts w:ascii="Arial" w:cs="Arial" w:eastAsia="Arial" w:hAnsi="Arial"/>
          <w:sz w:val="18"/>
          <w:szCs w:val="18"/>
          <w:b w:val="1"/>
          <w:bCs w:val="1"/>
          <w:color w:val="C9C9C9"/>
          <w:vertAlign w:val="superscript"/>
        </w:rPr>
        <w:t>(1)</w:t>
      </w:r>
      <w:r>
        <w:rPr>
          <w:rFonts w:ascii="Arial" w:cs="Arial" w:eastAsia="Arial" w:hAnsi="Arial"/>
          <w:sz w:val="18"/>
          <w:szCs w:val="18"/>
          <w:b w:val="1"/>
          <w:bCs w:val="1"/>
          <w:color w:val="C9C9C9"/>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Theme Parks</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NBCUniversal</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9"/>
        </w:trPr>
        <w:tc>
          <w:tcPr>
            <w:tcW w:w="3160" w:type="dxa"/>
            <w:vAlign w:val="bottom"/>
            <w:gridSpan w:val="5"/>
          </w:tcPr>
          <w:p>
            <w:pPr>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 Forma</w:t>
            </w:r>
          </w:p>
        </w:tc>
        <w:tc>
          <w:tcPr>
            <w:tcW w:w="1400" w:type="dxa"/>
            <w:vAlign w:val="bottom"/>
            <w:tcBorders>
              <w:right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Pro Forma</w:t>
            </w:r>
          </w:p>
        </w:tc>
        <w:tc>
          <w:tcPr>
            <w:tcW w:w="13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28"/>
        </w:trPr>
        <w:tc>
          <w:tcPr>
            <w:tcW w:w="9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0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9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 Reported</w:t>
            </w:r>
          </w:p>
        </w:tc>
        <w:tc>
          <w:tcPr>
            <w:tcW w:w="1440" w:type="dxa"/>
            <w:vAlign w:val="bottom"/>
            <w:gridSpan w:val="2"/>
          </w:tcPr>
          <w:p>
            <w:pPr>
              <w:jc w:val="center"/>
              <w:ind w:right="100"/>
              <w:spacing w:after="0" w:line="177" w:lineRule="exact"/>
              <w:rPr>
                <w:sz w:val="20"/>
                <w:szCs w:val="20"/>
                <w:color w:val="auto"/>
              </w:rPr>
            </w:pPr>
            <w:r>
              <w:rPr>
                <w:rFonts w:ascii="Arial" w:cs="Arial" w:eastAsia="Arial" w:hAnsi="Arial"/>
                <w:sz w:val="14"/>
                <w:szCs w:val="14"/>
                <w:b w:val="1"/>
                <w:bCs w:val="1"/>
                <w:color w:val="auto"/>
                <w:w w:val="99"/>
              </w:rPr>
              <w:t>Adjustments</w:t>
            </w:r>
            <w:r>
              <w:rPr>
                <w:rFonts w:ascii="Arial" w:cs="Arial" w:eastAsia="Arial" w:hAnsi="Arial"/>
                <w:sz w:val="17"/>
                <w:szCs w:val="17"/>
                <w:b w:val="1"/>
                <w:bCs w:val="1"/>
                <w:color w:val="auto"/>
                <w:w w:val="99"/>
                <w:vertAlign w:val="superscript"/>
              </w:rPr>
              <w:t>(1)</w:t>
            </w:r>
          </w:p>
        </w:tc>
        <w:tc>
          <w:tcPr>
            <w:tcW w:w="14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Theme Parks</w:t>
            </w:r>
          </w:p>
        </w:tc>
        <w:tc>
          <w:tcPr>
            <w:tcW w:w="8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1420" w:type="dxa"/>
            <w:vAlign w:val="bottom"/>
            <w:gridSpan w:val="2"/>
          </w:tcPr>
          <w:p>
            <w:pPr>
              <w:jc w:val="center"/>
              <w:ind w:right="120"/>
              <w:spacing w:after="0" w:line="177" w:lineRule="exact"/>
              <w:rPr>
                <w:sz w:val="20"/>
                <w:szCs w:val="20"/>
                <w:color w:val="auto"/>
              </w:rPr>
            </w:pPr>
            <w:r>
              <w:rPr>
                <w:rFonts w:ascii="Arial" w:cs="Arial" w:eastAsia="Arial" w:hAnsi="Arial"/>
                <w:sz w:val="14"/>
                <w:szCs w:val="14"/>
                <w:b w:val="1"/>
                <w:bCs w:val="1"/>
                <w:color w:val="auto"/>
                <w:w w:val="99"/>
              </w:rPr>
              <w:t>Adjustments</w:t>
            </w:r>
            <w:r>
              <w:rPr>
                <w:rFonts w:ascii="Arial" w:cs="Arial" w:eastAsia="Arial" w:hAnsi="Arial"/>
                <w:sz w:val="17"/>
                <w:szCs w:val="17"/>
                <w:b w:val="1"/>
                <w:bCs w:val="1"/>
                <w:color w:val="auto"/>
                <w:w w:val="99"/>
                <w:vertAlign w:val="superscript"/>
              </w:rPr>
              <w:t>(1)</w:t>
            </w: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rPr>
              <w:t>NBCUniversal</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Three Months Ended December 31, 2015</w:t>
            </w:r>
          </w:p>
        </w:tc>
        <w:tc>
          <w:tcPr>
            <w:tcW w:w="380" w:type="dxa"/>
            <w:vAlign w:val="bottom"/>
            <w:gridSpan w:val="2"/>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16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$1,189</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$7,477</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$7,647</w:t>
            </w:r>
          </w:p>
        </w:tc>
        <w:tc>
          <w:tcPr>
            <w:tcW w:w="0" w:type="dxa"/>
            <w:vAlign w:val="bottom"/>
          </w:tcPr>
          <w:p>
            <w:pPr>
              <w:spacing w:after="0"/>
              <w:rPr>
                <w:sz w:val="1"/>
                <w:szCs w:val="1"/>
                <w:color w:val="auto"/>
              </w:rPr>
            </w:pPr>
          </w:p>
        </w:tc>
      </w:tr>
      <w:tr>
        <w:trPr>
          <w:trHeight w:val="224"/>
        </w:trPr>
        <w:tc>
          <w:tcPr>
            <w:tcW w:w="3160" w:type="dxa"/>
            <w:vAlign w:val="bottom"/>
            <w:gridSpan w:val="5"/>
          </w:tcPr>
          <w:p>
            <w:pPr>
              <w:spacing w:after="0"/>
              <w:rPr>
                <w:sz w:val="20"/>
                <w:szCs w:val="20"/>
                <w:color w:val="auto"/>
              </w:rPr>
            </w:pPr>
            <w:r>
              <w:rPr>
                <w:rFonts w:ascii="Arial" w:cs="Arial" w:eastAsia="Arial" w:hAnsi="Arial"/>
                <w:sz w:val="14"/>
                <w:szCs w:val="14"/>
                <w:color w:val="auto"/>
              </w:rPr>
              <w:t>Operating costs and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9"/>
                <w:szCs w:val="19"/>
                <w:color w:val="auto"/>
              </w:rPr>
            </w:pP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5,925</w:t>
            </w:r>
          </w:p>
        </w:tc>
        <w:tc>
          <w:tcPr>
            <w:tcW w:w="100" w:type="dxa"/>
            <w:vAlign w:val="bottom"/>
          </w:tcPr>
          <w:p>
            <w:pPr>
              <w:spacing w:after="0"/>
              <w:rPr>
                <w:sz w:val="19"/>
                <w:szCs w:val="19"/>
                <w:color w:val="auto"/>
              </w:rPr>
            </w:pP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6,006</w:t>
            </w:r>
          </w:p>
        </w:tc>
        <w:tc>
          <w:tcPr>
            <w:tcW w:w="0" w:type="dxa"/>
            <w:vAlign w:val="bottom"/>
          </w:tcPr>
          <w:p>
            <w:pPr>
              <w:spacing w:after="0"/>
              <w:rPr>
                <w:sz w:val="1"/>
                <w:szCs w:val="1"/>
                <w:color w:val="auto"/>
              </w:rPr>
            </w:pPr>
          </w:p>
        </w:tc>
      </w:tr>
      <w:tr>
        <w:trPr>
          <w:trHeight w:val="237"/>
        </w:trPr>
        <w:tc>
          <w:tcPr>
            <w:tcW w:w="3160" w:type="dxa"/>
            <w:vAlign w:val="bottom"/>
            <w:gridSpan w:val="5"/>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20"/>
        </w:trPr>
        <w:tc>
          <w:tcPr>
            <w:tcW w:w="31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Three Months Ended December 31, 2016</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60" w:type="dxa"/>
            <w:vAlign w:val="bottom"/>
            <w:gridSpan w:val="5"/>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Revenue</w:t>
            </w:r>
          </w:p>
        </w:tc>
        <w:tc>
          <w:tcPr>
            <w:tcW w:w="40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$1,344</w:t>
            </w:r>
          </w:p>
        </w:tc>
        <w:tc>
          <w:tcPr>
            <w:tcW w:w="120" w:type="dxa"/>
            <w:vAlign w:val="bottom"/>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$1,344</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$8,451</w:t>
            </w:r>
          </w:p>
        </w:tc>
        <w:tc>
          <w:tcPr>
            <w:tcW w:w="100" w:type="dxa"/>
            <w:vAlign w:val="bottom"/>
          </w:tcPr>
          <w:p>
            <w:pPr>
              <w:spacing w:after="0"/>
              <w:rPr>
                <w:sz w:val="24"/>
                <w:szCs w:val="24"/>
                <w:color w:val="auto"/>
              </w:rPr>
            </w:pPr>
          </w:p>
        </w:tc>
        <w:tc>
          <w:tcPr>
            <w:tcW w:w="1320" w:type="dxa"/>
            <w:vAlign w:val="bottom"/>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$8,451</w:t>
            </w:r>
          </w:p>
        </w:tc>
        <w:tc>
          <w:tcPr>
            <w:tcW w:w="0" w:type="dxa"/>
            <w:vAlign w:val="bottom"/>
          </w:tcPr>
          <w:p>
            <w:pPr>
              <w:spacing w:after="0"/>
              <w:rPr>
                <w:sz w:val="1"/>
                <w:szCs w:val="1"/>
                <w:color w:val="auto"/>
              </w:rPr>
            </w:pPr>
          </w:p>
        </w:tc>
      </w:tr>
      <w:tr>
        <w:trPr>
          <w:trHeight w:val="218"/>
        </w:trPr>
        <w:tc>
          <w:tcPr>
            <w:tcW w:w="3160" w:type="dxa"/>
            <w:vAlign w:val="bottom"/>
            <w:gridSpan w:val="5"/>
          </w:tcPr>
          <w:p>
            <w:pPr>
              <w:spacing w:after="0"/>
              <w:rPr>
                <w:sz w:val="20"/>
                <w:szCs w:val="20"/>
                <w:color w:val="auto"/>
              </w:rPr>
            </w:pPr>
            <w:r>
              <w:rPr>
                <w:rFonts w:ascii="Arial" w:cs="Arial" w:eastAsia="Arial" w:hAnsi="Arial"/>
                <w:sz w:val="14"/>
                <w:szCs w:val="14"/>
                <w:color w:val="auto"/>
              </w:rPr>
              <w:t>Operating costs and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6,681</w:t>
            </w:r>
          </w:p>
        </w:tc>
        <w:tc>
          <w:tcPr>
            <w:tcW w:w="100" w:type="dxa"/>
            <w:vAlign w:val="bottom"/>
          </w:tcPr>
          <w:p>
            <w:pPr>
              <w:spacing w:after="0"/>
              <w:rPr>
                <w:sz w:val="18"/>
                <w:szCs w:val="18"/>
                <w:color w:val="auto"/>
              </w:rPr>
            </w:pP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6,681</w:t>
            </w:r>
          </w:p>
        </w:tc>
        <w:tc>
          <w:tcPr>
            <w:tcW w:w="0" w:type="dxa"/>
            <w:vAlign w:val="bottom"/>
          </w:tcPr>
          <w:p>
            <w:pPr>
              <w:spacing w:after="0"/>
              <w:rPr>
                <w:sz w:val="1"/>
                <w:szCs w:val="1"/>
                <w:color w:val="auto"/>
              </w:rPr>
            </w:pPr>
          </w:p>
        </w:tc>
      </w:tr>
      <w:tr>
        <w:trPr>
          <w:trHeight w:val="237"/>
        </w:trPr>
        <w:tc>
          <w:tcPr>
            <w:tcW w:w="3160" w:type="dxa"/>
            <w:vAlign w:val="bottom"/>
            <w:gridSpan w:val="5"/>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20"/>
                <w:szCs w:val="20"/>
                <w:color w:val="auto"/>
              </w:rPr>
            </w:pP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20"/>
                <w:szCs w:val="20"/>
                <w:color w:val="auto"/>
              </w:rPr>
            </w:pP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20"/>
        </w:trPr>
        <w:tc>
          <w:tcPr>
            <w:tcW w:w="31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Growth Rates</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60" w:type="dxa"/>
            <w:vAlign w:val="bottom"/>
            <w:gridSpan w:val="5"/>
            <w:vMerge w:val="continue"/>
          </w:tcPr>
          <w:p>
            <w:pPr>
              <w:spacing w:after="0"/>
              <w:rPr>
                <w:sz w:val="24"/>
                <w:szCs w:val="24"/>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32.1%</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24"/>
                <w:szCs w:val="24"/>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13.0%</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2"/>
        </w:trPr>
        <w:tc>
          <w:tcPr>
            <w:tcW w:w="94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Revenue</w:t>
            </w:r>
          </w:p>
        </w:tc>
        <w:tc>
          <w:tcPr>
            <w:tcW w:w="1900" w:type="dxa"/>
            <w:vAlign w:val="bottom"/>
            <w:gridSpan w:val="3"/>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60" w:type="dxa"/>
            <w:vAlign w:val="bottom"/>
            <w:gridSpan w:val="5"/>
          </w:tcPr>
          <w:p>
            <w:pPr>
              <w:spacing w:after="0"/>
              <w:rPr>
                <w:sz w:val="20"/>
                <w:szCs w:val="20"/>
                <w:color w:val="auto"/>
              </w:rPr>
            </w:pPr>
            <w:r>
              <w:rPr>
                <w:rFonts w:ascii="Arial" w:cs="Arial" w:eastAsia="Arial" w:hAnsi="Arial"/>
                <w:sz w:val="14"/>
                <w:szCs w:val="14"/>
                <w:color w:val="auto"/>
              </w:rPr>
              <w:t>Operating cash flow</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41.9%</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14.0%</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49"/>
        </w:trPr>
        <w:tc>
          <w:tcPr>
            <w:tcW w:w="9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160" w:type="dxa"/>
            <w:vAlign w:val="bottom"/>
            <w:gridSpan w:val="5"/>
          </w:tcPr>
          <w:p>
            <w:pPr>
              <w:spacing w:after="0"/>
              <w:rPr>
                <w:sz w:val="20"/>
                <w:szCs w:val="20"/>
                <w:color w:val="auto"/>
              </w:rPr>
            </w:pPr>
            <w:r>
              <w:rPr>
                <w:rFonts w:ascii="Arial" w:cs="Arial" w:eastAsia="Arial" w:hAnsi="Arial"/>
                <w:sz w:val="14"/>
                <w:szCs w:val="14"/>
                <w:b w:val="1"/>
                <w:bCs w:val="1"/>
                <w:color w:val="auto"/>
              </w:rPr>
              <w:t>Twelve Months Ended December 31, 2015</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84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Revenue</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$3,339</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$1,052</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$4,391</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$28,462</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$29,514</w:t>
            </w:r>
          </w:p>
        </w:tc>
        <w:tc>
          <w:tcPr>
            <w:tcW w:w="0" w:type="dxa"/>
            <w:vAlign w:val="bottom"/>
          </w:tcPr>
          <w:p>
            <w:pPr>
              <w:spacing w:after="0"/>
              <w:rPr>
                <w:sz w:val="1"/>
                <w:szCs w:val="1"/>
                <w:color w:val="auto"/>
              </w:rPr>
            </w:pPr>
          </w:p>
        </w:tc>
      </w:tr>
      <w:tr>
        <w:trPr>
          <w:trHeight w:val="224"/>
        </w:trPr>
        <w:tc>
          <w:tcPr>
            <w:tcW w:w="3160" w:type="dxa"/>
            <w:vAlign w:val="bottom"/>
            <w:gridSpan w:val="5"/>
          </w:tcPr>
          <w:p>
            <w:pPr>
              <w:spacing w:after="0"/>
              <w:rPr>
                <w:sz w:val="20"/>
                <w:szCs w:val="20"/>
                <w:color w:val="auto"/>
              </w:rPr>
            </w:pPr>
            <w:r>
              <w:rPr>
                <w:rFonts w:ascii="Arial" w:cs="Arial" w:eastAsia="Arial" w:hAnsi="Arial"/>
                <w:sz w:val="14"/>
                <w:szCs w:val="14"/>
                <w:color w:val="auto"/>
              </w:rPr>
              <w:t>Operating costs and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22,110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22,674</w:t>
            </w:r>
          </w:p>
        </w:tc>
        <w:tc>
          <w:tcPr>
            <w:tcW w:w="0" w:type="dxa"/>
            <w:vAlign w:val="bottom"/>
          </w:tcPr>
          <w:p>
            <w:pPr>
              <w:spacing w:after="0"/>
              <w:rPr>
                <w:sz w:val="1"/>
                <w:szCs w:val="1"/>
                <w:color w:val="auto"/>
              </w:rPr>
            </w:pPr>
          </w:p>
        </w:tc>
      </w:tr>
      <w:tr>
        <w:trPr>
          <w:trHeight w:val="237"/>
        </w:trPr>
        <w:tc>
          <w:tcPr>
            <w:tcW w:w="3160" w:type="dxa"/>
            <w:vAlign w:val="bottom"/>
            <w:gridSpan w:val="5"/>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$6,352</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$6,840</w:t>
            </w:r>
          </w:p>
        </w:tc>
        <w:tc>
          <w:tcPr>
            <w:tcW w:w="0" w:type="dxa"/>
            <w:vAlign w:val="bottom"/>
          </w:tcPr>
          <w:p>
            <w:pPr>
              <w:spacing w:after="0"/>
              <w:rPr>
                <w:sz w:val="1"/>
                <w:szCs w:val="1"/>
                <w:color w:val="auto"/>
              </w:rPr>
            </w:pPr>
          </w:p>
        </w:tc>
      </w:tr>
      <w:tr>
        <w:trPr>
          <w:trHeight w:val="20"/>
        </w:trPr>
        <w:tc>
          <w:tcPr>
            <w:tcW w:w="31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Twelve Months Ended December 31, 2016</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60" w:type="dxa"/>
            <w:vAlign w:val="bottom"/>
            <w:gridSpan w:val="5"/>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84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Revenue</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$4,946</w:t>
            </w:r>
          </w:p>
        </w:tc>
        <w:tc>
          <w:tcPr>
            <w:tcW w:w="120" w:type="dxa"/>
            <w:vAlign w:val="bottom"/>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$4,946</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$31,593</w:t>
            </w:r>
          </w:p>
        </w:tc>
        <w:tc>
          <w:tcPr>
            <w:tcW w:w="100" w:type="dxa"/>
            <w:vAlign w:val="bottom"/>
          </w:tcPr>
          <w:p>
            <w:pPr>
              <w:spacing w:after="0"/>
              <w:rPr>
                <w:sz w:val="24"/>
                <w:szCs w:val="24"/>
                <w:color w:val="auto"/>
              </w:rPr>
            </w:pPr>
          </w:p>
        </w:tc>
        <w:tc>
          <w:tcPr>
            <w:tcW w:w="1320" w:type="dxa"/>
            <w:vAlign w:val="bottom"/>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$31,593</w:t>
            </w:r>
          </w:p>
        </w:tc>
        <w:tc>
          <w:tcPr>
            <w:tcW w:w="0" w:type="dxa"/>
            <w:vAlign w:val="bottom"/>
          </w:tcPr>
          <w:p>
            <w:pPr>
              <w:spacing w:after="0"/>
              <w:rPr>
                <w:sz w:val="1"/>
                <w:szCs w:val="1"/>
                <w:color w:val="auto"/>
              </w:rPr>
            </w:pPr>
          </w:p>
        </w:tc>
      </w:tr>
      <w:tr>
        <w:trPr>
          <w:trHeight w:val="218"/>
        </w:trPr>
        <w:tc>
          <w:tcPr>
            <w:tcW w:w="3160" w:type="dxa"/>
            <w:vAlign w:val="bottom"/>
            <w:gridSpan w:val="5"/>
          </w:tcPr>
          <w:p>
            <w:pPr>
              <w:spacing w:after="0"/>
              <w:rPr>
                <w:sz w:val="20"/>
                <w:szCs w:val="20"/>
                <w:color w:val="auto"/>
              </w:rPr>
            </w:pPr>
            <w:r>
              <w:rPr>
                <w:rFonts w:ascii="Arial" w:cs="Arial" w:eastAsia="Arial" w:hAnsi="Arial"/>
                <w:sz w:val="14"/>
                <w:szCs w:val="14"/>
                <w:color w:val="auto"/>
              </w:rPr>
              <w:t>Operating costs and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2,756</w:t>
            </w: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24,366</w:t>
            </w:r>
          </w:p>
        </w:tc>
        <w:tc>
          <w:tcPr>
            <w:tcW w:w="100" w:type="dxa"/>
            <w:vAlign w:val="bottom"/>
          </w:tcPr>
          <w:p>
            <w:pPr>
              <w:spacing w:after="0"/>
              <w:rPr>
                <w:sz w:val="18"/>
                <w:szCs w:val="18"/>
                <w:color w:val="auto"/>
              </w:rPr>
            </w:pP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24,366</w:t>
            </w:r>
          </w:p>
        </w:tc>
        <w:tc>
          <w:tcPr>
            <w:tcW w:w="0" w:type="dxa"/>
            <w:vAlign w:val="bottom"/>
          </w:tcPr>
          <w:p>
            <w:pPr>
              <w:spacing w:after="0"/>
              <w:rPr>
                <w:sz w:val="1"/>
                <w:szCs w:val="1"/>
                <w:color w:val="auto"/>
              </w:rPr>
            </w:pPr>
          </w:p>
        </w:tc>
      </w:tr>
      <w:tr>
        <w:trPr>
          <w:trHeight w:val="237"/>
        </w:trPr>
        <w:tc>
          <w:tcPr>
            <w:tcW w:w="3160" w:type="dxa"/>
            <w:vAlign w:val="bottom"/>
            <w:gridSpan w:val="5"/>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$2,190</w:t>
            </w:r>
          </w:p>
        </w:tc>
        <w:tc>
          <w:tcPr>
            <w:tcW w:w="120" w:type="dxa"/>
            <w:vAlign w:val="bottom"/>
          </w:tcPr>
          <w:p>
            <w:pPr>
              <w:spacing w:after="0"/>
              <w:rPr>
                <w:sz w:val="20"/>
                <w:szCs w:val="20"/>
                <w:color w:val="auto"/>
              </w:rPr>
            </w:pP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$2,190</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$7,227</w:t>
            </w:r>
          </w:p>
        </w:tc>
        <w:tc>
          <w:tcPr>
            <w:tcW w:w="100" w:type="dxa"/>
            <w:vAlign w:val="bottom"/>
          </w:tcPr>
          <w:p>
            <w:pPr>
              <w:spacing w:after="0"/>
              <w:rPr>
                <w:sz w:val="20"/>
                <w:szCs w:val="20"/>
                <w:color w:val="auto"/>
              </w:rPr>
            </w:pP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$7,227</w:t>
            </w:r>
          </w:p>
        </w:tc>
        <w:tc>
          <w:tcPr>
            <w:tcW w:w="0" w:type="dxa"/>
            <w:vAlign w:val="bottom"/>
          </w:tcPr>
          <w:p>
            <w:pPr>
              <w:spacing w:after="0"/>
              <w:rPr>
                <w:sz w:val="1"/>
                <w:szCs w:val="1"/>
                <w:color w:val="auto"/>
              </w:rPr>
            </w:pPr>
          </w:p>
        </w:tc>
      </w:tr>
      <w:tr>
        <w:trPr>
          <w:trHeight w:val="20"/>
        </w:trPr>
        <w:tc>
          <w:tcPr>
            <w:tcW w:w="31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Growth Rates</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60" w:type="dxa"/>
            <w:vAlign w:val="bottom"/>
            <w:gridSpan w:val="5"/>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94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96"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Revenue</w:t>
            </w:r>
          </w:p>
        </w:tc>
        <w:tc>
          <w:tcPr>
            <w:tcW w:w="2940" w:type="dxa"/>
            <w:vAlign w:val="bottom"/>
          </w:tcPr>
          <w:p>
            <w:pPr>
              <w:jc w:val="right"/>
              <w:ind w:right="1148"/>
              <w:spacing w:after="0"/>
              <w:rPr>
                <w:sz w:val="20"/>
                <w:szCs w:val="20"/>
                <w:color w:val="auto"/>
              </w:rPr>
            </w:pPr>
            <w:r>
              <w:rPr>
                <w:rFonts w:ascii="Arial" w:cs="Arial" w:eastAsia="Arial" w:hAnsi="Arial"/>
                <w:sz w:val="14"/>
                <w:szCs w:val="14"/>
                <w:color w:val="auto"/>
              </w:rPr>
              <w:t>48.2%</w:t>
            </w:r>
          </w:p>
        </w:tc>
        <w:tc>
          <w:tcPr>
            <w:tcW w:w="17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12.7%</w:t>
            </w:r>
          </w:p>
        </w:tc>
        <w:tc>
          <w:tcPr>
            <w:tcW w:w="2480" w:type="dxa"/>
            <w:vAlign w:val="bottom"/>
          </w:tcPr>
          <w:p>
            <w:pPr>
              <w:jc w:val="right"/>
              <w:ind w:right="1188"/>
              <w:spacing w:after="0"/>
              <w:rPr>
                <w:sz w:val="20"/>
                <w:szCs w:val="20"/>
                <w:color w:val="auto"/>
              </w:rPr>
            </w:pPr>
            <w:r>
              <w:rPr>
                <w:rFonts w:ascii="Arial" w:cs="Arial" w:eastAsia="Arial" w:hAnsi="Arial"/>
                <w:sz w:val="14"/>
                <w:szCs w:val="14"/>
                <w:color w:val="auto"/>
              </w:rPr>
              <w:t>11.0%</w:t>
            </w:r>
          </w:p>
        </w:tc>
        <w:tc>
          <w:tcPr>
            <w:tcW w:w="158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75"/>
        </w:trPr>
        <w:tc>
          <w:tcPr>
            <w:tcW w:w="2580" w:type="dxa"/>
            <w:vAlign w:val="bottom"/>
          </w:tcPr>
          <w:p>
            <w:pPr>
              <w:spacing w:after="0"/>
              <w:rPr>
                <w:sz w:val="20"/>
                <w:szCs w:val="20"/>
                <w:color w:val="auto"/>
              </w:rPr>
            </w:pPr>
            <w:r>
              <w:rPr>
                <w:rFonts w:ascii="Arial" w:cs="Arial" w:eastAsia="Arial" w:hAnsi="Arial"/>
                <w:sz w:val="14"/>
                <w:szCs w:val="14"/>
                <w:color w:val="auto"/>
              </w:rPr>
              <w:t>Operating cash flow</w:t>
            </w:r>
          </w:p>
        </w:tc>
        <w:tc>
          <w:tcPr>
            <w:tcW w:w="2940" w:type="dxa"/>
            <w:vAlign w:val="bottom"/>
          </w:tcPr>
          <w:p>
            <w:pPr>
              <w:jc w:val="right"/>
              <w:ind w:right="1148"/>
              <w:spacing w:after="0"/>
              <w:rPr>
                <w:sz w:val="20"/>
                <w:szCs w:val="20"/>
                <w:color w:val="auto"/>
              </w:rPr>
            </w:pPr>
            <w:r>
              <w:rPr>
                <w:rFonts w:ascii="Arial" w:cs="Arial" w:eastAsia="Arial" w:hAnsi="Arial"/>
                <w:sz w:val="14"/>
                <w:szCs w:val="14"/>
                <w:color w:val="auto"/>
              </w:rPr>
              <w:t>49.6%</w:t>
            </w:r>
          </w:p>
        </w:tc>
        <w:tc>
          <w:tcPr>
            <w:tcW w:w="17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12.2%</w:t>
            </w:r>
          </w:p>
        </w:tc>
        <w:tc>
          <w:tcPr>
            <w:tcW w:w="2480" w:type="dxa"/>
            <w:vAlign w:val="bottom"/>
          </w:tcPr>
          <w:p>
            <w:pPr>
              <w:jc w:val="right"/>
              <w:ind w:right="1188"/>
              <w:spacing w:after="0"/>
              <w:rPr>
                <w:sz w:val="20"/>
                <w:szCs w:val="20"/>
                <w:color w:val="auto"/>
              </w:rPr>
            </w:pPr>
            <w:r>
              <w:rPr>
                <w:rFonts w:ascii="Arial" w:cs="Arial" w:eastAsia="Arial" w:hAnsi="Arial"/>
                <w:sz w:val="14"/>
                <w:szCs w:val="14"/>
                <w:color w:val="auto"/>
              </w:rPr>
              <w:t>13.8%</w:t>
            </w:r>
          </w:p>
        </w:tc>
        <w:tc>
          <w:tcPr>
            <w:tcW w:w="1580" w:type="dxa"/>
            <w:vAlign w:val="bottom"/>
          </w:tcPr>
          <w:p>
            <w:pPr>
              <w:jc w:val="right"/>
              <w:spacing w:after="0"/>
              <w:rPr>
                <w:sz w:val="20"/>
                <w:szCs w:val="20"/>
                <w:color w:val="auto"/>
              </w:rPr>
            </w:pPr>
            <w:r>
              <w:rPr>
                <w:rFonts w:ascii="Arial" w:cs="Arial" w:eastAsia="Arial" w:hAnsi="Arial"/>
                <w:sz w:val="14"/>
                <w:szCs w:val="14"/>
                <w:color w:val="auto"/>
              </w:rPr>
              <w:t>5.7%</w:t>
            </w:r>
          </w:p>
        </w:tc>
      </w:tr>
    </w:tbl>
    <w:p>
      <w:pPr>
        <w:spacing w:after="0" w:line="383" w:lineRule="exact"/>
        <w:rPr>
          <w:sz w:val="20"/>
          <w:szCs w:val="20"/>
          <w:color w:val="auto"/>
        </w:rPr>
      </w:pPr>
    </w:p>
    <w:p>
      <w:pPr>
        <w:jc w:val="both"/>
        <w:ind w:right="60" w:firstLine="8"/>
        <w:spacing w:after="0" w:line="230" w:lineRule="auto"/>
        <w:tabs>
          <w:tab w:leader="none" w:pos="189"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 Forma information is presented as if the acquisition of the 51% interest of Universal Studios Japan occurred on January 1, 2014. Pro forma data does not include adjustments for transaction-related costs, costs related to integration activities, or cost savings or synergies that have been or may be achieved by the combined businesses. The pro forma amounts are primarily based on historical results of operations, adjusted for the allocation of purchase price and are not necessarily indicative of what our results would have been had we operated Universal Studios Japan since January 1, 2014, nor of our future results.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44" w:lineRule="exact"/>
        <w:rPr>
          <w:sz w:val="20"/>
          <w:szCs w:val="20"/>
          <w:color w:val="auto"/>
        </w:rPr>
      </w:pPr>
    </w:p>
    <w:p>
      <w:pPr>
        <w:ind w:right="2120"/>
        <w:spacing w:after="0" w:line="288" w:lineRule="auto"/>
        <w:rPr>
          <w:sz w:val="20"/>
          <w:szCs w:val="20"/>
          <w:color w:val="auto"/>
        </w:rPr>
      </w:pPr>
      <w:r>
        <w:rPr>
          <w:rFonts w:ascii="Arial" w:cs="Arial" w:eastAsia="Arial" w:hAnsi="Arial"/>
          <w:sz w:val="18"/>
          <w:szCs w:val="18"/>
          <w:b w:val="1"/>
          <w:bCs w:val="1"/>
          <w:color w:val="828282"/>
        </w:rPr>
        <w:t>Reconciliation of Consolidated Revenue Excluding 2016 Olympics and 2015 Super Bowl and Operating Cash Flow Excluding Costs Related to Time Warner Cable and Charter Transactions (Unaudited)</w:t>
      </w:r>
    </w:p>
    <w:p>
      <w:pPr>
        <w:spacing w:after="0" w:line="14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center"/>
              <w:ind w:left="768"/>
              <w:spacing w:after="0"/>
              <w:rPr>
                <w:sz w:val="20"/>
                <w:szCs w:val="20"/>
                <w:color w:val="auto"/>
              </w:rPr>
            </w:pPr>
            <w:r>
              <w:rPr>
                <w:rFonts w:ascii="Arial" w:cs="Arial" w:eastAsia="Arial" w:hAnsi="Arial"/>
                <w:sz w:val="14"/>
                <w:szCs w:val="14"/>
                <w:b w:val="1"/>
                <w:bCs w:val="1"/>
                <w:color w:val="auto"/>
              </w:rPr>
              <w:t>Twelve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262"/>
        </w:trPr>
        <w:tc>
          <w:tcPr>
            <w:tcW w:w="460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$19,245</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$21,025</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$74,510</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$80,403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4"/>
                <w:szCs w:val="14"/>
                <w:color w:val="auto"/>
              </w:rPr>
              <w:t>2016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600" w:type="dxa"/>
            <w:vAlign w:val="bottom"/>
          </w:tcPr>
          <w:p>
            <w:pPr>
              <w:spacing w:after="0"/>
              <w:rPr>
                <w:sz w:val="20"/>
                <w:szCs w:val="20"/>
                <w:color w:val="auto"/>
              </w:rPr>
            </w:pPr>
            <w:r>
              <w:rPr>
                <w:rFonts w:ascii="Arial" w:cs="Arial" w:eastAsia="Arial" w:hAnsi="Arial"/>
                <w:sz w:val="14"/>
                <w:szCs w:val="14"/>
                <w:color w:val="auto"/>
              </w:rPr>
              <w:t>2015 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4"/>
                <w:szCs w:val="14"/>
                <w:color w:val="auto"/>
              </w:rPr>
              <w:t>Revenue excluding 2016 Olympics and 2015 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$19,245</w:t>
            </w: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$21,025</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$74,134</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$78,783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60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302"/>
        </w:trPr>
        <w:tc>
          <w:tcPr>
            <w:tcW w:w="4600" w:type="dxa"/>
            <w:vAlign w:val="bottom"/>
          </w:tcPr>
          <w:p>
            <w:pPr>
              <w:spacing w:after="0"/>
              <w:rPr>
                <w:sz w:val="20"/>
                <w:szCs w:val="20"/>
                <w:color w:val="auto"/>
              </w:rPr>
            </w:pPr>
            <w:r>
              <w:rPr>
                <w:rFonts w:ascii="Arial" w:cs="Arial" w:eastAsia="Arial" w:hAnsi="Arial"/>
                <w:sz w:val="14"/>
                <w:szCs w:val="14"/>
                <w:color w:val="auto"/>
              </w:rPr>
              <w:t>Operating Income</w:t>
            </w:r>
          </w:p>
        </w:tc>
        <w:tc>
          <w:tcPr>
            <w:tcW w:w="880" w:type="dxa"/>
            <w:vAlign w:val="bottom"/>
          </w:tcPr>
          <w:p>
            <w:pPr>
              <w:jc w:val="right"/>
              <w:spacing w:after="0"/>
              <w:rPr>
                <w:sz w:val="20"/>
                <w:szCs w:val="20"/>
                <w:color w:val="auto"/>
              </w:rPr>
            </w:pPr>
            <w:r>
              <w:rPr>
                <w:rFonts w:ascii="Arial" w:cs="Arial" w:eastAsia="Arial" w:hAnsi="Arial"/>
                <w:sz w:val="14"/>
                <w:szCs w:val="14"/>
                <w:color w:val="auto"/>
              </w:rPr>
              <w:t>$4,002</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$4,264</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$15,998</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$16,859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jc w:val="right"/>
              <w:spacing w:after="0"/>
              <w:rPr>
                <w:sz w:val="20"/>
                <w:szCs w:val="20"/>
                <w:color w:val="auto"/>
              </w:rPr>
            </w:pPr>
            <w:r>
              <w:rPr>
                <w:rFonts w:ascii="Arial" w:cs="Arial" w:eastAsia="Arial" w:hAnsi="Arial"/>
                <w:sz w:val="14"/>
                <w:szCs w:val="14"/>
                <w:color w:val="auto"/>
              </w:rPr>
              <w:t>2,270</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2,496</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8,680</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9,558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4600" w:type="dxa"/>
            <w:vAlign w:val="bottom"/>
            <w:vMerge w:val="restart"/>
          </w:tcPr>
          <w:p>
            <w:pPr>
              <w:spacing w:after="0"/>
              <w:rPr>
                <w:sz w:val="20"/>
                <w:szCs w:val="20"/>
                <w:color w:val="auto"/>
              </w:rPr>
            </w:pPr>
            <w:r>
              <w:rPr>
                <w:rFonts w:ascii="Arial" w:cs="Arial" w:eastAsia="Arial" w:hAnsi="Arial"/>
                <w:sz w:val="14"/>
                <w:szCs w:val="14"/>
                <w:color w:val="auto"/>
              </w:rPr>
              <w:t>Operating Cash Flow</w:t>
            </w: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$6,272</w:t>
            </w:r>
          </w:p>
        </w:tc>
        <w:tc>
          <w:tcPr>
            <w:tcW w:w="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$6,760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$24,678</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$26,417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20"/>
                <w:szCs w:val="20"/>
                <w:color w:val="auto"/>
              </w:rPr>
            </w:pPr>
            <w:r>
              <w:rPr>
                <w:rFonts w:ascii="Arial" w:cs="Arial" w:eastAsia="Arial" w:hAnsi="Arial"/>
                <w:sz w:val="14"/>
                <w:szCs w:val="14"/>
                <w:color w:val="auto"/>
              </w:rPr>
              <w:t>Costs related to Time Warner Cable and Charter transactions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4"/>
                <w:szCs w:val="14"/>
                <w:color w:val="auto"/>
              </w:rPr>
              <w:t>Operating Cash Flow excluding costs related to Time Warner Cable</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$6,272</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$6,760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$24,856</w:t>
            </w:r>
          </w:p>
        </w:tc>
        <w:tc>
          <w:tcPr>
            <w:tcW w:w="2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$26,417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180"/>
              <w:spacing w:after="0"/>
              <w:rPr>
                <w:sz w:val="20"/>
                <w:szCs w:val="20"/>
                <w:color w:val="auto"/>
              </w:rPr>
            </w:pPr>
            <w:r>
              <w:rPr>
                <w:rFonts w:ascii="Arial" w:cs="Arial" w:eastAsia="Arial" w:hAnsi="Arial"/>
                <w:sz w:val="14"/>
                <w:szCs w:val="14"/>
                <w:color w:val="auto"/>
              </w:rPr>
              <w:t>and Charter transactions</w:t>
            </w:r>
          </w:p>
        </w:tc>
        <w:tc>
          <w:tcPr>
            <w:tcW w:w="88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Consolidated NBCUniversal Revenue Excluding 2016 Olympics and 2015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center"/>
              <w:ind w:left="768"/>
              <w:spacing w:after="0"/>
              <w:rPr>
                <w:sz w:val="20"/>
                <w:szCs w:val="20"/>
                <w:color w:val="auto"/>
              </w:rPr>
            </w:pPr>
            <w:r>
              <w:rPr>
                <w:rFonts w:ascii="Arial" w:cs="Arial" w:eastAsia="Arial" w:hAnsi="Arial"/>
                <w:sz w:val="14"/>
                <w:szCs w:val="14"/>
                <w:b w:val="1"/>
                <w:bCs w:val="1"/>
                <w:color w:val="auto"/>
              </w:rPr>
              <w:t>Twelve Months Ended</w:t>
            </w:r>
          </w:p>
        </w:tc>
        <w:tc>
          <w:tcPr>
            <w:tcW w:w="840" w:type="dxa"/>
            <w:vAlign w:val="bottom"/>
          </w:tcPr>
          <w:p>
            <w:pPr>
              <w:spacing w:after="0"/>
              <w:rPr>
                <w:sz w:val="14"/>
                <w:szCs w:val="14"/>
                <w:color w:val="auto"/>
              </w:rPr>
            </w:pPr>
          </w:p>
        </w:tc>
      </w:tr>
      <w:tr>
        <w:trPr>
          <w:trHeight w:val="202"/>
        </w:trPr>
        <w:tc>
          <w:tcPr>
            <w:tcW w:w="3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7"/>
                <w:szCs w:val="17"/>
                <w:color w:val="auto"/>
              </w:rPr>
            </w:pPr>
          </w:p>
        </w:tc>
      </w:tr>
      <w:tr>
        <w:trPr>
          <w:trHeight w:val="259"/>
        </w:trPr>
        <w:tc>
          <w:tcPr>
            <w:tcW w:w="4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302"/>
        </w:trPr>
        <w:tc>
          <w:tcPr>
            <w:tcW w:w="460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$7,477</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$8,451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$28,462</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$31,593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43"/>
        </w:trPr>
        <w:tc>
          <w:tcPr>
            <w:tcW w:w="340" w:type="dxa"/>
            <w:vAlign w:val="bottom"/>
          </w:tcPr>
          <w:p>
            <w:pPr>
              <w:spacing w:after="0"/>
              <w:rPr>
                <w:sz w:val="20"/>
                <w:szCs w:val="20"/>
                <w:color w:val="auto"/>
              </w:rPr>
            </w:pPr>
            <w:r>
              <w:rPr>
                <w:rFonts w:ascii="Arial" w:cs="Arial" w:eastAsia="Arial" w:hAnsi="Arial"/>
                <w:sz w:val="14"/>
                <w:szCs w:val="14"/>
                <w:color w:val="auto"/>
              </w:rPr>
              <w:t>2016</w:t>
            </w:r>
          </w:p>
        </w:tc>
        <w:tc>
          <w:tcPr>
            <w:tcW w:w="4260" w:type="dxa"/>
            <w:vAlign w:val="bottom"/>
          </w:tcPr>
          <w:p>
            <w:pPr>
              <w:ind w:left="20"/>
              <w:spacing w:after="0"/>
              <w:rPr>
                <w:sz w:val="20"/>
                <w:szCs w:val="20"/>
                <w:color w:val="auto"/>
              </w:rPr>
            </w:pPr>
            <w:r>
              <w:rPr>
                <w:rFonts w:ascii="Arial" w:cs="Arial" w:eastAsia="Arial" w:hAnsi="Arial"/>
                <w:sz w:val="14"/>
                <w:szCs w:val="14"/>
                <w:color w:val="auto"/>
              </w:rPr>
              <w:t>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(1,620)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77"/>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426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7"/>
        </w:trPr>
        <w:tc>
          <w:tcPr>
            <w:tcW w:w="4600" w:type="dxa"/>
            <w:vAlign w:val="bottom"/>
            <w:gridSpan w:val="2"/>
          </w:tcPr>
          <w:p>
            <w:pPr>
              <w:spacing w:after="0"/>
              <w:rPr>
                <w:sz w:val="20"/>
                <w:szCs w:val="20"/>
                <w:color w:val="auto"/>
              </w:rPr>
            </w:pPr>
            <w:r>
              <w:rPr>
                <w:rFonts w:ascii="Arial" w:cs="Arial" w:eastAsia="Arial" w:hAnsi="Arial"/>
                <w:sz w:val="14"/>
                <w:szCs w:val="14"/>
                <w:color w:val="auto"/>
              </w:rPr>
              <w:t>Revenue excluding 2016 Olympics and 2015 Super Bowl</w:t>
            </w:r>
          </w:p>
        </w:tc>
        <w:tc>
          <w:tcPr>
            <w:tcW w:w="880" w:type="dxa"/>
            <w:vAlign w:val="bottom"/>
          </w:tcPr>
          <w:p>
            <w:pPr>
              <w:jc w:val="right"/>
              <w:spacing w:after="0"/>
              <w:rPr>
                <w:sz w:val="20"/>
                <w:szCs w:val="20"/>
                <w:color w:val="auto"/>
              </w:rPr>
            </w:pPr>
            <w:r>
              <w:rPr>
                <w:rFonts w:ascii="Arial" w:cs="Arial" w:eastAsia="Arial" w:hAnsi="Arial"/>
                <w:sz w:val="14"/>
                <w:szCs w:val="14"/>
                <w:color w:val="auto"/>
              </w:rPr>
              <w:t>$7,477</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$8,451</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$28,086</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$29,973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0"/>
        </w:trPr>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Consolidated NBCUniversal Pro Forma Revenue Excluding 2016 Olympics and 2015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tcPr>
          <w:p>
            <w:pPr>
              <w:jc w:val="center"/>
              <w:ind w:left="74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14"/>
                <w:szCs w:val="14"/>
                <w:color w:val="auto"/>
              </w:rPr>
            </w:pPr>
          </w:p>
        </w:tc>
      </w:tr>
      <w:tr>
        <w:trPr>
          <w:trHeight w:val="202"/>
        </w:trPr>
        <w:tc>
          <w:tcPr>
            <w:tcW w:w="3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7"/>
                <w:szCs w:val="17"/>
                <w:color w:val="auto"/>
              </w:rPr>
            </w:pPr>
          </w:p>
        </w:tc>
      </w:tr>
      <w:tr>
        <w:trPr>
          <w:trHeight w:val="259"/>
        </w:trPr>
        <w:tc>
          <w:tcPr>
            <w:tcW w:w="4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262"/>
        </w:trPr>
        <w:tc>
          <w:tcPr>
            <w:tcW w:w="4600" w:type="dxa"/>
            <w:vAlign w:val="bottom"/>
            <w:gridSpan w:val="2"/>
          </w:tcPr>
          <w:p>
            <w:pPr>
              <w:spacing w:after="0"/>
              <w:rPr>
                <w:sz w:val="20"/>
                <w:szCs w:val="20"/>
                <w:color w:val="auto"/>
              </w:rPr>
            </w:pPr>
            <w:r>
              <w:rPr>
                <w:rFonts w:ascii="Arial" w:cs="Arial" w:eastAsia="Arial" w:hAnsi="Arial"/>
                <w:sz w:val="14"/>
                <w:szCs w:val="14"/>
                <w:color w:val="auto"/>
              </w:rPr>
              <w:t>Pro Forma 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$7,647</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$8,451</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$29,514</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$31,593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3"/>
        </w:trPr>
        <w:tc>
          <w:tcPr>
            <w:tcW w:w="340" w:type="dxa"/>
            <w:vAlign w:val="bottom"/>
          </w:tcPr>
          <w:p>
            <w:pPr>
              <w:spacing w:after="0"/>
              <w:rPr>
                <w:sz w:val="20"/>
                <w:szCs w:val="20"/>
                <w:color w:val="auto"/>
              </w:rPr>
            </w:pPr>
            <w:r>
              <w:rPr>
                <w:rFonts w:ascii="Arial" w:cs="Arial" w:eastAsia="Arial" w:hAnsi="Arial"/>
                <w:sz w:val="14"/>
                <w:szCs w:val="14"/>
                <w:color w:val="auto"/>
              </w:rPr>
              <w:t>2016</w:t>
            </w:r>
          </w:p>
        </w:tc>
        <w:tc>
          <w:tcPr>
            <w:tcW w:w="4260" w:type="dxa"/>
            <w:vAlign w:val="bottom"/>
          </w:tcPr>
          <w:p>
            <w:pPr>
              <w:ind w:left="20"/>
              <w:spacing w:after="0"/>
              <w:rPr>
                <w:sz w:val="20"/>
                <w:szCs w:val="20"/>
                <w:color w:val="auto"/>
              </w:rPr>
            </w:pPr>
            <w:r>
              <w:rPr>
                <w:rFonts w:ascii="Arial" w:cs="Arial" w:eastAsia="Arial" w:hAnsi="Arial"/>
                <w:sz w:val="14"/>
                <w:szCs w:val="14"/>
                <w:color w:val="auto"/>
              </w:rPr>
              <w:t>Olympics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(1,620)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7"/>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426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7"/>
        </w:trPr>
        <w:tc>
          <w:tcPr>
            <w:tcW w:w="4600" w:type="dxa"/>
            <w:vAlign w:val="bottom"/>
            <w:gridSpan w:val="2"/>
          </w:tcPr>
          <w:p>
            <w:pPr>
              <w:spacing w:after="0"/>
              <w:rPr>
                <w:sz w:val="20"/>
                <w:szCs w:val="20"/>
                <w:color w:val="auto"/>
              </w:rPr>
            </w:pPr>
            <w:r>
              <w:rPr>
                <w:rFonts w:ascii="Arial" w:cs="Arial" w:eastAsia="Arial" w:hAnsi="Arial"/>
                <w:sz w:val="14"/>
                <w:szCs w:val="14"/>
                <w:color w:val="auto"/>
              </w:rPr>
              <w:t>Pro Forma Revenue excluding 2016 Olympics and 2015 Super Bowl</w:t>
            </w:r>
          </w:p>
        </w:tc>
        <w:tc>
          <w:tcPr>
            <w:tcW w:w="920" w:type="dxa"/>
            <w:vAlign w:val="bottom"/>
          </w:tcPr>
          <w:p>
            <w:pPr>
              <w:jc w:val="right"/>
              <w:spacing w:after="0"/>
              <w:rPr>
                <w:sz w:val="20"/>
                <w:szCs w:val="20"/>
                <w:color w:val="auto"/>
              </w:rPr>
            </w:pPr>
            <w:r>
              <w:rPr>
                <w:rFonts w:ascii="Arial" w:cs="Arial" w:eastAsia="Arial" w:hAnsi="Arial"/>
                <w:sz w:val="14"/>
                <w:szCs w:val="14"/>
                <w:color w:val="auto"/>
              </w:rPr>
              <w:t>$7,647</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$8,451</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$29,138</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$29,973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Cable Networks Revenue Excluding 2016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center"/>
              <w:ind w:left="768"/>
              <w:spacing w:after="0"/>
              <w:rPr>
                <w:sz w:val="20"/>
                <w:szCs w:val="20"/>
                <w:color w:val="auto"/>
              </w:rPr>
            </w:pPr>
            <w:r>
              <w:rPr>
                <w:rFonts w:ascii="Arial" w:cs="Arial" w:eastAsia="Arial" w:hAnsi="Arial"/>
                <w:sz w:val="14"/>
                <w:szCs w:val="14"/>
                <w:b w:val="1"/>
                <w:bCs w:val="1"/>
                <w:color w:val="auto"/>
              </w:rPr>
              <w:t>Twelve Months Ended</w:t>
            </w:r>
          </w:p>
        </w:tc>
        <w:tc>
          <w:tcPr>
            <w:tcW w:w="840" w:type="dxa"/>
            <w:vAlign w:val="bottom"/>
          </w:tcPr>
          <w:p>
            <w:pPr>
              <w:spacing w:after="0"/>
              <w:rPr>
                <w:sz w:val="14"/>
                <w:szCs w:val="14"/>
                <w:color w:val="auto"/>
              </w:rPr>
            </w:pPr>
          </w:p>
        </w:tc>
      </w:tr>
      <w:tr>
        <w:trPr>
          <w:trHeight w:val="202"/>
        </w:trPr>
        <w:tc>
          <w:tcPr>
            <w:tcW w:w="4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7"/>
                <w:szCs w:val="17"/>
                <w:color w:val="auto"/>
              </w:rPr>
            </w:pPr>
          </w:p>
        </w:tc>
      </w:tr>
      <w:tr>
        <w:trPr>
          <w:trHeight w:val="259"/>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Growth %</w:t>
            </w:r>
          </w:p>
        </w:tc>
      </w:tr>
      <w:tr>
        <w:trPr>
          <w:trHeight w:val="302"/>
        </w:trPr>
        <w:tc>
          <w:tcPr>
            <w:tcW w:w="460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$2,407</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$2,503</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$9,628</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$10,464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59"/>
        </w:trPr>
        <w:tc>
          <w:tcPr>
            <w:tcW w:w="4600" w:type="dxa"/>
            <w:vAlign w:val="bottom"/>
          </w:tcPr>
          <w:p>
            <w:pPr>
              <w:spacing w:after="0"/>
              <w:rPr>
                <w:sz w:val="20"/>
                <w:szCs w:val="20"/>
                <w:color w:val="auto"/>
              </w:rPr>
            </w:pPr>
            <w:r>
              <w:rPr>
                <w:rFonts w:ascii="Arial" w:cs="Arial" w:eastAsia="Arial" w:hAnsi="Arial"/>
                <w:sz w:val="14"/>
                <w:szCs w:val="14"/>
                <w:color w:val="auto"/>
              </w:rPr>
              <w:t>2016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4"/>
                <w:szCs w:val="14"/>
                <w:color w:val="auto"/>
              </w:rPr>
              <w:t>Revenue excluding 2016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$2,407</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$2,503</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$9,628</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$10,032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Broadcast Television Revenue Excluding 2016 Olympics and 2015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tcPr>
          <w:p>
            <w:pPr>
              <w:jc w:val="center"/>
              <w:ind w:left="74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14"/>
                <w:szCs w:val="14"/>
                <w:color w:val="auto"/>
              </w:rPr>
            </w:pPr>
          </w:p>
        </w:tc>
      </w:tr>
      <w:tr>
        <w:trPr>
          <w:trHeight w:val="202"/>
        </w:trPr>
        <w:tc>
          <w:tcPr>
            <w:tcW w:w="3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7"/>
                <w:szCs w:val="17"/>
                <w:color w:val="auto"/>
              </w:rPr>
            </w:pPr>
          </w:p>
        </w:tc>
      </w:tr>
      <w:tr>
        <w:trPr>
          <w:trHeight w:val="259"/>
        </w:trPr>
        <w:tc>
          <w:tcPr>
            <w:tcW w:w="4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262"/>
        </w:trPr>
        <w:tc>
          <w:tcPr>
            <w:tcW w:w="460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$2,498</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$2,848</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$8,530</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$10,147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203"/>
        </w:trPr>
        <w:tc>
          <w:tcPr>
            <w:tcW w:w="340" w:type="dxa"/>
            <w:vAlign w:val="bottom"/>
          </w:tcPr>
          <w:p>
            <w:pPr>
              <w:spacing w:after="0"/>
              <w:rPr>
                <w:sz w:val="20"/>
                <w:szCs w:val="20"/>
                <w:color w:val="auto"/>
              </w:rPr>
            </w:pPr>
            <w:r>
              <w:rPr>
                <w:rFonts w:ascii="Arial" w:cs="Arial" w:eastAsia="Arial" w:hAnsi="Arial"/>
                <w:sz w:val="14"/>
                <w:szCs w:val="14"/>
                <w:color w:val="auto"/>
              </w:rPr>
              <w:t>2016</w:t>
            </w:r>
          </w:p>
        </w:tc>
        <w:tc>
          <w:tcPr>
            <w:tcW w:w="4260" w:type="dxa"/>
            <w:vAlign w:val="bottom"/>
          </w:tcPr>
          <w:p>
            <w:pPr>
              <w:ind w:left="20"/>
              <w:spacing w:after="0"/>
              <w:rPr>
                <w:sz w:val="20"/>
                <w:szCs w:val="20"/>
                <w:color w:val="auto"/>
              </w:rPr>
            </w:pPr>
            <w:r>
              <w:rPr>
                <w:rFonts w:ascii="Arial" w:cs="Arial" w:eastAsia="Arial" w:hAnsi="Arial"/>
                <w:sz w:val="14"/>
                <w:szCs w:val="14"/>
                <w:color w:val="auto"/>
              </w:rPr>
              <w:t>Olympics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(1,188)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7"/>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426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7"/>
        </w:trPr>
        <w:tc>
          <w:tcPr>
            <w:tcW w:w="4600" w:type="dxa"/>
            <w:vAlign w:val="bottom"/>
            <w:gridSpan w:val="2"/>
          </w:tcPr>
          <w:p>
            <w:pPr>
              <w:spacing w:after="0"/>
              <w:rPr>
                <w:sz w:val="20"/>
                <w:szCs w:val="20"/>
                <w:color w:val="auto"/>
              </w:rPr>
            </w:pPr>
            <w:r>
              <w:rPr>
                <w:rFonts w:ascii="Arial" w:cs="Arial" w:eastAsia="Arial" w:hAnsi="Arial"/>
                <w:sz w:val="14"/>
                <w:szCs w:val="14"/>
                <w:color w:val="auto"/>
              </w:rPr>
              <w:t>Revenue excluding 2016 Olympics and 2015 Super Bowl</w:t>
            </w:r>
          </w:p>
        </w:tc>
        <w:tc>
          <w:tcPr>
            <w:tcW w:w="920" w:type="dxa"/>
            <w:vAlign w:val="bottom"/>
          </w:tcPr>
          <w:p>
            <w:pPr>
              <w:jc w:val="right"/>
              <w:spacing w:after="0"/>
              <w:rPr>
                <w:sz w:val="20"/>
                <w:szCs w:val="20"/>
                <w:color w:val="auto"/>
              </w:rPr>
            </w:pPr>
            <w:r>
              <w:rPr>
                <w:rFonts w:ascii="Arial" w:cs="Arial" w:eastAsia="Arial" w:hAnsi="Arial"/>
                <w:sz w:val="14"/>
                <w:szCs w:val="14"/>
                <w:color w:val="auto"/>
              </w:rPr>
              <w:t>$2,498</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$2,848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$8,154</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$8,959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0"/>
        </w:trPr>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ectPr>
          <w:pgSz w:w="11900" w:h="16838" w:orient="portrait"/>
          <w:cols w:equalWidth="0" w:num="1">
            <w:col w:w="11420"/>
          </w:cols>
          <w:pgMar w:left="240" w:top="127" w:right="239" w:bottom="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99.2 – Explanation of Non-GAAP and Other Financial Measures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Operating Cash Flow is the primary basis used to measure the operational strength and performance of our businesses. Free Cash Flow is an additional performance measure used as an indicator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payments related to income tax and litigation contingencies of acquired companies). We believe that Free Cash Flow is also useful to investors as the basis for comparing our performance and coverage ratios with other companies in our industries, although our measure of Free Cash Flow may not be directly comparable to similar measures used by other companies.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certain circumstances we also present “adjusted” data, to exclude certain gains, losses or other charges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99.2 – Explanation of Non-GAAP and Other Financial Measures, cont’d</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Non-GAAP financial measures should not be considered as substitutes for operating income (loss), net income (loss) attributable to Comcast Corporation, earnings per common share attributable to Comcast Corporation shareholders, net cash provided by operating activities or other measures of performance or liquidity reported in accordance with GAAP.</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In Exhibit 99.1 to this Current Report on Form 8-K we provide reconciliations of Operating Cash Flow and Free Cash Flow in Table 4 and “adjusted” data in Tables 5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5"/>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3"/>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2019-12-06T17:25:21Z</dcterms:created>
  <dcterms:modified xsi:type="dcterms:W3CDTF">2019-12-06T17:25:21Z</dcterms:modified>
</cp:coreProperties>
</file>