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444500</wp:posOffset>
            </wp:positionV>
            <wp:extent cx="136334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8"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hanging="532"/>
        <w:spacing w:after="0"/>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w:t>
      </w:r>
    </w:p>
    <w:p>
      <w:pPr>
        <w:spacing w:after="0" w:line="242" w:lineRule="exact"/>
        <w:rPr>
          <w:sz w:val="24"/>
          <w:szCs w:val="24"/>
          <w:color w:val="auto"/>
        </w:rPr>
      </w:pPr>
    </w:p>
    <w:p>
      <w:pPr>
        <w:ind w:left="540"/>
        <w:spacing w:after="0"/>
        <w:tabs>
          <w:tab w:leader="none" w:pos="3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21" w:lineRule="exact"/>
        <w:rPr>
          <w:rFonts w:ascii="Arial" w:cs="Arial" w:eastAsia="Arial" w:hAnsi="Arial"/>
          <w:sz w:val="18"/>
          <w:szCs w:val="18"/>
          <w:color w:val="auto"/>
        </w:rPr>
      </w:pPr>
    </w:p>
    <w:p>
      <w:pPr>
        <w:ind w:left="3020"/>
        <w:spacing w:after="0"/>
        <w:rPr>
          <w:rFonts w:ascii="Arial" w:cs="Arial" w:eastAsia="Arial" w:hAnsi="Arial"/>
          <w:sz w:val="18"/>
          <w:szCs w:val="18"/>
          <w:color w:val="auto"/>
        </w:rPr>
      </w:pPr>
      <w:r>
        <w:rPr>
          <w:rFonts w:ascii="Arial" w:cs="Arial" w:eastAsia="Arial" w:hAnsi="Arial"/>
          <w:sz w:val="18"/>
          <w:szCs w:val="18"/>
          <w:b w:val="1"/>
          <w:bCs w:val="1"/>
          <w:color w:val="auto"/>
        </w:rPr>
        <w:t>COMCAST CORPORATION RETIREMENT-INVESTMENT PLAN</w:t>
      </w:r>
    </w:p>
    <w:p>
      <w:pPr>
        <w:spacing w:after="0" w:line="22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TABLE OF CONTENTS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540" w:type="dxa"/>
            <w:vAlign w:val="bottom"/>
            <w:gridSpan w:val="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40" w:type="dxa"/>
            <w:vAlign w:val="bottom"/>
            <w:gridSpan w:val="7"/>
            <w:vMerge w:val="continue"/>
          </w:tcPr>
          <w:p>
            <w:pPr>
              <w:spacing w:after="0"/>
              <w:rPr>
                <w:sz w:val="13"/>
                <w:szCs w:val="13"/>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58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74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101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 as of December 31, 2013 and 2012</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01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Benefits for the Year Ended December 31, 2013</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708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3100" w:type="dxa"/>
            <w:vAlign w:val="bottom"/>
            <w:gridSpan w:val="2"/>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40" w:type="dxa"/>
            <w:vAlign w:val="bottom"/>
            <w:gridSpan w:val="7"/>
          </w:tcPr>
          <w:p>
            <w:pPr>
              <w:spacing w:after="0"/>
              <w:rPr>
                <w:sz w:val="20"/>
                <w:szCs w:val="20"/>
                <w:color w:val="auto"/>
              </w:rPr>
            </w:pPr>
            <w:r>
              <w:rPr>
                <w:rFonts w:ascii="Arial" w:cs="Arial" w:eastAsia="Arial" w:hAnsi="Arial"/>
                <w:sz w:val="18"/>
                <w:szCs w:val="18"/>
                <w:color w:val="auto"/>
              </w:rPr>
              <w:t>SUPPLEMENTAL SCHEDULE:</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80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Form 5500, Schedule H—Part IV, Line 4i—Schedule of Assets (Held at End of Year) as of December 31, 2013</w:t>
              </w:r>
            </w:hyperlink>
          </w:p>
        </w:tc>
        <w:tc>
          <w:tcPr>
            <w:tcW w:w="21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CONSENT OF INDEPENDENT REGISTERED PUBLIC ACCOUNTING FIRM</w:t>
              </w:r>
            </w:hyperlink>
          </w:p>
        </w:tc>
        <w:tc>
          <w:tcPr>
            <w:tcW w:w="264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8600" w:type="dxa"/>
            <w:vAlign w:val="bottom"/>
            <w:gridSpan w:val="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SIGNATURE</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00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right="200"/>
        <w:spacing w:after="0" w:line="277" w:lineRule="auto"/>
        <w:rPr>
          <w:sz w:val="20"/>
          <w:szCs w:val="20"/>
          <w:color w:val="auto"/>
        </w:rPr>
      </w:pPr>
      <w:r>
        <w:rPr>
          <w:rFonts w:ascii="Arial" w:cs="Arial" w:eastAsia="Arial" w:hAnsi="Arial"/>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Comcast Corporation Retirement-Investment Plan (the “Plan”) as of December 31, 2013 and 2012, and the related statement of changes in net assets available for benefits for the year ended December 31, 2013.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2013 and 2012, and the changes in net assets available for benefits for the year ended December 31, 2013 in conformity with accounting principles generally accepted in the United States of America.</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end of year) as of December 31, 2013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schedule is the responsibility of the Plan’s management. Such schedule has been subjected to the auditing procedures applied in our audit of the basic 2013 financial statements and, in our opinion, is fairly stated in all material respects when considered in relation to the basic financial statements taken as a whole.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2013 AND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Cash</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Participant-directed investments, at fair value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160"/>
              <w:spacing w:after="0" w:line="201" w:lineRule="exact"/>
              <w:rPr>
                <w:sz w:val="20"/>
                <w:szCs w:val="20"/>
                <w:color w:val="auto"/>
              </w:rPr>
            </w:pPr>
            <w:r>
              <w:rPr>
                <w:rFonts w:ascii="Arial" w:cs="Arial" w:eastAsia="Arial" w:hAnsi="Arial"/>
                <w:sz w:val="18"/>
                <w:szCs w:val="18"/>
                <w:color w:val="auto"/>
                <w:w w:val="98"/>
              </w:rPr>
              <w:t>Plan interest in Comcast Corporation Employee Savings Plans Master Trust participant-directed</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investments, at fair value</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5,570,632</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 from participants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184,025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Contributions receivable from participants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3,768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receivable from employer</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62,934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receivables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250,727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ALL INVESTMENTS AT FAIR VALUE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5,821,359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5,810,737</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3,987,671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08" w:right="23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appreciation in fair value of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Plan interest in Comcast Corporation Employee Savings Plans Master Trust investment income</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460,223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5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967,880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Contributions: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Participant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Employer</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298,152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Rollover</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contributions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litigation settlement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on notes receivable from participants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additions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Benefits paid to participants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393,527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deductions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before transfers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NBCUniversal Capital Accumulation Plan</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Beginning of year</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3,987,671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End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5,810,737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2"/>
          </w:tcPr>
          <w:p>
            <w:pPr>
              <w:jc w:val="right"/>
              <w:ind w:right="41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2013 AND 2012, YEAR ENDED DECEMBER 31, 2013</w:t>
      </w:r>
    </w:p>
    <w:p>
      <w:pPr>
        <w:spacing w:after="0" w:line="207" w:lineRule="exact"/>
        <w:rPr>
          <w:sz w:val="20"/>
          <w:szCs w:val="20"/>
          <w:color w:val="auto"/>
        </w:rPr>
      </w:pPr>
    </w:p>
    <w:p>
      <w:pPr>
        <w:ind w:left="440" w:right="9220" w:hanging="432"/>
        <w:spacing w:after="0" w:line="503" w:lineRule="auto"/>
        <w:tabs>
          <w:tab w:leader="none" w:pos="44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DESCRIPTION </w:t>
      </w:r>
      <w:r>
        <w:rPr>
          <w:rFonts w:ascii="Arial" w:cs="Arial" w:eastAsia="Arial" w:hAnsi="Arial"/>
          <w:sz w:val="18"/>
          <w:szCs w:val="18"/>
          <w:u w:val="single" w:color="auto"/>
          <w:color w:val="auto"/>
        </w:rPr>
        <w:t>General</w:t>
      </w:r>
    </w:p>
    <w:p>
      <w:pPr>
        <w:ind w:left="44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w:t>
      </w:r>
    </w:p>
    <w:p>
      <w:pPr>
        <w:spacing w:after="0" w:line="165" w:lineRule="exact"/>
        <w:rPr>
          <w:rFonts w:ascii="Arial" w:cs="Arial" w:eastAsia="Arial" w:hAnsi="Arial"/>
          <w:sz w:val="18"/>
          <w:szCs w:val="18"/>
          <w:b w:val="1"/>
          <w:bCs w:val="1"/>
          <w:color w:val="auto"/>
        </w:rPr>
      </w:pPr>
    </w:p>
    <w:p>
      <w:pPr>
        <w:jc w:val="both"/>
        <w:ind w:left="4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ectPr>
          <w:pgSz w:w="11900" w:h="16838" w:orient="portrait"/>
          <w:cols w:equalWidth="0" w:num="1">
            <w:col w:w="11460"/>
          </w:cols>
          <w:pgMar w:left="240" w:top="341" w:right="199" w:bottom="0" w:gutter="0" w:footer="0" w:header="0"/>
        </w:sectPr>
      </w:pPr>
    </w:p>
    <w:bookmarkStart w:id="3" w:name="page4"/>
    <w:bookmarkEnd w:id="3"/>
    <w:p>
      <w:pPr>
        <w:ind w:left="440" w:right="220"/>
        <w:spacing w:after="0" w:line="259" w:lineRule="auto"/>
        <w:rPr>
          <w:sz w:val="20"/>
          <w:szCs w:val="20"/>
          <w:color w:val="auto"/>
        </w:rPr>
      </w:pPr>
      <w:r>
        <w:rPr>
          <w:rFonts w:ascii="Arial" w:cs="Arial" w:eastAsia="Arial" w:hAnsi="Arial"/>
          <w:sz w:val="18"/>
          <w:szCs w:val="18"/>
          <w:color w:val="auto"/>
        </w:rPr>
        <w:t>Effective September 10, 2013, the Company established, and the Plan assets were transferred into, the Comcast Corporation Employee Savings Plans Master Trust (“Master Trust”) in an effort to more efficiently manage the assets of the Comcast and NBCUniversal Media, LLC (“NBCUniversal”) defined contribution plans. The Master Trust allows the Company to have a unified investment line-up across the various defined contribution plans, while allowing varying provisions in plan design.</w:t>
      </w:r>
    </w:p>
    <w:p>
      <w:pPr>
        <w:spacing w:after="0" w:line="187" w:lineRule="exact"/>
        <w:rPr>
          <w:sz w:val="20"/>
          <w:szCs w:val="20"/>
          <w:color w:val="auto"/>
        </w:rPr>
      </w:pPr>
    </w:p>
    <w:p>
      <w:pPr>
        <w:ind w:left="440" w:right="60"/>
        <w:spacing w:after="0" w:line="273" w:lineRule="auto"/>
        <w:rPr>
          <w:sz w:val="20"/>
          <w:szCs w:val="20"/>
          <w:color w:val="auto"/>
        </w:rPr>
      </w:pPr>
      <w:r>
        <w:rPr>
          <w:rFonts w:ascii="Arial" w:cs="Arial" w:eastAsia="Arial" w:hAnsi="Arial"/>
          <w:sz w:val="17"/>
          <w:szCs w:val="17"/>
          <w:color w:val="auto"/>
        </w:rPr>
        <w:t>Employees of the Company become eligible to participate in the Plan in the first month after completion of three months of service (or, in the case of employees of NBCUniversal and its subsidiaries, immediately following their hire date) and are automatically enrolled in the Plan at a contribution rate equal to 3% of eligible compensation on a pre-tax basis unless they opt out of participation. Automatically-enrolled participants may thereafter increase or decrease their contribution at any time. Contribution rates for participants hired (or rehired after having not worked for the Company for a period of more than 1 year following his or her employment termination date) on or after January 1, 2013, will increase 1% per year up to 10%, subject to certain limits imposed by the Code, unless a participant elects to opt out of the automatic increase program.</w:t>
      </w:r>
    </w:p>
    <w:p>
      <w:pPr>
        <w:spacing w:after="0" w:line="178" w:lineRule="exact"/>
        <w:rPr>
          <w:sz w:val="20"/>
          <w:szCs w:val="20"/>
          <w:color w:val="auto"/>
        </w:rPr>
      </w:pPr>
    </w:p>
    <w:p>
      <w:pPr>
        <w:ind w:left="440" w:right="200"/>
        <w:spacing w:after="0" w:line="257" w:lineRule="auto"/>
        <w:rPr>
          <w:sz w:val="20"/>
          <w:szCs w:val="20"/>
          <w:color w:val="auto"/>
        </w:rPr>
      </w:pPr>
      <w:r>
        <w:rPr>
          <w:rFonts w:ascii="Arial" w:cs="Arial" w:eastAsia="Arial" w:hAnsi="Arial"/>
          <w:sz w:val="18"/>
          <w:szCs w:val="18"/>
          <w:color w:val="auto"/>
        </w:rPr>
        <w:t>The maximum amount of eligible compensation that may be deferred is 50% (plus an additional 30% of eligible compensation for eligible employees aged 50 or above), subject to certain limits imposed by the Code. The Company matches 100% of the participant’s contributions up to 4.5% of the participant’s eligible compensation for such payroll period. The maximum Company matching contribution for a Plan year is $10,000 for any participant who is a Highly Compensated Employee (as defined in the Plan) and who is eligible to contribute to the Comcast Corporation 2005 Deferred Compensation Plan as of the first day of the Plan year.</w:t>
      </w:r>
    </w:p>
    <w:p>
      <w:pPr>
        <w:spacing w:after="0" w:line="188" w:lineRule="exact"/>
        <w:rPr>
          <w:sz w:val="20"/>
          <w:szCs w:val="20"/>
          <w:color w:val="auto"/>
        </w:rPr>
      </w:pPr>
    </w:p>
    <w:p>
      <w:pPr>
        <w:ind w:left="440" w:right="60"/>
        <w:spacing w:after="0" w:line="272" w:lineRule="auto"/>
        <w:rPr>
          <w:sz w:val="20"/>
          <w:szCs w:val="20"/>
          <w:color w:val="auto"/>
        </w:rPr>
      </w:pPr>
      <w:r>
        <w:rPr>
          <w:rFonts w:ascii="Arial" w:cs="Arial" w:eastAsia="Arial" w:hAnsi="Arial"/>
          <w:sz w:val="17"/>
          <w:szCs w:val="17"/>
          <w:color w:val="auto"/>
        </w:rPr>
        <w:t>Each participant has at all times a 100% nonforfeitable interest in the participant’s contributions and earnings attributable thereto. Company matching contributions are also fully and immediately vested. Effective January 1, 2013, the Company also provides certain eligible NBCUniversal employees an Annual Retirement Contribution equal to 3% of eligible compensation, subject to certain limits imposed by the Code. Beginning with the 2014 Plan year, the Company may make a contribution of up to 1% of eligible compensation on behalf of certain other non-highly compensated employees of the Company eligible to participate in the Plan. In each case, such employer contributions become vested in annual 20% increments based on years of service with the Company and its subsidiaries commencing with the attainment of 2 years of service. Rollover contributions represent participant assets transferred to the Plan from other qualified retirement plans.</w:t>
      </w:r>
    </w:p>
    <w:p>
      <w:pPr>
        <w:spacing w:after="0" w:line="178"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 Effective January 1, 2013, the administrative fee assessed per account by the Trustee increased from $19 per year to $32 per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120"/>
        <w:spacing w:after="0" w:line="272" w:lineRule="auto"/>
        <w:rPr>
          <w:sz w:val="20"/>
          <w:szCs w:val="20"/>
          <w:color w:val="auto"/>
        </w:rPr>
      </w:pPr>
      <w:r>
        <w:rPr>
          <w:rFonts w:ascii="Arial" w:cs="Arial" w:eastAsia="Arial" w:hAnsi="Arial"/>
          <w:sz w:val="17"/>
          <w:szCs w:val="17"/>
          <w:color w:val="auto"/>
        </w:rPr>
        <w:t>Forfeitures, consisting of amounts contributed by the Company that are not 100% vested upon a participants’ separation from service and amounts related to unclaimed Required Minimum Distributions as defined by the Code,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 ended December 31, 2013 amounted to $1,212,239. Outstanding forfeitures not yet applied against Company contributions at December 31, 2013 and 2012 were $35,199 and $33,619, respectively.</w:t>
      </w:r>
    </w:p>
    <w:p>
      <w:pPr>
        <w:spacing w:after="0" w:line="178" w:lineRule="exact"/>
        <w:rPr>
          <w:sz w:val="20"/>
          <w:szCs w:val="20"/>
          <w:color w:val="auto"/>
        </w:rPr>
      </w:pPr>
    </w:p>
    <w:p>
      <w:pPr>
        <w:ind w:left="440" w:right="180"/>
        <w:spacing w:after="0" w:line="276" w:lineRule="auto"/>
        <w:rPr>
          <w:sz w:val="20"/>
          <w:szCs w:val="20"/>
          <w:color w:val="auto"/>
        </w:rPr>
      </w:pPr>
      <w:r>
        <w:rPr>
          <w:rFonts w:ascii="Arial" w:cs="Arial" w:eastAsia="Arial" w:hAnsi="Arial"/>
          <w:sz w:val="17"/>
          <w:szCs w:val="17"/>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quarterly or, beginning July 1, 2014, monthly installments, a rollover into another qualified plan, or any combination of the foregoing.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Transfers</w:t>
      </w:r>
    </w:p>
    <w:p>
      <w:pPr>
        <w:spacing w:after="0" w:line="225" w:lineRule="exact"/>
        <w:rPr>
          <w:sz w:val="20"/>
          <w:szCs w:val="20"/>
          <w:color w:val="auto"/>
        </w:rPr>
      </w:pPr>
    </w:p>
    <w:p>
      <w:pPr>
        <w:ind w:left="440" w:right="180"/>
        <w:spacing w:after="0" w:line="264" w:lineRule="auto"/>
        <w:rPr>
          <w:sz w:val="20"/>
          <w:szCs w:val="20"/>
          <w:color w:val="auto"/>
        </w:rPr>
      </w:pPr>
      <w:r>
        <w:rPr>
          <w:rFonts w:ascii="Arial" w:cs="Arial" w:eastAsia="Arial" w:hAnsi="Arial"/>
          <w:sz w:val="18"/>
          <w:szCs w:val="18"/>
          <w:color w:val="auto"/>
        </w:rPr>
        <w:t>Effective January 1, 2013, the Plan was amended to reflect that NBCUniversal and its subsidiaries became Participating Companies in the Plan. In connection therewith, $489 million in assets related to eligible NBCUniversal employees were transferred to the Plan from the NBCUniversal Capital Accumulation Plan.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Fidelity Management Trust Company is the appointed Trustee of the Plan.</w:t>
      </w:r>
    </w:p>
    <w:p>
      <w:pPr>
        <w:spacing w:after="0" w:line="221" w:lineRule="exact"/>
        <w:rPr>
          <w:sz w:val="20"/>
          <w:szCs w:val="20"/>
          <w:color w:val="auto"/>
        </w:rPr>
      </w:pPr>
    </w:p>
    <w:p>
      <w:pPr>
        <w:ind w:left="440" w:right="6280" w:hanging="432"/>
        <w:spacing w:after="0" w:line="503" w:lineRule="auto"/>
        <w:tabs>
          <w:tab w:leader="none" w:pos="4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u w:val="single" w:color="auto"/>
          <w:color w:val="auto"/>
        </w:rPr>
        <w:t>Basis of Accounting and Presentation</w:t>
      </w:r>
    </w:p>
    <w:p>
      <w:pPr>
        <w:ind w:left="4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 accordance with generally accepted accounting principles in the United States of America (“U.S. GAAP”).</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Investment Valuation and Income Recognition</w:t>
      </w:r>
    </w:p>
    <w:p>
      <w:pPr>
        <w:spacing w:after="0" w:line="225" w:lineRule="exact"/>
        <w:rPr>
          <w:rFonts w:ascii="Arial" w:cs="Arial" w:eastAsia="Arial" w:hAnsi="Arial"/>
          <w:sz w:val="18"/>
          <w:szCs w:val="18"/>
          <w:b w:val="1"/>
          <w:bCs w:val="1"/>
          <w:color w:val="auto"/>
        </w:rPr>
      </w:pPr>
    </w:p>
    <w:p>
      <w:pPr>
        <w:ind w:left="4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Plan’s investments are stated at fair value. Fair value of a financial instrument is the price that would be received to sell an asset or paid to transfer a liability in an orderly transaction between market participants at the measurement date. The Company’s Class A and Class A Special common stock are valued at their respective closing price reported on the NASDAQ Global Select Market on the last trading day of the Plan year. Money market funds are stated at amortized cost, which approximates fair value. Shares of mutual funds, separate accounts and common collective trusts are valued at the net asset value of shares held by the Plan at year-end. The stable value fund is stated at fair value and then adjusted to contract value as described below. Fair value of the stable value fund is the net asset value of its underlying investments and contract value is principal plus accrued interest.</w:t>
      </w:r>
    </w:p>
    <w:p>
      <w:pPr>
        <w:sectPr>
          <w:pgSz w:w="11900" w:h="16838" w:orient="portrait"/>
          <w:cols w:equalWidth="0" w:num="1">
            <w:col w:w="11420"/>
          </w:cols>
          <w:pgMar w:left="240" w:top="125" w:right="239" w:bottom="0" w:gutter="0" w:footer="0" w:header="0"/>
        </w:sectPr>
      </w:pPr>
    </w:p>
    <w:bookmarkStart w:id="4" w:name="page5"/>
    <w:bookmarkEnd w:id="4"/>
    <w:p>
      <w:pPr>
        <w:spacing w:after="0" w:line="46" w:lineRule="exact"/>
        <w:rPr>
          <w:sz w:val="20"/>
          <w:szCs w:val="20"/>
          <w:color w:val="auto"/>
        </w:rPr>
      </w:pPr>
    </w:p>
    <w:p>
      <w:pPr>
        <w:ind w:left="440" w:right="100"/>
        <w:spacing w:after="0" w:line="276" w:lineRule="auto"/>
        <w:rPr>
          <w:sz w:val="20"/>
          <w:szCs w:val="20"/>
          <w:color w:val="auto"/>
        </w:rPr>
      </w:pPr>
      <w:r>
        <w:rPr>
          <w:rFonts w:ascii="Arial" w:cs="Arial" w:eastAsia="Arial" w:hAnsi="Arial"/>
          <w:sz w:val="17"/>
          <w:szCs w:val="17"/>
          <w:color w:val="auto"/>
        </w:rPr>
        <w:t>Investment contracts, such as those included in the Comcast Stable Value Fund, are required to be reported at fair value. However, contract value is the relevant measure of fully benefit-responsive investment contracts since that is the amount participants would receive if they were to initiate permitted transactions under the terms of the Plan. As required by U.S. GAAP, the Statements of Net Assets Available for Benefits present investments at fair value as well as an additional line item showing the adjustment of fully benefit-responsive investment contracts from fair value to contract value. The Statement of Changes in Net Assets Available for Benefits is presented on a contract value basis.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160"/>
        <w:spacing w:after="0" w:line="312" w:lineRule="auto"/>
        <w:rPr>
          <w:sz w:val="20"/>
          <w:szCs w:val="20"/>
          <w:color w:val="auto"/>
        </w:rPr>
      </w:pPr>
      <w:r>
        <w:rPr>
          <w:rFonts w:ascii="Arial" w:cs="Arial" w:eastAsia="Arial" w:hAnsi="Arial"/>
          <w:sz w:val="16"/>
          <w:szCs w:val="16"/>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ind w:left="440" w:right="180"/>
        <w:spacing w:after="0" w:line="264" w:lineRule="auto"/>
        <w:rPr>
          <w:sz w:val="20"/>
          <w:szCs w:val="20"/>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left="440" w:right="20"/>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liabilities, and changes therein, and disclosure of contingent assets and liabilities. Actual results could differ from those estimates.</w:t>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44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To more efficiently manage the assets of a number of Comcast and NBCUniversal defined contribution plans, Comcast established the Master Trust, effective September 10, 2013. The Trustee was appointed by Comcast to hold, administer, and invest the assets of the Master Trust. The Master Trust includes the investment assets of the Plan, NBCUniversal Capital Accumulation Plan, E! Entertainment Television, LLC Profit Sharing/401(k) Savings Plan and Leisure Arts, Inc. 401(k) Savings Plan. Each of the plans in the Master Trust maintains a segregated asset portfolio within the Master Trust. Investment income, realized gains (losses) on sales of investments, unrealized appreciation (depreciation) of investments, other receipts, other disbursements and administrative expenses are allocated to the segregated asset portfolios within the Master Trust. In accordance with U.S. GAAP, the net change in value from participation in the Master Trust is reported as one line item in the Statement of Changes in Net Assets Available for Benefits and the Plan’s interest in the Master Trust is reported as single line item in the Statements of Net Assets Available for Benefits.</w:t>
      </w:r>
    </w:p>
    <w:p>
      <w:pPr>
        <w:spacing w:after="0" w:line="166" w:lineRule="exact"/>
        <w:rPr>
          <w:sz w:val="20"/>
          <w:szCs w:val="20"/>
          <w:color w:val="auto"/>
        </w:rPr>
      </w:pPr>
    </w:p>
    <w:p>
      <w:pPr>
        <w:jc w:val="both"/>
        <w:ind w:left="440" w:right="100"/>
        <w:spacing w:after="0" w:line="264" w:lineRule="auto"/>
        <w:rPr>
          <w:sz w:val="20"/>
          <w:szCs w:val="20"/>
          <w:color w:val="auto"/>
        </w:rPr>
      </w:pPr>
      <w:r>
        <w:rPr>
          <w:rFonts w:ascii="Arial" w:cs="Arial" w:eastAsia="Arial" w:hAnsi="Arial"/>
          <w:sz w:val="18"/>
          <w:szCs w:val="18"/>
          <w:color w:val="auto"/>
        </w:rPr>
        <w:t>Because the Plan’s portfolio is segregated from the other plans that participate in the Master Trust, the Plan does not have an undivided interest in each investment in the Master Trust. Rather, the Plan has a specific percentage interest in each investment that differs from the overall percentage interest in the Master Trust.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780"/>
        <w:spacing w:after="0" w:line="277" w:lineRule="auto"/>
        <w:rPr>
          <w:sz w:val="20"/>
          <w:szCs w:val="20"/>
          <w:color w:val="auto"/>
        </w:rPr>
      </w:pPr>
      <w:r>
        <w:rPr>
          <w:rFonts w:ascii="Arial" w:cs="Arial" w:eastAsia="Arial" w:hAnsi="Arial"/>
          <w:sz w:val="18"/>
          <w:szCs w:val="18"/>
          <w:color w:val="auto"/>
        </w:rPr>
        <w:t>The following is a summary of the Master Trust’s Net Assets, and the Plan’s divided interest in the Master Trust, as of December 31, 2013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Plan’s Percent</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Master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Plan</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Master</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Trust</w:t>
            </w: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Trust</w:t>
            </w: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 at fair value</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Comcast Class A</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387,909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387,909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Comcast Class A Special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45,619</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45,619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 stock funds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755,195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746,892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International stock funds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325,068</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322,648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Separate account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1,310,211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1,287,076</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Common collective trusts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2,268,719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2,214,069</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Comcast Stable Value Fund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568,168</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564,939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5,660,889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5,569,152</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1,480</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1,480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NET ASSETS REFLECTING ALL ASSETS AT FAIR VALUE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5,662,369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5,570,632</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tcPr>
          <w:p>
            <w:pPr>
              <w:ind w:left="180"/>
              <w:spacing w:after="0" w:line="201" w:lineRule="exact"/>
              <w:rPr>
                <w:sz w:val="20"/>
                <w:szCs w:val="20"/>
                <w:color w:val="auto"/>
              </w:rPr>
            </w:pPr>
            <w:r>
              <w:rPr>
                <w:rFonts w:ascii="Arial" w:cs="Arial" w:eastAsia="Arial" w:hAnsi="Arial"/>
                <w:sz w:val="18"/>
                <w:szCs w:val="18"/>
                <w:color w:val="auto"/>
                <w:w w:val="95"/>
              </w:rPr>
              <w:t>Adjustment from fair value to contract value for fully benefit-responsive investment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(10,683)</w:t>
            </w: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(10,622)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5" w:name="page6"/>
    <w:bookmarkEnd w:id="5"/>
    <w:p>
      <w:pPr>
        <w:spacing w:after="0" w:line="62" w:lineRule="exact"/>
        <w:rPr>
          <w:sz w:val="20"/>
          <w:szCs w:val="20"/>
          <w:color w:val="auto"/>
        </w:rPr>
      </w:pPr>
    </w:p>
    <w:p>
      <w:pPr>
        <w:ind w:left="180"/>
        <w:spacing w:after="0"/>
        <w:tabs>
          <w:tab w:leader="none" w:pos="6600" w:val="left"/>
          <w:tab w:leader="none" w:pos="7240" w:val="left"/>
          <w:tab w:leader="none" w:pos="8240" w:val="left"/>
          <w:tab w:leader="none" w:pos="8880" w:val="left"/>
          <w:tab w:leader="none" w:pos="10920" w:val="left"/>
        </w:tabs>
        <w:rPr>
          <w:sz w:val="20"/>
          <w:szCs w:val="20"/>
          <w:color w:val="auto"/>
        </w:rPr>
      </w:pPr>
      <w:r>
        <w:rPr>
          <w:rFonts w:ascii="Arial" w:cs="Arial" w:eastAsia="Arial" w:hAnsi="Arial"/>
          <w:sz w:val="18"/>
          <w:szCs w:val="18"/>
          <w:color w:val="auto"/>
        </w:rPr>
        <w:t>NET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5,651,686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5,560,010</w:t>
      </w:r>
      <w:r>
        <w:rPr>
          <w:sz w:val="20"/>
          <w:szCs w:val="20"/>
          <w:color w:val="auto"/>
        </w:rPr>
        <w:tab/>
      </w:r>
      <w:r>
        <w:rPr>
          <w:rFonts w:ascii="Arial" w:cs="Arial" w:eastAsia="Arial" w:hAnsi="Arial"/>
          <w:sz w:val="16"/>
          <w:szCs w:val="16"/>
          <w:color w:val="auto"/>
        </w:rPr>
        <w:t>98.4%</w:t>
      </w:r>
    </w:p>
    <w:p>
      <w:pPr>
        <w:spacing w:after="0" w:line="200" w:lineRule="exact"/>
        <w:rPr>
          <w:sz w:val="20"/>
          <w:szCs w:val="20"/>
          <w:color w:val="auto"/>
        </w:rPr>
      </w:pPr>
    </w:p>
    <w:p>
      <w:pPr>
        <w:spacing w:after="0" w:line="24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For the period September 10, 2013 through December 31, 2013, the Master Trust’s investments (including investments purchased and sold, as well as held during the year) appreciated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in fair value of investments:</w:t>
            </w:r>
          </w:p>
        </w:tc>
        <w:tc>
          <w:tcPr>
            <w:tcW w:w="5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Common collective trusts</w:t>
            </w:r>
          </w:p>
        </w:tc>
        <w:tc>
          <w:tcPr>
            <w:tcW w:w="57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156,641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Separate account</w:t>
            </w:r>
          </w:p>
        </w:tc>
        <w:tc>
          <w:tcPr>
            <w:tcW w:w="5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Domestic stock funds</w:t>
            </w:r>
          </w:p>
        </w:tc>
        <w:tc>
          <w:tcPr>
            <w:tcW w:w="5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stock funds</w:t>
            </w:r>
          </w:p>
        </w:tc>
        <w:tc>
          <w:tcPr>
            <w:tcW w:w="5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Fixed income funds</w:t>
            </w:r>
          </w:p>
        </w:tc>
        <w:tc>
          <w:tcPr>
            <w:tcW w:w="5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Balanced funds</w:t>
            </w:r>
          </w:p>
        </w:tc>
        <w:tc>
          <w:tcPr>
            <w:tcW w:w="5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Comcast Class A</w:t>
            </w:r>
          </w:p>
        </w:tc>
        <w:tc>
          <w:tcPr>
            <w:tcW w:w="5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Class A Special</w:t>
            </w:r>
          </w:p>
        </w:tc>
        <w:tc>
          <w:tcPr>
            <w:tcW w:w="5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60"/>
              <w:spacing w:after="0"/>
              <w:rPr>
                <w:sz w:val="20"/>
                <w:szCs w:val="20"/>
                <w:color w:val="auto"/>
              </w:rPr>
            </w:pPr>
            <w:r>
              <w:rPr>
                <w:rFonts w:ascii="Arial" w:cs="Arial" w:eastAsia="Arial" w:hAnsi="Arial"/>
                <w:sz w:val="18"/>
                <w:szCs w:val="18"/>
                <w:color w:val="auto"/>
              </w:rPr>
              <w:t>Net appreciation in fair value of investments</w:t>
            </w:r>
          </w:p>
        </w:tc>
        <w:tc>
          <w:tcPr>
            <w:tcW w:w="53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320" w:type="dxa"/>
            <w:vAlign w:val="bottom"/>
            <w:vMerge w:val="restart"/>
          </w:tcPr>
          <w:p>
            <w:pPr>
              <w:jc w:val="right"/>
              <w:ind w:right="4090"/>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2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The following are the changes in net assets for the Master Trust as well as for the Plan’s interest in the Master Trust for the period September 10, 2013 through December 31, 2013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Master Trust investment income:</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Net appreciation in fair value of investments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446,769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Dividends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52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467,601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Transfers in</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220,672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Transfers out</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156,027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Increase in net assets</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532,246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NET ASSETS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10, 2013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5,119,440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 of year</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5,651,686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Plan’s interest in Master Trust net investment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460,223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the fair market value of the Plan’s investments in the Master Trust representing 5% or more of the Plan’s net assets and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Plan’s share of those investments in the Master Trust as of December 31, 2013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Plan</w:t>
            </w:r>
          </w:p>
        </w:tc>
        <w:tc>
          <w:tcPr>
            <w:tcW w:w="40" w:type="dxa"/>
            <w:vAlign w:val="bottom"/>
          </w:tcPr>
          <w:p>
            <w:pPr>
              <w:spacing w:after="0"/>
              <w:rPr>
                <w:sz w:val="14"/>
                <w:szCs w:val="14"/>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Spartan 500 Index Fund—Fidelity Advantage Institutional Class</w:t>
            </w:r>
          </w:p>
        </w:tc>
        <w:tc>
          <w:tcPr>
            <w:tcW w:w="3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535,856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Spartan International Index Fund—Fidelity Advantage Inst Class</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323,993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322,649</w:t>
            </w: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Vanguard Target 2025</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308,522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302,247</w:t>
            </w:r>
          </w:p>
        </w:tc>
        <w:tc>
          <w:tcPr>
            <w:tcW w:w="4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Vanguard Target 2030</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332,945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325,147</w:t>
            </w: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Vanguard Target 2035</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351,738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343,038</w:t>
            </w:r>
          </w:p>
        </w:tc>
        <w:tc>
          <w:tcPr>
            <w:tcW w:w="4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Vanguard Target 2040</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310,056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300,685</w:t>
            </w: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Large Cap Stock Fund</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648,080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633,845</w:t>
            </w:r>
          </w:p>
        </w:tc>
        <w:tc>
          <w:tcPr>
            <w:tcW w:w="4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Comcast Class A Common Stock</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387,909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387,909</w:t>
            </w: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568,168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564,939</w:t>
            </w:r>
          </w:p>
        </w:tc>
        <w:tc>
          <w:tcPr>
            <w:tcW w:w="40" w:type="dxa"/>
            <w:vAlign w:val="bottom"/>
          </w:tcPr>
          <w:p>
            <w:pPr>
              <w:spacing w:after="0"/>
              <w:rPr>
                <w:sz w:val="18"/>
                <w:szCs w:val="18"/>
                <w:color w:val="auto"/>
              </w:rPr>
            </w:pPr>
          </w:p>
        </w:tc>
      </w:tr>
      <w:tr>
        <w:trPr>
          <w:trHeight w:val="432"/>
        </w:trPr>
        <w:tc>
          <w:tcPr>
            <w:tcW w:w="5180" w:type="dxa"/>
            <w:vAlign w:val="bottom"/>
          </w:tcPr>
          <w:p>
            <w:pPr>
              <w:spacing w:after="0"/>
              <w:rPr>
                <w:sz w:val="24"/>
                <w:szCs w:val="24"/>
                <w:color w:val="auto"/>
              </w:rPr>
            </w:pPr>
          </w:p>
        </w:tc>
        <w:tc>
          <w:tcPr>
            <w:tcW w:w="3120" w:type="dxa"/>
            <w:vAlign w:val="bottom"/>
          </w:tcPr>
          <w:p>
            <w:pPr>
              <w:jc w:val="right"/>
              <w:ind w:right="24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180" w:type="dxa"/>
            <w:vAlign w:val="bottom"/>
            <w:tcBorders>
              <w:bottom w:val="single" w:sz="8" w:color="010101"/>
            </w:tcBorders>
          </w:tcPr>
          <w:p>
            <w:pPr>
              <w:spacing w:after="0"/>
              <w:rPr>
                <w:sz w:val="11"/>
                <w:szCs w:val="11"/>
                <w:color w:val="auto"/>
              </w:rPr>
            </w:pPr>
          </w:p>
        </w:tc>
        <w:tc>
          <w:tcPr>
            <w:tcW w:w="3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100"/>
        <w:spacing w:after="0" w:line="264" w:lineRule="auto"/>
        <w:rPr>
          <w:sz w:val="20"/>
          <w:szCs w:val="20"/>
          <w:color w:val="auto"/>
        </w:rPr>
      </w:pPr>
      <w:r>
        <w:rPr>
          <w:rFonts w:ascii="Arial" w:cs="Arial" w:eastAsia="Arial" w:hAnsi="Arial"/>
          <w:sz w:val="18"/>
          <w:szCs w:val="18"/>
          <w:color w:val="auto"/>
        </w:rPr>
        <w:t>For the period January 1, 2013 through September 9, 2013, the date upon which the Plan’s investments were transferred into the Master Trust, the Plan’s investments, including investments purchased and sold, as well as held for the period January 1, 2013 through September 9, 2013, appreciated in fair value as follows (in thousands):</w:t>
      </w:r>
    </w:p>
    <w:p>
      <w:pPr>
        <w:spacing w:after="0" w:line="19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ind w:left="180"/>
              <w:spacing w:after="0"/>
              <w:rPr>
                <w:sz w:val="20"/>
                <w:szCs w:val="20"/>
                <w:color w:val="auto"/>
              </w:rPr>
            </w:pPr>
            <w:r>
              <w:rPr>
                <w:rFonts w:ascii="Arial" w:cs="Arial" w:eastAsia="Arial" w:hAnsi="Arial"/>
                <w:sz w:val="18"/>
                <w:szCs w:val="18"/>
                <w:color w:val="auto"/>
              </w:rPr>
              <w:t>Comcast Class A</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40,351</w:t>
            </w:r>
          </w:p>
        </w:tc>
      </w:tr>
      <w:tr>
        <w:trPr>
          <w:trHeight w:val="216"/>
        </w:trPr>
        <w:tc>
          <w:tcPr>
            <w:tcW w:w="9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Class A Special</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5,354</w:t>
            </w:r>
          </w:p>
        </w:tc>
      </w:tr>
      <w:tr>
        <w:trPr>
          <w:trHeight w:val="210"/>
        </w:trPr>
        <w:tc>
          <w:tcPr>
            <w:tcW w:w="9340" w:type="dxa"/>
            <w:vAlign w:val="bottom"/>
          </w:tcPr>
          <w:p>
            <w:pPr>
              <w:ind w:left="380"/>
              <w:spacing w:after="0"/>
              <w:rPr>
                <w:sz w:val="20"/>
                <w:szCs w:val="20"/>
                <w:color w:val="auto"/>
              </w:rPr>
            </w:pPr>
            <w:r>
              <w:rPr>
                <w:rFonts w:ascii="Arial" w:cs="Arial" w:eastAsia="Arial" w:hAnsi="Arial"/>
                <w:sz w:val="18"/>
                <w:szCs w:val="18"/>
                <w:color w:val="auto"/>
              </w:rPr>
              <w:t>Total common stock</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45,705</w:t>
            </w: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Mutual funds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stock funds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88,537</w:t>
            </w:r>
          </w:p>
        </w:tc>
      </w:tr>
      <w:tr>
        <w:trPr>
          <w:trHeight w:val="216"/>
        </w:trPr>
        <w:tc>
          <w:tcPr>
            <w:tcW w:w="9340" w:type="dxa"/>
            <w:vAlign w:val="bottom"/>
          </w:tcPr>
          <w:p>
            <w:pPr>
              <w:ind w:left="180"/>
              <w:spacing w:after="0"/>
              <w:rPr>
                <w:sz w:val="20"/>
                <w:szCs w:val="20"/>
                <w:color w:val="auto"/>
              </w:rPr>
            </w:pPr>
            <w:r>
              <w:rPr>
                <w:rFonts w:ascii="Arial" w:cs="Arial" w:eastAsia="Arial" w:hAnsi="Arial"/>
                <w:sz w:val="18"/>
                <w:szCs w:val="18"/>
                <w:color w:val="auto"/>
              </w:rPr>
              <w:t>International stock funds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25,791</w:t>
            </w:r>
          </w:p>
        </w:tc>
      </w:tr>
      <w:tr>
        <w:trPr>
          <w:trHeight w:val="210"/>
        </w:trPr>
        <w:tc>
          <w:tcPr>
            <w:tcW w:w="93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mutual funds</w:t>
            </w: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97"/>
        </w:trPr>
        <w:tc>
          <w:tcPr>
            <w:tcW w:w="9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460"/>
          </w:cols>
          <w:pgMar w:left="240" w:top="125" w:right="199" w:bottom="0" w:gutter="0" w:footer="0" w:header="0"/>
        </w:sectPr>
      </w:pPr>
    </w:p>
    <w:bookmarkStart w:id="6" w:name="page7"/>
    <w:bookmarkEnd w:id="6"/>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168,774</w:t>
            </w:r>
          </w:p>
        </w:tc>
      </w:tr>
      <w:tr>
        <w:trPr>
          <w:trHeight w:val="216"/>
        </w:trPr>
        <w:tc>
          <w:tcPr>
            <w:tcW w:w="9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164,054</w:t>
            </w:r>
          </w:p>
        </w:tc>
      </w:tr>
      <w:tr>
        <w:trPr>
          <w:trHeight w:val="210"/>
        </w:trPr>
        <w:tc>
          <w:tcPr>
            <w:tcW w:w="9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appreciation in fair value of investments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492,861</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the fair market value of investments representing 5% or more of the Plan’s assets as of December 31, 2012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Spartan 500 Index Fund—Institutional Class</w:t>
            </w:r>
          </w:p>
        </w:tc>
        <w:tc>
          <w:tcPr>
            <w:tcW w:w="20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Spartan International Index Fund—Fidelity Advantage Inst Class</w:t>
            </w:r>
          </w:p>
        </w:tc>
        <w:tc>
          <w:tcPr>
            <w:tcW w:w="2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w:t>
            </w:r>
          </w:p>
        </w:tc>
        <w:tc>
          <w:tcPr>
            <w:tcW w:w="2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Large Cap Stock Fund</w:t>
            </w:r>
          </w:p>
        </w:tc>
        <w:tc>
          <w:tcPr>
            <w:tcW w:w="20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454,473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Comcast Corporation Stock</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A Common Stock</w:t>
            </w:r>
          </w:p>
        </w:tc>
        <w:tc>
          <w:tcPr>
            <w:tcW w:w="2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298,958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STABLE VALUE FUND</w:t>
      </w:r>
    </w:p>
    <w:p>
      <w:pPr>
        <w:spacing w:after="0" w:line="229" w:lineRule="exact"/>
        <w:rPr>
          <w:rFonts w:ascii="Arial" w:cs="Arial" w:eastAsia="Arial" w:hAnsi="Arial"/>
          <w:sz w:val="18"/>
          <w:szCs w:val="18"/>
          <w:b w:val="1"/>
          <w:bCs w:val="1"/>
          <w:color w:val="auto"/>
        </w:rPr>
      </w:pPr>
    </w:p>
    <w:p>
      <w:pPr>
        <w:ind w:left="440" w:right="2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146" w:lineRule="exact"/>
        <w:rPr>
          <w:rFonts w:ascii="Arial" w:cs="Arial" w:eastAsia="Arial" w:hAnsi="Arial"/>
          <w:sz w:val="18"/>
          <w:szCs w:val="18"/>
          <w:b w:val="1"/>
          <w:bCs w:val="1"/>
          <w:color w:val="auto"/>
        </w:rPr>
      </w:pPr>
    </w:p>
    <w:p>
      <w:pPr>
        <w:ind w:left="44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average yield of investment contracts held as of December 31, 2013 and 2012 was 1.64% and 2.36%, respectively. When adjusted to reflect the actual interest credited to the Plan, the average yield of investment contracts held as of December 31, 2013 and 2012 was 1.46% and 1.70%, respectively.</w:t>
      </w:r>
    </w:p>
    <w:p>
      <w:pPr>
        <w:spacing w:after="0" w:line="181" w:lineRule="exact"/>
        <w:rPr>
          <w:rFonts w:ascii="Arial" w:cs="Arial" w:eastAsia="Arial" w:hAnsi="Arial"/>
          <w:sz w:val="18"/>
          <w:szCs w:val="18"/>
          <w:b w:val="1"/>
          <w:bCs w:val="1"/>
          <w:color w:val="auto"/>
        </w:rPr>
      </w:pPr>
    </w:p>
    <w:p>
      <w:pPr>
        <w:ind w:left="4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adjustments from fair value to contract value related to the fully benefit-responsive investment contracts included in the Comcast Stable Value Fund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240" w:type="dxa"/>
            <w:vAlign w:val="bottom"/>
            <w:gridSpan w:val="2"/>
          </w:tcPr>
          <w:p>
            <w:pPr>
              <w:jc w:val="center"/>
              <w:ind w:left="1799"/>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Credit Rating</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State Street Bank and Trust Company Boston</w:t>
            </w:r>
          </w:p>
        </w:tc>
        <w:tc>
          <w:tcPr>
            <w:tcW w:w="18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JP Morgan Chase</w:t>
            </w:r>
          </w:p>
        </w:tc>
        <w:tc>
          <w:tcPr>
            <w:tcW w:w="18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(1,866)</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Natixis</w:t>
            </w:r>
          </w:p>
        </w:tc>
        <w:tc>
          <w:tcPr>
            <w:tcW w:w="1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Prudential Ins Co America</w:t>
            </w:r>
          </w:p>
        </w:tc>
        <w:tc>
          <w:tcPr>
            <w:tcW w:w="18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AA-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(1,807)</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Bank of Tokyo — Mitsubishi</w:t>
            </w:r>
          </w:p>
        </w:tc>
        <w:tc>
          <w:tcPr>
            <w:tcW w:w="18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American General Life</w:t>
            </w:r>
          </w:p>
        </w:tc>
        <w:tc>
          <w:tcPr>
            <w:tcW w:w="18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(1,779)</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(20,119</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80" w:type="dxa"/>
            <w:vAlign w:val="bottom"/>
            <w:vMerge w:val="restart"/>
          </w:tcPr>
          <w:p>
            <w:pPr>
              <w:jc w:val="right"/>
              <w:ind w:right="739"/>
              <w:spacing w:after="0"/>
              <w:rPr>
                <w:sz w:val="20"/>
                <w:szCs w:val="20"/>
                <w:color w:val="auto"/>
              </w:rPr>
            </w:pPr>
            <w:r>
              <w:rPr>
                <w:rFonts w:ascii="Arial" w:cs="Arial" w:eastAsia="Arial" w:hAnsi="Arial"/>
                <w:sz w:val="18"/>
                <w:szCs w:val="18"/>
                <w:color w:val="auto"/>
              </w:rPr>
              <w:t>9</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Borders>
              <w:bottom w:val="single" w:sz="8" w:color="010101"/>
            </w:tcBorders>
          </w:tcPr>
          <w:p>
            <w:pPr>
              <w:spacing w:after="0"/>
              <w:rPr>
                <w:sz w:val="11"/>
                <w:szCs w:val="11"/>
                <w:color w:val="auto"/>
              </w:rPr>
            </w:pPr>
          </w:p>
        </w:tc>
        <w:tc>
          <w:tcPr>
            <w:tcW w:w="424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170"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16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hierarchy that prioritizes fair value measurements based on the types of inputs used for the various valuation techniques. The levels of the hierarchy are described below:</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Level 1</w:t>
            </w: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w w:val="92"/>
              </w:rPr>
              <w:t>Consists of financial instruments whose values are based on quoted market prices for identical financial instruments in an active</w:t>
            </w:r>
          </w:p>
        </w:tc>
      </w:tr>
      <w:tr>
        <w:trPr>
          <w:trHeight w:val="230"/>
        </w:trPr>
        <w:tc>
          <w:tcPr>
            <w:tcW w:w="920" w:type="dxa"/>
            <w:vAlign w:val="bottom"/>
          </w:tcPr>
          <w:p>
            <w:pPr>
              <w:spacing w:after="0"/>
              <w:rPr>
                <w:sz w:val="20"/>
                <w:szCs w:val="20"/>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rPr>
              <w:t>market.</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Level 2</w:t>
            </w: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w w:val="91"/>
              </w:rPr>
              <w:t>Consists of financial instruments that are valued using models or other valuation methodologies. These models use inputs that are</w:t>
            </w:r>
          </w:p>
        </w:tc>
      </w:tr>
      <w:tr>
        <w:trPr>
          <w:trHeight w:val="230"/>
        </w:trPr>
        <w:tc>
          <w:tcPr>
            <w:tcW w:w="920" w:type="dxa"/>
            <w:vAlign w:val="bottom"/>
          </w:tcPr>
          <w:p>
            <w:pPr>
              <w:spacing w:after="0"/>
              <w:rPr>
                <w:sz w:val="20"/>
                <w:szCs w:val="20"/>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rPr>
              <w:t>observable either directly or indirectly and include:</w:t>
            </w:r>
          </w:p>
        </w:tc>
      </w:tr>
      <w:tr>
        <w:trPr>
          <w:trHeight w:val="432"/>
        </w:trPr>
        <w:tc>
          <w:tcPr>
            <w:tcW w:w="92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200" w:type="dxa"/>
            <w:vAlign w:val="bottom"/>
          </w:tcPr>
          <w:p>
            <w:pPr>
              <w:ind w:left="220"/>
              <w:spacing w:after="0"/>
              <w:rPr>
                <w:sz w:val="20"/>
                <w:szCs w:val="20"/>
                <w:color w:val="auto"/>
              </w:rPr>
            </w:pPr>
            <w:r>
              <w:rPr>
                <w:rFonts w:ascii="Arial" w:cs="Arial" w:eastAsia="Arial" w:hAnsi="Arial"/>
                <w:sz w:val="18"/>
                <w:szCs w:val="18"/>
                <w:color w:val="auto"/>
              </w:rPr>
              <w:t>Quoted prices for similar assets or liabilities in active markets;</w:t>
            </w:r>
          </w:p>
        </w:tc>
      </w:tr>
      <w:tr>
        <w:trPr>
          <w:trHeight w:val="432"/>
        </w:trPr>
        <w:tc>
          <w:tcPr>
            <w:tcW w:w="92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200" w:type="dxa"/>
            <w:vAlign w:val="bottom"/>
          </w:tcPr>
          <w:p>
            <w:pPr>
              <w:ind w:left="220"/>
              <w:spacing w:after="0"/>
              <w:rPr>
                <w:sz w:val="20"/>
                <w:szCs w:val="20"/>
                <w:color w:val="auto"/>
              </w:rPr>
            </w:pPr>
            <w:r>
              <w:rPr>
                <w:rFonts w:ascii="Arial" w:cs="Arial" w:eastAsia="Arial" w:hAnsi="Arial"/>
                <w:sz w:val="18"/>
                <w:szCs w:val="18"/>
                <w:color w:val="auto"/>
              </w:rPr>
              <w:t>Quoted prices for identical or similar assets or liabilities in markets that are not active;</w:t>
            </w:r>
          </w:p>
        </w:tc>
      </w:tr>
      <w:tr>
        <w:trPr>
          <w:trHeight w:val="432"/>
        </w:trPr>
        <w:tc>
          <w:tcPr>
            <w:tcW w:w="92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200" w:type="dxa"/>
            <w:vAlign w:val="bottom"/>
          </w:tcPr>
          <w:p>
            <w:pPr>
              <w:ind w:left="220"/>
              <w:spacing w:after="0"/>
              <w:rPr>
                <w:sz w:val="20"/>
                <w:szCs w:val="20"/>
                <w:color w:val="auto"/>
              </w:rPr>
            </w:pPr>
            <w:r>
              <w:rPr>
                <w:rFonts w:ascii="Arial" w:cs="Arial" w:eastAsia="Arial" w:hAnsi="Arial"/>
                <w:sz w:val="18"/>
                <w:szCs w:val="18"/>
                <w:color w:val="auto"/>
              </w:rPr>
              <w:t>Pricing models whose inputs are observable for substantially the full term of the financial instrument; and</w:t>
            </w:r>
          </w:p>
        </w:tc>
      </w:tr>
      <w:tr>
        <w:trPr>
          <w:trHeight w:val="418"/>
        </w:trPr>
        <w:tc>
          <w:tcPr>
            <w:tcW w:w="92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200" w:type="dxa"/>
            <w:vAlign w:val="bottom"/>
          </w:tcPr>
          <w:p>
            <w:pPr>
              <w:ind w:left="220"/>
              <w:spacing w:after="0"/>
              <w:rPr>
                <w:sz w:val="20"/>
                <w:szCs w:val="20"/>
                <w:color w:val="auto"/>
              </w:rPr>
            </w:pPr>
            <w:r>
              <w:rPr>
                <w:rFonts w:ascii="Arial" w:cs="Arial" w:eastAsia="Arial" w:hAnsi="Arial"/>
                <w:sz w:val="18"/>
                <w:szCs w:val="18"/>
                <w:color w:val="auto"/>
                <w:w w:val="92"/>
              </w:rPr>
              <w:t>Pricing models whose inputs are derived principally from or corroborated by observable market data through correlation or</w:t>
            </w:r>
          </w:p>
        </w:tc>
      </w:tr>
      <w:tr>
        <w:trPr>
          <w:trHeight w:val="230"/>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other means for substantially the full term of the financial instrument.</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Level 3</w:t>
            </w: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w w:val="93"/>
              </w:rPr>
              <w:t>Consists of financial instruments whose values are determined using pricing models that use significant inputs that are primarily</w:t>
            </w:r>
          </w:p>
        </w:tc>
      </w:tr>
      <w:tr>
        <w:trPr>
          <w:trHeight w:val="216"/>
        </w:trPr>
        <w:tc>
          <w:tcPr>
            <w:tcW w:w="9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w w:val="90"/>
              </w:rPr>
              <w:t>unobservable, discounted cash flow methodologies, or similar techniques, as well as instruments for which the determination of fair</w:t>
            </w:r>
          </w:p>
        </w:tc>
      </w:tr>
      <w:tr>
        <w:trPr>
          <w:trHeight w:val="230"/>
        </w:trPr>
        <w:tc>
          <w:tcPr>
            <w:tcW w:w="920" w:type="dxa"/>
            <w:vAlign w:val="bottom"/>
          </w:tcPr>
          <w:p>
            <w:pPr>
              <w:spacing w:after="0"/>
              <w:rPr>
                <w:sz w:val="20"/>
                <w:szCs w:val="20"/>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rPr>
              <w:t>value requires significant judgment or estimation.</w:t>
            </w:r>
          </w:p>
        </w:tc>
      </w:tr>
    </w:tbl>
    <w:p>
      <w:pPr>
        <w:sectPr>
          <w:pgSz w:w="11900" w:h="16838" w:orient="portrait"/>
          <w:cols w:equalWidth="0" w:num="1">
            <w:col w:w="11460"/>
          </w:cols>
          <w:pgMar w:left="240" w:top="140" w:right="199" w:bottom="0" w:gutter="0" w:footer="0" w:header="0"/>
        </w:sectPr>
      </w:pPr>
    </w:p>
    <w:bookmarkStart w:id="7" w:name="page8"/>
    <w:bookmarkEnd w:id="7"/>
    <w:p>
      <w:pPr>
        <w:spacing w:after="0" w:line="19"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225" w:lineRule="exact"/>
        <w:rPr>
          <w:sz w:val="20"/>
          <w:szCs w:val="20"/>
          <w:color w:val="auto"/>
        </w:rPr>
      </w:pPr>
    </w:p>
    <w:p>
      <w:pPr>
        <w:ind w:left="880" w:right="180"/>
        <w:spacing w:after="0" w:line="264" w:lineRule="auto"/>
        <w:rPr>
          <w:sz w:val="20"/>
          <w:szCs w:val="20"/>
          <w:color w:val="auto"/>
        </w:rPr>
      </w:pPr>
      <w:r>
        <w:rPr>
          <w:rFonts w:ascii="Arial" w:cs="Arial" w:eastAsia="Arial" w:hAnsi="Arial"/>
          <w:sz w:val="18"/>
          <w:szCs w:val="18"/>
          <w:color w:val="auto"/>
        </w:rPr>
        <w:t>Mutual funds, separate account and common collective trusts: Valued at the net asset value of shares held by the Plan at year end. The net asset value as provided by the Trustee for the separate account and common collective trust funds, is used as a practical expedient to estimate fair value.</w:t>
      </w:r>
    </w:p>
    <w:p>
      <w:pPr>
        <w:spacing w:after="0" w:line="181" w:lineRule="exact"/>
        <w:rPr>
          <w:sz w:val="20"/>
          <w:szCs w:val="20"/>
          <w:color w:val="auto"/>
        </w:rPr>
      </w:pPr>
    </w:p>
    <w:p>
      <w:pPr>
        <w:ind w:left="880" w:right="640"/>
        <w:spacing w:after="0" w:line="277" w:lineRule="auto"/>
        <w:rPr>
          <w:sz w:val="20"/>
          <w:szCs w:val="20"/>
          <w:color w:val="auto"/>
        </w:rPr>
      </w:pPr>
      <w:r>
        <w:rPr>
          <w:rFonts w:ascii="Arial" w:cs="Arial" w:eastAsia="Arial" w:hAnsi="Arial"/>
          <w:sz w:val="18"/>
          <w:szCs w:val="18"/>
          <w:color w:val="auto"/>
        </w:rPr>
        <w:t>Common stocks: Valued at the closing price reported on the last trading day of the Plan year on the active market on which the individual securities are traded.</w:t>
      </w:r>
    </w:p>
    <w:p>
      <w:pPr>
        <w:spacing w:after="0" w:line="170" w:lineRule="exact"/>
        <w:rPr>
          <w:sz w:val="20"/>
          <w:szCs w:val="20"/>
          <w:color w:val="auto"/>
        </w:rPr>
      </w:pPr>
    </w:p>
    <w:p>
      <w:pPr>
        <w:ind w:left="880" w:right="260"/>
        <w:spacing w:after="0" w:line="277" w:lineRule="auto"/>
        <w:rPr>
          <w:sz w:val="20"/>
          <w:szCs w:val="20"/>
          <w:color w:val="auto"/>
        </w:rPr>
      </w:pPr>
      <w:r>
        <w:rPr>
          <w:rFonts w:ascii="Arial" w:cs="Arial" w:eastAsia="Arial" w:hAnsi="Arial"/>
          <w:sz w:val="18"/>
          <w:szCs w:val="18"/>
          <w:color w:val="auto"/>
        </w:rPr>
        <w:t>Guaranteed investment contracts: Valued at fair value by discounting the related cash flows based on current yields of similar instruments with comparable durations considering the credit-worthiness of the issuer.</w:t>
      </w:r>
    </w:p>
    <w:p>
      <w:pPr>
        <w:spacing w:after="0" w:line="170" w:lineRule="exact"/>
        <w:rPr>
          <w:sz w:val="20"/>
          <w:szCs w:val="20"/>
          <w:color w:val="auto"/>
        </w:rPr>
      </w:pPr>
    </w:p>
    <w:p>
      <w:pPr>
        <w:ind w:left="440" w:right="240"/>
        <w:spacing w:after="0" w:line="279" w:lineRule="auto"/>
        <w:rPr>
          <w:sz w:val="20"/>
          <w:szCs w:val="20"/>
          <w:color w:val="auto"/>
        </w:rPr>
      </w:pPr>
      <w:r>
        <w:rPr>
          <w:rFonts w:ascii="Arial" w:cs="Arial" w:eastAsia="Arial" w:hAnsi="Arial"/>
          <w:sz w:val="17"/>
          <w:szCs w:val="17"/>
          <w:color w:val="auto"/>
        </w:rPr>
        <w:t>The methods described above may produce a calculated fair value that may not be indicative of net realizable value or reflective of future fair values. Furthermore, while the Plan believes these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2013 and 2012.</w:t>
      </w:r>
    </w:p>
    <w:p>
      <w:pPr>
        <w:spacing w:after="0" w:line="171"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2013 and 2012, there were no transfers between levels.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by level, within the fair value hierarchy, the Master Trust’s investments at fair value as of December 31, 2013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Level 3</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w:t>
            </w:r>
          </w:p>
        </w:tc>
        <w:tc>
          <w:tcPr>
            <w:tcW w:w="1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Comcast Class A</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387,909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Comcast Class A Special</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45,619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Domestic stock funds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755,195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stock funds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325,068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1,310,211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2,268,719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568,168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568,168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4,147,098</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sets forth by level, within the fair value hierarchy, the Plan’s investments at fair value as of December 31, 2012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Level 3</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w:t>
            </w:r>
          </w:p>
        </w:tc>
        <w:tc>
          <w:tcPr>
            <w:tcW w:w="1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Comcast Class A</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298,958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Comcast Class A Special</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38,041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Domestic stock funds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392,858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stock funds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10,459</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Separate account</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987,199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1,355,687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Comcast Stable Value Fund</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 term investments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Guaranteed investment contracts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576,489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946,179</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2,919,375</w:t>
            </w:r>
          </w:p>
        </w:tc>
        <w:tc>
          <w:tcPr>
            <w:tcW w:w="14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3,865,554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 FROM PARTICIPANTS AND HARDSHIP WITHDRAWALS</w:t>
      </w:r>
    </w:p>
    <w:p>
      <w:pPr>
        <w:spacing w:after="0" w:line="229" w:lineRule="exact"/>
        <w:rPr>
          <w:rFonts w:ascii="Arial" w:cs="Arial" w:eastAsia="Arial" w:hAnsi="Arial"/>
          <w:sz w:val="18"/>
          <w:szCs w:val="18"/>
          <w:b w:val="1"/>
          <w:bCs w:val="1"/>
          <w:color w:val="auto"/>
        </w:rPr>
      </w:pPr>
    </w:p>
    <w:p>
      <w:pPr>
        <w:ind w:left="44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w:t>
      </w:r>
    </w:p>
    <w:p>
      <w:pPr>
        <w:sectPr>
          <w:pgSz w:w="11900" w:h="16858" w:orient="portrait"/>
          <w:cols w:equalWidth="0" w:num="1">
            <w:col w:w="11420"/>
          </w:cols>
          <w:pgMar w:left="240" w:top="125" w:right="239" w:bottom="0" w:gutter="0" w:footer="0" w:header="0"/>
        </w:sectPr>
      </w:pPr>
    </w:p>
    <w:bookmarkStart w:id="8" w:name="page9"/>
    <w:bookmarkEnd w:id="8"/>
    <w:p>
      <w:pPr>
        <w:spacing w:after="0" w:line="69"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which the loan request is processed by the Plan Administrator. The maximum term of a loan made pursuant to the Plan is five years (loans with terms of greater than five years may exist under the Plan as a result of rollovers from merged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80"/>
        <w:spacing w:after="0" w:line="312" w:lineRule="auto"/>
        <w:rPr>
          <w:sz w:val="20"/>
          <w:szCs w:val="20"/>
          <w:color w:val="auto"/>
        </w:rPr>
      </w:pPr>
      <w:r>
        <w:rPr>
          <w:rFonts w:ascii="Arial" w:cs="Arial" w:eastAsia="Arial" w:hAnsi="Arial"/>
          <w:sz w:val="16"/>
          <w:szCs w:val="16"/>
          <w:color w:val="auto"/>
        </w:rPr>
        <w:t>Interest accrues at the rate of prime plus 1% as of the month the loan application is approved. Principal and interest are paid through payroll deductions or participant initiated payments. Interest rates ranged from 4.25% to 9.25% as of December 31, 2013. Maturities on outstanding loans ranged from 2014 to 2038 as of December 31, 2013. Loan transactions are treated as a transfer between the investment fund and notes receivable from participants.</w:t>
      </w:r>
    </w:p>
    <w:p>
      <w:pPr>
        <w:spacing w:after="0" w:line="147"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170"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A participant may withdraw all or a portion of his/her benefits derived from salary reduction, rollovers or the vested portion of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18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4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2013 and 2012 and the increase in net assets available for benefits per the financial statements to the net income per the Form 5500 for the year ended December 31, 2013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5,810,737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8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5,821,359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3,987,671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8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4,007,790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contracts—December 31, 2013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contracts—December 31, 2012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Form 5500</w:t>
            </w:r>
          </w:p>
        </w:tc>
        <w:tc>
          <w:tcPr>
            <w:tcW w:w="8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ind w:left="440" w:right="3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42"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EXEMPT PARTY-IN-INTEREST TRANSACTIONS</w:t>
      </w:r>
    </w:p>
    <w:p>
      <w:pPr>
        <w:spacing w:after="0" w:line="229" w:lineRule="exact"/>
        <w:rPr>
          <w:rFonts w:ascii="Arial" w:cs="Arial" w:eastAsia="Arial" w:hAnsi="Arial"/>
          <w:sz w:val="18"/>
          <w:szCs w:val="18"/>
          <w:b w:val="1"/>
          <w:bCs w:val="1"/>
          <w:color w:val="auto"/>
        </w:rPr>
      </w:pPr>
    </w:p>
    <w:p>
      <w:pPr>
        <w:ind w:left="44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Plan allows for transactions with certain parties who may perform services or have fiduciary responsibilities to the Plan, including the Company. Certain Plan investments are shares of various mutual funds that are owned and managed by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Trustee, who has been designated investment manager. The Plan invests in common stock of the Company and issues loans to participants, which are secured by the vested balances in the participants’ accounts.</w:t>
      </w:r>
    </w:p>
    <w:p>
      <w:pPr>
        <w:spacing w:after="0" w:line="170"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The cash management trust primarily consists of a cash account that is used to facilitate the Trustee in purchasing shares of the Company’s common stock. These transactions qualify as party-in-interest transactions.</w:t>
      </w:r>
    </w:p>
    <w:p>
      <w:pPr>
        <w:spacing w:after="0" w:line="166"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44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119" w:lineRule="exact"/>
        <w:rPr>
          <w:rFonts w:ascii="Arial" w:cs="Arial" w:eastAsia="Arial" w:hAnsi="Arial"/>
          <w:sz w:val="18"/>
          <w:szCs w:val="18"/>
          <w:b w:val="1"/>
          <w:bCs w:val="1"/>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29" w:lineRule="exact"/>
        <w:rPr>
          <w:rFonts w:ascii="Arial" w:cs="Arial" w:eastAsia="Arial" w:hAnsi="Arial"/>
          <w:sz w:val="18"/>
          <w:szCs w:val="18"/>
          <w:b w:val="1"/>
          <w:bCs w:val="1"/>
          <w:color w:val="auto"/>
        </w:rPr>
      </w:pPr>
    </w:p>
    <w:p>
      <w:pPr>
        <w:jc w:val="both"/>
        <w:ind w:left="1440" w:right="80" w:hanging="441"/>
        <w:spacing w:after="0" w:line="342" w:lineRule="auto"/>
        <w:tabs>
          <w:tab w:leader="none" w:pos="1434" w:val="left"/>
        </w:tabs>
        <w:numPr>
          <w:ilvl w:val="1"/>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Status of the Plan</w:t>
      </w:r>
      <w:r>
        <w:rPr>
          <w:rFonts w:ascii="Arial" w:cs="Arial" w:eastAsia="Arial" w:hAnsi="Arial"/>
          <w:sz w:val="16"/>
          <w:szCs w:val="16"/>
          <w:color w:val="auto"/>
        </w:rPr>
        <w:t>— The IRS made a favorable determination on the Plan through a letter dated May 9, 2014 stating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as amended and restated effective January 1, 2013, is qualified under section 401(a) of the Code and that the trust established under</w:t>
      </w:r>
    </w:p>
    <w:p>
      <w:pPr>
        <w:sectPr>
          <w:pgSz w:w="11900" w:h="16908" w:orient="portrait"/>
          <w:cols w:equalWidth="0" w:num="1">
            <w:col w:w="11420"/>
          </w:cols>
          <w:pgMar w:left="240" w:top="125" w:right="239" w:bottom="0" w:gutter="0" w:footer="0" w:header="0"/>
        </w:sectPr>
      </w:pPr>
    </w:p>
    <w:bookmarkStart w:id="9" w:name="page10"/>
    <w:bookmarkEnd w:id="9"/>
    <w:p>
      <w:pPr>
        <w:ind w:left="1440"/>
        <w:spacing w:after="0" w:line="264" w:lineRule="auto"/>
        <w:rPr>
          <w:sz w:val="20"/>
          <w:szCs w:val="20"/>
          <w:color w:val="auto"/>
        </w:rPr>
      </w:pPr>
      <w:r>
        <w:rPr>
          <w:rFonts w:ascii="Arial" w:cs="Arial" w:eastAsia="Arial" w:hAnsi="Arial"/>
          <w:sz w:val="18"/>
          <w:szCs w:val="18"/>
          <w:color w:val="auto"/>
        </w:rPr>
        <w:t>the Plan is tax-exempt. The Plan is required to operate in conformity with the Code to maintain its qualified status. The Plan Administrator believes the Plan is being operated in compliance with the applicable requirements of the Code and no provision for income taxes has been included in the Plan’s financial statements.</w:t>
      </w:r>
    </w:p>
    <w:p>
      <w:pPr>
        <w:spacing w:after="0" w:line="181" w:lineRule="exact"/>
        <w:rPr>
          <w:sz w:val="20"/>
          <w:szCs w:val="20"/>
          <w:color w:val="auto"/>
        </w:rPr>
      </w:pPr>
    </w:p>
    <w:p>
      <w:pPr>
        <w:jc w:val="both"/>
        <w:ind w:left="1440" w:right="680" w:hanging="441"/>
        <w:spacing w:after="0" w:line="264" w:lineRule="auto"/>
        <w:tabs>
          <w:tab w:leader="none" w:pos="1444"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—Employer contributions and salary reduction contributions, as well as earnings on Plan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subject to federal income tax until distributed from a qualified plan that meets the requirements of Sections 401(a), 401(k) and 401(m) of the Code.</w:t>
      </w:r>
    </w:p>
    <w:p>
      <w:pPr>
        <w:spacing w:after="0" w:line="181" w:lineRule="exact"/>
        <w:rPr>
          <w:rFonts w:ascii="Arial" w:cs="Arial" w:eastAsia="Arial" w:hAnsi="Arial"/>
          <w:sz w:val="18"/>
          <w:szCs w:val="18"/>
          <w:color w:val="auto"/>
        </w:rPr>
      </w:pPr>
    </w:p>
    <w:p>
      <w:pPr>
        <w:jc w:val="both"/>
        <w:ind w:left="1440" w:right="100" w:hanging="441"/>
        <w:spacing w:after="0" w:line="342" w:lineRule="auto"/>
        <w:tabs>
          <w:tab w:leader="none" w:pos="1448"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Positions</w:t>
      </w:r>
      <w:r>
        <w:rPr>
          <w:rFonts w:ascii="Arial" w:cs="Arial" w:eastAsia="Arial" w:hAnsi="Arial"/>
          <w:sz w:val="16"/>
          <w:szCs w:val="16"/>
          <w:color w:val="auto"/>
        </w:rPr>
        <w:t>—The Plan is subject to routine audits by taxing jurisdictions; however, there are currently no audits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periods in progress. The Plan Administrator believes the Plan is no longer subject to income tax examinations for years prior to 2010.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 PART IV, LINE 4i — SCHEDULE OF ASSETS (HELD AT END OF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FEIN #27-0000798</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#001</w:t>
            </w:r>
          </w:p>
        </w:tc>
        <w:tc>
          <w:tcPr>
            <w:tcW w:w="0" w:type="dxa"/>
            <w:vAlign w:val="bottom"/>
          </w:tcPr>
          <w:p>
            <w:pPr>
              <w:spacing w:after="0"/>
              <w:rPr>
                <w:sz w:val="1"/>
                <w:szCs w:val="1"/>
                <w:color w:val="auto"/>
              </w:rPr>
            </w:pPr>
          </w:p>
        </w:tc>
      </w:tr>
      <w:tr>
        <w:trPr>
          <w:trHeight w:val="342"/>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0" w:type="dxa"/>
            <w:vAlign w:val="bottom"/>
            <w:gridSpan w:val="3"/>
          </w:tcPr>
          <w:p>
            <w:pPr>
              <w:jc w:val="center"/>
              <w:ind w:right="699"/>
              <w:spacing w:after="0"/>
              <w:rPr>
                <w:sz w:val="20"/>
                <w:szCs w:val="20"/>
                <w:color w:val="auto"/>
              </w:rPr>
            </w:pPr>
            <w:r>
              <w:rPr>
                <w:rFonts w:ascii="Arial" w:cs="Arial" w:eastAsia="Arial" w:hAnsi="Arial"/>
                <w:sz w:val="14"/>
                <w:szCs w:val="14"/>
                <w:b w:val="1"/>
                <w:bCs w:val="1"/>
                <w:color w:val="auto"/>
                <w:w w:val="92"/>
              </w:rPr>
              <w:t>(c) Description of</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0" w:type="dxa"/>
            <w:vAlign w:val="bottom"/>
            <w:gridSpan w:val="3"/>
          </w:tcPr>
          <w:p>
            <w:pPr>
              <w:jc w:val="center"/>
              <w:ind w:right="679"/>
              <w:spacing w:after="0" w:line="149" w:lineRule="exact"/>
              <w:rPr>
                <w:sz w:val="20"/>
                <w:szCs w:val="20"/>
                <w:color w:val="auto"/>
              </w:rPr>
            </w:pPr>
            <w:r>
              <w:rPr>
                <w:rFonts w:ascii="Arial" w:cs="Arial" w:eastAsia="Arial" w:hAnsi="Arial"/>
                <w:sz w:val="14"/>
                <w:szCs w:val="14"/>
                <w:b w:val="1"/>
                <w:bCs w:val="1"/>
                <w:color w:val="auto"/>
                <w:w w:val="92"/>
              </w:rPr>
              <w:t>Investment,</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0" w:type="dxa"/>
            <w:vAlign w:val="bottom"/>
            <w:gridSpan w:val="3"/>
          </w:tcPr>
          <w:p>
            <w:pPr>
              <w:jc w:val="center"/>
              <w:ind w:right="699"/>
              <w:spacing w:after="0" w:line="149" w:lineRule="exact"/>
              <w:rPr>
                <w:sz w:val="20"/>
                <w:szCs w:val="20"/>
                <w:color w:val="auto"/>
              </w:rPr>
            </w:pPr>
            <w:r>
              <w:rPr>
                <w:rFonts w:ascii="Arial" w:cs="Arial" w:eastAsia="Arial" w:hAnsi="Arial"/>
                <w:sz w:val="14"/>
                <w:szCs w:val="14"/>
                <w:b w:val="1"/>
                <w:bCs w:val="1"/>
                <w:color w:val="auto"/>
                <w:w w:val="97"/>
              </w:rPr>
              <w:t>Including Maturity Date,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0" w:type="dxa"/>
            <w:vAlign w:val="bottom"/>
            <w:gridSpan w:val="3"/>
          </w:tcPr>
          <w:p>
            <w:pPr>
              <w:jc w:val="center"/>
              <w:ind w:right="679"/>
              <w:spacing w:after="0" w:line="149" w:lineRule="exact"/>
              <w:rPr>
                <w:sz w:val="20"/>
                <w:szCs w:val="20"/>
                <w:color w:val="auto"/>
              </w:rPr>
            </w:pPr>
            <w:r>
              <w:rPr>
                <w:rFonts w:ascii="Arial" w:cs="Arial" w:eastAsia="Arial" w:hAnsi="Arial"/>
                <w:sz w:val="14"/>
                <w:szCs w:val="14"/>
                <w:b w:val="1"/>
                <w:bCs w:val="1"/>
                <w:color w:val="auto"/>
                <w:w w:val="94"/>
              </w:rPr>
              <w:t>Rate of Interest, Collateral,</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7"/>
              </w:rPr>
              <w:t>(e) Current</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2"/>
                <w:szCs w:val="12"/>
                <w:color w:val="auto"/>
              </w:rPr>
            </w:pPr>
          </w:p>
        </w:tc>
        <w:tc>
          <w:tcPr>
            <w:tcW w:w="48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3600" w:type="dxa"/>
            <w:vAlign w:val="bottom"/>
            <w:gridSpan w:val="3"/>
          </w:tcPr>
          <w:p>
            <w:pPr>
              <w:jc w:val="center"/>
              <w:ind w:right="699"/>
              <w:spacing w:after="0" w:line="149" w:lineRule="exact"/>
              <w:rPr>
                <w:sz w:val="20"/>
                <w:szCs w:val="20"/>
                <w:color w:val="auto"/>
              </w:rPr>
            </w:pPr>
            <w:r>
              <w:rPr>
                <w:rFonts w:ascii="Arial" w:cs="Arial" w:eastAsia="Arial" w:hAnsi="Arial"/>
                <w:sz w:val="14"/>
                <w:szCs w:val="14"/>
                <w:b w:val="1"/>
                <w:bCs w:val="1"/>
                <w:color w:val="auto"/>
                <w:w w:val="94"/>
              </w:rPr>
              <w:t>Par, or</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gridSpan w:val="2"/>
            <w:vMerge w:val="continue"/>
          </w:tcPr>
          <w:p>
            <w:pPr>
              <w:spacing w:after="0"/>
              <w:rPr>
                <w:sz w:val="14"/>
                <w:szCs w:val="14"/>
                <w:color w:val="auto"/>
              </w:rPr>
            </w:pPr>
          </w:p>
        </w:tc>
        <w:tc>
          <w:tcPr>
            <w:tcW w:w="3600" w:type="dxa"/>
            <w:vAlign w:val="bottom"/>
            <w:gridSpan w:val="3"/>
          </w:tcPr>
          <w:p>
            <w:pPr>
              <w:jc w:val="center"/>
              <w:ind w:right="699"/>
              <w:spacing w:after="0"/>
              <w:rPr>
                <w:sz w:val="20"/>
                <w:szCs w:val="20"/>
                <w:color w:val="auto"/>
              </w:rPr>
            </w:pPr>
            <w:r>
              <w:rPr>
                <w:rFonts w:ascii="Arial" w:cs="Arial" w:eastAsia="Arial" w:hAnsi="Arial"/>
                <w:sz w:val="14"/>
                <w:szCs w:val="14"/>
                <w:b w:val="1"/>
                <w:bCs w:val="1"/>
                <w:color w:val="auto"/>
                <w:w w:val="98"/>
              </w:rPr>
              <w:t>Maturity Value</w:t>
            </w: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51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Interest in Comcast Corporation Employee Savings Plans</w:t>
            </w:r>
          </w:p>
        </w:tc>
        <w:tc>
          <w:tcPr>
            <w:tcW w:w="2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p>
        </w:tc>
        <w:tc>
          <w:tcPr>
            <w:tcW w:w="51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Master Trust</w:t>
            </w:r>
          </w:p>
        </w:tc>
        <w:tc>
          <w:tcPr>
            <w:tcW w:w="360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5,570,632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1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Notes receivable from participants (principal balance plus</w:t>
            </w:r>
          </w:p>
        </w:tc>
        <w:tc>
          <w:tcPr>
            <w:tcW w:w="3600" w:type="dxa"/>
            <w:vAlign w:val="bottom"/>
            <w:gridSpan w:val="3"/>
            <w:shd w:val="clear" w:color="auto" w:fill="CCEEFF"/>
          </w:tcPr>
          <w:p>
            <w:pPr>
              <w:jc w:val="center"/>
              <w:ind w:right="679"/>
              <w:spacing w:after="0" w:line="201" w:lineRule="exact"/>
              <w:rPr>
                <w:sz w:val="20"/>
                <w:szCs w:val="20"/>
                <w:color w:val="auto"/>
              </w:rPr>
            </w:pPr>
            <w:r>
              <w:rPr>
                <w:rFonts w:ascii="Arial" w:cs="Arial" w:eastAsia="Arial" w:hAnsi="Arial"/>
                <w:sz w:val="18"/>
                <w:szCs w:val="18"/>
                <w:color w:val="auto"/>
                <w:w w:val="90"/>
              </w:rPr>
              <w:t>Interest rates from 4.25%-9.25%;</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shd w:val="clear" w:color="auto" w:fill="CCEEFF"/>
          </w:tcPr>
          <w:p>
            <w:pPr>
              <w:spacing w:after="0"/>
              <w:rPr>
                <w:sz w:val="10"/>
                <w:szCs w:val="10"/>
                <w:color w:val="auto"/>
              </w:rPr>
            </w:pPr>
          </w:p>
        </w:tc>
        <w:tc>
          <w:tcPr>
            <w:tcW w:w="5160" w:type="dxa"/>
            <w:vAlign w:val="bottom"/>
            <w:gridSpan w:val="3"/>
            <w:vMerge w:val="restart"/>
            <w:shd w:val="clear" w:color="auto" w:fill="CCEEFF"/>
          </w:tcPr>
          <w:p>
            <w:pPr>
              <w:ind w:left="280"/>
              <w:spacing w:after="0"/>
              <w:rPr>
                <w:sz w:val="20"/>
                <w:szCs w:val="20"/>
                <w:color w:val="auto"/>
              </w:rPr>
            </w:pPr>
            <w:r>
              <w:rPr>
                <w:rFonts w:ascii="Arial" w:cs="Arial" w:eastAsia="Arial" w:hAnsi="Arial"/>
                <w:sz w:val="18"/>
                <w:szCs w:val="18"/>
                <w:color w:val="auto"/>
              </w:rPr>
              <w:t>accrued but unpaid interest</w:t>
            </w:r>
          </w:p>
        </w:tc>
        <w:tc>
          <w:tcPr>
            <w:tcW w:w="3600" w:type="dxa"/>
            <w:vAlign w:val="bottom"/>
            <w:gridSpan w:val="3"/>
            <w:vMerge w:val="restart"/>
            <w:shd w:val="clear" w:color="auto" w:fill="CCEEFF"/>
          </w:tcPr>
          <w:p>
            <w:pPr>
              <w:jc w:val="center"/>
              <w:ind w:right="679"/>
              <w:spacing w:after="0"/>
              <w:rPr>
                <w:sz w:val="20"/>
                <w:szCs w:val="20"/>
                <w:color w:val="auto"/>
              </w:rPr>
            </w:pPr>
            <w:r>
              <w:rPr>
                <w:rFonts w:ascii="Arial" w:cs="Arial" w:eastAsia="Arial" w:hAnsi="Arial"/>
                <w:sz w:val="18"/>
                <w:szCs w:val="18"/>
                <w:color w:val="auto"/>
                <w:w w:val="92"/>
              </w:rPr>
              <w:t>maturities from 2014 to 2038</w:t>
            </w: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184,025</w:t>
            </w: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rPr>
                <w:sz w:val="9"/>
                <w:szCs w:val="9"/>
                <w:color w:val="auto"/>
              </w:rPr>
            </w:pPr>
          </w:p>
        </w:tc>
        <w:tc>
          <w:tcPr>
            <w:tcW w:w="5160" w:type="dxa"/>
            <w:vAlign w:val="bottom"/>
            <w:gridSpan w:val="3"/>
            <w:vMerge w:val="continue"/>
            <w:shd w:val="clear" w:color="auto" w:fill="CCEEFF"/>
          </w:tcPr>
          <w:p>
            <w:pPr>
              <w:spacing w:after="0"/>
              <w:rPr>
                <w:sz w:val="9"/>
                <w:szCs w:val="9"/>
                <w:color w:val="auto"/>
              </w:rPr>
            </w:pPr>
          </w:p>
        </w:tc>
        <w:tc>
          <w:tcPr>
            <w:tcW w:w="3600" w:type="dxa"/>
            <w:vAlign w:val="bottom"/>
            <w:gridSpan w:val="3"/>
            <w:vMerge w:val="continue"/>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5,754,657</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Column (d) omitted as all investments are participant directed.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333-101295 of Comcast Corporation on Form S-8 of our report dated June 26, 2014, relating to the financial statements and supplemental schedule of the Comcast Corporation Retirement-Investment Plan, appearing in this Annual Report on Form 11-K of the Comcast Corporation Retirement-Investment Plan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COMCAST CORPORATION RETIREMENT-INVESTMENT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ind w:left="572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Comcast Corporation</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June 26, 2014</w:t>
            </w:r>
          </w:p>
        </w:tc>
        <w:tc>
          <w:tcPr>
            <w:tcW w:w="5100" w:type="dxa"/>
            <w:vAlign w:val="bottom"/>
          </w:tcPr>
          <w:p>
            <w:pPr>
              <w:spacing w:after="0"/>
              <w:rPr>
                <w:sz w:val="18"/>
                <w:szCs w:val="18"/>
                <w:color w:val="auto"/>
              </w:rPr>
            </w:pPr>
          </w:p>
        </w:tc>
      </w:tr>
      <w:tr>
        <w:trPr>
          <w:trHeight w:val="230"/>
        </w:trPr>
        <w:tc>
          <w:tcPr>
            <w:tcW w:w="6320" w:type="dxa"/>
            <w:vAlign w:val="bottom"/>
          </w:tcPr>
          <w:p>
            <w:pPr>
              <w:ind w:left="57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Lawrence J. Salva</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r>
    </w:tbl>
    <w:p>
      <w:pPr>
        <w:sectPr>
          <w:pgSz w:w="11900" w:h="16838" w:orient="portrait"/>
          <w:cols w:equalWidth="0" w:num="1">
            <w:col w:w="11420"/>
          </w:cols>
          <w:pgMar w:left="240" w:top="125"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1."/>
      <w:numFmt w:val="decimal"/>
      <w:start w:val="10"/>
    </w:lvl>
    <w:lvl w:ilvl="1">
      <w:lvlJc w:val="left"/>
      <w:lvlText w:val="%2."/>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2019-12-07T03:10:35Z</dcterms:created>
  <dcterms:modified xsi:type="dcterms:W3CDTF">2019-12-07T03:10:35Z</dcterms:modified>
</cp:coreProperties>
</file>