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9" w:lineRule="exact"/>
        <w:rPr>
          <w:sz w:val="24"/>
          <w:szCs w:val="24"/>
          <w:color w:val="auto"/>
        </w:rPr>
      </w:pPr>
    </w:p>
    <w:p>
      <w:pPr>
        <w:ind w:left="6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280"/>
        <w:spacing w:after="0"/>
        <w:rPr>
          <w:sz w:val="20"/>
          <w:szCs w:val="20"/>
          <w:color w:val="auto"/>
        </w:rPr>
      </w:pPr>
      <w:r>
        <w:rPr>
          <w:rFonts w:ascii="Courier New" w:cs="Courier New" w:eastAsia="Courier New" w:hAnsi="Courier New"/>
          <w:sz w:val="18"/>
          <w:szCs w:val="18"/>
          <w:color w:val="auto"/>
        </w:rPr>
        <w:t>OMB APPROVAL</w:t>
      </w:r>
    </w:p>
    <w:p>
      <w:pPr>
        <w:spacing w:after="0" w:line="4" w:lineRule="exact"/>
        <w:rPr>
          <w:sz w:val="24"/>
          <w:szCs w:val="24"/>
          <w:color w:val="auto"/>
        </w:rPr>
      </w:pPr>
    </w:p>
    <w:p>
      <w:pPr>
        <w:ind w:left="65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left="254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4"/>
          <w:szCs w:val="24"/>
          <w:color w:val="auto"/>
        </w:rPr>
      </w:pPr>
    </w:p>
    <w:p>
      <w:pPr>
        <w:jc w:val="center"/>
        <w:ind w:left="24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jc w:val="center"/>
        <w:ind w:left="2440"/>
        <w:spacing w:after="0"/>
        <w:rPr>
          <w:sz w:val="20"/>
          <w:szCs w:val="20"/>
          <w:color w:val="auto"/>
        </w:rPr>
      </w:pPr>
      <w:r>
        <w:rPr>
          <w:rFonts w:ascii="Courier New" w:cs="Courier New" w:eastAsia="Courier New" w:hAnsi="Courier New"/>
          <w:sz w:val="18"/>
          <w:szCs w:val="18"/>
          <w:color w:val="auto"/>
        </w:rPr>
        <w:t>WASHINGTON, D.C. 20549</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ind w:right="739" w:firstLine="105"/>
        <w:spacing w:after="0" w:line="273" w:lineRule="auto"/>
        <w:rPr>
          <w:sz w:val="20"/>
          <w:szCs w:val="20"/>
          <w:color w:val="auto"/>
        </w:rPr>
      </w:pPr>
      <w:r>
        <w:rPr>
          <w:rFonts w:ascii="Courier New" w:cs="Courier New" w:eastAsia="Courier New" w:hAnsi="Courier New"/>
          <w:sz w:val="16"/>
          <w:szCs w:val="16"/>
          <w:color w:val="auto"/>
        </w:rPr>
        <w:t>OMB Number: 3235-0145 Expires: August 31, 1999 Estimated average burden hourse per expense....14.90 ----------------------------</w:t>
      </w:r>
    </w:p>
    <w:p>
      <w:pPr>
        <w:spacing w:after="0" w:line="200" w:lineRule="exact"/>
        <w:rPr>
          <w:sz w:val="24"/>
          <w:szCs w:val="24"/>
          <w:color w:val="auto"/>
        </w:rPr>
      </w:pPr>
    </w:p>
    <w:p>
      <w:pPr>
        <w:sectPr>
          <w:pgSz w:w="11900" w:h="16838" w:orient="portrait"/>
          <w:cols w:equalWidth="0" w:num="2">
            <w:col w:w="6020" w:space="520"/>
            <w:col w:w="3679"/>
          </w:cols>
          <w:pgMar w:left="240" w:top="244" w:right="1440" w:bottom="1440" w:gutter="0" w:footer="0" w:header="0"/>
          <w:type w:val="continuous"/>
        </w:sectPr>
      </w:pPr>
    </w:p>
    <w:p>
      <w:pPr>
        <w:spacing w:after="0" w:line="18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Class A Special Common Stock, $1.00 par</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200 300 20 0</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Donald E. Meihaus</w:t>
      </w:r>
    </w:p>
    <w:p>
      <w:pPr>
        <w:ind w:left="2640"/>
        <w:spacing w:after="0" w:line="238" w:lineRule="auto"/>
        <w:rPr>
          <w:sz w:val="20"/>
          <w:szCs w:val="20"/>
          <w:color w:val="auto"/>
        </w:rPr>
      </w:pPr>
      <w:r>
        <w:rPr>
          <w:rFonts w:ascii="Courier New" w:cs="Courier New" w:eastAsia="Courier New" w:hAnsi="Courier New"/>
          <w:sz w:val="18"/>
          <w:szCs w:val="18"/>
          <w:color w:val="auto"/>
        </w:rPr>
        <w:t>312 Walnut Street, 28th Floor</w:t>
      </w:r>
    </w:p>
    <w:p>
      <w:pPr>
        <w:ind w:left="3060"/>
        <w:spacing w:after="0"/>
        <w:rPr>
          <w:sz w:val="20"/>
          <w:szCs w:val="20"/>
          <w:color w:val="auto"/>
        </w:rPr>
      </w:pPr>
      <w:r>
        <w:rPr>
          <w:rFonts w:ascii="Courier New" w:cs="Courier New" w:eastAsia="Courier New" w:hAnsi="Courier New"/>
          <w:sz w:val="18"/>
          <w:szCs w:val="18"/>
          <w:color w:val="auto"/>
        </w:rPr>
        <w:t>Cincinnati, Ohio 45202</w:t>
      </w:r>
    </w:p>
    <w:p>
      <w:pPr>
        <w:spacing w:after="0" w:line="3"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w:t>
      </w:r>
    </w:p>
    <w:p>
      <w:pPr>
        <w:ind w:left="1580"/>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10, 1998</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Sections 240.13d-1(e), 240.13d-1(f) of 240.13d-1(g), check the following box [ ].</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to whom copies are to be sent.</w:t>
      </w:r>
    </w:p>
    <w:p>
      <w:pPr>
        <w:spacing w:after="0" w:line="209" w:lineRule="exact"/>
        <w:rPr>
          <w:sz w:val="24"/>
          <w:szCs w:val="24"/>
          <w:color w:val="auto"/>
        </w:rPr>
      </w:pPr>
    </w:p>
    <w:p>
      <w:pPr>
        <w:ind w:right="177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ind w:left="3580"/>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0"/>
          <w:szCs w:val="20"/>
          <w:color w:val="auto"/>
        </w:rPr>
      </w:pPr>
    </w:p>
    <w:p>
      <w:pPr>
        <w:ind w:left="5480"/>
        <w:spacing w:after="0"/>
        <w:tabs>
          <w:tab w:leader="none" w:pos="6300" w:val="left"/>
          <w:tab w:leader="none" w:pos="6840" w:val="left"/>
          <w:tab w:leader="none" w:pos="7360" w:val="left"/>
          <w:tab w:leader="none" w:pos="78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Pages</w:t>
      </w:r>
    </w:p>
    <w:p>
      <w:pPr>
        <w:ind w:left="6020"/>
        <w:spacing w:after="0" w:line="238" w:lineRule="auto"/>
        <w:tabs>
          <w:tab w:leader="none" w:pos="71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200 300 20 0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Edward W. Scripps Trust</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(b)</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w:t>
      </w:r>
    </w:p>
    <w:p>
      <w:pPr>
        <w:ind w:left="320"/>
        <w:spacing w:after="0"/>
        <w:tabs>
          <w:tab w:leader="none" w:pos="7360" w:val="left"/>
        </w:tabs>
        <w:rPr>
          <w:sz w:val="20"/>
          <w:szCs w:val="20"/>
          <w:color w:val="auto"/>
        </w:rPr>
      </w:pPr>
      <w:r>
        <w:rPr>
          <w:rFonts w:ascii="Courier New" w:cs="Courier New" w:eastAsia="Courier New" w:hAnsi="Courier New"/>
          <w:sz w:val="18"/>
          <w:szCs w:val="18"/>
          <w:color w:val="auto"/>
        </w:rPr>
        <w:t>2(d)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300" w:val="left"/>
          <w:tab w:leader="none" w:pos="5260" w:val="left"/>
        </w:tabs>
        <w:rPr>
          <w:sz w:val="20"/>
          <w:szCs w:val="20"/>
          <w:color w:val="auto"/>
        </w:rPr>
      </w:pPr>
      <w:r>
        <w:rPr>
          <w:rFonts w:ascii="Courier New" w:cs="Courier New" w:eastAsia="Courier New" w:hAnsi="Courier New"/>
          <w:sz w:val="18"/>
          <w:szCs w:val="18"/>
          <w:color w:val="auto"/>
        </w:rPr>
        <w:t>6</w:t>
        <w:tab/>
        <w:t>Citizenship or Place of Organization</w:t>
      </w:r>
      <w:r>
        <w:rPr>
          <w:sz w:val="20"/>
          <w:szCs w:val="20"/>
          <w:color w:val="auto"/>
        </w:rPr>
        <w:tab/>
      </w:r>
      <w:r>
        <w:rPr>
          <w:rFonts w:ascii="Courier New" w:cs="Courier New" w:eastAsia="Courier New" w:hAnsi="Courier New"/>
          <w:sz w:val="16"/>
          <w:szCs w:val="16"/>
          <w:color w:val="auto"/>
        </w:rPr>
        <w:t>Ohio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4120" w:type="dxa"/>
            <w:vAlign w:val="bottom"/>
            <w:gridSpan w:val="2"/>
          </w:tcPr>
          <w:p>
            <w:pPr>
              <w:jc w:val="right"/>
              <w:ind w:right="2972"/>
              <w:spacing w:after="0"/>
              <w:rPr>
                <w:sz w:val="20"/>
                <w:szCs w:val="20"/>
                <w:color w:val="auto"/>
              </w:rPr>
            </w:pPr>
            <w:r>
              <w:rPr>
                <w:rFonts w:ascii="Courier New" w:cs="Courier New" w:eastAsia="Courier New" w:hAnsi="Courier New"/>
                <w:sz w:val="18"/>
                <w:szCs w:val="18"/>
                <w:color w:val="auto"/>
                <w:w w:val="96"/>
              </w:rPr>
              <w:t>20,349,521</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60" w:type="dxa"/>
            <w:vAlign w:val="bottom"/>
          </w:tcPr>
          <w:p>
            <w:pPr>
              <w:spacing w:after="0"/>
              <w:rPr>
                <w:sz w:val="24"/>
                <w:szCs w:val="24"/>
                <w:color w:val="auto"/>
              </w:rPr>
            </w:pPr>
          </w:p>
        </w:tc>
        <w:tc>
          <w:tcPr>
            <w:tcW w:w="274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0"/>
              </w:rPr>
              <w:t>--------------------------------------------------------------</w:t>
            </w:r>
          </w:p>
        </w:tc>
        <w:tc>
          <w:tcPr>
            <w:tcW w:w="3900" w:type="dxa"/>
            <w:vAlign w:val="bottom"/>
          </w:tcPr>
          <w:p>
            <w:pPr>
              <w:spacing w:after="0"/>
              <w:rPr>
                <w:sz w:val="24"/>
                <w:szCs w:val="24"/>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3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by</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20" w:type="dxa"/>
            <w:vAlign w:val="bottom"/>
          </w:tcPr>
          <w:p>
            <w:pPr>
              <w:spacing w:after="0"/>
              <w:rPr>
                <w:sz w:val="17"/>
                <w:szCs w:val="17"/>
                <w:color w:val="auto"/>
              </w:rPr>
            </w:pPr>
          </w:p>
        </w:tc>
        <w:tc>
          <w:tcPr>
            <w:tcW w:w="3900" w:type="dxa"/>
            <w:vAlign w:val="bottom"/>
          </w:tcPr>
          <w:p>
            <w:pPr>
              <w:jc w:val="right"/>
              <w:ind w:right="36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60" w:type="dxa"/>
            <w:vAlign w:val="bottom"/>
          </w:tcPr>
          <w:p>
            <w:pPr>
              <w:spacing w:after="0"/>
              <w:rPr>
                <w:sz w:val="17"/>
                <w:szCs w:val="17"/>
                <w:color w:val="auto"/>
              </w:rPr>
            </w:pPr>
          </w:p>
        </w:tc>
        <w:tc>
          <w:tcPr>
            <w:tcW w:w="274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0"/>
              </w:rPr>
              <w:t>--------------------------------------------------------------</w:t>
            </w:r>
          </w:p>
        </w:tc>
        <w:tc>
          <w:tcPr>
            <w:tcW w:w="39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0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w:t>
            </w:r>
          </w:p>
        </w:tc>
        <w:tc>
          <w:tcPr>
            <w:tcW w:w="66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 20,349,521</w:t>
            </w:r>
          </w:p>
        </w:tc>
      </w:tr>
      <w:tr>
        <w:trPr>
          <w:trHeight w:val="405"/>
        </w:trPr>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4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1440" w:type="dxa"/>
            <w:vAlign w:val="bottom"/>
          </w:tcPr>
          <w:p>
            <w:pPr>
              <w:spacing w:after="0"/>
              <w:rPr>
                <w:sz w:val="24"/>
                <w:szCs w:val="24"/>
                <w:color w:val="auto"/>
              </w:rPr>
            </w:pP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2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3900" w:type="dxa"/>
            <w:vAlign w:val="bottom"/>
          </w:tcPr>
          <w:p>
            <w:pPr>
              <w:jc w:val="right"/>
              <w:ind w:right="3492"/>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20,349,521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241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if the Aggregate Amount in Row (11) Excludes Certain Shares (See Instructions)</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 w:leader="none" w:pos="6000" w:val="left"/>
        </w:tabs>
        <w:rPr>
          <w:sz w:val="20"/>
          <w:szCs w:val="20"/>
          <w:color w:val="auto"/>
        </w:rPr>
      </w:pPr>
      <w:r>
        <w:rPr>
          <w:rFonts w:ascii="Courier New" w:cs="Courier New" w:eastAsia="Courier New" w:hAnsi="Courier New"/>
          <w:sz w:val="18"/>
          <w:szCs w:val="18"/>
          <w:color w:val="auto"/>
        </w:rPr>
        <w:t>13</w:t>
        <w:tab/>
        <w:t>Percent of Class Represented by Amount in Row (11)</w:t>
      </w:r>
      <w:r>
        <w:rPr>
          <w:sz w:val="20"/>
          <w:szCs w:val="20"/>
          <w:color w:val="auto"/>
        </w:rPr>
        <w:tab/>
      </w:r>
      <w:r>
        <w:rPr>
          <w:rFonts w:ascii="Courier New" w:cs="Courier New" w:eastAsia="Courier New" w:hAnsi="Courier New"/>
          <w:sz w:val="16"/>
          <w:szCs w:val="16"/>
          <w:color w:val="auto"/>
        </w:rPr>
        <w:t>6.2%</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525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 (OO)</w:t>
      </w:r>
    </w:p>
    <w:p>
      <w:pPr>
        <w:spacing w:after="0" w:line="1"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7" w:lineRule="exact"/>
        <w:rPr>
          <w:sz w:val="20"/>
          <w:szCs w:val="20"/>
          <w:color w:val="auto"/>
        </w:rPr>
      </w:pPr>
    </w:p>
    <w:p>
      <w:pPr>
        <w:ind w:left="540" w:right="1779" w:hanging="532"/>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and I.R.S. Identification Numbers of Reporting Persons -- Furnish the full legal name of each person for whom the report is filed - i.e., each person required to sign the schedule itself - including each member of a group. Do not include the name of a person required to be identified in the report but who is not a reporting person. Reporting persons that are entities are also requested to furnish their I.R.S. identification numbers, although disclosure of such numbers is voluntary, not mandatory (see "SPECIAL INSTRUCTIONS FOR COMPLYING WITH SCHEDULE 13D" below).</w:t>
      </w:r>
    </w:p>
    <w:p>
      <w:pPr>
        <w:spacing w:after="0" w:line="21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of the shares beneficially owned by a reporting person are held as a</w:t>
      </w:r>
    </w:p>
    <w:p>
      <w:pPr>
        <w:sectPr>
          <w:pgSz w:w="11900" w:h="16838" w:orient="portrait"/>
          <w:cols w:equalWidth="0" w:num="1">
            <w:col w:w="10219"/>
          </w:cols>
          <w:pgMar w:left="240" w:top="312" w:right="1440" w:bottom="0" w:gutter="0" w:footer="0" w:header="0"/>
        </w:sectPr>
      </w:pPr>
    </w:p>
    <w:bookmarkStart w:id="2" w:name="page3"/>
    <w:bookmarkEnd w:id="2"/>
    <w:p>
      <w:pPr>
        <w:ind w:left="540" w:right="1779"/>
        <w:spacing w:after="0" w:line="237" w:lineRule="auto"/>
        <w:rPr>
          <w:sz w:val="20"/>
          <w:szCs w:val="20"/>
          <w:color w:val="auto"/>
        </w:rPr>
      </w:pPr>
      <w:r>
        <w:rPr>
          <w:rFonts w:ascii="Courier New" w:cs="Courier New" w:eastAsia="Courier New" w:hAnsi="Courier New"/>
          <w:sz w:val="18"/>
          <w:szCs w:val="18"/>
          <w:color w:val="auto"/>
        </w:rPr>
        <w:t>member of a group and the membership is expressly affirmed, please check row 2(a). If the reporting person disclaims membership in a group or describes a relationship with other persons but does not affirm the existence of a group, please check row 2(b) [unless it is a joint filing pursuant to Rule 13d-1(k)(i) in which case it may not be necessary to check row 2(b)]</w:t>
      </w: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(3)</w:t>
        <w:tab/>
        <w:t>The 3rd row is for SEC internal use; please leave blank.</w:t>
      </w:r>
    </w:p>
    <w:p>
      <w:pPr>
        <w:sectPr>
          <w:pgSz w:w="11900" w:h="16838" w:orient="portrait"/>
          <w:cols w:equalWidth="0" w:num="1">
            <w:col w:w="10219"/>
          </w:cols>
          <w:pgMar w:left="240" w:top="14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This Amendment No. 2 to Schedule 13D relates to Class A Special Common stock, $1.00 par value, of Comcast Corporation, a Pennsylvania corporation, ("Comcast Special Common Stock"), the principal executive offices of which are located at 1500 Market Street, Philadelphia, Pennsylvania 19102-2148.</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On December 10, 1998, the Trust sold 5,000,000 shares of Comcast Special Common Stock in a block trade transaction executed by Goldman, Sachs &amp; Co. for $52.63 per share.</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Following the aforesaid sale, the Trust beneficially owned 20,349,521 shares of Comcast Special Common Stock, representing approximately 6.2% of the outstanding shares of such stock based on a total of 328,571,932 shares of such stock reported to be outstanding by Comcast in its report on Form 10-Q for the quarter ended September 30, 1998.</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EDWARD W. SCRIPPS TRUST</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Donald E. Meihaus</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Donald E. Meihaus</w:t>
      </w:r>
    </w:p>
    <w:p>
      <w:pPr>
        <w:ind w:left="4020"/>
        <w:spacing w:after="0" w:line="237" w:lineRule="auto"/>
        <w:rPr>
          <w:sz w:val="20"/>
          <w:szCs w:val="20"/>
          <w:color w:val="auto"/>
        </w:rPr>
      </w:pPr>
      <w:r>
        <w:rPr>
          <w:rFonts w:ascii="Courier New" w:cs="Courier New" w:eastAsia="Courier New" w:hAnsi="Courier New"/>
          <w:sz w:val="18"/>
          <w:szCs w:val="18"/>
          <w:color w:val="auto"/>
        </w:rPr>
        <w:t>Secretary-Treasurer</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4"/>
      <w:numFmt w:val="bullet"/>
      <w:start w:val="1"/>
    </w:lvl>
  </w:abstractNum>
  <w:abstractNum w:abstractNumId="8">
    <w:nsid w:val="216231B"/>
    <w:multiLevelType w:val="hybridMultilevel"/>
    <w:lvl w:ilvl="0">
      <w:lvlJc w:val="left"/>
      <w:lvlText w:val="5"/>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2019-12-12T23:05:01Z</dcterms:created>
  <dcterms:modified xsi:type="dcterms:W3CDTF">2019-12-12T23:05:01Z</dcterms:modified>
</cp:coreProperties>
</file>