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460" w:type="dxa"/>
            <w:vAlign w:val="bottom"/>
          </w:tcPr>
          <w:p>
            <w:pPr>
              <w:spacing w:after="0"/>
              <w:rPr>
                <w:sz w:val="20"/>
                <w:szCs w:val="20"/>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January 25, 2024</w:t>
            </w:r>
          </w:p>
        </w:tc>
      </w:tr>
      <w:tr>
        <w:trPr>
          <w:trHeight w:val="450"/>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460" w:type="dxa"/>
            <w:vAlign w:val="bottom"/>
          </w:tcPr>
          <w:p>
            <w:pPr>
              <w:spacing w:after="0"/>
              <w:rPr>
                <w:sz w:val="12"/>
                <w:szCs w:val="12"/>
                <w:color w:val="auto"/>
              </w:rPr>
            </w:pPr>
          </w:p>
        </w:tc>
        <w:tc>
          <w:tcPr>
            <w:tcW w:w="7200" w:type="dxa"/>
            <w:vAlign w:val="bottom"/>
          </w:tcPr>
          <w:p>
            <w:pPr>
              <w:jc w:val="center"/>
              <w:ind w:right="220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383"/>
        </w:trPr>
        <w:tc>
          <w:tcPr>
            <w:tcW w:w="2460" w:type="dxa"/>
            <w:vAlign w:val="bottom"/>
          </w:tcPr>
          <w:p>
            <w:pPr>
              <w:spacing w:after="0"/>
              <w:rPr>
                <w:sz w:val="24"/>
                <w:szCs w:val="24"/>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20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392"/>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(Commission File Number)</w:t>
            </w:r>
          </w:p>
        </w:tc>
        <w:tc>
          <w:tcPr>
            <w:tcW w:w="7200" w:type="dxa"/>
            <w:vAlign w:val="bottom"/>
          </w:tcPr>
          <w:p>
            <w:pPr>
              <w:jc w:val="center"/>
              <w:ind w:left="512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93"/>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200" w:type="dxa"/>
            <w:vAlign w:val="bottom"/>
          </w:tcPr>
          <w:p>
            <w:pPr>
              <w:spacing w:after="0"/>
              <w:rPr>
                <w:sz w:val="24"/>
                <w:szCs w:val="24"/>
                <w:color w:val="auto"/>
              </w:rPr>
            </w:pPr>
          </w:p>
        </w:tc>
      </w:tr>
      <w:tr>
        <w:trPr>
          <w:trHeight w:val="229"/>
        </w:trPr>
        <w:tc>
          <w:tcPr>
            <w:tcW w:w="2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46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200" w:type="dxa"/>
            <w:vAlign w:val="bottom"/>
          </w:tcPr>
          <w:p>
            <w:pPr>
              <w:jc w:val="center"/>
              <w:ind w:left="510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460" w:type="dxa"/>
            <w:vAlign w:val="bottom"/>
          </w:tcPr>
          <w:p>
            <w:pPr>
              <w:spacing w:after="0"/>
              <w:rPr>
                <w:sz w:val="24"/>
                <w:szCs w:val="24"/>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460" w:type="dxa"/>
            <w:vAlign w:val="bottom"/>
          </w:tcPr>
          <w:p>
            <w:pPr>
              <w:spacing w:after="0"/>
              <w:rPr>
                <w:sz w:val="16"/>
                <w:szCs w:val="16"/>
                <w:color w:val="auto"/>
              </w:rPr>
            </w:pPr>
          </w:p>
        </w:tc>
        <w:tc>
          <w:tcPr>
            <w:tcW w:w="7200" w:type="dxa"/>
            <w:vAlign w:val="bottom"/>
          </w:tcPr>
          <w:p>
            <w:pPr>
              <w:jc w:val="center"/>
              <w:ind w:right="218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25, 2024, Comcast Corporation (“Comcast”) issued a press release reporting the results of its operations for the three and twelve months ended December 31, 2023.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20" w:type="dxa"/>
            <w:vAlign w:val="bottom"/>
            <w:tcBorders>
              <w:right w:val="single" w:sz="8" w:color="auto"/>
            </w:tcBorders>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Comcast Corporation press release dated January 25, 2024.</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Explanation of Non-GAAP and Other Financial Measures.</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January 25, 2024</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6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6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8"/>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465455</wp:posOffset>
            </wp:positionH>
            <wp:positionV relativeFrom="page">
              <wp:posOffset>260350</wp:posOffset>
            </wp:positionV>
            <wp:extent cx="137160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254635</wp:posOffset>
            </wp:positionV>
            <wp:extent cx="7098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4th QUARTER 2023 RESULTS</w:t>
      </w:r>
    </w:p>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PHILADELPHIA - January 25, 2024… Comcast Corporation (NASDAQ: CMCSA) today reported results for the quarter ended December 31, 2023.</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 capped off 2023 and the fourth quarter with excellent operational and financial performance,</w:t>
      </w:r>
      <w:r>
        <w:rPr>
          <w:rFonts w:ascii="Arial" w:cs="Arial" w:eastAsia="Arial" w:hAnsi="Arial"/>
          <w:sz w:val="18"/>
          <w:szCs w:val="18"/>
          <w:color w:val="auto"/>
        </w:rPr>
        <w:t>" said Brian L. Roberts, Chairman and Chief Executive Officer of Comcast Corporation. "</w:t>
      </w:r>
      <w:r>
        <w:rPr>
          <w:rFonts w:ascii="Arial" w:cs="Arial" w:eastAsia="Arial" w:hAnsi="Arial"/>
          <w:sz w:val="18"/>
          <w:szCs w:val="18"/>
          <w:i w:val="1"/>
          <w:iCs w:val="1"/>
          <w:color w:val="auto"/>
        </w:rPr>
        <w:t>For the third consecutive year, we generated the highest Revenue, Adjusted EBITDA and</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Adjusted EPS in our company's history. At the same time, we invested in future growth, returned $16 billion to shareholders and maintained a healthy balance sheet. We drove strong revenue and Adjusted EBITDA growth in our Connectivity &amp; Platforms businesses and continued to expand and upgrade our network to fuel broadband. We also reported the highest Adjusted EBITDA on record at Theme Parks; were the #1 studio in worldwide box office for the first time since 2015; and maintained Peacock's position as the fastest growing streamer in the U.S. 2024 is already off to a great start – I couldn't be more proud of how our company came together to deliver a record-breaking NFL Wild Card game on Peacock and the nation's biggest night on the Internet ever. Our unique and complementary capabilities will enable us to capitalize on the many opportunities ahead, and the Board's confidence in our future is reflected in today's announcement that we are increasing our dividend for the 16th consecutive year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68580" cy="1663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663065"/>
                    </a:xfrm>
                    <a:prstGeom prst="rect">
                      <a:avLst/>
                    </a:prstGeom>
                    <a:noFill/>
                  </pic:spPr>
                </pic:pic>
              </a:graphicData>
            </a:graphic>
          </wp:anchor>
        </w:drawing>
      </w:r>
    </w:p>
    <w:p>
      <w:pPr>
        <w:spacing w:after="0" w:line="6" w:lineRule="exact"/>
        <w:rPr>
          <w:sz w:val="20"/>
          <w:szCs w:val="20"/>
          <w:color w:val="auto"/>
        </w:rPr>
      </w:pPr>
    </w:p>
    <w:tbl>
      <w:tblPr>
        <w:tblLayout w:type="fixed"/>
        <w:tblInd w:w="130" w:type="dxa"/>
        <w:tblCellMar>
          <w:top w:w="0" w:type="dxa"/>
          <w:left w:w="0" w:type="dxa"/>
          <w:bottom w:w="0" w:type="dxa"/>
          <w:right w:w="0" w:type="dxa"/>
        </w:tblCellMar>
      </w:tblPr>
      <w:tr>
        <w:trPr>
          <w:trHeight w:val="196"/>
        </w:trPr>
        <w:tc>
          <w:tcPr>
            <w:tcW w:w="4560" w:type="dxa"/>
            <w:vAlign w:val="bottom"/>
            <w:tcBorders>
              <w:left w:val="single" w:sz="8" w:color="D9D9D6"/>
              <w:bottom w:val="single" w:sz="8" w:color="D9D9D6"/>
              <w:right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0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42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5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right w:val="single" w:sz="8" w:color="D9D9D6"/>
            </w:tcBorders>
            <w:shd w:val="clear" w:color="auto" w:fill="D9D9D6"/>
          </w:tcPr>
          <w:p>
            <w:pPr>
              <w:spacing w:after="0"/>
              <w:rPr>
                <w:sz w:val="17"/>
                <w:szCs w:val="17"/>
                <w:color w:val="auto"/>
              </w:rPr>
            </w:pPr>
          </w:p>
        </w:tc>
        <w:tc>
          <w:tcPr>
            <w:tcW w:w="280" w:type="dxa"/>
            <w:vAlign w:val="bottom"/>
            <w:tcBorders>
              <w:bottom w:val="single" w:sz="8" w:color="D9D9D6"/>
              <w:right w:val="single" w:sz="8" w:color="D9D9D6"/>
            </w:tcBorders>
            <w:shd w:val="clear" w:color="auto" w:fill="D9D9D6"/>
          </w:tcPr>
          <w:p>
            <w:pPr>
              <w:spacing w:after="0"/>
              <w:rPr>
                <w:sz w:val="17"/>
                <w:szCs w:val="17"/>
                <w:color w:val="auto"/>
              </w:rPr>
            </w:pPr>
          </w:p>
        </w:tc>
        <w:tc>
          <w:tcPr>
            <w:tcW w:w="840" w:type="dxa"/>
            <w:vAlign w:val="bottom"/>
            <w:tcBorders>
              <w:bottom w:val="single" w:sz="8" w:color="D9D9D6"/>
            </w:tcBorders>
            <w:shd w:val="clear" w:color="auto" w:fill="D9D9D6"/>
          </w:tcPr>
          <w:p>
            <w:pPr>
              <w:spacing w:after="0"/>
              <w:rPr>
                <w:sz w:val="17"/>
                <w:szCs w:val="17"/>
                <w:color w:val="auto"/>
              </w:rPr>
            </w:pPr>
          </w:p>
        </w:tc>
        <w:tc>
          <w:tcPr>
            <w:tcW w:w="340" w:type="dxa"/>
            <w:vAlign w:val="bottom"/>
            <w:tcBorders>
              <w:bottom w:val="single" w:sz="8" w:color="D9D9D6"/>
              <w:right w:val="single" w:sz="8" w:color="D9D9D6"/>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36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260" w:type="dxa"/>
            <w:vAlign w:val="bottom"/>
            <w:tcBorders>
              <w:bottom w:val="single" w:sz="8" w:color="D9D9D6"/>
            </w:tcBorders>
            <w:shd w:val="clear" w:color="auto" w:fill="D9D9D6"/>
          </w:tcPr>
          <w:p>
            <w:pPr>
              <w:spacing w:after="0"/>
              <w:rPr>
                <w:sz w:val="17"/>
                <w:szCs w:val="17"/>
                <w:color w:val="auto"/>
              </w:rPr>
            </w:pPr>
          </w:p>
        </w:tc>
        <w:tc>
          <w:tcPr>
            <w:tcW w:w="300" w:type="dxa"/>
            <w:vAlign w:val="bottom"/>
            <w:tcBorders>
              <w:bottom w:val="single" w:sz="8" w:color="D9D9D6"/>
            </w:tcBorders>
            <w:shd w:val="clear" w:color="auto" w:fill="D9D9D6"/>
          </w:tcPr>
          <w:p>
            <w:pPr>
              <w:spacing w:after="0"/>
              <w:rPr>
                <w:sz w:val="17"/>
                <w:szCs w:val="17"/>
                <w:color w:val="auto"/>
              </w:rPr>
            </w:pPr>
          </w:p>
        </w:tc>
        <w:tc>
          <w:tcPr>
            <w:tcW w:w="500" w:type="dxa"/>
            <w:vAlign w:val="bottom"/>
            <w:tcBorders>
              <w:bottom w:val="single" w:sz="8" w:color="D9D9D6"/>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r>
      <w:tr>
        <w:trPr>
          <w:trHeight w:val="162"/>
        </w:trPr>
        <w:tc>
          <w:tcPr>
            <w:tcW w:w="4560" w:type="dxa"/>
            <w:vAlign w:val="bottom"/>
            <w:tcBorders>
              <w:right w:val="single" w:sz="8" w:color="D9D9D6"/>
            </w:tcBorders>
          </w:tcPr>
          <w:p>
            <w:pPr>
              <w:spacing w:after="0"/>
              <w:rPr>
                <w:sz w:val="14"/>
                <w:szCs w:val="14"/>
                <w:color w:val="auto"/>
              </w:rPr>
            </w:pPr>
          </w:p>
        </w:tc>
        <w:tc>
          <w:tcPr>
            <w:tcW w:w="600" w:type="dxa"/>
            <w:vAlign w:val="bottom"/>
            <w:shd w:val="clear" w:color="auto" w:fill="D9D9D6"/>
          </w:tcPr>
          <w:p>
            <w:pPr>
              <w:spacing w:after="0"/>
              <w:rPr>
                <w:sz w:val="14"/>
                <w:szCs w:val="14"/>
                <w:color w:val="auto"/>
              </w:rPr>
            </w:pPr>
          </w:p>
        </w:tc>
        <w:tc>
          <w:tcPr>
            <w:tcW w:w="340" w:type="dxa"/>
            <w:vAlign w:val="bottom"/>
            <w:tcBorders>
              <w:right w:val="single" w:sz="8" w:color="D9D9D6"/>
            </w:tcBorders>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760" w:type="dxa"/>
            <w:vAlign w:val="bottom"/>
            <w:tcBorders>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w w:val="98"/>
              </w:rPr>
              <w:t>4th Quarter</w:t>
            </w:r>
          </w:p>
        </w:tc>
        <w:tc>
          <w:tcPr>
            <w:tcW w:w="5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0" w:type="dxa"/>
            <w:vAlign w:val="bottom"/>
            <w:tcBorders>
              <w:right w:val="single" w:sz="8" w:color="D9D9D6"/>
            </w:tcBorders>
            <w:shd w:val="clear" w:color="auto" w:fill="D9D9D6"/>
          </w:tcPr>
          <w:p>
            <w:pPr>
              <w:spacing w:after="0"/>
              <w:rPr>
                <w:sz w:val="14"/>
                <w:szCs w:val="14"/>
                <w:color w:val="auto"/>
              </w:rPr>
            </w:pPr>
          </w:p>
        </w:tc>
        <w:tc>
          <w:tcPr>
            <w:tcW w:w="280" w:type="dxa"/>
            <w:vAlign w:val="bottom"/>
            <w:tcBorders>
              <w:right w:val="single" w:sz="8" w:color="828282"/>
            </w:tcBorders>
            <w:shd w:val="clear" w:color="auto" w:fill="D9D9D6"/>
          </w:tcPr>
          <w:p>
            <w:pPr>
              <w:spacing w:after="0"/>
              <w:rPr>
                <w:sz w:val="14"/>
                <w:szCs w:val="14"/>
                <w:color w:val="auto"/>
              </w:rPr>
            </w:pPr>
          </w:p>
        </w:tc>
        <w:tc>
          <w:tcPr>
            <w:tcW w:w="840" w:type="dxa"/>
            <w:vAlign w:val="bottom"/>
            <w:shd w:val="clear" w:color="auto" w:fill="D9D9D6"/>
          </w:tcPr>
          <w:p>
            <w:pPr>
              <w:spacing w:after="0"/>
              <w:rPr>
                <w:sz w:val="14"/>
                <w:szCs w:val="14"/>
                <w:color w:val="auto"/>
              </w:rPr>
            </w:pPr>
          </w:p>
        </w:tc>
        <w:tc>
          <w:tcPr>
            <w:tcW w:w="340" w:type="dxa"/>
            <w:vAlign w:val="bottom"/>
            <w:tcBorders>
              <w:right w:val="single" w:sz="8" w:color="D9D9D6"/>
            </w:tcBorders>
            <w:shd w:val="clear" w:color="auto" w:fill="D9D9D6"/>
          </w:tcPr>
          <w:p>
            <w:pPr>
              <w:spacing w:after="0"/>
              <w:rPr>
                <w:sz w:val="14"/>
                <w:szCs w:val="14"/>
                <w:color w:val="auto"/>
              </w:rPr>
            </w:pPr>
          </w:p>
        </w:tc>
        <w:tc>
          <w:tcPr>
            <w:tcW w:w="1180" w:type="dxa"/>
            <w:vAlign w:val="bottom"/>
            <w:gridSpan w:val="5"/>
            <w:shd w:val="clear" w:color="auto" w:fill="D9D9D6"/>
          </w:tcPr>
          <w:p>
            <w:pPr>
              <w:jc w:val="right"/>
              <w:ind w:right="380"/>
              <w:spacing w:after="0"/>
              <w:rPr>
                <w:sz w:val="20"/>
                <w:szCs w:val="20"/>
                <w:color w:val="auto"/>
              </w:rPr>
            </w:pPr>
            <w:r>
              <w:rPr>
                <w:rFonts w:ascii="Arial" w:cs="Arial" w:eastAsia="Arial" w:hAnsi="Arial"/>
                <w:sz w:val="14"/>
                <w:szCs w:val="14"/>
                <w:color w:val="auto"/>
              </w:rPr>
              <w:t>Full Year</w:t>
            </w:r>
          </w:p>
        </w:tc>
        <w:tc>
          <w:tcPr>
            <w:tcW w:w="300" w:type="dxa"/>
            <w:vAlign w:val="bottom"/>
            <w:shd w:val="clear" w:color="auto" w:fill="D9D9D6"/>
          </w:tcPr>
          <w:p>
            <w:pPr>
              <w:spacing w:after="0"/>
              <w:rPr>
                <w:sz w:val="14"/>
                <w:szCs w:val="14"/>
                <w:color w:val="auto"/>
              </w:rPr>
            </w:pPr>
          </w:p>
        </w:tc>
        <w:tc>
          <w:tcPr>
            <w:tcW w:w="500" w:type="dxa"/>
            <w:vAlign w:val="bottom"/>
            <w:shd w:val="clear" w:color="auto" w:fill="D9D9D6"/>
          </w:tcPr>
          <w:p>
            <w:pPr>
              <w:spacing w:after="0"/>
              <w:rPr>
                <w:sz w:val="14"/>
                <w:szCs w:val="14"/>
                <w:color w:val="auto"/>
              </w:rPr>
            </w:pPr>
          </w:p>
        </w:tc>
        <w:tc>
          <w:tcPr>
            <w:tcW w:w="140" w:type="dxa"/>
            <w:vAlign w:val="bottom"/>
            <w:shd w:val="clear" w:color="auto" w:fill="D9D9D6"/>
          </w:tcPr>
          <w:p>
            <w:pPr>
              <w:spacing w:after="0"/>
              <w:rPr>
                <w:sz w:val="14"/>
                <w:szCs w:val="14"/>
                <w:color w:val="auto"/>
              </w:rPr>
            </w:pPr>
          </w:p>
        </w:tc>
      </w:tr>
      <w:tr>
        <w:trPr>
          <w:trHeight w:val="20"/>
        </w:trPr>
        <w:tc>
          <w:tcPr>
            <w:tcW w:w="4560" w:type="dxa"/>
            <w:vAlign w:val="bottom"/>
            <w:tcBorders>
              <w:right w:val="single" w:sz="8" w:color="D9D9D6"/>
            </w:tcBorders>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0" w:type="dxa"/>
            <w:vAlign w:val="bottom"/>
            <w:tcBorders>
              <w:right w:val="single" w:sz="8" w:color="D9D9D6"/>
            </w:tcBorders>
            <w:shd w:val="clear" w:color="auto" w:fill="D9D9D6"/>
          </w:tcPr>
          <w:p>
            <w:pPr>
              <w:spacing w:after="0" w:line="20" w:lineRule="exact"/>
              <w:rPr>
                <w:sz w:val="1"/>
                <w:szCs w:val="1"/>
                <w:color w:val="auto"/>
              </w:rPr>
            </w:pPr>
          </w:p>
        </w:tc>
        <w:tc>
          <w:tcPr>
            <w:tcW w:w="280" w:type="dxa"/>
            <w:vAlign w:val="bottom"/>
            <w:tcBorders>
              <w:right w:val="single" w:sz="8" w:color="828282"/>
            </w:tcBorders>
            <w:shd w:val="clear" w:color="auto" w:fill="D9D9D6"/>
          </w:tcPr>
          <w:p>
            <w:pPr>
              <w:spacing w:after="0" w:line="20" w:lineRule="exact"/>
              <w:rPr>
                <w:sz w:val="1"/>
                <w:szCs w:val="1"/>
                <w:color w:val="auto"/>
              </w:rPr>
            </w:pPr>
          </w:p>
        </w:tc>
        <w:tc>
          <w:tcPr>
            <w:tcW w:w="8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D9D9D6"/>
          </w:tcPr>
          <w:p>
            <w:pPr>
              <w:spacing w:after="0" w:line="20" w:lineRule="exact"/>
              <w:rPr>
                <w:sz w:val="1"/>
                <w:szCs w:val="1"/>
                <w:color w:val="auto"/>
              </w:rPr>
            </w:pPr>
          </w:p>
        </w:tc>
        <w:tc>
          <w:tcPr>
            <w:tcW w:w="24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260" w:type="dxa"/>
            <w:vAlign w:val="bottom"/>
            <w:shd w:val="clear" w:color="auto" w:fill="D9D9D6"/>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50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r>
      <w:tr>
        <w:trPr>
          <w:trHeight w:val="183"/>
        </w:trPr>
        <w:tc>
          <w:tcPr>
            <w:tcW w:w="4560" w:type="dxa"/>
            <w:vAlign w:val="bottom"/>
            <w:tcBorders>
              <w:right w:val="single" w:sz="8" w:color="D9D9D6"/>
            </w:tcBorders>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94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D9D9D6"/>
          </w:tcPr>
          <w:p>
            <w:pPr>
              <w:spacing w:after="0"/>
              <w:rPr>
                <w:sz w:val="15"/>
                <w:szCs w:val="15"/>
                <w:color w:val="auto"/>
              </w:rPr>
            </w:pPr>
          </w:p>
        </w:tc>
        <w:tc>
          <w:tcPr>
            <w:tcW w:w="76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110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Change</w:t>
            </w:r>
          </w:p>
        </w:tc>
        <w:tc>
          <w:tcPr>
            <w:tcW w:w="280" w:type="dxa"/>
            <w:vAlign w:val="bottom"/>
            <w:tcBorders>
              <w:right w:val="single" w:sz="8" w:color="828282"/>
            </w:tcBorders>
            <w:shd w:val="clear" w:color="auto" w:fill="D9D9D6"/>
          </w:tcPr>
          <w:p>
            <w:pPr>
              <w:spacing w:after="0"/>
              <w:rPr>
                <w:sz w:val="15"/>
                <w:szCs w:val="15"/>
                <w:color w:val="auto"/>
              </w:rPr>
            </w:pPr>
          </w:p>
        </w:tc>
        <w:tc>
          <w:tcPr>
            <w:tcW w:w="118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180" w:type="dxa"/>
            <w:vAlign w:val="bottom"/>
            <w:gridSpan w:val="5"/>
            <w:shd w:val="clear" w:color="auto" w:fill="D9D9D6"/>
          </w:tcPr>
          <w:p>
            <w:pPr>
              <w:jc w:val="right"/>
              <w:ind w:right="260"/>
              <w:spacing w:after="0"/>
              <w:rPr>
                <w:sz w:val="20"/>
                <w:szCs w:val="20"/>
                <w:color w:val="auto"/>
              </w:rPr>
            </w:pPr>
            <w:r>
              <w:rPr>
                <w:rFonts w:ascii="Arial" w:cs="Arial" w:eastAsia="Arial" w:hAnsi="Arial"/>
                <w:sz w:val="14"/>
                <w:szCs w:val="14"/>
                <w:color w:val="auto"/>
              </w:rPr>
              <w:t>2022</w:t>
            </w:r>
          </w:p>
        </w:tc>
        <w:tc>
          <w:tcPr>
            <w:tcW w:w="940" w:type="dxa"/>
            <w:vAlign w:val="bottom"/>
            <w:gridSpan w:val="3"/>
            <w:shd w:val="clear" w:color="auto" w:fill="D9D9D6"/>
          </w:tcPr>
          <w:p>
            <w:pPr>
              <w:ind w:left="300"/>
              <w:spacing w:after="0"/>
              <w:rPr>
                <w:sz w:val="20"/>
                <w:szCs w:val="20"/>
                <w:color w:val="auto"/>
              </w:rPr>
            </w:pPr>
            <w:r>
              <w:rPr>
                <w:rFonts w:ascii="Arial" w:cs="Arial" w:eastAsia="Arial" w:hAnsi="Arial"/>
                <w:sz w:val="14"/>
                <w:szCs w:val="14"/>
                <w:color w:val="auto"/>
              </w:rPr>
              <w:t>Change</w:t>
            </w:r>
          </w:p>
        </w:tc>
      </w:tr>
      <w:tr>
        <w:trPr>
          <w:trHeight w:val="20"/>
        </w:trPr>
        <w:tc>
          <w:tcPr>
            <w:tcW w:w="4560" w:type="dxa"/>
            <w:vAlign w:val="bottom"/>
            <w:tcBorders>
              <w:right w:val="single" w:sz="8" w:color="D9D9D6"/>
            </w:tcBorders>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20" w:type="dxa"/>
            <w:vAlign w:val="bottom"/>
            <w:shd w:val="clear" w:color="auto" w:fill="D9D9D6"/>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D9D9D6"/>
            </w:tcBorders>
            <w:shd w:val="clear" w:color="auto" w:fill="000000"/>
          </w:tcPr>
          <w:p>
            <w:pPr>
              <w:spacing w:after="0" w:line="20" w:lineRule="exact"/>
              <w:rPr>
                <w:sz w:val="1"/>
                <w:szCs w:val="1"/>
                <w:color w:val="auto"/>
              </w:rPr>
            </w:pPr>
          </w:p>
        </w:tc>
        <w:tc>
          <w:tcPr>
            <w:tcW w:w="280" w:type="dxa"/>
            <w:vAlign w:val="bottom"/>
            <w:tcBorders>
              <w:right w:val="single" w:sz="8" w:color="828282"/>
            </w:tcBorders>
            <w:shd w:val="clear" w:color="auto" w:fill="D9D9D6"/>
          </w:tcPr>
          <w:p>
            <w:pPr>
              <w:spacing w:after="0" w:line="20" w:lineRule="exact"/>
              <w:rPr>
                <w:sz w:val="1"/>
                <w:szCs w:val="1"/>
                <w:color w:val="auto"/>
              </w:rPr>
            </w:pPr>
          </w:p>
        </w:tc>
        <w:tc>
          <w:tcPr>
            <w:tcW w:w="8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24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D9D9D6"/>
          </w:tcPr>
          <w:p>
            <w:pPr>
              <w:spacing w:after="0" w:line="20" w:lineRule="exact"/>
              <w:rPr>
                <w:sz w:val="1"/>
                <w:szCs w:val="1"/>
                <w:color w:val="auto"/>
              </w:rPr>
            </w:pPr>
          </w:p>
        </w:tc>
        <w:tc>
          <w:tcPr>
            <w:tcW w:w="300" w:type="dxa"/>
            <w:vAlign w:val="bottom"/>
            <w:shd w:val="clear" w:color="auto" w:fill="D9D9D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r>
      <w:tr>
        <w:trPr>
          <w:trHeight w:val="311"/>
        </w:trPr>
        <w:tc>
          <w:tcPr>
            <w:tcW w:w="4560" w:type="dxa"/>
            <w:vAlign w:val="bottom"/>
            <w:tcBorders>
              <w:bottom w:val="single" w:sz="8" w:color="DBDBDB"/>
              <w:right w:val="single" w:sz="8" w:color="D9D9D6"/>
            </w:tcBorders>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tcBorders>
              <w:bottom w:val="single" w:sz="8" w:color="D9D9D6"/>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$31,253</w:t>
            </w:r>
          </w:p>
        </w:tc>
        <w:tc>
          <w:tcPr>
            <w:tcW w:w="940" w:type="dxa"/>
            <w:vAlign w:val="bottom"/>
            <w:tcBorders>
              <w:bottom w:val="single" w:sz="8" w:color="D9D9D6"/>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$30,552</w:t>
            </w:r>
          </w:p>
        </w:tc>
        <w:tc>
          <w:tcPr>
            <w:tcW w:w="1100" w:type="dxa"/>
            <w:vAlign w:val="bottom"/>
            <w:tcBorders>
              <w:bottom w:val="single" w:sz="8" w:color="D9D9D6"/>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2.3 %</w:t>
            </w:r>
          </w:p>
        </w:tc>
        <w:tc>
          <w:tcPr>
            <w:tcW w:w="280" w:type="dxa"/>
            <w:vAlign w:val="bottom"/>
            <w:tcBorders>
              <w:bottom w:val="single" w:sz="8" w:color="D9D9D6"/>
              <w:right w:val="single" w:sz="8" w:color="828282"/>
            </w:tcBorders>
            <w:shd w:val="clear" w:color="auto" w:fill="D9D9D6"/>
          </w:tcPr>
          <w:p>
            <w:pPr>
              <w:spacing w:after="0"/>
              <w:rPr>
                <w:sz w:val="24"/>
                <w:szCs w:val="24"/>
                <w:color w:val="auto"/>
              </w:rPr>
            </w:pPr>
          </w:p>
        </w:tc>
        <w:tc>
          <w:tcPr>
            <w:tcW w:w="1180" w:type="dxa"/>
            <w:vAlign w:val="bottom"/>
            <w:tcBorders>
              <w:bottom w:val="single" w:sz="8" w:color="D9D9D6"/>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$121,572</w:t>
            </w:r>
          </w:p>
        </w:tc>
        <w:tc>
          <w:tcPr>
            <w:tcW w:w="920" w:type="dxa"/>
            <w:vAlign w:val="bottom"/>
            <w:tcBorders>
              <w:bottom w:val="single" w:sz="8" w:color="D9D9D6"/>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$121,427</w:t>
            </w:r>
          </w:p>
        </w:tc>
        <w:tc>
          <w:tcPr>
            <w:tcW w:w="260" w:type="dxa"/>
            <w:vAlign w:val="bottom"/>
            <w:tcBorders>
              <w:bottom w:val="single" w:sz="8" w:color="D9D9D6"/>
            </w:tcBorders>
            <w:shd w:val="clear" w:color="auto" w:fill="D9D9D6"/>
          </w:tcPr>
          <w:p>
            <w:pPr>
              <w:spacing w:after="0"/>
              <w:rPr>
                <w:sz w:val="24"/>
                <w:szCs w:val="24"/>
                <w:color w:val="auto"/>
              </w:rPr>
            </w:pPr>
          </w:p>
        </w:tc>
        <w:tc>
          <w:tcPr>
            <w:tcW w:w="80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0.1 %</w:t>
            </w:r>
          </w:p>
        </w:tc>
        <w:tc>
          <w:tcPr>
            <w:tcW w:w="140" w:type="dxa"/>
            <w:vAlign w:val="bottom"/>
            <w:tcBorders>
              <w:bottom w:val="single" w:sz="8" w:color="D9D9D6"/>
            </w:tcBorders>
            <w:shd w:val="clear" w:color="auto" w:fill="D9D9D6"/>
          </w:tcPr>
          <w:p>
            <w:pPr>
              <w:spacing w:after="0"/>
              <w:rPr>
                <w:sz w:val="24"/>
                <w:szCs w:val="24"/>
                <w:color w:val="auto"/>
              </w:rPr>
            </w:pPr>
          </w:p>
        </w:tc>
      </w:tr>
      <w:tr>
        <w:trPr>
          <w:trHeight w:val="196"/>
        </w:trPr>
        <w:tc>
          <w:tcPr>
            <w:tcW w:w="4560" w:type="dxa"/>
            <w:vAlign w:val="bottom"/>
            <w:tcBorders>
              <w:left w:val="single" w:sz="8" w:color="DBDBDB"/>
              <w:bottom w:val="single" w:sz="8" w:color="DBDBDB"/>
              <w:right w:val="single" w:sz="8" w:color="DBDBDB"/>
            </w:tcBorders>
          </w:tcPr>
          <w:p>
            <w:pPr>
              <w:ind w:left="20"/>
              <w:spacing w:after="0"/>
              <w:rPr>
                <w:sz w:val="20"/>
                <w:szCs w:val="20"/>
                <w:color w:val="auto"/>
              </w:rPr>
            </w:pPr>
            <w:r>
              <w:rPr>
                <w:rFonts w:ascii="Arial" w:cs="Arial" w:eastAsia="Arial" w:hAnsi="Arial"/>
                <w:sz w:val="14"/>
                <w:szCs w:val="14"/>
                <w:color w:val="auto"/>
              </w:rPr>
              <w:t>Net Income Attributable to Comcast</w:t>
            </w:r>
          </w:p>
        </w:tc>
        <w:tc>
          <w:tcPr>
            <w:tcW w:w="940" w:type="dxa"/>
            <w:vAlign w:val="bottom"/>
            <w:tcBorders>
              <w:bottom w:val="single" w:sz="8" w:color="D9D9D6"/>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$3,260</w:t>
            </w:r>
          </w:p>
        </w:tc>
        <w:tc>
          <w:tcPr>
            <w:tcW w:w="940" w:type="dxa"/>
            <w:vAlign w:val="bottom"/>
            <w:tcBorders>
              <w:bottom w:val="single" w:sz="8" w:color="D9D9D6"/>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$3,024</w:t>
            </w:r>
          </w:p>
        </w:tc>
        <w:tc>
          <w:tcPr>
            <w:tcW w:w="1100" w:type="dxa"/>
            <w:vAlign w:val="bottom"/>
            <w:tcBorders>
              <w:bottom w:val="single" w:sz="8" w:color="D9D9D6"/>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7.8 %</w:t>
            </w:r>
          </w:p>
        </w:tc>
        <w:tc>
          <w:tcPr>
            <w:tcW w:w="280" w:type="dxa"/>
            <w:vAlign w:val="bottom"/>
            <w:tcBorders>
              <w:bottom w:val="single" w:sz="8" w:color="D9D9D6"/>
              <w:right w:val="single" w:sz="8" w:color="828282"/>
            </w:tcBorders>
            <w:shd w:val="clear" w:color="auto" w:fill="D9D9D6"/>
          </w:tcPr>
          <w:p>
            <w:pPr>
              <w:spacing w:after="0"/>
              <w:rPr>
                <w:sz w:val="17"/>
                <w:szCs w:val="17"/>
                <w:color w:val="auto"/>
              </w:rPr>
            </w:pPr>
          </w:p>
        </w:tc>
        <w:tc>
          <w:tcPr>
            <w:tcW w:w="1180" w:type="dxa"/>
            <w:vAlign w:val="bottom"/>
            <w:tcBorders>
              <w:bottom w:val="single" w:sz="8" w:color="D9D9D6"/>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$15,388</w:t>
            </w:r>
          </w:p>
        </w:tc>
        <w:tc>
          <w:tcPr>
            <w:tcW w:w="920" w:type="dxa"/>
            <w:vAlign w:val="bottom"/>
            <w:tcBorders>
              <w:bottom w:val="single" w:sz="8" w:color="D9D9D6"/>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$5,370</w:t>
            </w:r>
          </w:p>
        </w:tc>
        <w:tc>
          <w:tcPr>
            <w:tcW w:w="260" w:type="dxa"/>
            <w:vAlign w:val="bottom"/>
            <w:tcBorders>
              <w:bottom w:val="single" w:sz="8" w:color="D9D9D6"/>
            </w:tcBorders>
            <w:shd w:val="clear" w:color="auto" w:fill="D9D9D6"/>
          </w:tcPr>
          <w:p>
            <w:pPr>
              <w:spacing w:after="0"/>
              <w:rPr>
                <w:sz w:val="17"/>
                <w:szCs w:val="17"/>
                <w:color w:val="auto"/>
              </w:rPr>
            </w:pPr>
          </w:p>
        </w:tc>
        <w:tc>
          <w:tcPr>
            <w:tcW w:w="80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186.5 %</w:t>
            </w:r>
          </w:p>
        </w:tc>
        <w:tc>
          <w:tcPr>
            <w:tcW w:w="140" w:type="dxa"/>
            <w:vAlign w:val="bottom"/>
            <w:tcBorders>
              <w:bottom w:val="single" w:sz="8" w:color="D9D9D6"/>
            </w:tcBorders>
            <w:shd w:val="clear" w:color="auto" w:fill="D9D9D6"/>
          </w:tcPr>
          <w:p>
            <w:pPr>
              <w:spacing w:after="0"/>
              <w:rPr>
                <w:sz w:val="17"/>
                <w:szCs w:val="17"/>
                <w:color w:val="auto"/>
              </w:rPr>
            </w:pPr>
          </w:p>
        </w:tc>
      </w:tr>
      <w:tr>
        <w:trPr>
          <w:trHeight w:val="203"/>
        </w:trPr>
        <w:tc>
          <w:tcPr>
            <w:tcW w:w="4560" w:type="dxa"/>
            <w:vAlign w:val="bottom"/>
            <w:tcBorders>
              <w:right w:val="single" w:sz="8" w:color="DBDBDB"/>
            </w:tcBorders>
          </w:tcPr>
          <w:p>
            <w:pPr>
              <w:ind w:left="20"/>
              <w:spacing w:after="0" w:line="202"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4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$3,410</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$3,520</w:t>
            </w:r>
          </w:p>
        </w:tc>
        <w:tc>
          <w:tcPr>
            <w:tcW w:w="110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(3.1 %)</w:t>
            </w:r>
          </w:p>
        </w:tc>
        <w:tc>
          <w:tcPr>
            <w:tcW w:w="280" w:type="dxa"/>
            <w:vAlign w:val="bottom"/>
            <w:tcBorders>
              <w:right w:val="single" w:sz="8" w:color="828282"/>
            </w:tcBorders>
            <w:shd w:val="clear" w:color="auto" w:fill="D9D9D6"/>
          </w:tcPr>
          <w:p>
            <w:pPr>
              <w:spacing w:after="0"/>
              <w:rPr>
                <w:sz w:val="17"/>
                <w:szCs w:val="17"/>
                <w:color w:val="auto"/>
              </w:rPr>
            </w:pPr>
          </w:p>
        </w:tc>
        <w:tc>
          <w:tcPr>
            <w:tcW w:w="118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$16,493</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$16,147</w:t>
            </w:r>
          </w:p>
        </w:tc>
        <w:tc>
          <w:tcPr>
            <w:tcW w:w="260" w:type="dxa"/>
            <w:vAlign w:val="bottom"/>
            <w:shd w:val="clear" w:color="auto" w:fill="D9D9D6"/>
          </w:tcPr>
          <w:p>
            <w:pPr>
              <w:spacing w:after="0"/>
              <w:rPr>
                <w:sz w:val="17"/>
                <w:szCs w:val="17"/>
                <w:color w:val="auto"/>
              </w:rPr>
            </w:pP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2.1 %</w:t>
            </w:r>
          </w:p>
        </w:tc>
        <w:tc>
          <w:tcPr>
            <w:tcW w:w="140" w:type="dxa"/>
            <w:vAlign w:val="bottom"/>
            <w:shd w:val="clear" w:color="auto" w:fill="D9D9D6"/>
          </w:tcPr>
          <w:p>
            <w:pPr>
              <w:spacing w:after="0"/>
              <w:rPr>
                <w:sz w:val="17"/>
                <w:szCs w:val="17"/>
                <w:color w:val="auto"/>
              </w:rPr>
            </w:pPr>
          </w:p>
        </w:tc>
      </w:tr>
      <w:tr>
        <w:trPr>
          <w:trHeight w:val="203"/>
        </w:trPr>
        <w:tc>
          <w:tcPr>
            <w:tcW w:w="4560" w:type="dxa"/>
            <w:vAlign w:val="bottom"/>
            <w:tcBorders>
              <w:right w:val="single" w:sz="8" w:color="D9D9D6"/>
            </w:tcBorders>
          </w:tcPr>
          <w:p>
            <w:pPr>
              <w:ind w:left="20"/>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4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$8,012</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$8,000</w:t>
            </w:r>
          </w:p>
        </w:tc>
        <w:tc>
          <w:tcPr>
            <w:tcW w:w="1100" w:type="dxa"/>
            <w:vAlign w:val="bottom"/>
            <w:tcBorders>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0.1 %</w:t>
            </w:r>
          </w:p>
        </w:tc>
        <w:tc>
          <w:tcPr>
            <w:tcW w:w="280" w:type="dxa"/>
            <w:vAlign w:val="bottom"/>
            <w:tcBorders>
              <w:right w:val="single" w:sz="8" w:color="828282"/>
            </w:tcBorders>
            <w:shd w:val="clear" w:color="auto" w:fill="D9D9D6"/>
          </w:tcPr>
          <w:p>
            <w:pPr>
              <w:spacing w:after="0"/>
              <w:rPr>
                <w:sz w:val="17"/>
                <w:szCs w:val="17"/>
                <w:color w:val="auto"/>
              </w:rPr>
            </w:pPr>
          </w:p>
        </w:tc>
        <w:tc>
          <w:tcPr>
            <w:tcW w:w="118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$37,633</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$36,459</w:t>
            </w:r>
          </w:p>
        </w:tc>
        <w:tc>
          <w:tcPr>
            <w:tcW w:w="260" w:type="dxa"/>
            <w:vAlign w:val="bottom"/>
            <w:shd w:val="clear" w:color="auto" w:fill="D9D9D6"/>
          </w:tcPr>
          <w:p>
            <w:pPr>
              <w:spacing w:after="0"/>
              <w:rPr>
                <w:sz w:val="17"/>
                <w:szCs w:val="17"/>
                <w:color w:val="auto"/>
              </w:rPr>
            </w:pP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3.2 %</w:t>
            </w:r>
          </w:p>
        </w:tc>
        <w:tc>
          <w:tcPr>
            <w:tcW w:w="140" w:type="dxa"/>
            <w:vAlign w:val="bottom"/>
            <w:shd w:val="clear" w:color="auto" w:fill="D9D9D6"/>
          </w:tcPr>
          <w:p>
            <w:pPr>
              <w:spacing w:after="0"/>
              <w:rPr>
                <w:sz w:val="17"/>
                <w:szCs w:val="17"/>
                <w:color w:val="auto"/>
              </w:rPr>
            </w:pPr>
          </w:p>
        </w:tc>
      </w:tr>
      <w:tr>
        <w:trPr>
          <w:trHeight w:val="203"/>
        </w:trPr>
        <w:tc>
          <w:tcPr>
            <w:tcW w:w="4560" w:type="dxa"/>
            <w:vAlign w:val="bottom"/>
            <w:tcBorders>
              <w:right w:val="single" w:sz="8" w:color="D9D9D6"/>
            </w:tcBorders>
          </w:tcPr>
          <w:p>
            <w:pPr>
              <w:ind w:left="20"/>
              <w:spacing w:after="0" w:line="202"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3</w:t>
            </w:r>
          </w:p>
        </w:tc>
        <w:tc>
          <w:tcPr>
            <w:tcW w:w="94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$0.81</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$0.70</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15.7</w:t>
            </w:r>
          </w:p>
        </w:tc>
        <w:tc>
          <w:tcPr>
            <w:tcW w:w="200" w:type="dxa"/>
            <w:vAlign w:val="bottom"/>
            <w:tcBorders>
              <w:right w:val="single" w:sz="8" w:color="D9D9D6"/>
            </w:tcBorders>
            <w:shd w:val="clear" w:color="auto" w:fill="D9D9D6"/>
          </w:tcPr>
          <w:p>
            <w:pPr>
              <w:jc w:val="right"/>
              <w:ind w:right="8"/>
              <w:spacing w:after="0"/>
              <w:rPr>
                <w:sz w:val="20"/>
                <w:szCs w:val="20"/>
                <w:color w:val="auto"/>
              </w:rPr>
            </w:pPr>
            <w:r>
              <w:rPr>
                <w:rFonts w:ascii="Arial" w:cs="Arial" w:eastAsia="Arial" w:hAnsi="Arial"/>
                <w:sz w:val="14"/>
                <w:szCs w:val="14"/>
                <w:color w:val="auto"/>
                <w:w w:val="79"/>
              </w:rPr>
              <w:t>%</w:t>
            </w:r>
          </w:p>
        </w:tc>
        <w:tc>
          <w:tcPr>
            <w:tcW w:w="280" w:type="dxa"/>
            <w:vAlign w:val="bottom"/>
            <w:tcBorders>
              <w:right w:val="single" w:sz="8" w:color="828282"/>
            </w:tcBorders>
            <w:shd w:val="clear" w:color="auto" w:fill="D9D9D6"/>
          </w:tcPr>
          <w:p>
            <w:pPr>
              <w:spacing w:after="0"/>
              <w:rPr>
                <w:sz w:val="17"/>
                <w:szCs w:val="17"/>
                <w:color w:val="auto"/>
              </w:rPr>
            </w:pPr>
          </w:p>
        </w:tc>
        <w:tc>
          <w:tcPr>
            <w:tcW w:w="118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$3.71</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$1.21</w:t>
            </w:r>
          </w:p>
        </w:tc>
        <w:tc>
          <w:tcPr>
            <w:tcW w:w="26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640" w:type="dxa"/>
            <w:vAlign w:val="bottom"/>
            <w:gridSpan w:val="2"/>
            <w:shd w:val="clear" w:color="auto" w:fill="D9D9D6"/>
          </w:tcPr>
          <w:p>
            <w:pPr>
              <w:ind w:left="160"/>
              <w:spacing w:after="0"/>
              <w:rPr>
                <w:sz w:val="20"/>
                <w:szCs w:val="20"/>
                <w:color w:val="auto"/>
              </w:rPr>
            </w:pPr>
            <w:r>
              <w:rPr>
                <w:rFonts w:ascii="Arial" w:cs="Arial" w:eastAsia="Arial" w:hAnsi="Arial"/>
                <w:sz w:val="14"/>
                <w:szCs w:val="14"/>
                <w:color w:val="auto"/>
              </w:rPr>
              <w:t>NM</w:t>
            </w:r>
          </w:p>
        </w:tc>
      </w:tr>
      <w:tr>
        <w:trPr>
          <w:trHeight w:val="203"/>
        </w:trPr>
        <w:tc>
          <w:tcPr>
            <w:tcW w:w="4560" w:type="dxa"/>
            <w:vAlign w:val="bottom"/>
            <w:tcBorders>
              <w:right w:val="single" w:sz="8" w:color="D9D9D6"/>
            </w:tcBorders>
          </w:tcPr>
          <w:p>
            <w:pPr>
              <w:ind w:left="20"/>
              <w:spacing w:after="0" w:line="202" w:lineRule="exact"/>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4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$0.84</w:t>
            </w:r>
          </w:p>
        </w:tc>
        <w:tc>
          <w:tcPr>
            <w:tcW w:w="94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$0.82</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2.4</w:t>
            </w:r>
          </w:p>
        </w:tc>
        <w:tc>
          <w:tcPr>
            <w:tcW w:w="200" w:type="dxa"/>
            <w:vAlign w:val="bottom"/>
            <w:tcBorders>
              <w:right w:val="single" w:sz="8" w:color="D9D9D6"/>
            </w:tcBorders>
            <w:shd w:val="clear" w:color="auto" w:fill="D9D9D6"/>
          </w:tcPr>
          <w:p>
            <w:pPr>
              <w:jc w:val="right"/>
              <w:ind w:right="8"/>
              <w:spacing w:after="0"/>
              <w:rPr>
                <w:sz w:val="20"/>
                <w:szCs w:val="20"/>
                <w:color w:val="auto"/>
              </w:rPr>
            </w:pPr>
            <w:r>
              <w:rPr>
                <w:rFonts w:ascii="Arial" w:cs="Arial" w:eastAsia="Arial" w:hAnsi="Arial"/>
                <w:sz w:val="14"/>
                <w:szCs w:val="14"/>
                <w:color w:val="auto"/>
                <w:w w:val="79"/>
              </w:rPr>
              <w:t>%</w:t>
            </w:r>
          </w:p>
        </w:tc>
        <w:tc>
          <w:tcPr>
            <w:tcW w:w="280" w:type="dxa"/>
            <w:vAlign w:val="bottom"/>
            <w:tcBorders>
              <w:right w:val="single" w:sz="8" w:color="828282"/>
            </w:tcBorders>
            <w:shd w:val="clear" w:color="auto" w:fill="D9D9D6"/>
          </w:tcPr>
          <w:p>
            <w:pPr>
              <w:spacing w:after="0"/>
              <w:rPr>
                <w:sz w:val="17"/>
                <w:szCs w:val="17"/>
                <w:color w:val="auto"/>
              </w:rPr>
            </w:pPr>
          </w:p>
        </w:tc>
        <w:tc>
          <w:tcPr>
            <w:tcW w:w="118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$3.98</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$3.64</w:t>
            </w:r>
          </w:p>
        </w:tc>
        <w:tc>
          <w:tcPr>
            <w:tcW w:w="260" w:type="dxa"/>
            <w:vAlign w:val="bottom"/>
            <w:shd w:val="clear" w:color="auto" w:fill="D9D9D6"/>
          </w:tcPr>
          <w:p>
            <w:pPr>
              <w:spacing w:after="0"/>
              <w:rPr>
                <w:sz w:val="17"/>
                <w:szCs w:val="17"/>
                <w:color w:val="auto"/>
              </w:rPr>
            </w:pP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9.3 %</w:t>
            </w:r>
          </w:p>
        </w:tc>
        <w:tc>
          <w:tcPr>
            <w:tcW w:w="140" w:type="dxa"/>
            <w:vAlign w:val="bottom"/>
            <w:shd w:val="clear" w:color="auto" w:fill="D9D9D6"/>
          </w:tcPr>
          <w:p>
            <w:pPr>
              <w:spacing w:after="0"/>
              <w:rPr>
                <w:sz w:val="17"/>
                <w:szCs w:val="17"/>
                <w:color w:val="auto"/>
              </w:rPr>
            </w:pPr>
          </w:p>
        </w:tc>
      </w:tr>
      <w:tr>
        <w:trPr>
          <w:trHeight w:val="203"/>
        </w:trPr>
        <w:tc>
          <w:tcPr>
            <w:tcW w:w="4560" w:type="dxa"/>
            <w:vAlign w:val="bottom"/>
            <w:tcBorders>
              <w:right w:val="single" w:sz="8" w:color="DBDBDB"/>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tcBorders>
              <w:right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$5,922</w:t>
            </w:r>
          </w:p>
        </w:tc>
        <w:tc>
          <w:tcPr>
            <w:tcW w:w="940" w:type="dxa"/>
            <w:vAlign w:val="bottom"/>
            <w:tcBorders>
              <w:right w:val="single" w:sz="8" w:color="DBDBDB"/>
            </w:tcBorders>
            <w:gridSpan w:val="3"/>
            <w:shd w:val="clear" w:color="auto" w:fill="DBDBDB"/>
          </w:tcPr>
          <w:p>
            <w:pPr>
              <w:jc w:val="right"/>
              <w:ind w:right="80"/>
              <w:spacing w:after="0"/>
              <w:rPr>
                <w:sz w:val="20"/>
                <w:szCs w:val="20"/>
                <w:color w:val="auto"/>
              </w:rPr>
            </w:pPr>
            <w:r>
              <w:rPr>
                <w:rFonts w:ascii="Arial" w:cs="Arial" w:eastAsia="Arial" w:hAnsi="Arial"/>
                <w:sz w:val="14"/>
                <w:szCs w:val="14"/>
                <w:color w:val="auto"/>
              </w:rPr>
              <w:t>$5,883</w:t>
            </w:r>
          </w:p>
        </w:tc>
        <w:tc>
          <w:tcPr>
            <w:tcW w:w="1100" w:type="dxa"/>
            <w:vAlign w:val="bottom"/>
            <w:tcBorders>
              <w:right w:val="single" w:sz="8" w:color="DBDBDB"/>
            </w:tcBorders>
            <w:gridSpan w:val="3"/>
            <w:shd w:val="clear" w:color="auto" w:fill="DBDBDB"/>
          </w:tcPr>
          <w:p>
            <w:pPr>
              <w:jc w:val="right"/>
              <w:ind w:right="8"/>
              <w:spacing w:after="0"/>
              <w:rPr>
                <w:sz w:val="20"/>
                <w:szCs w:val="20"/>
                <w:color w:val="auto"/>
              </w:rPr>
            </w:pPr>
            <w:r>
              <w:rPr>
                <w:rFonts w:ascii="Arial" w:cs="Arial" w:eastAsia="Arial" w:hAnsi="Arial"/>
                <w:sz w:val="14"/>
                <w:szCs w:val="14"/>
                <w:color w:val="auto"/>
              </w:rPr>
              <w:t>0.7 %</w:t>
            </w:r>
          </w:p>
        </w:tc>
        <w:tc>
          <w:tcPr>
            <w:tcW w:w="280" w:type="dxa"/>
            <w:vAlign w:val="bottom"/>
            <w:tcBorders>
              <w:right w:val="single" w:sz="8" w:color="828282"/>
            </w:tcBorders>
            <w:shd w:val="clear" w:color="auto" w:fill="D9D9D6"/>
          </w:tcPr>
          <w:p>
            <w:pPr>
              <w:spacing w:after="0"/>
              <w:rPr>
                <w:sz w:val="17"/>
                <w:szCs w:val="17"/>
                <w:color w:val="auto"/>
              </w:rPr>
            </w:pPr>
          </w:p>
        </w:tc>
        <w:tc>
          <w:tcPr>
            <w:tcW w:w="118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$28,501</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$26,413</w:t>
            </w:r>
          </w:p>
        </w:tc>
        <w:tc>
          <w:tcPr>
            <w:tcW w:w="260" w:type="dxa"/>
            <w:vAlign w:val="bottom"/>
            <w:shd w:val="clear" w:color="auto" w:fill="D9D9D6"/>
          </w:tcPr>
          <w:p>
            <w:pPr>
              <w:spacing w:after="0"/>
              <w:rPr>
                <w:sz w:val="17"/>
                <w:szCs w:val="17"/>
                <w:color w:val="auto"/>
              </w:rPr>
            </w:pP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7.9 %</w:t>
            </w:r>
          </w:p>
        </w:tc>
        <w:tc>
          <w:tcPr>
            <w:tcW w:w="140" w:type="dxa"/>
            <w:vAlign w:val="bottom"/>
            <w:shd w:val="clear" w:color="auto" w:fill="D9D9D6"/>
          </w:tcPr>
          <w:p>
            <w:pPr>
              <w:spacing w:after="0"/>
              <w:rPr>
                <w:sz w:val="17"/>
                <w:szCs w:val="17"/>
                <w:color w:val="auto"/>
              </w:rPr>
            </w:pPr>
          </w:p>
        </w:tc>
      </w:tr>
      <w:tr>
        <w:trPr>
          <w:trHeight w:val="237"/>
        </w:trPr>
        <w:tc>
          <w:tcPr>
            <w:tcW w:w="4560" w:type="dxa"/>
            <w:vAlign w:val="bottom"/>
            <w:tcBorders>
              <w:right w:val="single" w:sz="8" w:color="DBDBDB"/>
            </w:tcBorders>
          </w:tcPr>
          <w:p>
            <w:pPr>
              <w:ind w:left="20"/>
              <w:spacing w:after="0" w:line="202"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4</w:t>
            </w:r>
          </w:p>
        </w:tc>
        <w:tc>
          <w:tcPr>
            <w:tcW w:w="940" w:type="dxa"/>
            <w:vAlign w:val="bottom"/>
            <w:tcBorders>
              <w:right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4"/>
                <w:szCs w:val="14"/>
                <w:color w:val="auto"/>
              </w:rPr>
              <w:t>$1,708</w:t>
            </w:r>
          </w:p>
        </w:tc>
        <w:tc>
          <w:tcPr>
            <w:tcW w:w="940" w:type="dxa"/>
            <w:vAlign w:val="bottom"/>
            <w:tcBorders>
              <w:bottom w:val="single" w:sz="8" w:color="D9D9D6"/>
              <w:right w:val="single" w:sz="8" w:color="DBDBDB"/>
            </w:tcBorders>
            <w:gridSpan w:val="3"/>
            <w:shd w:val="clear" w:color="auto" w:fill="DBDBDB"/>
          </w:tcPr>
          <w:p>
            <w:pPr>
              <w:jc w:val="right"/>
              <w:ind w:right="80"/>
              <w:spacing w:after="0"/>
              <w:rPr>
                <w:sz w:val="20"/>
                <w:szCs w:val="20"/>
                <w:color w:val="auto"/>
              </w:rPr>
            </w:pPr>
            <w:r>
              <w:rPr>
                <w:rFonts w:ascii="Arial" w:cs="Arial" w:eastAsia="Arial" w:hAnsi="Arial"/>
                <w:sz w:val="14"/>
                <w:szCs w:val="14"/>
                <w:color w:val="auto"/>
              </w:rPr>
              <w:t>$1,330</w:t>
            </w:r>
          </w:p>
        </w:tc>
        <w:tc>
          <w:tcPr>
            <w:tcW w:w="1100" w:type="dxa"/>
            <w:vAlign w:val="bottom"/>
            <w:tcBorders>
              <w:bottom w:val="single" w:sz="8" w:color="D9D9D6"/>
              <w:right w:val="single" w:sz="8" w:color="DBDBDB"/>
            </w:tcBorders>
            <w:gridSpan w:val="3"/>
            <w:shd w:val="clear" w:color="auto" w:fill="DBDBDB"/>
          </w:tcPr>
          <w:p>
            <w:pPr>
              <w:jc w:val="right"/>
              <w:ind w:right="8"/>
              <w:spacing w:after="0"/>
              <w:rPr>
                <w:sz w:val="20"/>
                <w:szCs w:val="20"/>
                <w:color w:val="auto"/>
              </w:rPr>
            </w:pPr>
            <w:r>
              <w:rPr>
                <w:rFonts w:ascii="Arial" w:cs="Arial" w:eastAsia="Arial" w:hAnsi="Arial"/>
                <w:sz w:val="14"/>
                <w:szCs w:val="14"/>
                <w:color w:val="auto"/>
              </w:rPr>
              <w:t>28.5 %</w:t>
            </w:r>
          </w:p>
        </w:tc>
        <w:tc>
          <w:tcPr>
            <w:tcW w:w="280" w:type="dxa"/>
            <w:vAlign w:val="bottom"/>
            <w:tcBorders>
              <w:right w:val="single" w:sz="8" w:color="828282"/>
            </w:tcBorders>
          </w:tcPr>
          <w:p>
            <w:pPr>
              <w:spacing w:after="0"/>
              <w:rPr>
                <w:sz w:val="20"/>
                <w:szCs w:val="20"/>
                <w:color w:val="auto"/>
              </w:rPr>
            </w:pPr>
          </w:p>
        </w:tc>
        <w:tc>
          <w:tcPr>
            <w:tcW w:w="118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$12,962</w:t>
            </w:r>
          </w:p>
        </w:tc>
        <w:tc>
          <w:tcPr>
            <w:tcW w:w="920" w:type="dxa"/>
            <w:vAlign w:val="bottom"/>
            <w:tcBorders>
              <w:bottom w:val="single" w:sz="8" w:color="D9D9D6"/>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$12,646</w:t>
            </w:r>
          </w:p>
        </w:tc>
        <w:tc>
          <w:tcPr>
            <w:tcW w:w="260" w:type="dxa"/>
            <w:vAlign w:val="bottom"/>
            <w:tcBorders>
              <w:bottom w:val="single" w:sz="8" w:color="D9D9D6"/>
            </w:tcBorders>
            <w:shd w:val="clear" w:color="auto" w:fill="D9D9D6"/>
          </w:tcPr>
          <w:p>
            <w:pPr>
              <w:spacing w:after="0"/>
              <w:rPr>
                <w:sz w:val="20"/>
                <w:szCs w:val="20"/>
                <w:color w:val="auto"/>
              </w:rPr>
            </w:pPr>
          </w:p>
        </w:tc>
        <w:tc>
          <w:tcPr>
            <w:tcW w:w="800" w:type="dxa"/>
            <w:vAlign w:val="bottom"/>
            <w:tcBorders>
              <w:bottom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2.5 %</w:t>
            </w:r>
          </w:p>
        </w:tc>
        <w:tc>
          <w:tcPr>
            <w:tcW w:w="140" w:type="dxa"/>
            <w:vAlign w:val="bottom"/>
            <w:tcBorders>
              <w:bottom w:val="single" w:sz="8" w:color="D9D9D6"/>
            </w:tcBorders>
            <w:shd w:val="clear" w:color="auto" w:fill="D9D9D6"/>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-1499870</wp:posOffset>
            </wp:positionV>
            <wp:extent cx="7063740" cy="1628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3740" cy="162877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NM=comparison not meaningful.</w:t>
      </w:r>
    </w:p>
    <w:p>
      <w:pPr>
        <w:spacing w:after="0" w:line="109"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 on Comcast’s Investor Relations website at www.cmcsa.com.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4th Quarter and Full Year 2023 Highlights:</w:t>
      </w:r>
    </w:p>
    <w:p>
      <w:pPr>
        <w:spacing w:after="0" w:line="40" w:lineRule="exact"/>
        <w:rPr>
          <w:sz w:val="20"/>
          <w:szCs w:val="20"/>
          <w:color w:val="auto"/>
        </w:rPr>
      </w:pPr>
    </w:p>
    <w:p>
      <w:pPr>
        <w:jc w:val="both"/>
        <w:ind w:left="340" w:hanging="332"/>
        <w:spacing w:after="0" w:line="25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Adjusted EBITDA in the Fourth Quarter Was Consistent With the Prior Year Period, Including Severance and Other, and Increased 3.2% for the Full Year; Adjusted EPS in the Fourth Quarter Increased 2.4% to $0.84 and Increased 9.3% to $3.98 for the Full Year; Generated Free Cash Flow of $1.7 Billion in the Fourth Quarter and $13.0 Billion for the Full Year</w:t>
      </w:r>
    </w:p>
    <w:p>
      <w:pPr>
        <w:spacing w:after="0" w:line="1" w:lineRule="exact"/>
        <w:rPr>
          <w:rFonts w:ascii="Arial" w:cs="Arial" w:eastAsia="Arial" w:hAnsi="Arial"/>
          <w:sz w:val="18"/>
          <w:szCs w:val="18"/>
          <w:color w:val="auto"/>
        </w:rPr>
      </w:pPr>
    </w:p>
    <w:p>
      <w:pPr>
        <w:ind w:left="340" w:hanging="332"/>
        <w:spacing w:after="0" w:line="255"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Returned $4.7 Billion to Shareholders in the Fourth Quarter Through a Combination of $1.2 Billion in Dividend Payments and $3.5 Billion in Share Repurchases. Total Return of Capital to Shareholders for the Full Year was $15.8 Billion</w:t>
      </w:r>
    </w:p>
    <w:p>
      <w:pPr>
        <w:spacing w:after="0" w:line="1" w:lineRule="exact"/>
        <w:rPr>
          <w:rFonts w:ascii="Arial" w:cs="Arial" w:eastAsia="Arial" w:hAnsi="Arial"/>
          <w:sz w:val="18"/>
          <w:szCs w:val="18"/>
          <w:color w:val="auto"/>
        </w:rPr>
      </w:pPr>
    </w:p>
    <w:p>
      <w:pPr>
        <w:ind w:left="340" w:hanging="332"/>
        <w:spacing w:after="0" w:line="26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Dividend by $0.08, or 6.9% Year-over-Year, to $1.24 per Share on an Annualized Basis for 2024, the 16th Consecutive Annual Increase; Increased Share Repurchase Authorization to $15 Billion</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the Successful Execution of Our Domestic Network Expansion and Upgrade Strategy; Increased Homes and Businesses Passed in 2023 by 1.1 Million to 62.5 Million; Expanded Deployment of Mid-Split Technology to 35% of Our Footprint at Year-End; and Began Rolling-Out Multi-Gigabit Symmetrical Speeds Starting in Select Markets in the Fourth Quarter</w:t>
      </w:r>
    </w:p>
    <w:p>
      <w:pPr>
        <w:spacing w:after="0" w:line="1" w:lineRule="exact"/>
        <w:rPr>
          <w:rFonts w:ascii="Arial" w:cs="Arial" w:eastAsia="Arial" w:hAnsi="Arial"/>
          <w:sz w:val="18"/>
          <w:szCs w:val="18"/>
          <w:color w:val="auto"/>
        </w:rPr>
      </w:pPr>
    </w:p>
    <w:p>
      <w:pPr>
        <w:ind w:left="340" w:hanging="332"/>
        <w:spacing w:after="0" w:line="26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Domestic Broadband Average Rate Per Customer Increased 3.9% and Drove Domestic Broadband Revenue Growth of 3.7% in the Fourth Quarter and 4.2% for the Full Year</w:t>
      </w:r>
    </w:p>
    <w:p>
      <w:pPr>
        <w:spacing w:after="0" w:line="1" w:lineRule="exact"/>
        <w:rPr>
          <w:rFonts w:ascii="Arial" w:cs="Arial" w:eastAsia="Arial" w:hAnsi="Arial"/>
          <w:sz w:val="18"/>
          <w:szCs w:val="18"/>
          <w:color w:val="auto"/>
        </w:rPr>
      </w:pPr>
    </w:p>
    <w:p>
      <w:pPr>
        <w:ind w:left="340" w:hanging="332"/>
        <w:spacing w:after="0" w:line="26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Domestic Wireless Customer Line Net Additions Were 310,000 in the Fourth Quarter and 1.3 Million for the Full Year; Lines Increased 24% Compared to the Prior Year Period Reaching 6.6 Million</w:t>
      </w:r>
    </w:p>
    <w:p>
      <w:pPr>
        <w:spacing w:after="0" w:line="1"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Peacock Paid Subscribers Increased Nearly 50% Compared to the Prior Year Period to 31 Million, Including Net Additions of 3 Million in the Fourth Quarter. Peacock Revenue in the Fourth Quarter Increased 57%, Surpassing $1.0 Billion in Quarterly Revenue for the First Time; Adjusted EBITDA in the Fourth Quarter Improved Compared to the Prior Year Period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737" w:right="339" w:bottom="1440" w:gutter="0" w:footer="0" w:header="0"/>
        </w:sectPr>
      </w:pPr>
    </w:p>
    <w:bookmarkStart w:id="4" w:name="page5"/>
    <w:bookmarkEnd w:id="4"/>
    <w:p>
      <w:pPr>
        <w:ind w:left="340" w:hanging="332"/>
        <w:spacing w:after="0" w:line="26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Studios Ranked #1 in Worldwide Box Office for the Full Year, Including 3 of the Top 5 Films: </w:t>
      </w:r>
      <w:r>
        <w:rPr>
          <w:rFonts w:ascii="Arial" w:cs="Arial" w:eastAsia="Arial" w:hAnsi="Arial"/>
          <w:sz w:val="18"/>
          <w:szCs w:val="18"/>
          <w:i w:val="1"/>
          <w:iCs w:val="1"/>
          <w:color w:val="auto"/>
        </w:rPr>
        <w:t>Super Mario Bros. Movie</w:t>
      </w:r>
      <w:r>
        <w:rPr>
          <w:rFonts w:ascii="Arial" w:cs="Arial" w:eastAsia="Arial" w:hAnsi="Arial"/>
          <w:sz w:val="18"/>
          <w:szCs w:val="18"/>
          <w:color w:val="auto"/>
        </w:rPr>
        <w:t xml:space="preserve">, </w:t>
      </w:r>
      <w:r>
        <w:rPr>
          <w:rFonts w:ascii="Arial" w:cs="Arial" w:eastAsia="Arial" w:hAnsi="Arial"/>
          <w:sz w:val="18"/>
          <w:szCs w:val="18"/>
          <w:i w:val="1"/>
          <w:iCs w:val="1"/>
          <w:color w:val="auto"/>
        </w:rPr>
        <w:t>Oppenheimer</w:t>
      </w:r>
      <w:r>
        <w:rPr>
          <w:rFonts w:ascii="Arial" w:cs="Arial" w:eastAsia="Arial" w:hAnsi="Arial"/>
          <w:sz w:val="18"/>
          <w:szCs w:val="18"/>
          <w:color w:val="auto"/>
        </w:rPr>
        <w:t xml:space="preserve"> and </w:t>
      </w:r>
      <w:r>
        <w:rPr>
          <w:rFonts w:ascii="Arial" w:cs="Arial" w:eastAsia="Arial" w:hAnsi="Arial"/>
          <w:sz w:val="18"/>
          <w:szCs w:val="18"/>
          <w:i w:val="1"/>
          <w:iCs w:val="1"/>
          <w:color w:val="auto"/>
        </w:rPr>
        <w:t>Fast X</w:t>
      </w:r>
    </w:p>
    <w:p>
      <w:pPr>
        <w:spacing w:after="0" w:line="1" w:lineRule="exact"/>
        <w:rPr>
          <w:rFonts w:ascii="Arial" w:cs="Arial" w:eastAsia="Arial" w:hAnsi="Arial"/>
          <w:sz w:val="18"/>
          <w:szCs w:val="18"/>
          <w:color w:val="auto"/>
        </w:rPr>
      </w:pPr>
    </w:p>
    <w:p>
      <w:pPr>
        <w:ind w:left="340" w:hanging="332"/>
        <w:spacing w:after="0" w:line="276"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Theme Parks Generated Its Highest Adjusted EBITDA on Record for a Fourth Quarter and a Full Year. Adjusted EBITDA Increased 11.6% to $872 Million in the Fourth Quarter and 24.7% to $3.3 Billion for the Full Year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4th Quarter Consolidated Financial Results</w:t>
      </w:r>
    </w:p>
    <w:p>
      <w:pPr>
        <w:spacing w:after="0" w:line="3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2.3% compared to the prior year period.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Net Income Attributable to Comcast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7.8%.</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Adjusted Net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decreased 3.1%.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was consistent with the prior year period, including $527 million of severance and other in the quarter and $638 million of severance in the prior year period. Excluding severance and other</w:t>
      </w:r>
      <w:r>
        <w:rPr>
          <w:rFonts w:ascii="Arial" w:cs="Arial" w:eastAsia="Arial" w:hAnsi="Arial"/>
          <w:sz w:val="23"/>
          <w:szCs w:val="23"/>
          <w:color w:val="auto"/>
          <w:vertAlign w:val="superscript"/>
        </w:rPr>
        <w:t>7</w:t>
      </w:r>
      <w:r>
        <w:rPr>
          <w:rFonts w:ascii="Arial" w:cs="Arial" w:eastAsia="Arial" w:hAnsi="Arial"/>
          <w:sz w:val="18"/>
          <w:szCs w:val="18"/>
          <w:color w:val="auto"/>
        </w:rPr>
        <w:t>, Adjusted EBITDA decreased 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increased 15.7% to $0.81.</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2.4% to $0.84.</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6.9% to $3.3 billion. Connectivity &amp; Platforms’ capital expenditures decreased 19.4% to $2.1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lower spending on customer premise equipment, scalable infrastructure and support capital, partially offset by higher investment in line extensions. Content &amp; Experiences' capital expenditures increased 28.5% to $1.2 billion, reflecting increased investment in constructing the Epic Universe theme park in Orlando, which is scheduled to open in 2025.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$5.9 billion.</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$1.7 billion.</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paid dividends totaling $1.2 billion and repurchased 81.9 million of its common shares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$3.5 billion, resulting in a total return of capital to shareholders of $4.7 billion.</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Today, Comcast announced that it increased its dividend by $0.08, or 6.9% year-over-year, to $1.24 per share on an annualized basis for 2024. In accordance with the increase, the Board of Directors declared a quarterly cash dividend of $0.31 per share on the company's stock, payable April 24, 2024, to shareholders of record as of the close of business on April 3, 2024. The Board of Directors also approved a new share repurchase program authorization, effective as of January 26, 2024, of $15 billion, which does not have an expiration date. We expect to repurchase shares of our Class A common stock under this authorization in the open market or private transactions, subject to market and other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23914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39141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0"/>
        <w:spacing w:after="0"/>
        <w:rPr>
          <w:sz w:val="20"/>
          <w:szCs w:val="20"/>
          <w:color w:val="auto"/>
        </w:rPr>
      </w:pPr>
      <w:r>
        <w:rPr>
          <w:rFonts w:ascii="Arial" w:cs="Arial" w:eastAsia="Arial" w:hAnsi="Arial"/>
          <w:sz w:val="11"/>
          <w:szCs w:val="11"/>
          <w:i w:val="1"/>
          <w:iCs w:val="1"/>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Revenue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Revenue</w:t>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Adjusted EBITDA</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right="2440" w:hanging="12"/>
        <w:spacing w:after="0" w:line="462" w:lineRule="auto"/>
        <w:rPr>
          <w:sz w:val="20"/>
          <w:szCs w:val="20"/>
          <w:color w:val="auto"/>
        </w:rPr>
      </w:pPr>
      <w:r>
        <w:rPr>
          <w:rFonts w:ascii="Arial" w:cs="Arial" w:eastAsia="Arial" w:hAnsi="Arial"/>
          <w:sz w:val="14"/>
          <w:szCs w:val="14"/>
          <w:b w:val="1"/>
          <w:bCs w:val="1"/>
          <w:color w:val="auto"/>
        </w:rPr>
        <w:t>Total Connectivity &amp; Platforms Adjusted EBITDA Connectivity &amp; Platforms Adjusted EBITDA Margin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Adjusted EBITDA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40" w:type="dxa"/>
            <w:vAlign w:val="bottom"/>
            <w:vMerge w:val="restart"/>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8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vMerge w:val="restart"/>
            <w:shd w:val="clear" w:color="auto" w:fill="D9D9D6"/>
          </w:tcPr>
          <w:p>
            <w:pPr>
              <w:spacing w:after="0"/>
              <w:rPr>
                <w:sz w:val="8"/>
                <w:szCs w:val="8"/>
                <w:color w:val="auto"/>
              </w:rPr>
            </w:pPr>
          </w:p>
        </w:tc>
        <w:tc>
          <w:tcPr>
            <w:tcW w:w="880" w:type="dxa"/>
            <w:vAlign w:val="bottom"/>
            <w:gridSpan w:val="4"/>
            <w:vMerge w:val="restart"/>
            <w:shd w:val="clear" w:color="auto" w:fill="D9D9D6"/>
          </w:tcPr>
          <w:p>
            <w:pPr>
              <w:jc w:val="right"/>
              <w:ind w:right="160"/>
              <w:spacing w:after="0"/>
              <w:rPr>
                <w:sz w:val="20"/>
                <w:szCs w:val="20"/>
                <w:color w:val="auto"/>
              </w:rPr>
            </w:pPr>
            <w:r>
              <w:rPr>
                <w:rFonts w:ascii="Arial" w:cs="Arial" w:eastAsia="Arial" w:hAnsi="Arial"/>
                <w:sz w:val="14"/>
                <w:szCs w:val="14"/>
                <w:color w:val="auto"/>
                <w:w w:val="98"/>
              </w:rPr>
              <w:t>4th Quarter</w:t>
            </w:r>
          </w:p>
        </w:tc>
        <w:tc>
          <w:tcPr>
            <w:tcW w:w="56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120" w:type="dxa"/>
            <w:vAlign w:val="bottom"/>
            <w:gridSpan w:val="3"/>
            <w:vMerge w:val="continue"/>
            <w:shd w:val="clear" w:color="auto" w:fill="D9D9D6"/>
          </w:tcPr>
          <w:p>
            <w:pPr>
              <w:spacing w:after="0"/>
              <w:rPr>
                <w:sz w:val="8"/>
                <w:szCs w:val="8"/>
                <w:color w:val="auto"/>
              </w:rPr>
            </w:pPr>
          </w:p>
        </w:tc>
        <w:tc>
          <w:tcPr>
            <w:tcW w:w="140" w:type="dxa"/>
            <w:vAlign w:val="bottom"/>
            <w:vMerge w:val="continue"/>
            <w:shd w:val="clear" w:color="auto" w:fill="D9D9D6"/>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780" w:type="dxa"/>
            <w:vAlign w:val="bottom"/>
            <w:shd w:val="clear" w:color="auto" w:fill="D9D9D6"/>
          </w:tcPr>
          <w:p>
            <w:pPr>
              <w:spacing w:after="0"/>
              <w:rPr>
                <w:sz w:val="6"/>
                <w:szCs w:val="6"/>
                <w:color w:val="auto"/>
              </w:rPr>
            </w:pPr>
          </w:p>
        </w:tc>
        <w:tc>
          <w:tcPr>
            <w:tcW w:w="180" w:type="dxa"/>
            <w:vAlign w:val="bottom"/>
            <w:shd w:val="clear" w:color="auto" w:fill="D9D9D6"/>
          </w:tcPr>
          <w:p>
            <w:pPr>
              <w:spacing w:after="0"/>
              <w:rPr>
                <w:sz w:val="6"/>
                <w:szCs w:val="6"/>
                <w:color w:val="auto"/>
              </w:rPr>
            </w:pPr>
          </w:p>
        </w:tc>
        <w:tc>
          <w:tcPr>
            <w:tcW w:w="14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20" w:type="dxa"/>
            <w:vAlign w:val="bottom"/>
            <w:vMerge w:val="continue"/>
            <w:shd w:val="clear" w:color="auto" w:fill="D9D9D6"/>
          </w:tcPr>
          <w:p>
            <w:pPr>
              <w:spacing w:after="0"/>
              <w:rPr>
                <w:sz w:val="6"/>
                <w:szCs w:val="6"/>
                <w:color w:val="auto"/>
              </w:rPr>
            </w:pPr>
          </w:p>
        </w:tc>
        <w:tc>
          <w:tcPr>
            <w:tcW w:w="880" w:type="dxa"/>
            <w:vAlign w:val="bottom"/>
            <w:gridSpan w:val="4"/>
            <w:vMerge w:val="continue"/>
            <w:shd w:val="clear" w:color="auto" w:fill="D9D9D6"/>
          </w:tcPr>
          <w:p>
            <w:pPr>
              <w:spacing w:after="0"/>
              <w:rPr>
                <w:sz w:val="6"/>
                <w:szCs w:val="6"/>
                <w:color w:val="auto"/>
              </w:rPr>
            </w:pPr>
          </w:p>
        </w:tc>
        <w:tc>
          <w:tcPr>
            <w:tcW w:w="56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120" w:type="dxa"/>
            <w:vAlign w:val="bottom"/>
            <w:gridSpan w:val="3"/>
            <w:vMerge w:val="restart"/>
            <w:shd w:val="clear" w:color="auto" w:fill="D9D9D6"/>
          </w:tcPr>
          <w:p>
            <w:pPr>
              <w:jc w:val="right"/>
              <w:ind w:right="60"/>
              <w:spacing w:after="0" w:line="145" w:lineRule="exact"/>
              <w:rPr>
                <w:sz w:val="20"/>
                <w:szCs w:val="20"/>
                <w:color w:val="auto"/>
              </w:rPr>
            </w:pPr>
            <w:r>
              <w:rPr>
                <w:rFonts w:ascii="Arial" w:cs="Arial" w:eastAsia="Arial" w:hAnsi="Arial"/>
                <w:sz w:val="14"/>
                <w:szCs w:val="14"/>
                <w:color w:val="auto"/>
              </w:rPr>
              <w:t>Currency</w:t>
            </w:r>
          </w:p>
        </w:tc>
        <w:tc>
          <w:tcPr>
            <w:tcW w:w="14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120" w:type="dxa"/>
            <w:vAlign w:val="bottom"/>
            <w:gridSpan w:val="3"/>
            <w:vMerge w:val="continue"/>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780" w:type="dxa"/>
            <w:vAlign w:val="bottom"/>
            <w:vMerge w:val="restart"/>
            <w:shd w:val="clear" w:color="auto" w:fill="D9D9D6"/>
          </w:tcPr>
          <w:p>
            <w:pPr>
              <w:spacing w:after="0"/>
              <w:rPr>
                <w:sz w:val="4"/>
                <w:szCs w:val="4"/>
                <w:color w:val="auto"/>
              </w:rPr>
            </w:pPr>
          </w:p>
        </w:tc>
        <w:tc>
          <w:tcPr>
            <w:tcW w:w="34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w w:val="96"/>
              </w:rPr>
              <w:t>2023</w:t>
            </w:r>
          </w:p>
        </w:tc>
        <w:tc>
          <w:tcPr>
            <w:tcW w:w="120" w:type="dxa"/>
            <w:vAlign w:val="bottom"/>
            <w:vMerge w:val="restart"/>
            <w:shd w:val="clear" w:color="auto" w:fill="D9D9D6"/>
          </w:tcPr>
          <w:p>
            <w:pPr>
              <w:spacing w:after="0"/>
              <w:rPr>
                <w:sz w:val="4"/>
                <w:szCs w:val="4"/>
                <w:color w:val="auto"/>
              </w:rPr>
            </w:pPr>
          </w:p>
        </w:tc>
        <w:tc>
          <w:tcPr>
            <w:tcW w:w="880" w:type="dxa"/>
            <w:vAlign w:val="bottom"/>
            <w:gridSpan w:val="4"/>
            <w:vMerge w:val="restart"/>
            <w:shd w:val="clear" w:color="auto" w:fill="D9D9D6"/>
          </w:tcPr>
          <w:p>
            <w:pPr>
              <w:jc w:val="right"/>
              <w:ind w:right="20"/>
              <w:spacing w:after="0" w:line="169"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5</w:t>
            </w:r>
          </w:p>
        </w:tc>
        <w:tc>
          <w:tcPr>
            <w:tcW w:w="560" w:type="dxa"/>
            <w:vAlign w:val="bottom"/>
            <w:shd w:val="clear" w:color="auto" w:fill="D9D9D6"/>
          </w:tcPr>
          <w:p>
            <w:pPr>
              <w:spacing w:after="0"/>
              <w:rPr>
                <w:sz w:val="4"/>
                <w:szCs w:val="4"/>
                <w:color w:val="auto"/>
              </w:rPr>
            </w:pPr>
          </w:p>
        </w:tc>
        <w:tc>
          <w:tcPr>
            <w:tcW w:w="54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1120" w:type="dxa"/>
            <w:vAlign w:val="bottom"/>
            <w:gridSpan w:val="3"/>
            <w:vMerge w:val="continue"/>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780" w:type="dxa"/>
            <w:vAlign w:val="bottom"/>
            <w:vMerge w:val="continue"/>
            <w:shd w:val="clear" w:color="auto" w:fill="D9D9D6"/>
          </w:tcPr>
          <w:p>
            <w:pPr>
              <w:spacing w:after="0"/>
              <w:rPr>
                <w:sz w:val="11"/>
                <w:szCs w:val="11"/>
                <w:color w:val="auto"/>
              </w:rPr>
            </w:pPr>
          </w:p>
        </w:tc>
        <w:tc>
          <w:tcPr>
            <w:tcW w:w="340" w:type="dxa"/>
            <w:vAlign w:val="bottom"/>
            <w:gridSpan w:val="3"/>
            <w:vMerge w:val="continue"/>
            <w:shd w:val="clear" w:color="auto" w:fill="D9D9D6"/>
          </w:tcPr>
          <w:p>
            <w:pPr>
              <w:spacing w:after="0"/>
              <w:rPr>
                <w:sz w:val="11"/>
                <w:szCs w:val="11"/>
                <w:color w:val="auto"/>
              </w:rPr>
            </w:pPr>
          </w:p>
        </w:tc>
        <w:tc>
          <w:tcPr>
            <w:tcW w:w="120" w:type="dxa"/>
            <w:vAlign w:val="bottom"/>
            <w:vMerge w:val="continue"/>
            <w:shd w:val="clear" w:color="auto" w:fill="D9D9D6"/>
          </w:tcPr>
          <w:p>
            <w:pPr>
              <w:spacing w:after="0"/>
              <w:rPr>
                <w:sz w:val="11"/>
                <w:szCs w:val="11"/>
                <w:color w:val="auto"/>
              </w:rPr>
            </w:pPr>
          </w:p>
        </w:tc>
        <w:tc>
          <w:tcPr>
            <w:tcW w:w="880" w:type="dxa"/>
            <w:vAlign w:val="bottom"/>
            <w:gridSpan w:val="4"/>
            <w:vMerge w:val="continue"/>
            <w:shd w:val="clear" w:color="auto" w:fill="D9D9D6"/>
          </w:tcPr>
          <w:p>
            <w:pPr>
              <w:spacing w:after="0"/>
              <w:rPr>
                <w:sz w:val="11"/>
                <w:szCs w:val="11"/>
                <w:color w:val="auto"/>
              </w:rPr>
            </w:pPr>
          </w:p>
        </w:tc>
        <w:tc>
          <w:tcPr>
            <w:tcW w:w="560" w:type="dxa"/>
            <w:vAlign w:val="bottom"/>
            <w:shd w:val="clear" w:color="auto" w:fill="D9D9D6"/>
          </w:tcPr>
          <w:p>
            <w:pPr>
              <w:spacing w:after="0"/>
              <w:rPr>
                <w:sz w:val="11"/>
                <w:szCs w:val="11"/>
                <w:color w:val="auto"/>
              </w:rPr>
            </w:pPr>
          </w:p>
        </w:tc>
        <w:tc>
          <w:tcPr>
            <w:tcW w:w="540" w:type="dxa"/>
            <w:vAlign w:val="bottom"/>
            <w:gridSpan w:val="3"/>
            <w:vMerge w:val="continue"/>
            <w:shd w:val="clear" w:color="auto" w:fill="D9D9D6"/>
          </w:tcPr>
          <w:p>
            <w:pPr>
              <w:spacing w:after="0"/>
              <w:rPr>
                <w:sz w:val="11"/>
                <w:szCs w:val="11"/>
                <w:color w:val="auto"/>
              </w:rPr>
            </w:pPr>
          </w:p>
        </w:tc>
        <w:tc>
          <w:tcPr>
            <w:tcW w:w="540" w:type="dxa"/>
            <w:vAlign w:val="bottom"/>
            <w:shd w:val="clear" w:color="auto" w:fill="D9D9D6"/>
          </w:tcPr>
          <w:p>
            <w:pPr>
              <w:spacing w:after="0"/>
              <w:rPr>
                <w:sz w:val="11"/>
                <w:szCs w:val="11"/>
                <w:color w:val="auto"/>
              </w:rPr>
            </w:pPr>
          </w:p>
        </w:tc>
        <w:tc>
          <w:tcPr>
            <w:tcW w:w="580" w:type="dxa"/>
            <w:vAlign w:val="bottom"/>
            <w:gridSpan w:val="2"/>
            <w:shd w:val="clear" w:color="auto" w:fill="D9D9D6"/>
          </w:tcPr>
          <w:p>
            <w:pPr>
              <w:jc w:val="right"/>
              <w:ind w:right="20"/>
              <w:spacing w:after="0" w:line="115" w:lineRule="exact"/>
              <w:rPr>
                <w:sz w:val="20"/>
                <w:szCs w:val="20"/>
                <w:color w:val="auto"/>
              </w:rPr>
            </w:pPr>
            <w:r>
              <w:rPr>
                <w:rFonts w:ascii="Arial" w:cs="Arial" w:eastAsia="Arial" w:hAnsi="Arial"/>
                <w:sz w:val="11"/>
                <w:szCs w:val="11"/>
                <w:color w:val="auto"/>
              </w:rPr>
              <w:t>Change</w:t>
            </w:r>
            <w:r>
              <w:rPr>
                <w:rFonts w:ascii="Arial" w:cs="Arial" w:eastAsia="Arial" w:hAnsi="Arial"/>
                <w:sz w:val="13"/>
                <w:szCs w:val="13"/>
                <w:color w:val="auto"/>
                <w:vertAlign w:val="superscript"/>
              </w:rPr>
              <w:t>6</w:t>
            </w:r>
          </w:p>
        </w:tc>
        <w:tc>
          <w:tcPr>
            <w:tcW w:w="140" w:type="dxa"/>
            <w:vAlign w:val="bottom"/>
            <w:shd w:val="clear" w:color="auto" w:fill="D9D9D6"/>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auto"/>
            </w:tcBorders>
            <w:shd w:val="clear" w:color="auto" w:fill="D9D9D6"/>
          </w:tcPr>
          <w:p>
            <w:pPr>
              <w:spacing w:after="0" w:line="20" w:lineRule="exact"/>
              <w:rPr>
                <w:sz w:val="1"/>
                <w:szCs w:val="1"/>
                <w:color w:val="auto"/>
              </w:rPr>
            </w:pPr>
          </w:p>
        </w:tc>
        <w:tc>
          <w:tcPr>
            <w:tcW w:w="14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20" w:type="dxa"/>
            <w:vAlign w:val="bottom"/>
            <w:tcBorders>
              <w:top w:val="single" w:sz="8" w:color="D9D9D6"/>
            </w:tcBorders>
            <w:shd w:val="clear" w:color="auto" w:fill="D9D9D6"/>
          </w:tcPr>
          <w:p>
            <w:pPr>
              <w:spacing w:after="0" w:line="20" w:lineRule="exact"/>
              <w:rPr>
                <w:sz w:val="1"/>
                <w:szCs w:val="1"/>
                <w:color w:val="auto"/>
              </w:rPr>
            </w:pPr>
          </w:p>
        </w:tc>
        <w:tc>
          <w:tcPr>
            <w:tcW w:w="480" w:type="dxa"/>
            <w:vAlign w:val="bottom"/>
            <w:tcBorders>
              <w:top w:val="single" w:sz="8" w:color="D9D9D6"/>
            </w:tcBorders>
            <w:shd w:val="clear" w:color="auto" w:fill="D9D9D6"/>
          </w:tcPr>
          <w:p>
            <w:pPr>
              <w:spacing w:after="0" w:line="20" w:lineRule="exact"/>
              <w:rPr>
                <w:sz w:val="1"/>
                <w:szCs w:val="1"/>
                <w:color w:val="auto"/>
              </w:rPr>
            </w:pPr>
          </w:p>
        </w:tc>
        <w:tc>
          <w:tcPr>
            <w:tcW w:w="240" w:type="dxa"/>
            <w:vAlign w:val="bottom"/>
            <w:tcBorders>
              <w:top w:val="single" w:sz="8" w:color="auto"/>
            </w:tcBorders>
            <w:shd w:val="clear" w:color="auto" w:fill="D9D9D6"/>
          </w:tcPr>
          <w:p>
            <w:pPr>
              <w:spacing w:after="0" w:line="20" w:lineRule="exact"/>
              <w:rPr>
                <w:sz w:val="1"/>
                <w:szCs w:val="1"/>
                <w:color w:val="auto"/>
              </w:rPr>
            </w:pPr>
          </w:p>
        </w:tc>
        <w:tc>
          <w:tcPr>
            <w:tcW w:w="80" w:type="dxa"/>
            <w:vAlign w:val="bottom"/>
            <w:tcBorders>
              <w:top w:val="single" w:sz="8" w:color="auto"/>
            </w:tcBorders>
            <w:shd w:val="clear" w:color="auto" w:fill="D9D9D6"/>
          </w:tcPr>
          <w:p>
            <w:pPr>
              <w:spacing w:after="0" w:line="20" w:lineRule="exact"/>
              <w:rPr>
                <w:sz w:val="1"/>
                <w:szCs w:val="1"/>
                <w:color w:val="auto"/>
              </w:rPr>
            </w:pPr>
          </w:p>
        </w:tc>
        <w:tc>
          <w:tcPr>
            <w:tcW w:w="8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auto"/>
            </w:tcBorders>
            <w:shd w:val="clear" w:color="auto" w:fill="D9D9D6"/>
          </w:tcPr>
          <w:p>
            <w:pPr>
              <w:spacing w:after="0" w:line="20" w:lineRule="exact"/>
              <w:rPr>
                <w:sz w:val="1"/>
                <w:szCs w:val="1"/>
                <w:color w:val="auto"/>
              </w:rPr>
            </w:pPr>
          </w:p>
        </w:tc>
        <w:tc>
          <w:tcPr>
            <w:tcW w:w="20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000000"/>
          </w:tcPr>
          <w:p>
            <w:pPr>
              <w:spacing w:after="0" w:line="20" w:lineRule="exact"/>
              <w:rPr>
                <w:sz w:val="1"/>
                <w:szCs w:val="1"/>
                <w:color w:val="auto"/>
              </w:rPr>
            </w:pPr>
          </w:p>
        </w:tc>
        <w:tc>
          <w:tcPr>
            <w:tcW w:w="80" w:type="dxa"/>
            <w:vAlign w:val="bottom"/>
            <w:tcBorders>
              <w:top w:val="single" w:sz="8" w:color="D9D9D6"/>
            </w:tcBorders>
            <w:shd w:val="clear" w:color="auto" w:fill="D9D9D6"/>
          </w:tcPr>
          <w:p>
            <w:pPr>
              <w:spacing w:after="0" w:line="20" w:lineRule="exact"/>
              <w:rPr>
                <w:sz w:val="1"/>
                <w:szCs w:val="1"/>
                <w:color w:val="auto"/>
              </w:rPr>
            </w:pPr>
          </w:p>
        </w:tc>
        <w:tc>
          <w:tcPr>
            <w:tcW w:w="14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$18,058</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$18,081</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(0.1</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24"/>
                <w:szCs w:val="24"/>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(1.3 %)</w:t>
            </w:r>
          </w:p>
        </w:tc>
        <w:tc>
          <w:tcPr>
            <w:tcW w:w="14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2,361</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2,230</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5.9</w:t>
            </w:r>
          </w:p>
        </w:tc>
        <w:tc>
          <w:tcPr>
            <w:tcW w:w="22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5.8 %</w:t>
            </w:r>
          </w:p>
        </w:tc>
        <w:tc>
          <w:tcPr>
            <w:tcW w:w="80" w:type="dxa"/>
            <w:vAlign w:val="bottom"/>
            <w:tcBorders>
              <w:bottom w:val="single" w:sz="8" w:color="auto"/>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$20,418</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$20,311</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0.5</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12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(0.5 %)</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$6,276</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$6,073</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3.3</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24"/>
                <w:szCs w:val="24"/>
                <w:color w:val="auto"/>
              </w:rPr>
            </w:pP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3.3 %</w:t>
            </w:r>
          </w:p>
        </w:tc>
        <w:tc>
          <w:tcPr>
            <w:tcW w:w="8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1,303</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1,276</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2.1</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0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2.1 %</w:t>
            </w:r>
          </w:p>
        </w:tc>
        <w:tc>
          <w:tcPr>
            <w:tcW w:w="80" w:type="dxa"/>
            <w:vAlign w:val="bottom"/>
            <w:tcBorders>
              <w:bottom w:val="single" w:sz="8" w:color="auto"/>
            </w:tcBorders>
            <w:shd w:val="clear" w:color="auto" w:fill="D9D9D6"/>
          </w:tcPr>
          <w:p>
            <w:pPr>
              <w:spacing w:after="0"/>
              <w:rPr>
                <w:sz w:val="17"/>
                <w:szCs w:val="17"/>
                <w:color w:val="auto"/>
              </w:rPr>
            </w:pPr>
          </w:p>
        </w:tc>
        <w:tc>
          <w:tcPr>
            <w:tcW w:w="14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$7,579</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$7,349</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3.1 %</w:t>
            </w:r>
          </w:p>
        </w:tc>
        <w:tc>
          <w:tcPr>
            <w:tcW w:w="8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34.8</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33.6 %</w:t>
            </w:r>
          </w:p>
        </w:tc>
        <w:tc>
          <w:tcPr>
            <w:tcW w:w="11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120 bps</w:t>
            </w:r>
          </w:p>
        </w:tc>
        <w:tc>
          <w:tcPr>
            <w:tcW w:w="540" w:type="dxa"/>
            <w:vAlign w:val="bottom"/>
            <w:shd w:val="clear" w:color="auto" w:fill="D9D9D6"/>
          </w:tcPr>
          <w:p>
            <w:pPr>
              <w:spacing w:after="0"/>
              <w:rPr>
                <w:sz w:val="24"/>
                <w:szCs w:val="24"/>
                <w:color w:val="auto"/>
              </w:rPr>
            </w:pPr>
          </w:p>
        </w:tc>
        <w:tc>
          <w:tcPr>
            <w:tcW w:w="5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160 bps</w:t>
            </w:r>
          </w:p>
        </w:tc>
        <w:tc>
          <w:tcPr>
            <w:tcW w:w="14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55.2</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57.2 %</w:t>
            </w:r>
          </w:p>
        </w:tc>
        <w:tc>
          <w:tcPr>
            <w:tcW w:w="110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(200) bps</w:t>
            </w:r>
          </w:p>
        </w:tc>
        <w:tc>
          <w:tcPr>
            <w:tcW w:w="112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(200) bps</w:t>
            </w:r>
          </w:p>
        </w:tc>
        <w:tc>
          <w:tcPr>
            <w:tcW w:w="14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37.1</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36.2 %</w:t>
            </w:r>
          </w:p>
        </w:tc>
        <w:tc>
          <w:tcPr>
            <w:tcW w:w="560" w:type="dxa"/>
            <w:vAlign w:val="bottom"/>
            <w:shd w:val="clear" w:color="auto" w:fill="D9D9D6"/>
          </w:tcPr>
          <w:p>
            <w:pPr>
              <w:spacing w:after="0"/>
              <w:rPr>
                <w:sz w:val="17"/>
                <w:szCs w:val="17"/>
                <w:color w:val="auto"/>
              </w:rPr>
            </w:pPr>
          </w:p>
        </w:tc>
        <w:tc>
          <w:tcPr>
            <w:tcW w:w="54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90 bps</w:t>
            </w:r>
          </w:p>
        </w:tc>
        <w:tc>
          <w:tcPr>
            <w:tcW w:w="54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130 bps</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78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480" w:type="dxa"/>
            <w:vAlign w:val="bottom"/>
            <w:shd w:val="clear" w:color="auto" w:fill="D9D9D6"/>
          </w:tcPr>
          <w:p>
            <w:pPr>
              <w:spacing w:after="0"/>
              <w:rPr>
                <w:sz w:val="4"/>
                <w:szCs w:val="4"/>
                <w:color w:val="auto"/>
              </w:rPr>
            </w:pPr>
          </w:p>
        </w:tc>
        <w:tc>
          <w:tcPr>
            <w:tcW w:w="24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50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2">
            <w:col w:w="6040" w:space="720"/>
            <w:col w:w="4480"/>
          </w:cols>
          <w:pgMar w:left="320" w:top="580" w:right="339" w:bottom="1440" w:gutter="0" w:footer="0" w:header="0"/>
          <w:type w:val="continuous"/>
        </w:sectPr>
      </w:pPr>
    </w:p>
    <w:p>
      <w:pPr>
        <w:spacing w:after="0"/>
        <w:rPr>
          <w:sz w:val="20"/>
          <w:szCs w:val="20"/>
          <w:color w:val="auto"/>
        </w:rPr>
      </w:pPr>
      <w:r>
        <w:rPr>
          <w:rFonts w:ascii="Arial" w:cs="Arial" w:eastAsia="Arial" w:hAnsi="Arial"/>
          <w:sz w:val="14"/>
          <w:szCs w:val="14"/>
          <w:color w:val="auto"/>
        </w:rPr>
        <w:t>Change percentages represent year/year growth rates. Change in Adjusted EBITDA margin is presented as year/year basis point changes.</w:t>
      </w:r>
    </w:p>
    <w:p>
      <w:pPr>
        <w:spacing w:after="0" w:line="28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Connectivity &amp; Platforms was consistent with the prior year period.</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3.1%, including $422 million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and other in the quarter and $456 million of</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580" w:right="339" w:bottom="1440" w:gutter="0" w:footer="0" w:header="0"/>
          <w:type w:val="continuous"/>
        </w:sectPr>
      </w:pPr>
    </w:p>
    <w:bookmarkStart w:id="5" w:name="page6"/>
    <w:bookmarkEnd w:id="5"/>
    <w:p>
      <w:pPr>
        <w:jc w:val="both"/>
        <w:spacing w:after="0" w:line="205" w:lineRule="auto"/>
        <w:rPr>
          <w:sz w:val="20"/>
          <w:szCs w:val="20"/>
          <w:color w:val="auto"/>
        </w:rPr>
      </w:pPr>
      <w:r>
        <w:rPr>
          <w:rFonts w:ascii="Arial" w:cs="Arial" w:eastAsia="Arial" w:hAnsi="Arial"/>
          <w:sz w:val="18"/>
          <w:szCs w:val="18"/>
          <w:color w:val="auto"/>
        </w:rPr>
        <w:t>severance in the prior year period. Excluding severance and other and the impact of foreign currency</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Adjusted EBITDA increased 2.4% due to growth in Residential Connectivity &amp; Platforms Adjusted EBITDA and Business Services Connectivity Adjusted EBITDA. </w:t>
      </w:r>
      <w:r>
        <w:rPr>
          <w:rFonts w:ascii="Arial" w:cs="Arial" w:eastAsia="Arial" w:hAnsi="Arial"/>
          <w:sz w:val="18"/>
          <w:szCs w:val="18"/>
          <w:b w:val="1"/>
          <w:bCs w:val="1"/>
          <w:i w:val="1"/>
          <w:iCs w:val="1"/>
          <w:color w:val="auto"/>
        </w:rPr>
        <w:t>Adjusted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EBITDA margin </w:t>
      </w:r>
      <w:r>
        <w:rPr>
          <w:rFonts w:ascii="Arial" w:cs="Arial" w:eastAsia="Arial" w:hAnsi="Arial"/>
          <w:sz w:val="18"/>
          <w:szCs w:val="18"/>
          <w:color w:val="auto"/>
        </w:rPr>
        <w:t>increased 90 basis points to 37.1%. Excluding severance and other and the impact of foreign currency</w:t>
      </w:r>
      <w:r>
        <w:rPr>
          <w:rFonts w:ascii="Arial" w:cs="Arial" w:eastAsia="Arial" w:hAnsi="Arial"/>
          <w:sz w:val="23"/>
          <w:szCs w:val="23"/>
          <w:color w:val="auto"/>
          <w:vertAlign w:val="superscript"/>
        </w:rPr>
        <w:t>7</w:t>
      </w:r>
      <w:r>
        <w:rPr>
          <w:rFonts w:ascii="Arial" w:cs="Arial" w:eastAsia="Arial" w:hAnsi="Arial"/>
          <w:sz w:val="18"/>
          <w:szCs w:val="18"/>
          <w:color w:val="auto"/>
        </w:rPr>
        <w:t>, Adjusted EBITDA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increased 110 basis points.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shd w:val="clear" w:color="auto" w:fill="D9D9D6"/>
          </w:tcPr>
          <w:p>
            <w:pPr>
              <w:spacing w:after="0"/>
              <w:rPr>
                <w:sz w:val="19"/>
                <w:szCs w:val="19"/>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46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60" w:type="dxa"/>
            <w:vAlign w:val="bottom"/>
            <w:shd w:val="clear" w:color="auto" w:fill="D9D9D6"/>
          </w:tcPr>
          <w:p>
            <w:pPr>
              <w:spacing w:after="0"/>
              <w:rPr>
                <w:sz w:val="19"/>
                <w:szCs w:val="19"/>
                <w:color w:val="auto"/>
              </w:rPr>
            </w:pPr>
          </w:p>
        </w:tc>
        <w:tc>
          <w:tcPr>
            <w:tcW w:w="64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60" w:type="dxa"/>
            <w:vAlign w:val="bottom"/>
            <w:shd w:val="clear" w:color="auto" w:fill="D9D9D6"/>
          </w:tcPr>
          <w:p>
            <w:pPr>
              <w:spacing w:after="0"/>
              <w:rPr>
                <w:sz w:val="19"/>
                <w:szCs w:val="19"/>
                <w:color w:val="auto"/>
              </w:rPr>
            </w:pPr>
          </w:p>
        </w:tc>
        <w:tc>
          <w:tcPr>
            <w:tcW w:w="60" w:type="dxa"/>
            <w:vAlign w:val="bottom"/>
            <w:shd w:val="clear" w:color="auto" w:fill="D9D9D6"/>
          </w:tcPr>
          <w:p>
            <w:pPr>
              <w:spacing w:after="0"/>
              <w:rPr>
                <w:sz w:val="19"/>
                <w:szCs w:val="19"/>
                <w:color w:val="auto"/>
              </w:rPr>
            </w:pPr>
          </w:p>
        </w:tc>
        <w:tc>
          <w:tcPr>
            <w:tcW w:w="280" w:type="dxa"/>
            <w:vAlign w:val="bottom"/>
            <w:shd w:val="clear" w:color="auto" w:fill="D9D9D6"/>
          </w:tcPr>
          <w:p>
            <w:pPr>
              <w:spacing w:after="0"/>
              <w:rPr>
                <w:sz w:val="19"/>
                <w:szCs w:val="19"/>
                <w:color w:val="auto"/>
              </w:rPr>
            </w:pPr>
          </w:p>
        </w:tc>
        <w:tc>
          <w:tcPr>
            <w:tcW w:w="4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r>
      <w:tr>
        <w:trPr>
          <w:trHeight w:val="223"/>
        </w:trPr>
        <w:tc>
          <w:tcPr>
            <w:tcW w:w="120" w:type="dxa"/>
            <w:vAlign w:val="bottom"/>
            <w:shd w:val="clear" w:color="auto" w:fill="D9D9D6"/>
          </w:tcPr>
          <w:p>
            <w:pPr>
              <w:spacing w:after="0"/>
              <w:rPr>
                <w:sz w:val="19"/>
                <w:szCs w:val="19"/>
                <w:color w:val="auto"/>
              </w:rPr>
            </w:pPr>
          </w:p>
        </w:tc>
        <w:tc>
          <w:tcPr>
            <w:tcW w:w="69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46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60" w:type="dxa"/>
            <w:vAlign w:val="bottom"/>
            <w:shd w:val="clear" w:color="auto" w:fill="D9D9D6"/>
          </w:tcPr>
          <w:p>
            <w:pPr>
              <w:spacing w:after="0"/>
              <w:rPr>
                <w:sz w:val="19"/>
                <w:szCs w:val="19"/>
                <w:color w:val="auto"/>
              </w:rPr>
            </w:pPr>
          </w:p>
        </w:tc>
        <w:tc>
          <w:tcPr>
            <w:tcW w:w="640" w:type="dxa"/>
            <w:vAlign w:val="bottom"/>
            <w:shd w:val="clear" w:color="auto" w:fill="D9D9D6"/>
          </w:tcPr>
          <w:p>
            <w:pPr>
              <w:spacing w:after="0"/>
              <w:rPr>
                <w:sz w:val="19"/>
                <w:szCs w:val="19"/>
                <w:color w:val="auto"/>
              </w:rPr>
            </w:pPr>
          </w:p>
        </w:tc>
        <w:tc>
          <w:tcPr>
            <w:tcW w:w="1780" w:type="dxa"/>
            <w:vAlign w:val="bottom"/>
            <w:gridSpan w:val="10"/>
            <w:shd w:val="clear" w:color="auto" w:fill="D9D9D6"/>
          </w:tcPr>
          <w:p>
            <w:pPr>
              <w:jc w:val="center"/>
              <w:ind w:right="240"/>
              <w:spacing w:after="0"/>
              <w:rPr>
                <w:sz w:val="20"/>
                <w:szCs w:val="20"/>
                <w:color w:val="auto"/>
              </w:rPr>
            </w:pPr>
            <w:r>
              <w:rPr>
                <w:rFonts w:ascii="Arial" w:cs="Arial" w:eastAsia="Arial" w:hAnsi="Arial"/>
                <w:sz w:val="14"/>
                <w:szCs w:val="14"/>
                <w:color w:val="auto"/>
              </w:rPr>
              <w:t>Net Additions / (Losses)</w:t>
            </w:r>
          </w:p>
        </w:tc>
      </w:tr>
      <w:tr>
        <w:trPr>
          <w:trHeight w:val="183"/>
        </w:trPr>
        <w:tc>
          <w:tcPr>
            <w:tcW w:w="120" w:type="dxa"/>
            <w:vAlign w:val="bottom"/>
            <w:tcBorders>
              <w:top w:val="single" w:sz="8" w:color="D9D9D6"/>
              <w:bottom w:val="single" w:sz="8" w:color="D9D9D6"/>
            </w:tcBorders>
            <w:shd w:val="clear" w:color="auto" w:fill="D9D9D6"/>
          </w:tcPr>
          <w:p>
            <w:pPr>
              <w:spacing w:after="0"/>
              <w:rPr>
                <w:sz w:val="15"/>
                <w:szCs w:val="15"/>
                <w:color w:val="auto"/>
              </w:rPr>
            </w:pPr>
          </w:p>
        </w:tc>
        <w:tc>
          <w:tcPr>
            <w:tcW w:w="6920" w:type="dxa"/>
            <w:vAlign w:val="bottom"/>
            <w:tcBorders>
              <w:top w:val="single" w:sz="8" w:color="D9D9D6"/>
              <w:bottom w:val="single" w:sz="8" w:color="D9D9D6"/>
            </w:tcBorders>
            <w:shd w:val="clear" w:color="auto" w:fill="D9D9D6"/>
          </w:tcPr>
          <w:p>
            <w:pPr>
              <w:spacing w:after="0"/>
              <w:rPr>
                <w:sz w:val="15"/>
                <w:szCs w:val="15"/>
                <w:color w:val="auto"/>
              </w:rPr>
            </w:pPr>
          </w:p>
        </w:tc>
        <w:tc>
          <w:tcPr>
            <w:tcW w:w="520" w:type="dxa"/>
            <w:vAlign w:val="bottom"/>
            <w:tcBorders>
              <w:top w:val="single" w:sz="8" w:color="D9D9D6"/>
              <w:bottom w:val="single" w:sz="8" w:color="D9D9D6"/>
            </w:tcBorders>
            <w:shd w:val="clear" w:color="auto" w:fill="D9D9D6"/>
          </w:tcPr>
          <w:p>
            <w:pPr>
              <w:spacing w:after="0"/>
              <w:rPr>
                <w:sz w:val="15"/>
                <w:szCs w:val="15"/>
                <w:color w:val="auto"/>
              </w:rPr>
            </w:pPr>
          </w:p>
        </w:tc>
        <w:tc>
          <w:tcPr>
            <w:tcW w:w="360" w:type="dxa"/>
            <w:vAlign w:val="bottom"/>
            <w:tcBorders>
              <w:top w:val="single" w:sz="8" w:color="D9D9D6"/>
              <w:bottom w:val="single" w:sz="8" w:color="D9D9D6"/>
            </w:tcBorders>
            <w:shd w:val="clear" w:color="auto" w:fill="D9D9D6"/>
          </w:tcPr>
          <w:p>
            <w:pPr>
              <w:spacing w:after="0"/>
              <w:rPr>
                <w:sz w:val="15"/>
                <w:szCs w:val="15"/>
                <w:color w:val="auto"/>
              </w:rPr>
            </w:pPr>
          </w:p>
        </w:tc>
        <w:tc>
          <w:tcPr>
            <w:tcW w:w="20" w:type="dxa"/>
            <w:vAlign w:val="bottom"/>
            <w:tcBorders>
              <w:top w:val="single" w:sz="8" w:color="D9D9D6"/>
              <w:bottom w:val="single" w:sz="8" w:color="D9D9D6"/>
            </w:tcBorders>
            <w:shd w:val="clear" w:color="auto" w:fill="D9D9D6"/>
          </w:tcPr>
          <w:p>
            <w:pPr>
              <w:spacing w:after="0"/>
              <w:rPr>
                <w:sz w:val="15"/>
                <w:szCs w:val="15"/>
                <w:color w:val="auto"/>
              </w:rPr>
            </w:pPr>
          </w:p>
        </w:tc>
        <w:tc>
          <w:tcPr>
            <w:tcW w:w="460" w:type="dxa"/>
            <w:vAlign w:val="bottom"/>
            <w:tcBorders>
              <w:top w:val="single" w:sz="8" w:color="D9D9D6"/>
              <w:bottom w:val="single" w:sz="8" w:color="D9D9D6"/>
            </w:tcBorders>
            <w:shd w:val="clear" w:color="auto" w:fill="D9D9D6"/>
          </w:tcPr>
          <w:p>
            <w:pPr>
              <w:spacing w:after="0"/>
              <w:rPr>
                <w:sz w:val="15"/>
                <w:szCs w:val="15"/>
                <w:color w:val="auto"/>
              </w:rPr>
            </w:pPr>
          </w:p>
        </w:tc>
        <w:tc>
          <w:tcPr>
            <w:tcW w:w="360" w:type="dxa"/>
            <w:vAlign w:val="bottom"/>
            <w:tcBorders>
              <w:top w:val="single" w:sz="8" w:color="D9D9D6"/>
              <w:bottom w:val="single" w:sz="8" w:color="D9D9D6"/>
            </w:tcBorders>
            <w:shd w:val="clear" w:color="auto" w:fill="D9D9D6"/>
          </w:tcPr>
          <w:p>
            <w:pPr>
              <w:spacing w:after="0"/>
              <w:rPr>
                <w:sz w:val="15"/>
                <w:szCs w:val="15"/>
                <w:color w:val="auto"/>
              </w:rPr>
            </w:pPr>
          </w:p>
        </w:tc>
        <w:tc>
          <w:tcPr>
            <w:tcW w:w="60" w:type="dxa"/>
            <w:vAlign w:val="bottom"/>
            <w:tcBorders>
              <w:top w:val="single" w:sz="8" w:color="D9D9D6"/>
              <w:bottom w:val="single" w:sz="8" w:color="D9D9D6"/>
            </w:tcBorders>
            <w:shd w:val="clear" w:color="auto" w:fill="D9D9D6"/>
          </w:tcPr>
          <w:p>
            <w:pPr>
              <w:spacing w:after="0"/>
              <w:rPr>
                <w:sz w:val="15"/>
                <w:szCs w:val="15"/>
                <w:color w:val="auto"/>
              </w:rPr>
            </w:pPr>
          </w:p>
        </w:tc>
        <w:tc>
          <w:tcPr>
            <w:tcW w:w="640" w:type="dxa"/>
            <w:vAlign w:val="bottom"/>
            <w:tcBorders>
              <w:top w:val="single" w:sz="8" w:color="D9D9D6"/>
              <w:bottom w:val="single" w:sz="8" w:color="D9D9D6"/>
            </w:tcBorders>
            <w:shd w:val="clear" w:color="auto" w:fill="D9D9D6"/>
          </w:tcPr>
          <w:p>
            <w:pPr>
              <w:spacing w:after="0"/>
              <w:rPr>
                <w:sz w:val="15"/>
                <w:szCs w:val="15"/>
                <w:color w:val="auto"/>
              </w:rPr>
            </w:pPr>
          </w:p>
        </w:tc>
        <w:tc>
          <w:tcPr>
            <w:tcW w:w="400" w:type="dxa"/>
            <w:vAlign w:val="bottom"/>
            <w:tcBorders>
              <w:top w:val="single" w:sz="8" w:color="auto"/>
              <w:bottom w:val="single" w:sz="8" w:color="D9D9D6"/>
            </w:tcBorders>
            <w:shd w:val="clear" w:color="auto" w:fill="D9D9D6"/>
          </w:tcPr>
          <w:p>
            <w:pPr>
              <w:spacing w:after="0"/>
              <w:rPr>
                <w:sz w:val="15"/>
                <w:szCs w:val="15"/>
                <w:color w:val="auto"/>
              </w:rPr>
            </w:pPr>
          </w:p>
        </w:tc>
        <w:tc>
          <w:tcPr>
            <w:tcW w:w="740" w:type="dxa"/>
            <w:vAlign w:val="bottom"/>
            <w:tcBorders>
              <w:top w:val="single" w:sz="8" w:color="auto"/>
              <w:bottom w:val="single" w:sz="8" w:color="auto"/>
            </w:tcBorders>
            <w:gridSpan w:val="3"/>
            <w:shd w:val="clear" w:color="auto" w:fill="D9D9D6"/>
          </w:tcPr>
          <w:p>
            <w:pPr>
              <w:jc w:val="center"/>
              <w:spacing w:after="0"/>
              <w:rPr>
                <w:sz w:val="20"/>
                <w:szCs w:val="20"/>
                <w:color w:val="auto"/>
              </w:rPr>
            </w:pPr>
            <w:r>
              <w:rPr>
                <w:rFonts w:ascii="Arial" w:cs="Arial" w:eastAsia="Arial" w:hAnsi="Arial"/>
                <w:sz w:val="14"/>
                <w:szCs w:val="14"/>
                <w:color w:val="auto"/>
              </w:rPr>
              <w:t>4th Quarter</w:t>
            </w:r>
          </w:p>
        </w:tc>
        <w:tc>
          <w:tcPr>
            <w:tcW w:w="60" w:type="dxa"/>
            <w:vAlign w:val="bottom"/>
            <w:tcBorders>
              <w:top w:val="single" w:sz="8" w:color="auto"/>
              <w:bottom w:val="single" w:sz="8" w:color="D9D9D6"/>
            </w:tcBorders>
            <w:shd w:val="clear" w:color="auto" w:fill="D9D9D6"/>
          </w:tcPr>
          <w:p>
            <w:pPr>
              <w:spacing w:after="0"/>
              <w:rPr>
                <w:sz w:val="15"/>
                <w:szCs w:val="15"/>
                <w:color w:val="auto"/>
              </w:rPr>
            </w:pPr>
          </w:p>
        </w:tc>
        <w:tc>
          <w:tcPr>
            <w:tcW w:w="60" w:type="dxa"/>
            <w:vAlign w:val="bottom"/>
            <w:tcBorders>
              <w:top w:val="single" w:sz="8" w:color="auto"/>
              <w:bottom w:val="single" w:sz="8" w:color="D9D9D6"/>
            </w:tcBorders>
            <w:shd w:val="clear" w:color="auto" w:fill="D9D9D6"/>
          </w:tcPr>
          <w:p>
            <w:pPr>
              <w:spacing w:after="0"/>
              <w:rPr>
                <w:sz w:val="15"/>
                <w:szCs w:val="15"/>
                <w:color w:val="auto"/>
              </w:rPr>
            </w:pPr>
          </w:p>
        </w:tc>
        <w:tc>
          <w:tcPr>
            <w:tcW w:w="280" w:type="dxa"/>
            <w:vAlign w:val="bottom"/>
            <w:tcBorders>
              <w:top w:val="single" w:sz="8" w:color="auto"/>
              <w:bottom w:val="single" w:sz="8" w:color="D9D9D6"/>
            </w:tcBorders>
            <w:shd w:val="clear" w:color="auto" w:fill="D9D9D6"/>
          </w:tcPr>
          <w:p>
            <w:pPr>
              <w:spacing w:after="0"/>
              <w:rPr>
                <w:sz w:val="15"/>
                <w:szCs w:val="15"/>
                <w:color w:val="auto"/>
              </w:rPr>
            </w:pPr>
          </w:p>
        </w:tc>
        <w:tc>
          <w:tcPr>
            <w:tcW w:w="40" w:type="dxa"/>
            <w:vAlign w:val="bottom"/>
            <w:tcBorders>
              <w:top w:val="single" w:sz="8" w:color="D9D9D6"/>
              <w:bottom w:val="single" w:sz="8" w:color="D9D9D6"/>
            </w:tcBorders>
            <w:shd w:val="clear" w:color="auto" w:fill="D9D9D6"/>
          </w:tcPr>
          <w:p>
            <w:pPr>
              <w:spacing w:after="0"/>
              <w:rPr>
                <w:sz w:val="15"/>
                <w:szCs w:val="15"/>
                <w:color w:val="auto"/>
              </w:rPr>
            </w:pPr>
          </w:p>
        </w:tc>
        <w:tc>
          <w:tcPr>
            <w:tcW w:w="80" w:type="dxa"/>
            <w:vAlign w:val="bottom"/>
            <w:tcBorders>
              <w:top w:val="single" w:sz="8" w:color="D9D9D6"/>
              <w:bottom w:val="single" w:sz="8" w:color="D9D9D6"/>
            </w:tcBorders>
            <w:shd w:val="clear" w:color="auto" w:fill="D9D9D6"/>
          </w:tcPr>
          <w:p>
            <w:pPr>
              <w:spacing w:after="0"/>
              <w:rPr>
                <w:sz w:val="15"/>
                <w:szCs w:val="15"/>
                <w:color w:val="auto"/>
              </w:rPr>
            </w:pPr>
          </w:p>
        </w:tc>
        <w:tc>
          <w:tcPr>
            <w:tcW w:w="120" w:type="dxa"/>
            <w:vAlign w:val="bottom"/>
            <w:tcBorders>
              <w:top w:val="single" w:sz="8" w:color="D9D9D6"/>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692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38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4Q23</w:t>
            </w:r>
          </w:p>
        </w:tc>
        <w:tc>
          <w:tcPr>
            <w:tcW w:w="880" w:type="dxa"/>
            <w:vAlign w:val="bottom"/>
            <w:gridSpan w:val="3"/>
            <w:shd w:val="clear" w:color="auto" w:fill="D9D9D6"/>
          </w:tcPr>
          <w:p>
            <w:pPr>
              <w:ind w:left="460"/>
              <w:spacing w:after="0" w:line="182" w:lineRule="exact"/>
              <w:rPr>
                <w:sz w:val="20"/>
                <w:szCs w:val="20"/>
                <w:color w:val="auto"/>
              </w:rPr>
            </w:pPr>
            <w:r>
              <w:rPr>
                <w:rFonts w:ascii="Arial" w:cs="Arial" w:eastAsia="Arial" w:hAnsi="Arial"/>
                <w:sz w:val="14"/>
                <w:szCs w:val="14"/>
                <w:color w:val="auto"/>
                <w:w w:val="97"/>
              </w:rPr>
              <w:t>4Q22</w:t>
            </w:r>
            <w:r>
              <w:rPr>
                <w:rFonts w:ascii="Arial" w:cs="Arial" w:eastAsia="Arial" w:hAnsi="Arial"/>
                <w:sz w:val="18"/>
                <w:szCs w:val="18"/>
                <w:color w:val="auto"/>
                <w:w w:val="97"/>
                <w:vertAlign w:val="superscript"/>
              </w:rPr>
              <w:t>8</w:t>
            </w:r>
          </w:p>
        </w:tc>
        <w:tc>
          <w:tcPr>
            <w:tcW w:w="1780" w:type="dxa"/>
            <w:vAlign w:val="bottom"/>
            <w:gridSpan w:val="5"/>
            <w:shd w:val="clear" w:color="auto" w:fill="D9D9D6"/>
          </w:tcPr>
          <w:p>
            <w:pPr>
              <w:jc w:val="right"/>
              <w:ind w:right="400"/>
              <w:spacing w:after="0"/>
              <w:rPr>
                <w:sz w:val="20"/>
                <w:szCs w:val="20"/>
                <w:color w:val="auto"/>
              </w:rPr>
            </w:pPr>
            <w:r>
              <w:rPr>
                <w:rFonts w:ascii="Arial" w:cs="Arial" w:eastAsia="Arial" w:hAnsi="Arial"/>
                <w:sz w:val="14"/>
                <w:szCs w:val="14"/>
                <w:color w:val="auto"/>
              </w:rPr>
              <w:t>2023</w:t>
            </w:r>
          </w:p>
        </w:tc>
        <w:tc>
          <w:tcPr>
            <w:tcW w:w="60" w:type="dxa"/>
            <w:vAlign w:val="bottom"/>
            <w:shd w:val="clear" w:color="auto" w:fill="D9D9D6"/>
          </w:tcPr>
          <w:p>
            <w:pPr>
              <w:spacing w:after="0"/>
              <w:rPr>
                <w:sz w:val="15"/>
                <w:szCs w:val="15"/>
                <w:color w:val="auto"/>
              </w:rPr>
            </w:pPr>
          </w:p>
        </w:tc>
        <w:tc>
          <w:tcPr>
            <w:tcW w:w="460" w:type="dxa"/>
            <w:vAlign w:val="bottom"/>
            <w:gridSpan w:val="4"/>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8</w:t>
            </w:r>
          </w:p>
        </w:tc>
        <w:tc>
          <w:tcPr>
            <w:tcW w:w="120" w:type="dxa"/>
            <w:vAlign w:val="bottom"/>
            <w:shd w:val="clear" w:color="auto" w:fill="D9D9D6"/>
          </w:tcPr>
          <w:p>
            <w:pPr>
              <w:spacing w:after="0"/>
              <w:rPr>
                <w:sz w:val="15"/>
                <w:szCs w:val="15"/>
                <w:color w:val="auto"/>
              </w:rPr>
            </w:pPr>
          </w:p>
        </w:tc>
      </w:tr>
      <w:tr>
        <w:trPr>
          <w:trHeight w:val="223"/>
        </w:trPr>
        <w:tc>
          <w:tcPr>
            <w:tcW w:w="120" w:type="dxa"/>
            <w:vAlign w:val="bottom"/>
            <w:tcBorders>
              <w:top w:val="single" w:sz="8" w:color="D9D9D6"/>
            </w:tcBorders>
            <w:shd w:val="clear" w:color="auto" w:fill="D9D9D6"/>
          </w:tcPr>
          <w:p>
            <w:pPr>
              <w:spacing w:after="0"/>
              <w:rPr>
                <w:sz w:val="19"/>
                <w:szCs w:val="19"/>
                <w:color w:val="auto"/>
              </w:rPr>
            </w:pPr>
          </w:p>
        </w:tc>
        <w:tc>
          <w:tcPr>
            <w:tcW w:w="692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46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60" w:type="dxa"/>
            <w:vAlign w:val="bottom"/>
            <w:tcBorders>
              <w:top w:val="single" w:sz="8" w:color="D9D9D6"/>
            </w:tcBorders>
            <w:shd w:val="clear" w:color="auto" w:fill="D9D9D6"/>
          </w:tcPr>
          <w:p>
            <w:pPr>
              <w:spacing w:after="0"/>
              <w:rPr>
                <w:sz w:val="19"/>
                <w:szCs w:val="19"/>
                <w:color w:val="auto"/>
              </w:rPr>
            </w:pPr>
          </w:p>
        </w:tc>
        <w:tc>
          <w:tcPr>
            <w:tcW w:w="64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60" w:type="dxa"/>
            <w:vAlign w:val="bottom"/>
            <w:tcBorders>
              <w:top w:val="single" w:sz="8" w:color="D9D9D6"/>
            </w:tcBorders>
            <w:shd w:val="clear" w:color="auto" w:fill="D9D9D6"/>
          </w:tcPr>
          <w:p>
            <w:pPr>
              <w:spacing w:after="0"/>
              <w:rPr>
                <w:sz w:val="19"/>
                <w:szCs w:val="19"/>
                <w:color w:val="auto"/>
              </w:rPr>
            </w:pPr>
          </w:p>
        </w:tc>
        <w:tc>
          <w:tcPr>
            <w:tcW w:w="60" w:type="dxa"/>
            <w:vAlign w:val="bottom"/>
            <w:tcBorders>
              <w:top w:val="single" w:sz="8" w:color="D9D9D6"/>
            </w:tcBorders>
            <w:shd w:val="clear" w:color="auto" w:fill="D9D9D6"/>
          </w:tcPr>
          <w:p>
            <w:pPr>
              <w:spacing w:after="0"/>
              <w:rPr>
                <w:sz w:val="19"/>
                <w:szCs w:val="19"/>
                <w:color w:val="auto"/>
              </w:rPr>
            </w:pPr>
          </w:p>
        </w:tc>
        <w:tc>
          <w:tcPr>
            <w:tcW w:w="280" w:type="dxa"/>
            <w:vAlign w:val="bottom"/>
            <w:tcBorders>
              <w:top w:val="single" w:sz="8" w:color="auto"/>
            </w:tcBorders>
            <w:shd w:val="clear" w:color="auto" w:fill="D9D9D6"/>
          </w:tcPr>
          <w:p>
            <w:pPr>
              <w:spacing w:after="0"/>
              <w:rPr>
                <w:sz w:val="19"/>
                <w:szCs w:val="19"/>
                <w:color w:val="auto"/>
              </w:rPr>
            </w:pPr>
          </w:p>
        </w:tc>
        <w:tc>
          <w:tcPr>
            <w:tcW w:w="4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4"/>
        </w:trPr>
        <w:tc>
          <w:tcPr>
            <w:tcW w:w="120" w:type="dxa"/>
            <w:vAlign w:val="bottom"/>
            <w:shd w:val="clear" w:color="auto" w:fill="D9D9D6"/>
          </w:tcPr>
          <w:p>
            <w:pPr>
              <w:spacing w:after="0"/>
              <w:rPr>
                <w:sz w:val="16"/>
                <w:szCs w:val="16"/>
                <w:color w:val="auto"/>
              </w:rPr>
            </w:pPr>
          </w:p>
        </w:tc>
        <w:tc>
          <w:tcPr>
            <w:tcW w:w="6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Residential Connectivity &amp; Platforms Customer Relationships</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31,648</w:t>
            </w:r>
          </w:p>
        </w:tc>
        <w:tc>
          <w:tcPr>
            <w:tcW w:w="20" w:type="dxa"/>
            <w:vAlign w:val="bottom"/>
            <w:shd w:val="clear" w:color="auto" w:fill="DBDBDB"/>
          </w:tcPr>
          <w:p>
            <w:pPr>
              <w:spacing w:after="0"/>
              <w:rPr>
                <w:sz w:val="16"/>
                <w:szCs w:val="16"/>
                <w:color w:val="auto"/>
              </w:rPr>
            </w:pPr>
          </w:p>
        </w:tc>
        <w:tc>
          <w:tcPr>
            <w:tcW w:w="88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31,860</w:t>
            </w:r>
          </w:p>
        </w:tc>
        <w:tc>
          <w:tcPr>
            <w:tcW w:w="1380" w:type="dxa"/>
            <w:vAlign w:val="bottom"/>
            <w:gridSpan w:val="4"/>
            <w:shd w:val="clear" w:color="auto" w:fill="DBDBDB"/>
          </w:tcPr>
          <w:p>
            <w:pPr>
              <w:jc w:val="right"/>
              <w:spacing w:after="0"/>
              <w:rPr>
                <w:sz w:val="20"/>
                <w:szCs w:val="20"/>
                <w:color w:val="auto"/>
              </w:rPr>
            </w:pPr>
            <w:r>
              <w:rPr>
                <w:rFonts w:ascii="Arial" w:cs="Arial" w:eastAsia="Arial" w:hAnsi="Arial"/>
                <w:sz w:val="14"/>
                <w:szCs w:val="14"/>
                <w:color w:val="auto"/>
              </w:rPr>
              <w:t>(74)</w:t>
            </w:r>
          </w:p>
        </w:tc>
        <w:tc>
          <w:tcPr>
            <w:tcW w:w="40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60" w:type="dxa"/>
            <w:vAlign w:val="bottom"/>
            <w:gridSpan w:val="4"/>
            <w:shd w:val="clear" w:color="auto" w:fill="DBDBDB"/>
          </w:tcPr>
          <w:p>
            <w:pPr>
              <w:jc w:val="right"/>
              <w:ind w:right="20"/>
              <w:spacing w:after="0"/>
              <w:rPr>
                <w:sz w:val="20"/>
                <w:szCs w:val="20"/>
                <w:color w:val="auto"/>
              </w:rPr>
            </w:pPr>
            <w:r>
              <w:rPr>
                <w:rFonts w:ascii="Arial" w:cs="Arial" w:eastAsia="Arial" w:hAnsi="Arial"/>
                <w:sz w:val="14"/>
                <w:szCs w:val="14"/>
                <w:color w:val="auto"/>
              </w:rPr>
              <w:t>(68)</w:t>
            </w:r>
          </w:p>
        </w:tc>
        <w:tc>
          <w:tcPr>
            <w:tcW w:w="120" w:type="dxa"/>
            <w:vAlign w:val="bottom"/>
            <w:shd w:val="clear" w:color="auto" w:fill="D9D9D6"/>
          </w:tcPr>
          <w:p>
            <w:pPr>
              <w:spacing w:after="0"/>
              <w:rPr>
                <w:sz w:val="16"/>
                <w:szCs w:val="16"/>
                <w:color w:val="auto"/>
              </w:rPr>
            </w:pPr>
          </w:p>
        </w:tc>
      </w:tr>
      <w:tr>
        <w:trPr>
          <w:trHeight w:val="203"/>
        </w:trPr>
        <w:tc>
          <w:tcPr>
            <w:tcW w:w="120" w:type="dxa"/>
            <w:vAlign w:val="bottom"/>
            <w:shd w:val="clear" w:color="auto" w:fill="D9D9D6"/>
          </w:tcPr>
          <w:p>
            <w:pPr>
              <w:spacing w:after="0"/>
              <w:rPr>
                <w:sz w:val="17"/>
                <w:szCs w:val="17"/>
                <w:color w:val="auto"/>
              </w:rPr>
            </w:pPr>
          </w:p>
        </w:tc>
        <w:tc>
          <w:tcPr>
            <w:tcW w:w="6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Residential Connectivity &amp; Platforms Customer Relationships</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17,847</w:t>
            </w:r>
          </w:p>
        </w:tc>
        <w:tc>
          <w:tcPr>
            <w:tcW w:w="20" w:type="dxa"/>
            <w:vAlign w:val="bottom"/>
            <w:shd w:val="clear" w:color="auto" w:fill="DBDBDB"/>
          </w:tcPr>
          <w:p>
            <w:pPr>
              <w:spacing w:after="0"/>
              <w:rPr>
                <w:sz w:val="17"/>
                <w:szCs w:val="17"/>
                <w:color w:val="auto"/>
              </w:rPr>
            </w:pPr>
          </w:p>
        </w:tc>
        <w:tc>
          <w:tcPr>
            <w:tcW w:w="88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17,939</w:t>
            </w:r>
          </w:p>
        </w:tc>
        <w:tc>
          <w:tcPr>
            <w:tcW w:w="1380" w:type="dxa"/>
            <w:vAlign w:val="bottom"/>
            <w:gridSpan w:val="4"/>
            <w:shd w:val="clear" w:color="auto" w:fill="DBDBDB"/>
          </w:tcPr>
          <w:p>
            <w:pPr>
              <w:jc w:val="right"/>
              <w:spacing w:after="0"/>
              <w:rPr>
                <w:sz w:val="20"/>
                <w:szCs w:val="20"/>
                <w:color w:val="auto"/>
              </w:rPr>
            </w:pPr>
            <w:r>
              <w:rPr>
                <w:rFonts w:ascii="Arial" w:cs="Arial" w:eastAsia="Arial" w:hAnsi="Arial"/>
                <w:sz w:val="14"/>
                <w:szCs w:val="14"/>
                <w:color w:val="auto"/>
              </w:rPr>
              <w:t>(111)</w:t>
            </w:r>
          </w:p>
        </w:tc>
        <w:tc>
          <w:tcPr>
            <w:tcW w:w="4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60" w:type="dxa"/>
            <w:vAlign w:val="bottom"/>
            <w:gridSpan w:val="4"/>
            <w:shd w:val="clear" w:color="auto" w:fill="DBDBDB"/>
          </w:tcPr>
          <w:p>
            <w:pPr>
              <w:jc w:val="right"/>
              <w:ind w:right="60"/>
              <w:spacing w:after="0"/>
              <w:rPr>
                <w:sz w:val="20"/>
                <w:szCs w:val="20"/>
                <w:color w:val="auto"/>
              </w:rPr>
            </w:pPr>
            <w:r>
              <w:rPr>
                <w:rFonts w:ascii="Arial" w:cs="Arial" w:eastAsia="Arial" w:hAnsi="Arial"/>
                <w:sz w:val="14"/>
                <w:szCs w:val="14"/>
                <w:color w:val="auto"/>
              </w:rPr>
              <w:t>55</w:t>
            </w: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692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Connectivity Customer Relationships</w:t>
            </w:r>
          </w:p>
        </w:tc>
        <w:tc>
          <w:tcPr>
            <w:tcW w:w="8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auto"/>
              </w:rPr>
              <w:t>2,641</w:t>
            </w:r>
          </w:p>
        </w:tc>
        <w:tc>
          <w:tcPr>
            <w:tcW w:w="2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2,625</w:t>
            </w:r>
          </w:p>
        </w:tc>
        <w:tc>
          <w:tcPr>
            <w:tcW w:w="1380" w:type="dxa"/>
            <w:vAlign w:val="bottom"/>
            <w:tcBorders>
              <w:bottom w:val="single" w:sz="8" w:color="auto"/>
            </w:tcBorders>
            <w:gridSpan w:val="4"/>
            <w:shd w:val="clear" w:color="auto" w:fill="DBDBDB"/>
          </w:tcPr>
          <w:p>
            <w:pPr>
              <w:jc w:val="right"/>
              <w:ind w:right="40"/>
              <w:spacing w:after="0"/>
              <w:rPr>
                <w:sz w:val="20"/>
                <w:szCs w:val="20"/>
                <w:color w:val="auto"/>
              </w:rPr>
            </w:pPr>
            <w:r>
              <w:rPr>
                <w:rFonts w:ascii="Arial" w:cs="Arial" w:eastAsia="Arial" w:hAnsi="Arial"/>
                <w:sz w:val="14"/>
                <w:szCs w:val="14"/>
                <w:color w:val="auto"/>
              </w:rPr>
              <w:t>1</w:t>
            </w:r>
          </w:p>
        </w:tc>
        <w:tc>
          <w:tcPr>
            <w:tcW w:w="40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auto"/>
            </w:tcBorders>
            <w:shd w:val="clear" w:color="auto" w:fill="DBDBDB"/>
          </w:tcPr>
          <w:p>
            <w:pPr>
              <w:spacing w:after="0"/>
              <w:rPr>
                <w:sz w:val="17"/>
                <w:szCs w:val="17"/>
                <w:color w:val="auto"/>
              </w:rPr>
            </w:pPr>
          </w:p>
        </w:tc>
        <w:tc>
          <w:tcPr>
            <w:tcW w:w="460" w:type="dxa"/>
            <w:vAlign w:val="bottom"/>
            <w:tcBorders>
              <w:bottom w:val="single" w:sz="8" w:color="auto"/>
            </w:tcBorders>
            <w:gridSpan w:val="4"/>
            <w:shd w:val="clear" w:color="auto" w:fill="DBDBDB"/>
          </w:tcPr>
          <w:p>
            <w:pPr>
              <w:jc w:val="right"/>
              <w:ind w:right="60"/>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Connectivity &amp; Platforms Customer Relationships</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52,136</w:t>
            </w:r>
          </w:p>
        </w:tc>
        <w:tc>
          <w:tcPr>
            <w:tcW w:w="20" w:type="dxa"/>
            <w:vAlign w:val="bottom"/>
            <w:shd w:val="clear" w:color="auto" w:fill="DBDBDB"/>
          </w:tcPr>
          <w:p>
            <w:pPr>
              <w:spacing w:after="0"/>
              <w:rPr>
                <w:sz w:val="17"/>
                <w:szCs w:val="17"/>
                <w:color w:val="auto"/>
              </w:rPr>
            </w:pPr>
          </w:p>
        </w:tc>
        <w:tc>
          <w:tcPr>
            <w:tcW w:w="88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52,425</w:t>
            </w:r>
          </w:p>
        </w:tc>
        <w:tc>
          <w:tcPr>
            <w:tcW w:w="1380" w:type="dxa"/>
            <w:vAlign w:val="bottom"/>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(183)</w:t>
            </w:r>
          </w:p>
        </w:tc>
        <w:tc>
          <w:tcPr>
            <w:tcW w:w="4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60" w:type="dxa"/>
            <w:vAlign w:val="bottom"/>
            <w:gridSpan w:val="4"/>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Domestic Broadband</w:t>
            </w:r>
          </w:p>
        </w:tc>
        <w:tc>
          <w:tcPr>
            <w:tcW w:w="520" w:type="dxa"/>
            <w:vAlign w:val="bottom"/>
            <w:shd w:val="clear" w:color="auto" w:fill="DBDBDB"/>
          </w:tcPr>
          <w:p>
            <w:pPr>
              <w:spacing w:after="0"/>
              <w:rPr>
                <w:sz w:val="24"/>
                <w:szCs w:val="24"/>
                <w:color w:val="auto"/>
              </w:rPr>
            </w:pPr>
          </w:p>
        </w:tc>
        <w:tc>
          <w:tcPr>
            <w:tcW w:w="36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460" w:type="dxa"/>
            <w:vAlign w:val="bottom"/>
            <w:shd w:val="clear" w:color="auto" w:fill="DBDBDB"/>
          </w:tcPr>
          <w:p>
            <w:pPr>
              <w:spacing w:after="0"/>
              <w:rPr>
                <w:sz w:val="24"/>
                <w:szCs w:val="24"/>
                <w:color w:val="auto"/>
              </w:rPr>
            </w:pPr>
          </w:p>
        </w:tc>
        <w:tc>
          <w:tcPr>
            <w:tcW w:w="36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640" w:type="dxa"/>
            <w:vAlign w:val="bottom"/>
            <w:shd w:val="clear" w:color="auto" w:fill="DBDBDB"/>
          </w:tcPr>
          <w:p>
            <w:pPr>
              <w:spacing w:after="0"/>
              <w:rPr>
                <w:sz w:val="24"/>
                <w:szCs w:val="24"/>
                <w:color w:val="auto"/>
              </w:rPr>
            </w:pPr>
          </w:p>
        </w:tc>
        <w:tc>
          <w:tcPr>
            <w:tcW w:w="40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40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280" w:type="dxa"/>
            <w:vAlign w:val="bottom"/>
            <w:shd w:val="clear" w:color="auto" w:fill="DBDBDB"/>
          </w:tcPr>
          <w:p>
            <w:pPr>
              <w:spacing w:after="0"/>
              <w:rPr>
                <w:sz w:val="24"/>
                <w:szCs w:val="24"/>
                <w:color w:val="auto"/>
              </w:rPr>
            </w:pPr>
          </w:p>
        </w:tc>
        <w:tc>
          <w:tcPr>
            <w:tcW w:w="40" w:type="dxa"/>
            <w:vAlign w:val="bottom"/>
            <w:shd w:val="clear" w:color="auto" w:fill="DBDBDB"/>
          </w:tcPr>
          <w:p>
            <w:pPr>
              <w:spacing w:after="0"/>
              <w:rPr>
                <w:sz w:val="24"/>
                <w:szCs w:val="24"/>
                <w:color w:val="auto"/>
              </w:rPr>
            </w:pPr>
          </w:p>
        </w:tc>
        <w:tc>
          <w:tcPr>
            <w:tcW w:w="80" w:type="dxa"/>
            <w:vAlign w:val="bottom"/>
            <w:shd w:val="clear" w:color="auto" w:fill="DBDBDB"/>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6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Customers</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29,748</w:t>
            </w:r>
          </w:p>
        </w:tc>
        <w:tc>
          <w:tcPr>
            <w:tcW w:w="20" w:type="dxa"/>
            <w:vAlign w:val="bottom"/>
            <w:shd w:val="clear" w:color="auto" w:fill="DBDBDB"/>
          </w:tcPr>
          <w:p>
            <w:pPr>
              <w:spacing w:after="0"/>
              <w:rPr>
                <w:sz w:val="17"/>
                <w:szCs w:val="17"/>
                <w:color w:val="auto"/>
              </w:rPr>
            </w:pPr>
          </w:p>
        </w:tc>
        <w:tc>
          <w:tcPr>
            <w:tcW w:w="88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29,812</w:t>
            </w:r>
          </w:p>
        </w:tc>
        <w:tc>
          <w:tcPr>
            <w:tcW w:w="1380" w:type="dxa"/>
            <w:vAlign w:val="bottom"/>
            <w:gridSpan w:val="4"/>
            <w:shd w:val="clear" w:color="auto" w:fill="DBDBDB"/>
          </w:tcPr>
          <w:p>
            <w:pPr>
              <w:jc w:val="right"/>
              <w:spacing w:after="0"/>
              <w:rPr>
                <w:sz w:val="20"/>
                <w:szCs w:val="20"/>
                <w:color w:val="auto"/>
              </w:rPr>
            </w:pPr>
            <w:r>
              <w:rPr>
                <w:rFonts w:ascii="Arial" w:cs="Arial" w:eastAsia="Arial" w:hAnsi="Arial"/>
                <w:sz w:val="14"/>
                <w:szCs w:val="14"/>
                <w:color w:val="auto"/>
              </w:rPr>
              <w:t>(31)</w:t>
            </w:r>
          </w:p>
        </w:tc>
        <w:tc>
          <w:tcPr>
            <w:tcW w:w="4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60" w:type="dxa"/>
            <w:vAlign w:val="bottom"/>
            <w:gridSpan w:val="4"/>
            <w:shd w:val="clear" w:color="auto" w:fill="DBDBDB"/>
          </w:tcPr>
          <w:p>
            <w:pPr>
              <w:jc w:val="right"/>
              <w:ind w:right="20"/>
              <w:spacing w:after="0"/>
              <w:rPr>
                <w:sz w:val="20"/>
                <w:szCs w:val="20"/>
                <w:color w:val="auto"/>
              </w:rPr>
            </w:pPr>
            <w:r>
              <w:rPr>
                <w:rFonts w:ascii="Arial" w:cs="Arial" w:eastAsia="Arial" w:hAnsi="Arial"/>
                <w:sz w:val="14"/>
                <w:szCs w:val="14"/>
                <w:color w:val="auto"/>
              </w:rPr>
              <w:t>(23)</w:t>
            </w: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692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Customers</w:t>
            </w:r>
          </w:p>
        </w:tc>
        <w:tc>
          <w:tcPr>
            <w:tcW w:w="8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auto"/>
              </w:rPr>
              <w:t>2,505</w:t>
            </w:r>
          </w:p>
        </w:tc>
        <w:tc>
          <w:tcPr>
            <w:tcW w:w="2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2,507</w:t>
            </w:r>
          </w:p>
        </w:tc>
        <w:tc>
          <w:tcPr>
            <w:tcW w:w="1380" w:type="dxa"/>
            <w:vAlign w:val="bottom"/>
            <w:tcBorders>
              <w:bottom w:val="single" w:sz="8" w:color="auto"/>
            </w:tcBorders>
            <w:gridSpan w:val="4"/>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40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auto"/>
            </w:tcBorders>
            <w:shd w:val="clear" w:color="auto" w:fill="DBDBDB"/>
          </w:tcPr>
          <w:p>
            <w:pPr>
              <w:spacing w:after="0"/>
              <w:rPr>
                <w:sz w:val="17"/>
                <w:szCs w:val="17"/>
                <w:color w:val="auto"/>
              </w:rPr>
            </w:pPr>
          </w:p>
        </w:tc>
        <w:tc>
          <w:tcPr>
            <w:tcW w:w="400" w:type="dxa"/>
            <w:vAlign w:val="bottom"/>
            <w:tcBorders>
              <w:bottom w:val="single" w:sz="8" w:color="auto"/>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Broadband Customers</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32,253</w:t>
            </w:r>
          </w:p>
        </w:tc>
        <w:tc>
          <w:tcPr>
            <w:tcW w:w="20" w:type="dxa"/>
            <w:vAlign w:val="bottom"/>
            <w:shd w:val="clear" w:color="auto" w:fill="DBDBDB"/>
          </w:tcPr>
          <w:p>
            <w:pPr>
              <w:spacing w:after="0"/>
              <w:rPr>
                <w:sz w:val="17"/>
                <w:szCs w:val="17"/>
                <w:color w:val="auto"/>
              </w:rPr>
            </w:pPr>
          </w:p>
        </w:tc>
        <w:tc>
          <w:tcPr>
            <w:tcW w:w="88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32,319</w:t>
            </w:r>
          </w:p>
        </w:tc>
        <w:tc>
          <w:tcPr>
            <w:tcW w:w="1380" w:type="dxa"/>
            <w:vAlign w:val="bottom"/>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(34)</w:t>
            </w:r>
          </w:p>
        </w:tc>
        <w:tc>
          <w:tcPr>
            <w:tcW w:w="4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60" w:type="dxa"/>
            <w:vAlign w:val="bottom"/>
            <w:gridSpan w:val="4"/>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(23)</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Wireless Lines</w:t>
            </w: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6,588</w:t>
            </w:r>
          </w:p>
        </w:tc>
        <w:tc>
          <w:tcPr>
            <w:tcW w:w="20" w:type="dxa"/>
            <w:vAlign w:val="bottom"/>
            <w:shd w:val="clear" w:color="auto" w:fill="DBDBDB"/>
          </w:tcPr>
          <w:p>
            <w:pPr>
              <w:spacing w:after="0"/>
              <w:rPr>
                <w:sz w:val="24"/>
                <w:szCs w:val="24"/>
                <w:color w:val="auto"/>
              </w:rPr>
            </w:pPr>
          </w:p>
        </w:tc>
        <w:tc>
          <w:tcPr>
            <w:tcW w:w="88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5,313</w:t>
            </w:r>
          </w:p>
        </w:tc>
        <w:tc>
          <w:tcPr>
            <w:tcW w:w="1380" w:type="dxa"/>
            <w:vAlign w:val="bottom"/>
            <w:gridSpan w:val="4"/>
            <w:shd w:val="clear" w:color="auto" w:fill="DBDBDB"/>
          </w:tcPr>
          <w:p>
            <w:pPr>
              <w:jc w:val="right"/>
              <w:ind w:right="40"/>
              <w:spacing w:after="0"/>
              <w:rPr>
                <w:sz w:val="20"/>
                <w:szCs w:val="20"/>
                <w:color w:val="auto"/>
              </w:rPr>
            </w:pPr>
            <w:r>
              <w:rPr>
                <w:rFonts w:ascii="Arial" w:cs="Arial" w:eastAsia="Arial" w:hAnsi="Arial"/>
                <w:sz w:val="14"/>
                <w:szCs w:val="14"/>
                <w:b w:val="1"/>
                <w:bCs w:val="1"/>
                <w:color w:val="auto"/>
              </w:rPr>
              <w:t>310</w:t>
            </w:r>
          </w:p>
        </w:tc>
        <w:tc>
          <w:tcPr>
            <w:tcW w:w="40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460" w:type="dxa"/>
            <w:vAlign w:val="bottom"/>
            <w:gridSpan w:val="4"/>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365</w:t>
            </w:r>
          </w:p>
        </w:tc>
        <w:tc>
          <w:tcPr>
            <w:tcW w:w="120" w:type="dxa"/>
            <w:vAlign w:val="bottom"/>
            <w:shd w:val="clear" w:color="auto" w:fill="D9D9D6"/>
          </w:tcPr>
          <w:p>
            <w:pPr>
              <w:spacing w:after="0"/>
              <w:rPr>
                <w:sz w:val="24"/>
                <w:szCs w:val="24"/>
                <w:color w:val="auto"/>
              </w:rPr>
            </w:pPr>
          </w:p>
        </w:tc>
      </w:tr>
      <w:tr>
        <w:trPr>
          <w:trHeight w:val="455"/>
        </w:trPr>
        <w:tc>
          <w:tcPr>
            <w:tcW w:w="120" w:type="dxa"/>
            <w:vAlign w:val="bottom"/>
            <w:tcBorders>
              <w:bottom w:val="single" w:sz="8" w:color="D9D9D6"/>
            </w:tcBorders>
            <w:shd w:val="clear" w:color="auto" w:fill="D9D9D6"/>
          </w:tcPr>
          <w:p>
            <w:pPr>
              <w:spacing w:after="0"/>
              <w:rPr>
                <w:sz w:val="24"/>
                <w:szCs w:val="24"/>
                <w:color w:val="auto"/>
              </w:rPr>
            </w:pPr>
          </w:p>
        </w:tc>
        <w:tc>
          <w:tcPr>
            <w:tcW w:w="69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Video Customers</w:t>
            </w:r>
          </w:p>
        </w:tc>
        <w:tc>
          <w:tcPr>
            <w:tcW w:w="880" w:type="dxa"/>
            <w:vAlign w:val="bottom"/>
            <w:tcBorders>
              <w:bottom w:val="single" w:sz="8" w:color="D9D9D6"/>
            </w:tcBorders>
            <w:gridSpan w:val="2"/>
            <w:shd w:val="clear" w:color="auto" w:fill="DBDBDB"/>
          </w:tcPr>
          <w:p>
            <w:pPr>
              <w:jc w:val="right"/>
              <w:spacing w:after="0"/>
              <w:rPr>
                <w:sz w:val="20"/>
                <w:szCs w:val="20"/>
                <w:color w:val="auto"/>
              </w:rPr>
            </w:pPr>
            <w:r>
              <w:rPr>
                <w:rFonts w:ascii="Arial" w:cs="Arial" w:eastAsia="Arial" w:hAnsi="Arial"/>
                <w:sz w:val="14"/>
                <w:szCs w:val="14"/>
                <w:b w:val="1"/>
                <w:bCs w:val="1"/>
                <w:color w:val="auto"/>
              </w:rPr>
              <w:t>14,106</w:t>
            </w:r>
          </w:p>
        </w:tc>
        <w:tc>
          <w:tcPr>
            <w:tcW w:w="20" w:type="dxa"/>
            <w:vAlign w:val="bottom"/>
            <w:tcBorders>
              <w:bottom w:val="single" w:sz="8" w:color="D9D9D6"/>
            </w:tcBorders>
            <w:shd w:val="clear" w:color="auto" w:fill="DBDBDB"/>
          </w:tcPr>
          <w:p>
            <w:pPr>
              <w:spacing w:after="0"/>
              <w:rPr>
                <w:sz w:val="24"/>
                <w:szCs w:val="24"/>
                <w:color w:val="auto"/>
              </w:rPr>
            </w:pPr>
          </w:p>
        </w:tc>
        <w:tc>
          <w:tcPr>
            <w:tcW w:w="880" w:type="dxa"/>
            <w:vAlign w:val="bottom"/>
            <w:tcBorders>
              <w:bottom w:val="single" w:sz="8" w:color="D9D9D6"/>
            </w:tcBorders>
            <w:gridSpan w:val="3"/>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16,142</w:t>
            </w:r>
          </w:p>
        </w:tc>
        <w:tc>
          <w:tcPr>
            <w:tcW w:w="1380" w:type="dxa"/>
            <w:vAlign w:val="bottom"/>
            <w:tcBorders>
              <w:bottom w:val="single" w:sz="8" w:color="D9D9D6"/>
            </w:tcBorders>
            <w:gridSpan w:val="4"/>
            <w:shd w:val="clear" w:color="auto" w:fill="DBDBDB"/>
          </w:tcPr>
          <w:p>
            <w:pPr>
              <w:jc w:val="right"/>
              <w:spacing w:after="0"/>
              <w:rPr>
                <w:sz w:val="20"/>
                <w:szCs w:val="20"/>
                <w:color w:val="auto"/>
              </w:rPr>
            </w:pPr>
            <w:r>
              <w:rPr>
                <w:rFonts w:ascii="Arial" w:cs="Arial" w:eastAsia="Arial" w:hAnsi="Arial"/>
                <w:sz w:val="14"/>
                <w:szCs w:val="14"/>
                <w:b w:val="1"/>
                <w:bCs w:val="1"/>
                <w:color w:val="auto"/>
              </w:rPr>
              <w:t>(389)</w:t>
            </w:r>
          </w:p>
        </w:tc>
        <w:tc>
          <w:tcPr>
            <w:tcW w:w="400" w:type="dxa"/>
            <w:vAlign w:val="bottom"/>
            <w:tcBorders>
              <w:bottom w:val="single" w:sz="8" w:color="D9D9D6"/>
            </w:tcBorders>
            <w:shd w:val="clear" w:color="auto" w:fill="DBDBDB"/>
          </w:tcPr>
          <w:p>
            <w:pPr>
              <w:spacing w:after="0"/>
              <w:rPr>
                <w:sz w:val="24"/>
                <w:szCs w:val="24"/>
                <w:color w:val="auto"/>
              </w:rPr>
            </w:pPr>
          </w:p>
        </w:tc>
        <w:tc>
          <w:tcPr>
            <w:tcW w:w="60" w:type="dxa"/>
            <w:vAlign w:val="bottom"/>
            <w:tcBorders>
              <w:bottom w:val="single" w:sz="8" w:color="D9D9D6"/>
            </w:tcBorders>
            <w:shd w:val="clear" w:color="auto" w:fill="DBDBDB"/>
          </w:tcPr>
          <w:p>
            <w:pPr>
              <w:spacing w:after="0"/>
              <w:rPr>
                <w:sz w:val="24"/>
                <w:szCs w:val="24"/>
                <w:color w:val="auto"/>
              </w:rPr>
            </w:pPr>
          </w:p>
        </w:tc>
        <w:tc>
          <w:tcPr>
            <w:tcW w:w="460" w:type="dxa"/>
            <w:vAlign w:val="bottom"/>
            <w:tcBorders>
              <w:bottom w:val="single" w:sz="8" w:color="D9D9D6"/>
            </w:tcBorders>
            <w:gridSpan w:val="4"/>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(440)</w:t>
            </w:r>
          </w:p>
        </w:tc>
        <w:tc>
          <w:tcPr>
            <w:tcW w:w="120" w:type="dxa"/>
            <w:vAlign w:val="bottom"/>
            <w:tcBorders>
              <w:bottom w:val="single" w:sz="8" w:color="D9D9D6"/>
            </w:tcBorders>
            <w:shd w:val="clear" w:color="auto" w:fill="D9D9D6"/>
          </w:tcPr>
          <w:p>
            <w:pPr>
              <w:spacing w:after="0"/>
              <w:rPr>
                <w:sz w:val="24"/>
                <w:szCs w:val="24"/>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for Connectivity &amp; Platforms decreased by 183,000 to 52.1 million, reflecting decreases in Residential</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Connectivity &amp; Platforms customer relationships. Total domestic broadband customer net losses were 34,000, total domestic wireless line net additions were 310,000 and total domestic video customer net losses were 389,000.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6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080" w:type="dxa"/>
            <w:vAlign w:val="bottom"/>
            <w:gridSpan w:val="4"/>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8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00" w:type="dxa"/>
            <w:vAlign w:val="bottom"/>
            <w:shd w:val="clear" w:color="auto" w:fill="D9D9D6"/>
          </w:tcPr>
          <w:p>
            <w:pPr>
              <w:spacing w:after="0"/>
              <w:rPr>
                <w:sz w:val="12"/>
                <w:szCs w:val="12"/>
                <w:color w:val="auto"/>
              </w:rPr>
            </w:pPr>
          </w:p>
        </w:tc>
        <w:tc>
          <w:tcPr>
            <w:tcW w:w="6780" w:type="dxa"/>
            <w:vAlign w:val="bottom"/>
            <w:shd w:val="clear" w:color="auto" w:fill="D9D9D6"/>
          </w:tcPr>
          <w:p>
            <w:pPr>
              <w:spacing w:after="0"/>
              <w:rPr>
                <w:sz w:val="12"/>
                <w:szCs w:val="12"/>
                <w:color w:val="auto"/>
              </w:rPr>
            </w:pPr>
          </w:p>
        </w:tc>
        <w:tc>
          <w:tcPr>
            <w:tcW w:w="76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80" w:type="dxa"/>
            <w:vAlign w:val="bottom"/>
            <w:shd w:val="clear" w:color="auto" w:fill="D9D9D6"/>
          </w:tcPr>
          <w:p>
            <w:pPr>
              <w:spacing w:after="0"/>
              <w:rPr>
                <w:sz w:val="12"/>
                <w:szCs w:val="12"/>
                <w:color w:val="auto"/>
              </w:rPr>
            </w:pPr>
          </w:p>
        </w:tc>
        <w:tc>
          <w:tcPr>
            <w:tcW w:w="900" w:type="dxa"/>
            <w:vAlign w:val="bottom"/>
            <w:gridSpan w:val="4"/>
            <w:vMerge w:val="restart"/>
            <w:shd w:val="clear" w:color="auto" w:fill="D9D9D6"/>
          </w:tcPr>
          <w:p>
            <w:pPr>
              <w:jc w:val="right"/>
              <w:ind w:right="133"/>
              <w:spacing w:after="0"/>
              <w:rPr>
                <w:sz w:val="20"/>
                <w:szCs w:val="20"/>
                <w:color w:val="auto"/>
              </w:rPr>
            </w:pPr>
            <w:r>
              <w:rPr>
                <w:rFonts w:ascii="Arial" w:cs="Arial" w:eastAsia="Arial" w:hAnsi="Arial"/>
                <w:sz w:val="14"/>
                <w:szCs w:val="14"/>
                <w:color w:val="auto"/>
                <w:w w:val="98"/>
              </w:rPr>
              <w:t>4th Quarter</w:t>
            </w:r>
          </w:p>
        </w:tc>
        <w:tc>
          <w:tcPr>
            <w:tcW w:w="48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80" w:type="dxa"/>
            <w:vAlign w:val="bottom"/>
            <w:gridSpan w:val="4"/>
            <w:vMerge w:val="continue"/>
            <w:shd w:val="clear" w:color="auto" w:fill="D9D9D6"/>
          </w:tcPr>
          <w:p>
            <w:pPr>
              <w:spacing w:after="0"/>
              <w:rPr>
                <w:sz w:val="12"/>
                <w:szCs w:val="12"/>
                <w:color w:val="auto"/>
              </w:rPr>
            </w:pPr>
          </w:p>
        </w:tc>
        <w:tc>
          <w:tcPr>
            <w:tcW w:w="18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00" w:type="dxa"/>
            <w:vAlign w:val="bottom"/>
            <w:shd w:val="clear" w:color="auto" w:fill="D9D9D6"/>
          </w:tcPr>
          <w:p>
            <w:pPr>
              <w:spacing w:after="0"/>
              <w:rPr>
                <w:sz w:val="6"/>
                <w:szCs w:val="6"/>
                <w:color w:val="auto"/>
              </w:rPr>
            </w:pPr>
          </w:p>
        </w:tc>
        <w:tc>
          <w:tcPr>
            <w:tcW w:w="6780" w:type="dxa"/>
            <w:vAlign w:val="bottom"/>
            <w:shd w:val="clear" w:color="auto" w:fill="D9D9D6"/>
          </w:tcPr>
          <w:p>
            <w:pPr>
              <w:spacing w:after="0"/>
              <w:rPr>
                <w:sz w:val="6"/>
                <w:szCs w:val="6"/>
                <w:color w:val="auto"/>
              </w:rPr>
            </w:pPr>
          </w:p>
        </w:tc>
        <w:tc>
          <w:tcPr>
            <w:tcW w:w="76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80" w:type="dxa"/>
            <w:vAlign w:val="bottom"/>
            <w:shd w:val="clear" w:color="auto" w:fill="D9D9D6"/>
          </w:tcPr>
          <w:p>
            <w:pPr>
              <w:spacing w:after="0"/>
              <w:rPr>
                <w:sz w:val="6"/>
                <w:szCs w:val="6"/>
                <w:color w:val="auto"/>
              </w:rPr>
            </w:pPr>
          </w:p>
        </w:tc>
        <w:tc>
          <w:tcPr>
            <w:tcW w:w="900" w:type="dxa"/>
            <w:vAlign w:val="bottom"/>
            <w:gridSpan w:val="4"/>
            <w:vMerge w:val="continue"/>
            <w:shd w:val="clear" w:color="auto" w:fill="D9D9D6"/>
          </w:tcPr>
          <w:p>
            <w:pPr>
              <w:spacing w:after="0"/>
              <w:rPr>
                <w:sz w:val="6"/>
                <w:szCs w:val="6"/>
                <w:color w:val="auto"/>
              </w:rPr>
            </w:pPr>
          </w:p>
        </w:tc>
        <w:tc>
          <w:tcPr>
            <w:tcW w:w="48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80" w:type="dxa"/>
            <w:vAlign w:val="bottom"/>
            <w:gridSpan w:val="4"/>
            <w:vMerge w:val="restart"/>
            <w:shd w:val="clear" w:color="auto" w:fill="D9D9D6"/>
          </w:tcPr>
          <w:p>
            <w:pPr>
              <w:jc w:val="right"/>
              <w:ind w:right="60"/>
              <w:spacing w:after="0" w:line="126" w:lineRule="exact"/>
              <w:rPr>
                <w:sz w:val="20"/>
                <w:szCs w:val="20"/>
                <w:color w:val="auto"/>
              </w:rPr>
            </w:pPr>
            <w:r>
              <w:rPr>
                <w:rFonts w:ascii="Arial" w:cs="Arial" w:eastAsia="Arial" w:hAnsi="Arial"/>
                <w:sz w:val="14"/>
                <w:szCs w:val="14"/>
                <w:color w:val="auto"/>
              </w:rPr>
              <w:t>Currency</w:t>
            </w:r>
          </w:p>
        </w:tc>
        <w:tc>
          <w:tcPr>
            <w:tcW w:w="18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D9D9D6"/>
            </w:tcBorders>
            <w:shd w:val="clear" w:color="auto" w:fill="D9D9D6"/>
          </w:tcPr>
          <w:p>
            <w:pPr>
              <w:spacing w:after="0"/>
              <w:rPr>
                <w:sz w:val="4"/>
                <w:szCs w:val="4"/>
                <w:color w:val="auto"/>
              </w:rPr>
            </w:pPr>
          </w:p>
        </w:tc>
        <w:tc>
          <w:tcPr>
            <w:tcW w:w="6780" w:type="dxa"/>
            <w:vAlign w:val="bottom"/>
            <w:tcBorders>
              <w:bottom w:val="single" w:sz="8" w:color="D9D9D6"/>
            </w:tcBorders>
            <w:shd w:val="clear" w:color="auto" w:fill="D9D9D6"/>
          </w:tcPr>
          <w:p>
            <w:pPr>
              <w:spacing w:after="0"/>
              <w:rPr>
                <w:sz w:val="4"/>
                <w:szCs w:val="4"/>
                <w:color w:val="auto"/>
              </w:rPr>
            </w:pPr>
          </w:p>
        </w:tc>
        <w:tc>
          <w:tcPr>
            <w:tcW w:w="760" w:type="dxa"/>
            <w:vAlign w:val="bottom"/>
            <w:tcBorders>
              <w:bottom w:val="single" w:sz="8" w:color="D9D9D6"/>
            </w:tcBorders>
            <w:shd w:val="clear" w:color="auto" w:fill="D9D9D6"/>
          </w:tcPr>
          <w:p>
            <w:pPr>
              <w:spacing w:after="0"/>
              <w:rPr>
                <w:sz w:val="4"/>
                <w:szCs w:val="4"/>
                <w:color w:val="auto"/>
              </w:rPr>
            </w:pPr>
          </w:p>
        </w:tc>
        <w:tc>
          <w:tcPr>
            <w:tcW w:w="32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80" w:type="dxa"/>
            <w:vAlign w:val="bottom"/>
            <w:tcBorders>
              <w:bottom w:val="single" w:sz="8" w:color="D9D9D6"/>
            </w:tcBorders>
            <w:shd w:val="clear" w:color="auto" w:fill="D9D9D6"/>
          </w:tcPr>
          <w:p>
            <w:pPr>
              <w:spacing w:after="0"/>
              <w:rPr>
                <w:sz w:val="4"/>
                <w:szCs w:val="4"/>
                <w:color w:val="auto"/>
              </w:rPr>
            </w:pPr>
          </w:p>
        </w:tc>
        <w:tc>
          <w:tcPr>
            <w:tcW w:w="500" w:type="dxa"/>
            <w:vAlign w:val="bottom"/>
            <w:tcBorders>
              <w:bottom w:val="single" w:sz="8" w:color="D9D9D6"/>
            </w:tcBorders>
            <w:shd w:val="clear" w:color="auto" w:fill="000000"/>
          </w:tcPr>
          <w:p>
            <w:pPr>
              <w:spacing w:after="0"/>
              <w:rPr>
                <w:sz w:val="4"/>
                <w:szCs w:val="4"/>
                <w:color w:val="auto"/>
              </w:rPr>
            </w:pPr>
          </w:p>
        </w:tc>
        <w:tc>
          <w:tcPr>
            <w:tcW w:w="220" w:type="dxa"/>
            <w:vAlign w:val="bottom"/>
            <w:tcBorders>
              <w:bottom w:val="single" w:sz="8" w:color="D9D9D6"/>
            </w:tcBorders>
            <w:shd w:val="clear" w:color="auto" w:fill="000000"/>
          </w:tcPr>
          <w:p>
            <w:pPr>
              <w:spacing w:after="0"/>
              <w:rPr>
                <w:sz w:val="4"/>
                <w:szCs w:val="4"/>
                <w:color w:val="auto"/>
              </w:rPr>
            </w:pPr>
          </w:p>
        </w:tc>
        <w:tc>
          <w:tcPr>
            <w:tcW w:w="100" w:type="dxa"/>
            <w:vAlign w:val="bottom"/>
            <w:tcBorders>
              <w:bottom w:val="single" w:sz="8" w:color="D9D9D6"/>
            </w:tcBorders>
            <w:shd w:val="clear" w:color="auto" w:fill="D9D9D6"/>
          </w:tcPr>
          <w:p>
            <w:pPr>
              <w:spacing w:after="0"/>
              <w:rPr>
                <w:sz w:val="4"/>
                <w:szCs w:val="4"/>
                <w:color w:val="auto"/>
              </w:rPr>
            </w:pPr>
          </w:p>
        </w:tc>
        <w:tc>
          <w:tcPr>
            <w:tcW w:w="80" w:type="dxa"/>
            <w:vAlign w:val="bottom"/>
            <w:tcBorders>
              <w:bottom w:val="single" w:sz="8" w:color="D9D9D6"/>
            </w:tcBorders>
            <w:shd w:val="clear" w:color="auto" w:fill="D9D9D6"/>
          </w:tcPr>
          <w:p>
            <w:pPr>
              <w:spacing w:after="0"/>
              <w:rPr>
                <w:sz w:val="4"/>
                <w:szCs w:val="4"/>
                <w:color w:val="auto"/>
              </w:rPr>
            </w:pPr>
          </w:p>
        </w:tc>
        <w:tc>
          <w:tcPr>
            <w:tcW w:w="480" w:type="dxa"/>
            <w:vAlign w:val="bottom"/>
            <w:tcBorders>
              <w:bottom w:val="single" w:sz="8" w:color="D9D9D6"/>
            </w:tcBorders>
            <w:shd w:val="clear" w:color="auto" w:fill="D9D9D6"/>
          </w:tcPr>
          <w:p>
            <w:pPr>
              <w:spacing w:after="0"/>
              <w:rPr>
                <w:sz w:val="4"/>
                <w:szCs w:val="4"/>
                <w:color w:val="auto"/>
              </w:rPr>
            </w:pPr>
          </w:p>
        </w:tc>
        <w:tc>
          <w:tcPr>
            <w:tcW w:w="320" w:type="dxa"/>
            <w:vAlign w:val="bottom"/>
            <w:tcBorders>
              <w:bottom w:val="single" w:sz="8" w:color="D9D9D6"/>
            </w:tcBorders>
            <w:shd w:val="clear" w:color="auto" w:fill="D9D9D6"/>
          </w:tcPr>
          <w:p>
            <w:pPr>
              <w:spacing w:after="0"/>
              <w:rPr>
                <w:sz w:val="4"/>
                <w:szCs w:val="4"/>
                <w:color w:val="auto"/>
              </w:rPr>
            </w:pPr>
          </w:p>
        </w:tc>
        <w:tc>
          <w:tcPr>
            <w:tcW w:w="20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1080" w:type="dxa"/>
            <w:vAlign w:val="bottom"/>
            <w:tcBorders>
              <w:bottom w:val="single" w:sz="8" w:color="D9D9D6"/>
            </w:tcBorders>
            <w:gridSpan w:val="4"/>
            <w:vMerge w:val="continue"/>
            <w:shd w:val="clear" w:color="auto" w:fill="D9D9D6"/>
          </w:tcPr>
          <w:p>
            <w:pPr>
              <w:spacing w:after="0"/>
              <w:rPr>
                <w:sz w:val="4"/>
                <w:szCs w:val="4"/>
                <w:color w:val="auto"/>
              </w:rPr>
            </w:pPr>
          </w:p>
        </w:tc>
        <w:tc>
          <w:tcPr>
            <w:tcW w:w="180" w:type="dxa"/>
            <w:vAlign w:val="bottom"/>
            <w:tcBorders>
              <w:bottom w:val="single" w:sz="8" w:color="D9D9D6"/>
            </w:tcBorders>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00" w:type="dxa"/>
            <w:vAlign w:val="bottom"/>
            <w:tcBorders>
              <w:bottom w:val="single" w:sz="8" w:color="D9D9D6"/>
            </w:tcBorders>
            <w:shd w:val="clear" w:color="auto" w:fill="D9D9D6"/>
          </w:tcPr>
          <w:p>
            <w:pPr>
              <w:spacing w:after="0"/>
              <w:rPr>
                <w:sz w:val="15"/>
                <w:szCs w:val="15"/>
                <w:color w:val="auto"/>
              </w:rPr>
            </w:pPr>
          </w:p>
        </w:tc>
        <w:tc>
          <w:tcPr>
            <w:tcW w:w="6780" w:type="dxa"/>
            <w:vAlign w:val="bottom"/>
            <w:tcBorders>
              <w:bottom w:val="single" w:sz="8" w:color="D9D9D6"/>
            </w:tcBorders>
            <w:shd w:val="clear" w:color="auto" w:fill="D9D9D6"/>
          </w:tcPr>
          <w:p>
            <w:pPr>
              <w:spacing w:after="0"/>
              <w:rPr>
                <w:sz w:val="15"/>
                <w:szCs w:val="15"/>
                <w:color w:val="auto"/>
              </w:rPr>
            </w:pPr>
          </w:p>
        </w:tc>
        <w:tc>
          <w:tcPr>
            <w:tcW w:w="7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auto"/>
            </w:tcBorders>
            <w:shd w:val="clear" w:color="auto" w:fill="D9D9D6"/>
          </w:tcPr>
          <w:p>
            <w:pPr>
              <w:jc w:val="right"/>
              <w:spacing w:after="0" w:line="120" w:lineRule="exact"/>
              <w:rPr>
                <w:sz w:val="20"/>
                <w:szCs w:val="20"/>
                <w:color w:val="auto"/>
              </w:rPr>
            </w:pPr>
            <w:r>
              <w:rPr>
                <w:rFonts w:ascii="Arial" w:cs="Arial" w:eastAsia="Arial" w:hAnsi="Arial"/>
                <w:sz w:val="13"/>
                <w:szCs w:val="13"/>
                <w:color w:val="auto"/>
              </w:rPr>
              <w:t>2023</w:t>
            </w:r>
          </w:p>
        </w:tc>
        <w:tc>
          <w:tcPr>
            <w:tcW w:w="20" w:type="dxa"/>
            <w:vAlign w:val="bottom"/>
            <w:tcBorders>
              <w:bottom w:val="single" w:sz="8" w:color="D9D9D6"/>
            </w:tcBorders>
            <w:shd w:val="clear" w:color="auto" w:fill="D9D9D6"/>
          </w:tcPr>
          <w:p>
            <w:pPr>
              <w:spacing w:after="0"/>
              <w:rPr>
                <w:sz w:val="15"/>
                <w:szCs w:val="15"/>
                <w:color w:val="auto"/>
              </w:rPr>
            </w:pPr>
          </w:p>
        </w:tc>
        <w:tc>
          <w:tcPr>
            <w:tcW w:w="580" w:type="dxa"/>
            <w:vAlign w:val="bottom"/>
            <w:tcBorders>
              <w:bottom w:val="single" w:sz="8" w:color="D9D9D6"/>
            </w:tcBorders>
            <w:gridSpan w:val="2"/>
            <w:shd w:val="clear" w:color="auto" w:fill="D9D9D6"/>
          </w:tcPr>
          <w:p>
            <w:pPr>
              <w:spacing w:after="0"/>
              <w:rPr>
                <w:sz w:val="15"/>
                <w:szCs w:val="15"/>
                <w:color w:val="auto"/>
              </w:rPr>
            </w:pPr>
          </w:p>
        </w:tc>
        <w:tc>
          <w:tcPr>
            <w:tcW w:w="320" w:type="dxa"/>
            <w:vAlign w:val="bottom"/>
            <w:tcBorders>
              <w:bottom w:val="single" w:sz="8" w:color="auto"/>
            </w:tcBorders>
            <w:gridSpan w:val="2"/>
            <w:shd w:val="clear" w:color="auto" w:fill="D9D9D6"/>
          </w:tcPr>
          <w:p>
            <w:pPr>
              <w:jc w:val="right"/>
              <w:spacing w:after="0" w:line="120" w:lineRule="exact"/>
              <w:rPr>
                <w:sz w:val="20"/>
                <w:szCs w:val="20"/>
                <w:color w:val="auto"/>
              </w:rPr>
            </w:pPr>
            <w:r>
              <w:rPr>
                <w:rFonts w:ascii="Arial" w:cs="Arial" w:eastAsia="Arial" w:hAnsi="Arial"/>
                <w:sz w:val="13"/>
                <w:szCs w:val="13"/>
                <w:color w:val="auto"/>
              </w:rPr>
              <w:t>2022</w:t>
            </w:r>
          </w:p>
        </w:tc>
        <w:tc>
          <w:tcPr>
            <w:tcW w:w="8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9"/>
                <w:szCs w:val="9"/>
                <w:color w:val="auto"/>
                <w:w w:val="78"/>
              </w:rPr>
              <w:t>5</w:t>
            </w:r>
          </w:p>
        </w:tc>
        <w:tc>
          <w:tcPr>
            <w:tcW w:w="480" w:type="dxa"/>
            <w:vAlign w:val="bottom"/>
            <w:tcBorders>
              <w:bottom w:val="single" w:sz="8" w:color="D9D9D6"/>
            </w:tcBorders>
            <w:shd w:val="clear" w:color="auto" w:fill="D9D9D6"/>
          </w:tcPr>
          <w:p>
            <w:pPr>
              <w:spacing w:after="0"/>
              <w:rPr>
                <w:sz w:val="15"/>
                <w:szCs w:val="15"/>
                <w:color w:val="auto"/>
              </w:rPr>
            </w:pPr>
          </w:p>
        </w:tc>
        <w:tc>
          <w:tcPr>
            <w:tcW w:w="520" w:type="dxa"/>
            <w:vAlign w:val="bottom"/>
            <w:tcBorders>
              <w:bottom w:val="single" w:sz="8" w:color="auto"/>
            </w:tcBorders>
            <w:gridSpan w:val="2"/>
            <w:shd w:val="clear" w:color="auto" w:fill="D9D9D6"/>
          </w:tcPr>
          <w:p>
            <w:pPr>
              <w:jc w:val="right"/>
              <w:spacing w:after="0" w:line="120" w:lineRule="exact"/>
              <w:rPr>
                <w:sz w:val="20"/>
                <w:szCs w:val="20"/>
                <w:color w:val="auto"/>
              </w:rPr>
            </w:pPr>
            <w:r>
              <w:rPr>
                <w:rFonts w:ascii="Arial" w:cs="Arial" w:eastAsia="Arial" w:hAnsi="Arial"/>
                <w:sz w:val="13"/>
                <w:szCs w:val="13"/>
                <w:color w:val="auto"/>
              </w:rPr>
              <w:t>Change</w:t>
            </w:r>
          </w:p>
        </w:tc>
        <w:tc>
          <w:tcPr>
            <w:tcW w:w="20" w:type="dxa"/>
            <w:vAlign w:val="bottom"/>
            <w:tcBorders>
              <w:bottom w:val="single" w:sz="8" w:color="D9D9D6"/>
            </w:tcBorders>
            <w:shd w:val="clear" w:color="auto" w:fill="D9D9D6"/>
          </w:tcPr>
          <w:p>
            <w:pPr>
              <w:spacing w:after="0"/>
              <w:rPr>
                <w:sz w:val="15"/>
                <w:szCs w:val="15"/>
                <w:color w:val="auto"/>
              </w:rPr>
            </w:pPr>
          </w:p>
        </w:tc>
        <w:tc>
          <w:tcPr>
            <w:tcW w:w="1080" w:type="dxa"/>
            <w:vAlign w:val="bottom"/>
            <w:tcBorders>
              <w:bottom w:val="single" w:sz="8" w:color="D9D9D6"/>
            </w:tcBorders>
            <w:gridSpan w:val="4"/>
            <w:shd w:val="clear" w:color="auto" w:fill="D9D9D6"/>
          </w:tcPr>
          <w:p>
            <w:pPr>
              <w:jc w:val="right"/>
              <w:ind w:right="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6</w:t>
            </w:r>
          </w:p>
        </w:tc>
        <w:tc>
          <w:tcPr>
            <w:tcW w:w="180" w:type="dxa"/>
            <w:vAlign w:val="bottom"/>
            <w:tcBorders>
              <w:bottom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518"/>
        </w:trPr>
        <w:tc>
          <w:tcPr>
            <w:tcW w:w="100" w:type="dxa"/>
            <w:vAlign w:val="bottom"/>
            <w:tcBorders>
              <w:top w:val="single" w:sz="8" w:color="D9D9D6"/>
            </w:tcBorders>
            <w:shd w:val="clear" w:color="auto" w:fill="D9D9D6"/>
          </w:tcPr>
          <w:p>
            <w:pPr>
              <w:spacing w:after="0"/>
              <w:rPr>
                <w:sz w:val="24"/>
                <w:szCs w:val="24"/>
                <w:color w:val="auto"/>
              </w:rPr>
            </w:pPr>
          </w:p>
        </w:tc>
        <w:tc>
          <w:tcPr>
            <w:tcW w:w="678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76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D9D9D6"/>
            </w:tcBorders>
            <w:shd w:val="clear" w:color="auto" w:fill="D9D9D6"/>
          </w:tcPr>
          <w:p>
            <w:pPr>
              <w:spacing w:after="0"/>
              <w:rPr>
                <w:sz w:val="24"/>
                <w:szCs w:val="24"/>
                <w:color w:val="auto"/>
              </w:rPr>
            </w:pPr>
          </w:p>
        </w:tc>
        <w:tc>
          <w:tcPr>
            <w:tcW w:w="220" w:type="dxa"/>
            <w:vAlign w:val="bottom"/>
            <w:tcBorders>
              <w:top w:val="single" w:sz="8" w:color="D9D9D6"/>
            </w:tcBorders>
            <w:shd w:val="clear" w:color="auto" w:fill="D9D9D6"/>
          </w:tcPr>
          <w:p>
            <w:pPr>
              <w:spacing w:after="0"/>
              <w:rPr>
                <w:sz w:val="24"/>
                <w:szCs w:val="24"/>
                <w:color w:val="auto"/>
              </w:rPr>
            </w:pPr>
          </w:p>
        </w:tc>
        <w:tc>
          <w:tcPr>
            <w:tcW w:w="100" w:type="dxa"/>
            <w:vAlign w:val="bottom"/>
            <w:tcBorders>
              <w:top w:val="single" w:sz="8" w:color="D9D9D6"/>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48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20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D9D9D6"/>
            </w:tcBorders>
            <w:shd w:val="clear" w:color="auto" w:fill="D9D9D6"/>
          </w:tcPr>
          <w:p>
            <w:pPr>
              <w:spacing w:after="0"/>
              <w:rPr>
                <w:sz w:val="24"/>
                <w:szCs w:val="24"/>
                <w:color w:val="auto"/>
              </w:rPr>
            </w:pPr>
          </w:p>
        </w:tc>
        <w:tc>
          <w:tcPr>
            <w:tcW w:w="360" w:type="dxa"/>
            <w:vAlign w:val="bottom"/>
            <w:tcBorders>
              <w:top w:val="single" w:sz="8" w:color="auto"/>
            </w:tcBorders>
            <w:shd w:val="clear" w:color="auto" w:fill="D9D9D6"/>
          </w:tcPr>
          <w:p>
            <w:pPr>
              <w:spacing w:after="0"/>
              <w:rPr>
                <w:sz w:val="24"/>
                <w:szCs w:val="24"/>
                <w:color w:val="auto"/>
              </w:rPr>
            </w:pPr>
          </w:p>
        </w:tc>
        <w:tc>
          <w:tcPr>
            <w:tcW w:w="140" w:type="dxa"/>
            <w:vAlign w:val="bottom"/>
            <w:tcBorders>
              <w:top w:val="single" w:sz="8" w:color="auto"/>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Broadband</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$6,403</w:t>
            </w:r>
          </w:p>
        </w:tc>
        <w:tc>
          <w:tcPr>
            <w:tcW w:w="980" w:type="dxa"/>
            <w:vAlign w:val="bottom"/>
            <w:gridSpan w:val="5"/>
            <w:shd w:val="clear" w:color="auto" w:fill="D9D9D6"/>
          </w:tcPr>
          <w:p>
            <w:pPr>
              <w:jc w:val="right"/>
              <w:spacing w:after="0"/>
              <w:rPr>
                <w:sz w:val="20"/>
                <w:szCs w:val="20"/>
                <w:color w:val="auto"/>
              </w:rPr>
            </w:pPr>
            <w:r>
              <w:rPr>
                <w:rFonts w:ascii="Arial" w:cs="Arial" w:eastAsia="Arial" w:hAnsi="Arial"/>
                <w:sz w:val="14"/>
                <w:szCs w:val="14"/>
                <w:color w:val="auto"/>
              </w:rPr>
              <w:t>$6,177</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3.7</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3.7 %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Wireless</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1,020</w:t>
            </w:r>
          </w:p>
        </w:tc>
        <w:tc>
          <w:tcPr>
            <w:tcW w:w="980" w:type="dxa"/>
            <w:vAlign w:val="bottom"/>
            <w:gridSpan w:val="5"/>
            <w:shd w:val="clear" w:color="auto" w:fill="D9D9D6"/>
          </w:tcPr>
          <w:p>
            <w:pPr>
              <w:jc w:val="right"/>
              <w:spacing w:after="0"/>
              <w:rPr>
                <w:sz w:val="20"/>
                <w:szCs w:val="20"/>
                <w:color w:val="auto"/>
              </w:rPr>
            </w:pPr>
            <w:r>
              <w:rPr>
                <w:rFonts w:ascii="Arial" w:cs="Arial" w:eastAsia="Arial" w:hAnsi="Arial"/>
                <w:sz w:val="14"/>
                <w:szCs w:val="14"/>
                <w:color w:val="auto"/>
              </w:rPr>
              <w:t>883</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15.4</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15.4 %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240"/>
              <w:spacing w:after="0"/>
              <w:rPr>
                <w:sz w:val="20"/>
                <w:szCs w:val="20"/>
                <w:color w:val="auto"/>
              </w:rPr>
            </w:pPr>
            <w:r>
              <w:rPr>
                <w:rFonts w:ascii="Arial" w:cs="Arial" w:eastAsia="Arial" w:hAnsi="Arial"/>
                <w:sz w:val="14"/>
                <w:szCs w:val="14"/>
                <w:color w:val="auto"/>
              </w:rPr>
              <w:t>International Connectivity</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1,197</w:t>
            </w:r>
          </w:p>
        </w:tc>
        <w:tc>
          <w:tcPr>
            <w:tcW w:w="980" w:type="dxa"/>
            <w:vAlign w:val="bottom"/>
            <w:tcBorders>
              <w:bottom w:val="single" w:sz="8" w:color="auto"/>
            </w:tcBorders>
            <w:gridSpan w:val="5"/>
            <w:shd w:val="clear" w:color="auto" w:fill="D9D9D6"/>
          </w:tcPr>
          <w:p>
            <w:pPr>
              <w:jc w:val="right"/>
              <w:spacing w:after="0"/>
              <w:rPr>
                <w:sz w:val="20"/>
                <w:szCs w:val="20"/>
                <w:color w:val="auto"/>
              </w:rPr>
            </w:pPr>
            <w:r>
              <w:rPr>
                <w:rFonts w:ascii="Arial" w:cs="Arial" w:eastAsia="Arial" w:hAnsi="Arial"/>
                <w:sz w:val="14"/>
                <w:szCs w:val="14"/>
                <w:color w:val="auto"/>
              </w:rPr>
              <w:t>953</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25.7</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19.0</w:t>
            </w:r>
          </w:p>
        </w:tc>
        <w:tc>
          <w:tcPr>
            <w:tcW w:w="14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0" w:type="dxa"/>
            <w:vAlign w:val="bottom"/>
            <w:shd w:val="clear" w:color="auto" w:fill="D9D9D6"/>
          </w:tcPr>
          <w:p>
            <w:pPr>
              <w:spacing w:after="0"/>
              <w:rPr>
                <w:sz w:val="16"/>
                <w:szCs w:val="16"/>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Total Residential Connectivity</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8,620</w:t>
            </w:r>
          </w:p>
        </w:tc>
        <w:tc>
          <w:tcPr>
            <w:tcW w:w="980" w:type="dxa"/>
            <w:vAlign w:val="bottom"/>
            <w:gridSpan w:val="5"/>
            <w:shd w:val="clear" w:color="auto" w:fill="D9D9D6"/>
          </w:tcPr>
          <w:p>
            <w:pPr>
              <w:jc w:val="right"/>
              <w:spacing w:after="0"/>
              <w:rPr>
                <w:sz w:val="20"/>
                <w:szCs w:val="20"/>
                <w:color w:val="auto"/>
              </w:rPr>
            </w:pPr>
            <w:r>
              <w:rPr>
                <w:rFonts w:ascii="Arial" w:cs="Arial" w:eastAsia="Arial" w:hAnsi="Arial"/>
                <w:sz w:val="14"/>
                <w:szCs w:val="14"/>
                <w:color w:val="auto"/>
              </w:rPr>
              <w:t>8,013</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7.6</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6.9</w:t>
            </w:r>
          </w:p>
        </w:tc>
        <w:tc>
          <w:tcPr>
            <w:tcW w:w="140" w:type="dxa"/>
            <w:vAlign w:val="bottom"/>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Video</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6,903</w:t>
            </w:r>
          </w:p>
        </w:tc>
        <w:tc>
          <w:tcPr>
            <w:tcW w:w="980" w:type="dxa"/>
            <w:vAlign w:val="bottom"/>
            <w:gridSpan w:val="5"/>
            <w:shd w:val="clear" w:color="auto" w:fill="D9D9D6"/>
          </w:tcPr>
          <w:p>
            <w:pPr>
              <w:jc w:val="right"/>
              <w:spacing w:after="0"/>
              <w:rPr>
                <w:sz w:val="20"/>
                <w:szCs w:val="20"/>
                <w:color w:val="auto"/>
              </w:rPr>
            </w:pPr>
            <w:r>
              <w:rPr>
                <w:rFonts w:ascii="Arial" w:cs="Arial" w:eastAsia="Arial" w:hAnsi="Arial"/>
                <w:sz w:val="14"/>
                <w:szCs w:val="14"/>
                <w:color w:val="auto"/>
              </w:rPr>
              <w:t>7,273</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(5.1</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(6.5</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Advertising</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1,109</w:t>
            </w:r>
          </w:p>
        </w:tc>
        <w:tc>
          <w:tcPr>
            <w:tcW w:w="980" w:type="dxa"/>
            <w:vAlign w:val="bottom"/>
            <w:gridSpan w:val="5"/>
            <w:shd w:val="clear" w:color="auto" w:fill="D9D9D6"/>
          </w:tcPr>
          <w:p>
            <w:pPr>
              <w:jc w:val="right"/>
              <w:spacing w:after="0"/>
              <w:rPr>
                <w:sz w:val="20"/>
                <w:szCs w:val="20"/>
                <w:color w:val="auto"/>
              </w:rPr>
            </w:pPr>
            <w:r>
              <w:rPr>
                <w:rFonts w:ascii="Arial" w:cs="Arial" w:eastAsia="Arial" w:hAnsi="Arial"/>
                <w:sz w:val="14"/>
                <w:szCs w:val="14"/>
                <w:color w:val="auto"/>
              </w:rPr>
              <w:t>1,283</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(13.6</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(15.0</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1,426</w:t>
            </w:r>
          </w:p>
        </w:tc>
        <w:tc>
          <w:tcPr>
            <w:tcW w:w="980" w:type="dxa"/>
            <w:vAlign w:val="bottom"/>
            <w:tcBorders>
              <w:bottom w:val="single" w:sz="8" w:color="auto"/>
            </w:tcBorders>
            <w:gridSpan w:val="5"/>
            <w:shd w:val="clear" w:color="auto" w:fill="D9D9D6"/>
          </w:tcPr>
          <w:p>
            <w:pPr>
              <w:jc w:val="right"/>
              <w:spacing w:after="0"/>
              <w:rPr>
                <w:sz w:val="20"/>
                <w:szCs w:val="20"/>
                <w:color w:val="auto"/>
              </w:rPr>
            </w:pPr>
            <w:r>
              <w:rPr>
                <w:rFonts w:ascii="Arial" w:cs="Arial" w:eastAsia="Arial" w:hAnsi="Arial"/>
                <w:sz w:val="14"/>
                <w:szCs w:val="14"/>
                <w:color w:val="auto"/>
              </w:rPr>
              <w:t>1,512</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(5.7</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(7.0</w:t>
            </w:r>
          </w:p>
        </w:tc>
        <w:tc>
          <w:tcPr>
            <w:tcW w:w="22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$18,058</w:t>
            </w:r>
          </w:p>
        </w:tc>
        <w:tc>
          <w:tcPr>
            <w:tcW w:w="980" w:type="dxa"/>
            <w:vAlign w:val="bottom"/>
            <w:gridSpan w:val="5"/>
            <w:shd w:val="clear" w:color="auto" w:fill="D9D9D6"/>
          </w:tcPr>
          <w:p>
            <w:pPr>
              <w:jc w:val="right"/>
              <w:spacing w:after="0"/>
              <w:rPr>
                <w:sz w:val="20"/>
                <w:szCs w:val="20"/>
                <w:color w:val="auto"/>
              </w:rPr>
            </w:pPr>
            <w:r>
              <w:rPr>
                <w:rFonts w:ascii="Arial" w:cs="Arial" w:eastAsia="Arial" w:hAnsi="Arial"/>
                <w:sz w:val="14"/>
                <w:szCs w:val="14"/>
                <w:b w:val="1"/>
                <w:bCs w:val="1"/>
                <w:color w:val="auto"/>
              </w:rPr>
              <w:t>$18,081</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(0.1</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(1.3</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00" w:type="dxa"/>
            <w:vAlign w:val="bottom"/>
            <w:shd w:val="clear" w:color="auto" w:fill="D9D9D6"/>
          </w:tcPr>
          <w:p>
            <w:pPr>
              <w:spacing w:after="0"/>
              <w:rPr>
                <w:sz w:val="24"/>
                <w:szCs w:val="24"/>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Operating Expenses</w:t>
            </w:r>
          </w:p>
        </w:tc>
        <w:tc>
          <w:tcPr>
            <w:tcW w:w="7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4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Programming</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$4,429</w:t>
            </w:r>
          </w:p>
        </w:tc>
        <w:tc>
          <w:tcPr>
            <w:tcW w:w="980" w:type="dxa"/>
            <w:vAlign w:val="bottom"/>
            <w:gridSpan w:val="5"/>
            <w:shd w:val="clear" w:color="auto" w:fill="D9D9D6"/>
          </w:tcPr>
          <w:p>
            <w:pPr>
              <w:jc w:val="right"/>
              <w:spacing w:after="0"/>
              <w:rPr>
                <w:sz w:val="20"/>
                <w:szCs w:val="20"/>
                <w:color w:val="auto"/>
              </w:rPr>
            </w:pPr>
            <w:r>
              <w:rPr>
                <w:rFonts w:ascii="Arial" w:cs="Arial" w:eastAsia="Arial" w:hAnsi="Arial"/>
                <w:sz w:val="14"/>
                <w:szCs w:val="14"/>
                <w:color w:val="auto"/>
              </w:rPr>
              <w:t>$4,473</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(2.5 %)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Non-Programming</w:t>
            </w:r>
          </w:p>
        </w:tc>
        <w:tc>
          <w:tcPr>
            <w:tcW w:w="11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7,353</w:t>
            </w:r>
          </w:p>
        </w:tc>
        <w:tc>
          <w:tcPr>
            <w:tcW w:w="980" w:type="dxa"/>
            <w:vAlign w:val="bottom"/>
            <w:tcBorders>
              <w:bottom w:val="single" w:sz="8" w:color="auto"/>
            </w:tcBorders>
            <w:gridSpan w:val="5"/>
            <w:shd w:val="clear" w:color="auto" w:fill="D9D9D6"/>
          </w:tcPr>
          <w:p>
            <w:pPr>
              <w:jc w:val="right"/>
              <w:spacing w:after="0"/>
              <w:rPr>
                <w:sz w:val="20"/>
                <w:szCs w:val="20"/>
                <w:color w:val="auto"/>
              </w:rPr>
            </w:pPr>
            <w:r>
              <w:rPr>
                <w:rFonts w:ascii="Arial" w:cs="Arial" w:eastAsia="Arial" w:hAnsi="Arial"/>
                <w:sz w:val="14"/>
                <w:szCs w:val="14"/>
                <w:color w:val="auto"/>
              </w:rPr>
              <w:t>7,536</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(2.4</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080" w:type="dxa"/>
            <w:vAlign w:val="bottom"/>
            <w:tcBorders>
              <w:bottom w:val="single" w:sz="8" w:color="auto"/>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(4.1 %)</w:t>
            </w: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$11,782</w:t>
            </w:r>
          </w:p>
        </w:tc>
        <w:tc>
          <w:tcPr>
            <w:tcW w:w="980" w:type="dxa"/>
            <w:vAlign w:val="bottom"/>
            <w:gridSpan w:val="5"/>
            <w:shd w:val="clear" w:color="auto" w:fill="D9D9D6"/>
          </w:tcPr>
          <w:p>
            <w:pPr>
              <w:jc w:val="right"/>
              <w:spacing w:after="0"/>
              <w:rPr>
                <w:sz w:val="20"/>
                <w:szCs w:val="20"/>
                <w:color w:val="auto"/>
              </w:rPr>
            </w:pPr>
            <w:r>
              <w:rPr>
                <w:rFonts w:ascii="Arial" w:cs="Arial" w:eastAsia="Arial" w:hAnsi="Arial"/>
                <w:sz w:val="14"/>
                <w:szCs w:val="14"/>
                <w:b w:val="1"/>
                <w:bCs w:val="1"/>
                <w:color w:val="auto"/>
              </w:rPr>
              <w:t>$12,009</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(1.9</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(3.5 %)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100" w:type="dxa"/>
            <w:vAlign w:val="bottom"/>
            <w:shd w:val="clear" w:color="auto" w:fill="D9D9D6"/>
          </w:tcPr>
          <w:p>
            <w:pPr>
              <w:spacing w:after="0"/>
              <w:rPr>
                <w:sz w:val="24"/>
                <w:szCs w:val="24"/>
                <w:color w:val="auto"/>
              </w:rPr>
            </w:pPr>
          </w:p>
        </w:tc>
        <w:tc>
          <w:tcPr>
            <w:tcW w:w="678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11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$6,276</w:t>
            </w:r>
          </w:p>
        </w:tc>
        <w:tc>
          <w:tcPr>
            <w:tcW w:w="980" w:type="dxa"/>
            <w:vAlign w:val="bottom"/>
            <w:gridSpan w:val="5"/>
            <w:shd w:val="clear" w:color="auto" w:fill="D9D9D6"/>
          </w:tcPr>
          <w:p>
            <w:pPr>
              <w:jc w:val="right"/>
              <w:spacing w:after="0"/>
              <w:rPr>
                <w:sz w:val="20"/>
                <w:szCs w:val="20"/>
                <w:color w:val="auto"/>
              </w:rPr>
            </w:pPr>
            <w:r>
              <w:rPr>
                <w:rFonts w:ascii="Arial" w:cs="Arial" w:eastAsia="Arial" w:hAnsi="Arial"/>
                <w:sz w:val="14"/>
                <w:szCs w:val="14"/>
                <w:b w:val="1"/>
                <w:bCs w:val="1"/>
                <w:color w:val="auto"/>
              </w:rPr>
              <w:t>$6,073</w:t>
            </w: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3.3 %</w:t>
            </w:r>
          </w:p>
        </w:tc>
        <w:tc>
          <w:tcPr>
            <w:tcW w:w="20" w:type="dxa"/>
            <w:vAlign w:val="bottom"/>
            <w:shd w:val="clear" w:color="auto" w:fill="D9D9D6"/>
          </w:tcPr>
          <w:p>
            <w:pPr>
              <w:spacing w:after="0"/>
              <w:rPr>
                <w:sz w:val="24"/>
                <w:szCs w:val="24"/>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3.3 %</w:t>
            </w: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34.8 %</w:t>
            </w:r>
          </w:p>
        </w:tc>
        <w:tc>
          <w:tcPr>
            <w:tcW w:w="20" w:type="dxa"/>
            <w:vAlign w:val="bottom"/>
            <w:shd w:val="clear" w:color="auto" w:fill="D9D9D6"/>
          </w:tcPr>
          <w:p>
            <w:pPr>
              <w:spacing w:after="0"/>
              <w:rPr>
                <w:sz w:val="17"/>
                <w:szCs w:val="17"/>
                <w:color w:val="auto"/>
              </w:rPr>
            </w:pPr>
          </w:p>
        </w:tc>
        <w:tc>
          <w:tcPr>
            <w:tcW w:w="980" w:type="dxa"/>
            <w:vAlign w:val="bottom"/>
            <w:gridSpan w:val="5"/>
            <w:shd w:val="clear" w:color="auto" w:fill="D9D9D6"/>
          </w:tcPr>
          <w:p>
            <w:pPr>
              <w:jc w:val="right"/>
              <w:spacing w:after="0"/>
              <w:rPr>
                <w:sz w:val="20"/>
                <w:szCs w:val="20"/>
                <w:color w:val="auto"/>
              </w:rPr>
            </w:pPr>
            <w:r>
              <w:rPr>
                <w:rFonts w:ascii="Arial" w:cs="Arial" w:eastAsia="Arial" w:hAnsi="Arial"/>
                <w:sz w:val="14"/>
                <w:szCs w:val="14"/>
                <w:color w:val="auto"/>
              </w:rPr>
              <w:t>33.6 %</w:t>
            </w:r>
          </w:p>
        </w:tc>
        <w:tc>
          <w:tcPr>
            <w:tcW w:w="10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120 bps</w:t>
            </w:r>
          </w:p>
        </w:tc>
        <w:tc>
          <w:tcPr>
            <w:tcW w:w="500" w:type="dxa"/>
            <w:vAlign w:val="bottom"/>
            <w:shd w:val="clear" w:color="auto" w:fill="D9D9D6"/>
          </w:tcPr>
          <w:p>
            <w:pPr>
              <w:spacing w:after="0"/>
              <w:rPr>
                <w:sz w:val="17"/>
                <w:szCs w:val="17"/>
                <w:color w:val="auto"/>
              </w:rPr>
            </w:pPr>
          </w:p>
        </w:tc>
        <w:tc>
          <w:tcPr>
            <w:tcW w:w="5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160 bps</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780" w:type="dxa"/>
            <w:vAlign w:val="bottom"/>
            <w:shd w:val="clear" w:color="auto" w:fill="D9D9D6"/>
          </w:tcPr>
          <w:p>
            <w:pPr>
              <w:spacing w:after="0"/>
              <w:rPr>
                <w:sz w:val="5"/>
                <w:szCs w:val="5"/>
                <w:color w:val="auto"/>
              </w:rPr>
            </w:pPr>
          </w:p>
        </w:tc>
        <w:tc>
          <w:tcPr>
            <w:tcW w:w="76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220" w:type="dxa"/>
            <w:vAlign w:val="bottom"/>
            <w:shd w:val="clear" w:color="auto" w:fill="D9D9D6"/>
          </w:tcPr>
          <w:p>
            <w:pPr>
              <w:spacing w:after="0"/>
              <w:rPr>
                <w:sz w:val="5"/>
                <w:szCs w:val="5"/>
                <w:color w:val="auto"/>
              </w:rPr>
            </w:pPr>
          </w:p>
        </w:tc>
        <w:tc>
          <w:tcPr>
            <w:tcW w:w="10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48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Change percentages represent year/year growth rates. Change in Adjusted EBITDA margin is presented as year/year basis point changes.</w:t>
      </w:r>
    </w:p>
    <w:p>
      <w:pPr>
        <w:spacing w:after="0" w:line="3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Residential Connectivity &amp; Platforms was consistent compared to the prior year period, but decreased when excluding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positive impact of foreign currency. Growth in residential connectivity revenue was driven by: international connectivity revenue due to increases in wireless revenue, reflecting higher sales of wireless devices and services, and in broadband revenue, as well as the positive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impact of foreign currency; domestic broadband revenue due to higher average rates; and domestic wireless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564" w:right="339" w:bottom="1440" w:gutter="0" w:footer="0" w:header="0"/>
        </w:sectPr>
      </w:pPr>
    </w:p>
    <w:bookmarkStart w:id="6" w:name="page7"/>
    <w:bookmarkEnd w:id="6"/>
    <w:p>
      <w:pPr>
        <w:jc w:val="both"/>
        <w:spacing w:after="0" w:line="233" w:lineRule="auto"/>
        <w:rPr>
          <w:sz w:val="20"/>
          <w:szCs w:val="20"/>
          <w:color w:val="auto"/>
        </w:rPr>
      </w:pPr>
      <w:r>
        <w:rPr>
          <w:rFonts w:ascii="Arial" w:cs="Arial" w:eastAsia="Arial" w:hAnsi="Arial"/>
          <w:sz w:val="18"/>
          <w:szCs w:val="18"/>
          <w:color w:val="auto"/>
        </w:rPr>
        <w:t>revenue due to an increase in the number of customer lines. The growth in residential connectivity revenue was offset by: a decrease in video revenue due to a decline in the number of video customers, partially offset by an increase in average rates and the positive impact of foreign currency; lower advertising revenue primarily due to a decline in domestic political advertising; and lower other revenue primarily due to lower residential wireline voice revenue, driven by a decline in the number of customers.</w:t>
      </w:r>
    </w:p>
    <w:p>
      <w:pPr>
        <w:spacing w:after="0" w:line="20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Residential Connectivity &amp; Platforms increased 3.3%, including $380 million of severance and other in the quarter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$449 million of severance in the prior year period. Programming expenses decreased primarily due to the decline in the number of domestic video customers, partially offset by domestic contractual rate increases, an increase in programming expenses for international sports networks and the impact of foreign currency. Non-programming expenses decreased primarily due to lower spending on marketing and</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promotion, lower fees paid to third-party channels related to advertising sales, lower technical and support costs, and lower severance and other. These decreases were partially offset by increased direct product costs associated with our wireless service, from increases in device sales and the number of customers receiving our wireless service, and by the impact of foreign currency. Excluding severance and other and</w:t>
      </w:r>
    </w:p>
    <w:p>
      <w:pPr>
        <w:spacing w:after="0" w:line="181" w:lineRule="auto"/>
        <w:rPr>
          <w:sz w:val="20"/>
          <w:szCs w:val="20"/>
          <w:color w:val="auto"/>
        </w:rPr>
      </w:pPr>
      <w:r>
        <w:rPr>
          <w:rFonts w:ascii="Arial" w:cs="Arial" w:eastAsia="Arial" w:hAnsi="Arial"/>
          <w:sz w:val="18"/>
          <w:szCs w:val="18"/>
          <w:color w:val="auto"/>
        </w:rPr>
        <w:t>the impact of foreign currency</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Adjusted EBITDA increased 1.9%.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increased 120 basis points to 34.8%.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Excluding severance and other and the impact of foreign currency</w:t>
      </w:r>
      <w:r>
        <w:rPr>
          <w:rFonts w:ascii="Arial" w:cs="Arial" w:eastAsia="Arial" w:hAnsi="Arial"/>
          <w:sz w:val="23"/>
          <w:szCs w:val="23"/>
          <w:color w:val="auto"/>
          <w:vertAlign w:val="superscript"/>
        </w:rPr>
        <w:t>7</w:t>
      </w:r>
      <w:r>
        <w:rPr>
          <w:rFonts w:ascii="Arial" w:cs="Arial" w:eastAsia="Arial" w:hAnsi="Arial"/>
          <w:sz w:val="18"/>
          <w:szCs w:val="18"/>
          <w:color w:val="auto"/>
        </w:rPr>
        <w:t>, Adjusted EBITDA margin increased 120 basis points.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80" w:type="dxa"/>
            <w:vAlign w:val="bottom"/>
            <w:shd w:val="clear" w:color="auto" w:fill="D9D9D6"/>
          </w:tcPr>
          <w:p>
            <w:pPr>
              <w:spacing w:after="0"/>
              <w:rPr>
                <w:sz w:val="19"/>
                <w:szCs w:val="19"/>
                <w:color w:val="auto"/>
              </w:rPr>
            </w:pPr>
          </w:p>
        </w:tc>
        <w:tc>
          <w:tcPr>
            <w:tcW w:w="420" w:type="dxa"/>
            <w:vAlign w:val="bottom"/>
            <w:shd w:val="clear" w:color="auto" w:fill="D9D9D6"/>
          </w:tcPr>
          <w:p>
            <w:pPr>
              <w:spacing w:after="0"/>
              <w:rPr>
                <w:sz w:val="19"/>
                <w:szCs w:val="19"/>
                <w:color w:val="auto"/>
              </w:rPr>
            </w:pPr>
          </w:p>
        </w:tc>
        <w:tc>
          <w:tcPr>
            <w:tcW w:w="320" w:type="dxa"/>
            <w:vAlign w:val="bottom"/>
            <w:tcBorders>
              <w:right w:val="single" w:sz="8" w:color="D9D9D6"/>
            </w:tcBorders>
            <w:shd w:val="clear" w:color="auto" w:fill="D9D9D6"/>
          </w:tcPr>
          <w:p>
            <w:pPr>
              <w:spacing w:after="0"/>
              <w:rPr>
                <w:sz w:val="19"/>
                <w:szCs w:val="19"/>
                <w:color w:val="auto"/>
              </w:rPr>
            </w:pPr>
          </w:p>
        </w:tc>
        <w:tc>
          <w:tcPr>
            <w:tcW w:w="80" w:type="dxa"/>
            <w:vAlign w:val="bottom"/>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060" w:type="dxa"/>
            <w:vAlign w:val="bottom"/>
            <w:tcBorders>
              <w:right w:val="single" w:sz="8" w:color="D9D9D6"/>
            </w:tcBorders>
            <w:gridSpan w:val="2"/>
            <w:vMerge w:val="restart"/>
            <w:shd w:val="clear" w:color="auto" w:fill="D9D9D6"/>
          </w:tcPr>
          <w:p>
            <w:pPr>
              <w:ind w:left="440"/>
              <w:spacing w:after="0"/>
              <w:rPr>
                <w:sz w:val="20"/>
                <w:szCs w:val="20"/>
                <w:color w:val="auto"/>
              </w:rPr>
            </w:pPr>
            <w:r>
              <w:rPr>
                <w:rFonts w:ascii="Arial" w:cs="Arial" w:eastAsia="Arial" w:hAnsi="Arial"/>
                <w:sz w:val="14"/>
                <w:szCs w:val="14"/>
                <w:color w:val="auto"/>
              </w:rPr>
              <w:t>Constant</w:t>
            </w:r>
          </w:p>
        </w:tc>
        <w:tc>
          <w:tcPr>
            <w:tcW w:w="20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00" w:type="dxa"/>
            <w:vAlign w:val="bottom"/>
            <w:shd w:val="clear" w:color="auto" w:fill="D9D9D6"/>
          </w:tcPr>
          <w:p>
            <w:pPr>
              <w:spacing w:after="0"/>
              <w:rPr>
                <w:sz w:val="12"/>
                <w:szCs w:val="12"/>
                <w:color w:val="auto"/>
              </w:rPr>
            </w:pPr>
          </w:p>
        </w:tc>
        <w:tc>
          <w:tcPr>
            <w:tcW w:w="6820" w:type="dxa"/>
            <w:vAlign w:val="bottom"/>
            <w:shd w:val="clear" w:color="auto" w:fill="D9D9D6"/>
          </w:tcPr>
          <w:p>
            <w:pPr>
              <w:spacing w:after="0"/>
              <w:rPr>
                <w:sz w:val="12"/>
                <w:szCs w:val="12"/>
                <w:color w:val="auto"/>
              </w:rPr>
            </w:pPr>
          </w:p>
        </w:tc>
        <w:tc>
          <w:tcPr>
            <w:tcW w:w="64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00" w:type="dxa"/>
            <w:vAlign w:val="bottom"/>
            <w:gridSpan w:val="4"/>
            <w:vMerge w:val="restart"/>
            <w:shd w:val="clear" w:color="auto" w:fill="D9D9D6"/>
          </w:tcPr>
          <w:p>
            <w:pPr>
              <w:jc w:val="right"/>
              <w:ind w:right="53"/>
              <w:spacing w:after="0"/>
              <w:rPr>
                <w:sz w:val="20"/>
                <w:szCs w:val="20"/>
                <w:color w:val="auto"/>
              </w:rPr>
            </w:pPr>
            <w:r>
              <w:rPr>
                <w:rFonts w:ascii="Arial" w:cs="Arial" w:eastAsia="Arial" w:hAnsi="Arial"/>
                <w:sz w:val="14"/>
                <w:szCs w:val="14"/>
                <w:color w:val="auto"/>
              </w:rPr>
              <w:t>4th Quarter</w:t>
            </w:r>
          </w:p>
        </w:tc>
        <w:tc>
          <w:tcPr>
            <w:tcW w:w="540" w:type="dxa"/>
            <w:vAlign w:val="bottom"/>
            <w:shd w:val="clear" w:color="auto" w:fill="D9D9D6"/>
          </w:tcPr>
          <w:p>
            <w:pPr>
              <w:spacing w:after="0"/>
              <w:rPr>
                <w:sz w:val="12"/>
                <w:szCs w:val="12"/>
                <w:color w:val="auto"/>
              </w:rPr>
            </w:pPr>
          </w:p>
        </w:tc>
        <w:tc>
          <w:tcPr>
            <w:tcW w:w="360" w:type="dxa"/>
            <w:vAlign w:val="bottom"/>
            <w:shd w:val="clear" w:color="auto" w:fill="D9D9D6"/>
          </w:tcPr>
          <w:p>
            <w:pPr>
              <w:spacing w:after="0"/>
              <w:rPr>
                <w:sz w:val="12"/>
                <w:szCs w:val="12"/>
                <w:color w:val="auto"/>
              </w:rPr>
            </w:pPr>
          </w:p>
        </w:tc>
        <w:tc>
          <w:tcPr>
            <w:tcW w:w="14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60" w:type="dxa"/>
            <w:vAlign w:val="bottom"/>
            <w:tcBorders>
              <w:right w:val="single" w:sz="8" w:color="D9D9D6"/>
            </w:tcBorders>
            <w:gridSpan w:val="2"/>
            <w:vMerge w:val="continue"/>
            <w:shd w:val="clear" w:color="auto" w:fill="D9D9D6"/>
          </w:tcPr>
          <w:p>
            <w:pPr>
              <w:spacing w:after="0"/>
              <w:rPr>
                <w:sz w:val="12"/>
                <w:szCs w:val="12"/>
                <w:color w:val="auto"/>
              </w:rPr>
            </w:pPr>
          </w:p>
        </w:tc>
        <w:tc>
          <w:tcPr>
            <w:tcW w:w="20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00" w:type="dxa"/>
            <w:vAlign w:val="bottom"/>
            <w:shd w:val="clear" w:color="auto" w:fill="D9D9D6"/>
          </w:tcPr>
          <w:p>
            <w:pPr>
              <w:spacing w:after="0"/>
              <w:rPr>
                <w:sz w:val="6"/>
                <w:szCs w:val="6"/>
                <w:color w:val="auto"/>
              </w:rPr>
            </w:pPr>
          </w:p>
        </w:tc>
        <w:tc>
          <w:tcPr>
            <w:tcW w:w="6820" w:type="dxa"/>
            <w:vAlign w:val="bottom"/>
            <w:shd w:val="clear" w:color="auto" w:fill="D9D9D6"/>
          </w:tcPr>
          <w:p>
            <w:pPr>
              <w:spacing w:after="0"/>
              <w:rPr>
                <w:sz w:val="6"/>
                <w:szCs w:val="6"/>
                <w:color w:val="auto"/>
              </w:rPr>
            </w:pPr>
          </w:p>
        </w:tc>
        <w:tc>
          <w:tcPr>
            <w:tcW w:w="64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00" w:type="dxa"/>
            <w:vAlign w:val="bottom"/>
            <w:gridSpan w:val="4"/>
            <w:vMerge w:val="continue"/>
            <w:shd w:val="clear" w:color="auto" w:fill="D9D9D6"/>
          </w:tcPr>
          <w:p>
            <w:pPr>
              <w:spacing w:after="0"/>
              <w:rPr>
                <w:sz w:val="6"/>
                <w:szCs w:val="6"/>
                <w:color w:val="auto"/>
              </w:rPr>
            </w:pPr>
          </w:p>
        </w:tc>
        <w:tc>
          <w:tcPr>
            <w:tcW w:w="540" w:type="dxa"/>
            <w:vAlign w:val="bottom"/>
            <w:shd w:val="clear" w:color="auto" w:fill="D9D9D6"/>
          </w:tcPr>
          <w:p>
            <w:pPr>
              <w:spacing w:after="0"/>
              <w:rPr>
                <w:sz w:val="6"/>
                <w:szCs w:val="6"/>
                <w:color w:val="auto"/>
              </w:rPr>
            </w:pPr>
          </w:p>
        </w:tc>
        <w:tc>
          <w:tcPr>
            <w:tcW w:w="360" w:type="dxa"/>
            <w:vAlign w:val="bottom"/>
            <w:shd w:val="clear" w:color="auto" w:fill="D9D9D6"/>
          </w:tcPr>
          <w:p>
            <w:pPr>
              <w:spacing w:after="0"/>
              <w:rPr>
                <w:sz w:val="6"/>
                <w:szCs w:val="6"/>
                <w:color w:val="auto"/>
              </w:rPr>
            </w:pPr>
          </w:p>
        </w:tc>
        <w:tc>
          <w:tcPr>
            <w:tcW w:w="14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60" w:type="dxa"/>
            <w:vAlign w:val="bottom"/>
            <w:tcBorders>
              <w:right w:val="single" w:sz="8" w:color="D9D9D6"/>
            </w:tcBorders>
            <w:gridSpan w:val="2"/>
            <w:vMerge w:val="restart"/>
            <w:shd w:val="clear" w:color="auto" w:fill="D9D9D6"/>
          </w:tcPr>
          <w:p>
            <w:pPr>
              <w:ind w:left="420"/>
              <w:spacing w:after="0" w:line="126" w:lineRule="exact"/>
              <w:rPr>
                <w:sz w:val="20"/>
                <w:szCs w:val="20"/>
                <w:color w:val="auto"/>
              </w:rPr>
            </w:pPr>
            <w:r>
              <w:rPr>
                <w:rFonts w:ascii="Arial" w:cs="Arial" w:eastAsia="Arial" w:hAnsi="Arial"/>
                <w:sz w:val="14"/>
                <w:szCs w:val="14"/>
                <w:color w:val="auto"/>
              </w:rPr>
              <w:t>Currency</w:t>
            </w:r>
          </w:p>
        </w:tc>
        <w:tc>
          <w:tcPr>
            <w:tcW w:w="20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D9D9D6"/>
            </w:tcBorders>
            <w:shd w:val="clear" w:color="auto" w:fill="D9D9D6"/>
          </w:tcPr>
          <w:p>
            <w:pPr>
              <w:spacing w:after="0"/>
              <w:rPr>
                <w:sz w:val="4"/>
                <w:szCs w:val="4"/>
                <w:color w:val="auto"/>
              </w:rPr>
            </w:pPr>
          </w:p>
        </w:tc>
        <w:tc>
          <w:tcPr>
            <w:tcW w:w="6820" w:type="dxa"/>
            <w:vAlign w:val="bottom"/>
            <w:tcBorders>
              <w:bottom w:val="single" w:sz="8" w:color="D9D9D6"/>
            </w:tcBorders>
            <w:shd w:val="clear" w:color="auto" w:fill="D9D9D6"/>
          </w:tcPr>
          <w:p>
            <w:pPr>
              <w:spacing w:after="0"/>
              <w:rPr>
                <w:sz w:val="4"/>
                <w:szCs w:val="4"/>
                <w:color w:val="auto"/>
              </w:rPr>
            </w:pPr>
          </w:p>
        </w:tc>
        <w:tc>
          <w:tcPr>
            <w:tcW w:w="640" w:type="dxa"/>
            <w:vAlign w:val="bottom"/>
            <w:tcBorders>
              <w:bottom w:val="single" w:sz="8" w:color="D9D9D6"/>
            </w:tcBorders>
            <w:shd w:val="clear" w:color="auto" w:fill="D9D9D6"/>
          </w:tcPr>
          <w:p>
            <w:pPr>
              <w:spacing w:after="0"/>
              <w:rPr>
                <w:sz w:val="4"/>
                <w:szCs w:val="4"/>
                <w:color w:val="auto"/>
              </w:rPr>
            </w:pPr>
          </w:p>
        </w:tc>
        <w:tc>
          <w:tcPr>
            <w:tcW w:w="32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180" w:type="dxa"/>
            <w:vAlign w:val="bottom"/>
            <w:tcBorders>
              <w:bottom w:val="single" w:sz="8" w:color="D9D9D6"/>
            </w:tcBorders>
            <w:shd w:val="clear" w:color="auto" w:fill="D9D9D6"/>
          </w:tcPr>
          <w:p>
            <w:pPr>
              <w:spacing w:after="0"/>
              <w:rPr>
                <w:sz w:val="4"/>
                <w:szCs w:val="4"/>
                <w:color w:val="auto"/>
              </w:rPr>
            </w:pPr>
          </w:p>
        </w:tc>
        <w:tc>
          <w:tcPr>
            <w:tcW w:w="420" w:type="dxa"/>
            <w:vAlign w:val="bottom"/>
            <w:tcBorders>
              <w:bottom w:val="single" w:sz="8" w:color="D9D9D6"/>
            </w:tcBorders>
            <w:shd w:val="clear" w:color="auto" w:fill="000000"/>
          </w:tcPr>
          <w:p>
            <w:pPr>
              <w:spacing w:after="0"/>
              <w:rPr>
                <w:sz w:val="4"/>
                <w:szCs w:val="4"/>
                <w:color w:val="auto"/>
              </w:rPr>
            </w:pPr>
          </w:p>
        </w:tc>
        <w:tc>
          <w:tcPr>
            <w:tcW w:w="320" w:type="dxa"/>
            <w:vAlign w:val="bottom"/>
            <w:tcBorders>
              <w:bottom w:val="single" w:sz="8" w:color="D9D9D6"/>
              <w:right w:val="single" w:sz="8" w:color="D9D9D6"/>
            </w:tcBorders>
            <w:shd w:val="clear" w:color="auto" w:fill="000000"/>
          </w:tcPr>
          <w:p>
            <w:pPr>
              <w:spacing w:after="0"/>
              <w:rPr>
                <w:sz w:val="4"/>
                <w:szCs w:val="4"/>
                <w:color w:val="auto"/>
              </w:rPr>
            </w:pPr>
          </w:p>
        </w:tc>
        <w:tc>
          <w:tcPr>
            <w:tcW w:w="80" w:type="dxa"/>
            <w:vAlign w:val="bottom"/>
            <w:tcBorders>
              <w:bottom w:val="single" w:sz="8" w:color="D9D9D6"/>
            </w:tcBorders>
            <w:shd w:val="clear" w:color="auto" w:fill="D9D9D6"/>
          </w:tcPr>
          <w:p>
            <w:pPr>
              <w:spacing w:after="0"/>
              <w:rPr>
                <w:sz w:val="4"/>
                <w:szCs w:val="4"/>
                <w:color w:val="auto"/>
              </w:rPr>
            </w:pPr>
          </w:p>
        </w:tc>
        <w:tc>
          <w:tcPr>
            <w:tcW w:w="540" w:type="dxa"/>
            <w:vAlign w:val="bottom"/>
            <w:tcBorders>
              <w:bottom w:val="single" w:sz="8" w:color="D9D9D6"/>
            </w:tcBorders>
            <w:shd w:val="clear" w:color="auto" w:fill="D9D9D6"/>
          </w:tcPr>
          <w:p>
            <w:pPr>
              <w:spacing w:after="0"/>
              <w:rPr>
                <w:sz w:val="4"/>
                <w:szCs w:val="4"/>
                <w:color w:val="auto"/>
              </w:rPr>
            </w:pPr>
          </w:p>
        </w:tc>
        <w:tc>
          <w:tcPr>
            <w:tcW w:w="360" w:type="dxa"/>
            <w:vAlign w:val="bottom"/>
            <w:tcBorders>
              <w:bottom w:val="single" w:sz="8" w:color="D9D9D6"/>
            </w:tcBorders>
            <w:shd w:val="clear" w:color="auto" w:fill="D9D9D6"/>
          </w:tcPr>
          <w:p>
            <w:pPr>
              <w:spacing w:after="0"/>
              <w:rPr>
                <w:sz w:val="4"/>
                <w:szCs w:val="4"/>
                <w:color w:val="auto"/>
              </w:rPr>
            </w:pPr>
          </w:p>
        </w:tc>
        <w:tc>
          <w:tcPr>
            <w:tcW w:w="14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1060" w:type="dxa"/>
            <w:vAlign w:val="bottom"/>
            <w:tcBorders>
              <w:bottom w:val="single" w:sz="8" w:color="D9D9D6"/>
              <w:right w:val="single" w:sz="8" w:color="D9D9D6"/>
            </w:tcBorders>
            <w:gridSpan w:val="2"/>
            <w:vMerge w:val="continue"/>
            <w:shd w:val="clear" w:color="auto" w:fill="D9D9D6"/>
          </w:tcPr>
          <w:p>
            <w:pPr>
              <w:spacing w:after="0"/>
              <w:rPr>
                <w:sz w:val="4"/>
                <w:szCs w:val="4"/>
                <w:color w:val="auto"/>
              </w:rPr>
            </w:pPr>
          </w:p>
        </w:tc>
        <w:tc>
          <w:tcPr>
            <w:tcW w:w="200" w:type="dxa"/>
            <w:vAlign w:val="bottom"/>
            <w:tcBorders>
              <w:bottom w:val="single" w:sz="8" w:color="D9D9D6"/>
            </w:tcBorders>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100" w:type="dxa"/>
            <w:vAlign w:val="bottom"/>
            <w:tcBorders>
              <w:bottom w:val="single" w:sz="8" w:color="D9D9D6"/>
            </w:tcBorders>
            <w:shd w:val="clear" w:color="auto" w:fill="D9D9D6"/>
          </w:tcPr>
          <w:p>
            <w:pPr>
              <w:spacing w:after="0"/>
              <w:rPr>
                <w:sz w:val="13"/>
                <w:szCs w:val="13"/>
                <w:color w:val="auto"/>
              </w:rPr>
            </w:pPr>
          </w:p>
        </w:tc>
        <w:tc>
          <w:tcPr>
            <w:tcW w:w="6820" w:type="dxa"/>
            <w:vAlign w:val="bottom"/>
            <w:tcBorders>
              <w:bottom w:val="single" w:sz="8" w:color="D9D9D6"/>
            </w:tcBorders>
            <w:shd w:val="clear" w:color="auto" w:fill="D9D9D6"/>
          </w:tcPr>
          <w:p>
            <w:pPr>
              <w:spacing w:after="0"/>
              <w:rPr>
                <w:sz w:val="13"/>
                <w:szCs w:val="13"/>
                <w:color w:val="auto"/>
              </w:rPr>
            </w:pPr>
          </w:p>
        </w:tc>
        <w:tc>
          <w:tcPr>
            <w:tcW w:w="640" w:type="dxa"/>
            <w:vAlign w:val="bottom"/>
            <w:tcBorders>
              <w:bottom w:val="single" w:sz="8" w:color="D9D9D6"/>
            </w:tcBorders>
            <w:shd w:val="clear" w:color="auto" w:fill="D9D9D6"/>
          </w:tcPr>
          <w:p>
            <w:pPr>
              <w:spacing w:after="0"/>
              <w:rPr>
                <w:sz w:val="13"/>
                <w:szCs w:val="13"/>
                <w:color w:val="auto"/>
              </w:rPr>
            </w:pPr>
          </w:p>
        </w:tc>
        <w:tc>
          <w:tcPr>
            <w:tcW w:w="320" w:type="dxa"/>
            <w:vAlign w:val="bottom"/>
            <w:tcBorders>
              <w:bottom w:val="single" w:sz="8" w:color="auto"/>
            </w:tcBorders>
            <w:shd w:val="clear" w:color="auto" w:fill="D9D9D6"/>
          </w:tcPr>
          <w:p>
            <w:pPr>
              <w:jc w:val="right"/>
              <w:spacing w:after="0" w:line="120" w:lineRule="exact"/>
              <w:rPr>
                <w:sz w:val="20"/>
                <w:szCs w:val="20"/>
                <w:color w:val="auto"/>
              </w:rPr>
            </w:pPr>
            <w:r>
              <w:rPr>
                <w:rFonts w:ascii="Arial" w:cs="Arial" w:eastAsia="Arial" w:hAnsi="Arial"/>
                <w:sz w:val="13"/>
                <w:szCs w:val="13"/>
                <w:color w:val="auto"/>
              </w:rPr>
              <w:t>2023</w:t>
            </w:r>
          </w:p>
        </w:tc>
        <w:tc>
          <w:tcPr>
            <w:tcW w:w="20" w:type="dxa"/>
            <w:vAlign w:val="bottom"/>
            <w:tcBorders>
              <w:bottom w:val="single" w:sz="8" w:color="D9D9D6"/>
            </w:tcBorders>
            <w:shd w:val="clear" w:color="auto" w:fill="D9D9D6"/>
          </w:tcPr>
          <w:p>
            <w:pPr>
              <w:spacing w:after="0"/>
              <w:rPr>
                <w:sz w:val="13"/>
                <w:szCs w:val="13"/>
                <w:color w:val="auto"/>
              </w:rPr>
            </w:pPr>
          </w:p>
        </w:tc>
        <w:tc>
          <w:tcPr>
            <w:tcW w:w="600" w:type="dxa"/>
            <w:vAlign w:val="bottom"/>
            <w:tcBorders>
              <w:bottom w:val="single" w:sz="8" w:color="D9D9D6"/>
            </w:tcBorders>
            <w:gridSpan w:val="2"/>
            <w:shd w:val="clear" w:color="auto" w:fill="D9D9D6"/>
          </w:tcPr>
          <w:p>
            <w:pPr>
              <w:spacing w:after="0"/>
              <w:rPr>
                <w:sz w:val="13"/>
                <w:szCs w:val="13"/>
                <w:color w:val="auto"/>
              </w:rPr>
            </w:pPr>
          </w:p>
        </w:tc>
        <w:tc>
          <w:tcPr>
            <w:tcW w:w="320" w:type="dxa"/>
            <w:vAlign w:val="bottom"/>
            <w:tcBorders>
              <w:bottom w:val="single" w:sz="8" w:color="auto"/>
              <w:right w:val="single" w:sz="8" w:color="D9D9D6"/>
            </w:tcBorders>
            <w:shd w:val="clear" w:color="auto" w:fill="D9D9D6"/>
          </w:tcPr>
          <w:p>
            <w:pPr>
              <w:jc w:val="right"/>
              <w:spacing w:after="0" w:line="120" w:lineRule="exact"/>
              <w:rPr>
                <w:sz w:val="20"/>
                <w:szCs w:val="20"/>
                <w:color w:val="auto"/>
              </w:rPr>
            </w:pPr>
            <w:r>
              <w:rPr>
                <w:rFonts w:ascii="Arial" w:cs="Arial" w:eastAsia="Arial" w:hAnsi="Arial"/>
                <w:sz w:val="13"/>
                <w:szCs w:val="13"/>
                <w:color w:val="auto"/>
              </w:rPr>
              <w:t>2022</w:t>
            </w:r>
          </w:p>
        </w:tc>
        <w:tc>
          <w:tcPr>
            <w:tcW w:w="80" w:type="dxa"/>
            <w:vAlign w:val="bottom"/>
            <w:tcBorders>
              <w:bottom w:val="single" w:sz="8" w:color="D9D9D6"/>
            </w:tcBorders>
            <w:shd w:val="clear" w:color="auto" w:fill="D9D9D6"/>
          </w:tcPr>
          <w:p>
            <w:pPr>
              <w:jc w:val="right"/>
              <w:spacing w:after="0"/>
              <w:rPr>
                <w:sz w:val="20"/>
                <w:szCs w:val="20"/>
                <w:color w:val="auto"/>
              </w:rPr>
            </w:pPr>
            <w:r>
              <w:rPr>
                <w:rFonts w:ascii="Arial" w:cs="Arial" w:eastAsia="Arial" w:hAnsi="Arial"/>
                <w:sz w:val="9"/>
                <w:szCs w:val="9"/>
                <w:color w:val="auto"/>
                <w:w w:val="78"/>
              </w:rPr>
              <w:t>5</w:t>
            </w:r>
          </w:p>
        </w:tc>
        <w:tc>
          <w:tcPr>
            <w:tcW w:w="540" w:type="dxa"/>
            <w:vAlign w:val="bottom"/>
            <w:tcBorders>
              <w:bottom w:val="single" w:sz="8" w:color="D9D9D6"/>
            </w:tcBorders>
            <w:shd w:val="clear" w:color="auto" w:fill="D9D9D6"/>
          </w:tcPr>
          <w:p>
            <w:pPr>
              <w:spacing w:after="0"/>
              <w:rPr>
                <w:sz w:val="13"/>
                <w:szCs w:val="13"/>
                <w:color w:val="auto"/>
              </w:rPr>
            </w:pPr>
          </w:p>
        </w:tc>
        <w:tc>
          <w:tcPr>
            <w:tcW w:w="500" w:type="dxa"/>
            <w:vAlign w:val="bottom"/>
            <w:tcBorders>
              <w:bottom w:val="single" w:sz="8" w:color="auto"/>
            </w:tcBorders>
            <w:gridSpan w:val="2"/>
            <w:shd w:val="clear" w:color="auto" w:fill="D9D9D6"/>
          </w:tcPr>
          <w:p>
            <w:pPr>
              <w:jc w:val="right"/>
              <w:spacing w:after="0" w:line="120" w:lineRule="exact"/>
              <w:rPr>
                <w:sz w:val="20"/>
                <w:szCs w:val="20"/>
                <w:color w:val="auto"/>
              </w:rPr>
            </w:pPr>
            <w:r>
              <w:rPr>
                <w:rFonts w:ascii="Arial" w:cs="Arial" w:eastAsia="Arial" w:hAnsi="Arial"/>
                <w:sz w:val="13"/>
                <w:szCs w:val="13"/>
                <w:color w:val="auto"/>
              </w:rPr>
              <w:t>Change</w:t>
            </w:r>
          </w:p>
        </w:tc>
        <w:tc>
          <w:tcPr>
            <w:tcW w:w="20" w:type="dxa"/>
            <w:vAlign w:val="bottom"/>
            <w:tcBorders>
              <w:bottom w:val="single" w:sz="8" w:color="D9D9D6"/>
            </w:tcBorders>
            <w:shd w:val="clear" w:color="auto" w:fill="D9D9D6"/>
          </w:tcPr>
          <w:p>
            <w:pPr>
              <w:spacing w:after="0"/>
              <w:rPr>
                <w:sz w:val="13"/>
                <w:szCs w:val="13"/>
                <w:color w:val="auto"/>
              </w:rPr>
            </w:pPr>
          </w:p>
        </w:tc>
        <w:tc>
          <w:tcPr>
            <w:tcW w:w="1060" w:type="dxa"/>
            <w:vAlign w:val="bottom"/>
            <w:tcBorders>
              <w:bottom w:val="single" w:sz="8" w:color="D9D9D6"/>
              <w:right w:val="single" w:sz="8" w:color="D9D9D6"/>
            </w:tcBorders>
            <w:gridSpan w:val="2"/>
            <w:shd w:val="clear" w:color="auto" w:fill="D9D9D6"/>
          </w:tcPr>
          <w:p>
            <w:pPr>
              <w:ind w:left="50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6</w:t>
            </w:r>
          </w:p>
        </w:tc>
        <w:tc>
          <w:tcPr>
            <w:tcW w:w="200" w:type="dxa"/>
            <w:vAlign w:val="bottom"/>
            <w:tcBorders>
              <w:bottom w:val="single" w:sz="8" w:color="D9D9D6"/>
            </w:tcBorders>
            <w:shd w:val="clear" w:color="auto" w:fill="D9D9D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D9D9D6"/>
            </w:tcBorders>
            <w:shd w:val="clear" w:color="auto" w:fill="D9D9D6"/>
          </w:tcPr>
          <w:p>
            <w:pPr>
              <w:spacing w:after="0" w:line="20" w:lineRule="exact"/>
              <w:rPr>
                <w:sz w:val="1"/>
                <w:szCs w:val="1"/>
                <w:color w:val="auto"/>
              </w:rPr>
            </w:pPr>
          </w:p>
        </w:tc>
        <w:tc>
          <w:tcPr>
            <w:tcW w:w="6820" w:type="dxa"/>
            <w:vAlign w:val="bottom"/>
            <w:tcBorders>
              <w:top w:val="single" w:sz="8" w:color="D9D9D6"/>
            </w:tcBorders>
            <w:shd w:val="clear" w:color="auto" w:fill="D9D9D6"/>
          </w:tcPr>
          <w:p>
            <w:pPr>
              <w:spacing w:after="0" w:line="20" w:lineRule="exact"/>
              <w:rPr>
                <w:sz w:val="1"/>
                <w:szCs w:val="1"/>
                <w:color w:val="auto"/>
              </w:rPr>
            </w:pPr>
          </w:p>
        </w:tc>
        <w:tc>
          <w:tcPr>
            <w:tcW w:w="64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D9D9D6"/>
            </w:tcBorders>
            <w:shd w:val="clear" w:color="auto" w:fill="D9D9D6"/>
          </w:tcPr>
          <w:p>
            <w:pPr>
              <w:spacing w:after="0" w:line="20" w:lineRule="exact"/>
              <w:rPr>
                <w:sz w:val="1"/>
                <w:szCs w:val="1"/>
                <w:color w:val="auto"/>
              </w:rPr>
            </w:pPr>
          </w:p>
        </w:tc>
        <w:tc>
          <w:tcPr>
            <w:tcW w:w="42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D9D9D6"/>
              <w:right w:val="single" w:sz="8" w:color="D9D9D6"/>
            </w:tcBorders>
            <w:shd w:val="clear" w:color="auto" w:fill="D9D9D6"/>
          </w:tcPr>
          <w:p>
            <w:pPr>
              <w:spacing w:after="0" w:line="20" w:lineRule="exact"/>
              <w:rPr>
                <w:sz w:val="1"/>
                <w:szCs w:val="1"/>
                <w:color w:val="auto"/>
              </w:rPr>
            </w:pPr>
          </w:p>
        </w:tc>
        <w:tc>
          <w:tcPr>
            <w:tcW w:w="80" w:type="dxa"/>
            <w:vAlign w:val="bottom"/>
            <w:tcBorders>
              <w:top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360" w:type="dxa"/>
            <w:vAlign w:val="bottom"/>
            <w:tcBorders>
              <w:top w:val="single" w:sz="8" w:color="D9D9D6"/>
            </w:tcBorders>
            <w:shd w:val="clear" w:color="auto" w:fill="D9D9D6"/>
          </w:tcPr>
          <w:p>
            <w:pPr>
              <w:spacing w:after="0" w:line="20" w:lineRule="exact"/>
              <w:rPr>
                <w:sz w:val="1"/>
                <w:szCs w:val="1"/>
                <w:color w:val="auto"/>
              </w:rPr>
            </w:pPr>
          </w:p>
        </w:tc>
        <w:tc>
          <w:tcPr>
            <w:tcW w:w="14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20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100" w:type="dxa"/>
            <w:vAlign w:val="bottom"/>
            <w:shd w:val="clear" w:color="auto" w:fill="D9D9D6"/>
          </w:tcPr>
          <w:p>
            <w:pPr>
              <w:spacing w:after="0"/>
              <w:rPr>
                <w:sz w:val="24"/>
                <w:szCs w:val="24"/>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$2,361</w:t>
            </w:r>
          </w:p>
        </w:tc>
        <w:tc>
          <w:tcPr>
            <w:tcW w:w="100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$2,230</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5.9</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5.8 %</w:t>
            </w:r>
          </w:p>
        </w:tc>
        <w:tc>
          <w:tcPr>
            <w:tcW w:w="2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68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1,057</w:t>
            </w:r>
          </w:p>
        </w:tc>
        <w:tc>
          <w:tcPr>
            <w:tcW w:w="100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953</w:t>
            </w:r>
          </w:p>
        </w:tc>
        <w:tc>
          <w:tcPr>
            <w:tcW w:w="9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10.9</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10.8 %</w:t>
            </w:r>
          </w:p>
        </w:tc>
        <w:tc>
          <w:tcPr>
            <w:tcW w:w="20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8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$1,303</w:t>
            </w:r>
          </w:p>
        </w:tc>
        <w:tc>
          <w:tcPr>
            <w:tcW w:w="100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$1,276</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2.1</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10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2.1 %</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shd w:val="clear" w:color="auto" w:fill="D9D9D6"/>
          </w:tcPr>
          <w:p>
            <w:pPr>
              <w:spacing w:after="0"/>
              <w:rPr>
                <w:sz w:val="17"/>
                <w:szCs w:val="17"/>
                <w:color w:val="auto"/>
              </w:rPr>
            </w:pPr>
          </w:p>
        </w:tc>
        <w:tc>
          <w:tcPr>
            <w:tcW w:w="682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55.2 %</w:t>
            </w:r>
          </w:p>
        </w:tc>
        <w:tc>
          <w:tcPr>
            <w:tcW w:w="20" w:type="dxa"/>
            <w:vAlign w:val="bottom"/>
            <w:shd w:val="clear" w:color="auto" w:fill="D9D9D6"/>
          </w:tcPr>
          <w:p>
            <w:pPr>
              <w:spacing w:after="0"/>
              <w:rPr>
                <w:sz w:val="17"/>
                <w:szCs w:val="17"/>
                <w:color w:val="auto"/>
              </w:rPr>
            </w:pPr>
          </w:p>
        </w:tc>
        <w:tc>
          <w:tcPr>
            <w:tcW w:w="100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57.2 %</w:t>
            </w: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(200) bps</w:t>
            </w:r>
          </w:p>
        </w:tc>
        <w:tc>
          <w:tcPr>
            <w:tcW w:w="1060" w:type="dxa"/>
            <w:vAlign w:val="bottom"/>
            <w:tcBorders>
              <w:right w:val="single" w:sz="8" w:color="D9D9D6"/>
            </w:tcBorders>
            <w:gridSpan w:val="2"/>
            <w:shd w:val="clear" w:color="auto" w:fill="D9D9D6"/>
          </w:tcPr>
          <w:p>
            <w:pPr>
              <w:ind w:left="440"/>
              <w:spacing w:after="0"/>
              <w:rPr>
                <w:sz w:val="20"/>
                <w:szCs w:val="20"/>
                <w:color w:val="auto"/>
              </w:rPr>
            </w:pPr>
            <w:r>
              <w:rPr>
                <w:rFonts w:ascii="Arial" w:cs="Arial" w:eastAsia="Arial" w:hAnsi="Arial"/>
                <w:sz w:val="14"/>
                <w:szCs w:val="14"/>
                <w:color w:val="auto"/>
                <w:w w:val="97"/>
              </w:rPr>
              <w:t>(200) bps</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820" w:type="dxa"/>
            <w:vAlign w:val="bottom"/>
            <w:shd w:val="clear" w:color="auto" w:fill="D9D9D6"/>
          </w:tcPr>
          <w:p>
            <w:pPr>
              <w:spacing w:after="0"/>
              <w:rPr>
                <w:sz w:val="5"/>
                <w:szCs w:val="5"/>
                <w:color w:val="auto"/>
              </w:rPr>
            </w:pPr>
          </w:p>
        </w:tc>
        <w:tc>
          <w:tcPr>
            <w:tcW w:w="64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420" w:type="dxa"/>
            <w:vAlign w:val="bottom"/>
            <w:shd w:val="clear" w:color="auto" w:fill="D9D9D6"/>
          </w:tcPr>
          <w:p>
            <w:pPr>
              <w:spacing w:after="0"/>
              <w:rPr>
                <w:sz w:val="5"/>
                <w:szCs w:val="5"/>
                <w:color w:val="auto"/>
              </w:rPr>
            </w:pPr>
          </w:p>
        </w:tc>
        <w:tc>
          <w:tcPr>
            <w:tcW w:w="320" w:type="dxa"/>
            <w:vAlign w:val="bottom"/>
            <w:tcBorders>
              <w:right w:val="single" w:sz="8" w:color="D9D9D6"/>
            </w:tcBorders>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54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560" w:type="dxa"/>
            <w:vAlign w:val="bottom"/>
            <w:tcBorders>
              <w:right w:val="single" w:sz="8" w:color="D9D9D6"/>
            </w:tcBorders>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Change percentages represent year/year growth rates. Change in Adjusted EBITDA margin is presented as year/year basis point changes.</w:t>
      </w:r>
    </w:p>
    <w:p>
      <w:pPr>
        <w:spacing w:after="0" w:line="3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Business Services Connectivity increased due to an increase in revenue from small business customers, driven by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average rates, and an increase in revenue from medium-sized and enterprise customers.</w:t>
      </w:r>
    </w:p>
    <w:p>
      <w:pPr>
        <w:spacing w:after="0" w:line="17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Business Services Connectivity increased 2.1%, including $42 million of severance in the quarter and $7 million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in the prior year period. The increase in Adjusted EBITDA reflects higher revenue, partially offset by higher operating expenses</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primarily due to an increase in direct product costs and higher severance. Excluding severance and the impact of foreign currency</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Adjusted EBITDA increased 4.8%.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decreased 200 basis points to 55.2%. Excluding severance and the impact of foreign currency</w:t>
      </w:r>
      <w:r>
        <w:rPr>
          <w:rFonts w:ascii="Arial" w:cs="Arial" w:eastAsia="Arial" w:hAnsi="Arial"/>
          <w:sz w:val="23"/>
          <w:szCs w:val="23"/>
          <w:color w:val="auto"/>
          <w:vertAlign w:val="superscript"/>
        </w:rPr>
        <w:t>7</w:t>
      </w:r>
      <w:r>
        <w:rPr>
          <w:rFonts w:ascii="Arial" w:cs="Arial" w:eastAsia="Arial" w:hAnsi="Arial"/>
          <w:sz w:val="18"/>
          <w:szCs w:val="18"/>
          <w:color w:val="auto"/>
        </w:rPr>
        <w:t>, Adjusted EBITDA margin decreased 50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56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Content &amp;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400" w:type="dxa"/>
            <w:vAlign w:val="bottom"/>
            <w:tcBorders>
              <w:right w:val="single" w:sz="8" w:color="D9D9D6"/>
            </w:tcBorders>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shd w:val="clear" w:color="auto" w:fill="D9D9D6"/>
          </w:tcPr>
          <w:p>
            <w:pPr>
              <w:spacing w:after="0"/>
              <w:rPr>
                <w:sz w:val="15"/>
                <w:szCs w:val="15"/>
                <w:color w:val="auto"/>
              </w:rPr>
            </w:pPr>
          </w:p>
        </w:tc>
        <w:tc>
          <w:tcPr>
            <w:tcW w:w="8040" w:type="dxa"/>
            <w:vAlign w:val="bottom"/>
            <w:shd w:val="clear" w:color="auto" w:fill="D9D9D6"/>
          </w:tcPr>
          <w:p>
            <w:pPr>
              <w:spacing w:after="0"/>
              <w:rPr>
                <w:sz w:val="15"/>
                <w:szCs w:val="15"/>
                <w:color w:val="auto"/>
              </w:rPr>
            </w:pPr>
          </w:p>
        </w:tc>
        <w:tc>
          <w:tcPr>
            <w:tcW w:w="64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760" w:type="dxa"/>
            <w:vAlign w:val="bottom"/>
            <w:tcBorders>
              <w:right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w w:val="98"/>
              </w:rPr>
              <w:t>4th Quarter</w:t>
            </w:r>
          </w:p>
        </w:tc>
        <w:tc>
          <w:tcPr>
            <w:tcW w:w="56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040" w:type="dxa"/>
            <w:vAlign w:val="bottom"/>
            <w:shd w:val="clear" w:color="auto" w:fill="D9D9D6"/>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8040" w:type="dxa"/>
            <w:vAlign w:val="bottom"/>
            <w:shd w:val="clear" w:color="auto" w:fill="D9D9D6"/>
          </w:tcPr>
          <w:p>
            <w:pPr>
              <w:spacing w:after="0"/>
              <w:rPr>
                <w:sz w:val="15"/>
                <w:szCs w:val="15"/>
                <w:color w:val="auto"/>
              </w:rPr>
            </w:pP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40" w:type="dxa"/>
            <w:vAlign w:val="bottom"/>
            <w:shd w:val="clear" w:color="auto" w:fill="D9D9D6"/>
          </w:tcPr>
          <w:p>
            <w:pPr>
              <w:spacing w:after="0"/>
              <w:rPr>
                <w:sz w:val="15"/>
                <w:szCs w:val="15"/>
                <w:color w:val="auto"/>
              </w:rPr>
            </w:pPr>
          </w:p>
        </w:tc>
        <w:tc>
          <w:tcPr>
            <w:tcW w:w="760" w:type="dxa"/>
            <w:vAlign w:val="bottom"/>
            <w:tcBorders>
              <w:right w:val="single" w:sz="8" w:color="D9D9D6"/>
            </w:tcBorders>
            <w:gridSpan w:val="2"/>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5</w:t>
            </w:r>
          </w:p>
        </w:tc>
        <w:tc>
          <w:tcPr>
            <w:tcW w:w="1200" w:type="dxa"/>
            <w:vAlign w:val="bottom"/>
            <w:gridSpan w:val="5"/>
            <w:shd w:val="clear" w:color="auto" w:fill="D9D9D6"/>
          </w:tcPr>
          <w:p>
            <w:pPr>
              <w:ind w:left="56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0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Revenue</w:t>
            </w:r>
          </w:p>
        </w:tc>
        <w:tc>
          <w:tcPr>
            <w:tcW w:w="6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4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auto"/>
              <w:right w:val="single" w:sz="8" w:color="D9D9D6"/>
            </w:tcBorders>
            <w:shd w:val="clear" w:color="auto" w:fill="D9D9D6"/>
          </w:tcPr>
          <w:p>
            <w:pPr>
              <w:spacing w:after="0"/>
              <w:rPr>
                <w:sz w:val="19"/>
                <w:szCs w:val="19"/>
                <w:color w:val="auto"/>
              </w:rPr>
            </w:pP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$6,979</w:t>
            </w:r>
          </w:p>
        </w:tc>
        <w:tc>
          <w:tcPr>
            <w:tcW w:w="9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$6,768</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3,064</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2,938</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4.3</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2,371</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2,114</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2"/>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19</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29</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(35.2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(933)</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(968)</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3.6</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Revenue</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$11,500</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$10,881</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5.7</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Adjusted EBITDA</w:t>
            </w:r>
          </w:p>
        </w:tc>
        <w:tc>
          <w:tcPr>
            <w:tcW w:w="6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400" w:type="dxa"/>
            <w:vAlign w:val="bottom"/>
            <w:tcBorders>
              <w:right w:val="single" w:sz="8" w:color="D9D9D6"/>
            </w:tcBorders>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$108</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$218</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(50.2 %)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308</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168</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83.0 %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872</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782</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11.6 %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(337)</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(353)</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4.7 %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97</w:t>
            </w:r>
          </w:p>
        </w:tc>
        <w:tc>
          <w:tcPr>
            <w:tcW w:w="560" w:type="dxa"/>
            <w:vAlign w:val="bottom"/>
            <w:tcBorders>
              <w:bottom w:val="single" w:sz="8" w:color="auto"/>
            </w:tcBorders>
            <w:shd w:val="clear" w:color="auto" w:fill="D9D9D6"/>
          </w:tcPr>
          <w:p>
            <w:pPr>
              <w:spacing w:after="0"/>
              <w:rPr>
                <w:sz w:val="17"/>
                <w:szCs w:val="17"/>
                <w:color w:val="auto"/>
              </w:rPr>
            </w:pPr>
          </w:p>
        </w:tc>
        <w:tc>
          <w:tcPr>
            <w:tcW w:w="520" w:type="dxa"/>
            <w:vAlign w:val="bottom"/>
            <w:tcBorders>
              <w:bottom w:val="single" w:sz="8" w:color="auto"/>
            </w:tcBorders>
            <w:gridSpan w:val="3"/>
            <w:shd w:val="clear" w:color="auto" w:fill="D9D9D6"/>
          </w:tcPr>
          <w:p>
            <w:pPr>
              <w:ind w:left="160"/>
              <w:spacing w:after="0"/>
              <w:rPr>
                <w:sz w:val="20"/>
                <w:szCs w:val="20"/>
                <w:color w:val="auto"/>
              </w:rPr>
            </w:pPr>
            <w:r>
              <w:rPr>
                <w:rFonts w:ascii="Arial" w:cs="Arial" w:eastAsia="Arial" w:hAnsi="Arial"/>
                <w:sz w:val="14"/>
                <w:szCs w:val="14"/>
                <w:color w:val="auto"/>
              </w:rPr>
              <w:t>NM</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Adjusted EBITDA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$932</w:t>
            </w:r>
          </w:p>
        </w:tc>
        <w:tc>
          <w:tcPr>
            <w:tcW w:w="20" w:type="dxa"/>
            <w:vAlign w:val="bottom"/>
            <w:shd w:val="clear" w:color="auto" w:fill="D9D9D6"/>
          </w:tcPr>
          <w:p>
            <w:pPr>
              <w:spacing w:after="0"/>
              <w:rPr>
                <w:sz w:val="17"/>
                <w:szCs w:val="17"/>
                <w:color w:val="auto"/>
              </w:rPr>
            </w:pPr>
          </w:p>
        </w:tc>
        <w:tc>
          <w:tcPr>
            <w:tcW w:w="90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$911</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5"/>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NM=comparison not meaningful.</w:t>
            </w:r>
          </w:p>
        </w:tc>
        <w:tc>
          <w:tcPr>
            <w:tcW w:w="6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360" w:type="dxa"/>
            <w:vAlign w:val="bottom"/>
            <w:shd w:val="clear" w:color="auto" w:fill="D9D9D6"/>
          </w:tcPr>
          <w:p>
            <w:pPr>
              <w:spacing w:after="0"/>
              <w:rPr>
                <w:sz w:val="17"/>
                <w:szCs w:val="17"/>
                <w:color w:val="auto"/>
              </w:rPr>
            </w:pPr>
          </w:p>
        </w:tc>
        <w:tc>
          <w:tcPr>
            <w:tcW w:w="400" w:type="dxa"/>
            <w:vAlign w:val="bottom"/>
            <w:tcBorders>
              <w:right w:val="single" w:sz="8" w:color="D9D9D6"/>
            </w:tcBorders>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bl>
    <w:p>
      <w:pPr>
        <w:spacing w:after="0" w:line="319"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Content &amp; Experiences increased compared to the prior year period driven by Theme Parks, Media and Studios.</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for Content &amp; Experiences increased 2.3%, including $ 101 million of severance in the quarter and $186 million of severance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year period primarily in Headquarters and Other. Excluding severance</w:t>
      </w:r>
      <w:r>
        <w:rPr>
          <w:rFonts w:ascii="Arial" w:cs="Arial" w:eastAsia="Arial" w:hAnsi="Arial"/>
          <w:sz w:val="23"/>
          <w:szCs w:val="23"/>
          <w:color w:val="auto"/>
          <w:vertAlign w:val="superscript"/>
        </w:rPr>
        <w:t>7</w:t>
      </w:r>
      <w:r>
        <w:rPr>
          <w:rFonts w:ascii="Arial" w:cs="Arial" w:eastAsia="Arial" w:hAnsi="Arial"/>
          <w:sz w:val="18"/>
          <w:szCs w:val="18"/>
          <w:color w:val="auto"/>
        </w:rPr>
        <w:t>, Adjusted EBITDA decreased 5.9%, primarily due to a decrease in Media, partially offset by increases in Studios and Theme Parks.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00" w:type="dxa"/>
            <w:vAlign w:val="bottom"/>
            <w:tcBorders>
              <w:right w:val="single" w:sz="8" w:color="D9D9D6"/>
            </w:tcBorders>
            <w:shd w:val="clear" w:color="auto" w:fill="D9D9D6"/>
          </w:tcPr>
          <w:p>
            <w:pPr>
              <w:spacing w:after="0"/>
              <w:rPr>
                <w:sz w:val="17"/>
                <w:szCs w:val="17"/>
                <w:color w:val="auto"/>
              </w:rPr>
            </w:pPr>
          </w:p>
        </w:tc>
        <w:tc>
          <w:tcPr>
            <w:tcW w:w="220" w:type="dxa"/>
            <w:vAlign w:val="bottom"/>
            <w:shd w:val="clear" w:color="auto" w:fill="D9D9D6"/>
          </w:tcPr>
          <w:p>
            <w:pPr>
              <w:spacing w:after="0"/>
              <w:rPr>
                <w:sz w:val="17"/>
                <w:szCs w:val="17"/>
                <w:color w:val="auto"/>
              </w:rPr>
            </w:pPr>
          </w:p>
        </w:tc>
        <w:tc>
          <w:tcPr>
            <w:tcW w:w="30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14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40" w:type="dxa"/>
            <w:vAlign w:val="bottom"/>
            <w:tcBorders>
              <w:bottom w:val="single" w:sz="8" w:color="D9D9D6"/>
              <w:right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74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w w:val="98"/>
              </w:rPr>
              <w:t>4th Quarter</w:t>
            </w:r>
          </w:p>
        </w:tc>
        <w:tc>
          <w:tcPr>
            <w:tcW w:w="220" w:type="dxa"/>
            <w:vAlign w:val="bottom"/>
            <w:tcBorders>
              <w:bottom w:val="single" w:sz="8" w:color="D9D9D6"/>
            </w:tcBorders>
            <w:shd w:val="clear" w:color="auto" w:fill="D9D9D6"/>
          </w:tcPr>
          <w:p>
            <w:pPr>
              <w:spacing w:after="0"/>
              <w:rPr>
                <w:sz w:val="15"/>
                <w:szCs w:val="15"/>
                <w:color w:val="auto"/>
              </w:rPr>
            </w:pPr>
          </w:p>
        </w:tc>
        <w:tc>
          <w:tcPr>
            <w:tcW w:w="30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140" w:type="dxa"/>
            <w:vAlign w:val="bottom"/>
            <w:shd w:val="clear" w:color="auto" w:fill="D9D9D6"/>
          </w:tcPr>
          <w:p>
            <w:pPr>
              <w:spacing w:after="0"/>
              <w:rPr>
                <w:sz w:val="15"/>
                <w:szCs w:val="15"/>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920" w:type="dxa"/>
            <w:vAlign w:val="bottom"/>
            <w:tcBorders>
              <w:right w:val="single" w:sz="8" w:color="D9D9D6"/>
            </w:tcBorders>
            <w:gridSpan w:val="4"/>
            <w:shd w:val="clear" w:color="auto" w:fill="D9D9D6"/>
          </w:tcPr>
          <w:p>
            <w:pPr>
              <w:jc w:val="right"/>
              <w:ind w:right="40"/>
              <w:spacing w:after="0" w:line="182"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5</w:t>
            </w:r>
          </w:p>
        </w:tc>
        <w:tc>
          <w:tcPr>
            <w:tcW w:w="220" w:type="dxa"/>
            <w:vAlign w:val="bottom"/>
            <w:shd w:val="clear" w:color="auto" w:fill="D9D9D6"/>
          </w:tcPr>
          <w:p>
            <w:pPr>
              <w:spacing w:after="0"/>
              <w:rPr>
                <w:sz w:val="15"/>
                <w:szCs w:val="15"/>
                <w:color w:val="auto"/>
              </w:rPr>
            </w:pPr>
          </w:p>
        </w:tc>
        <w:tc>
          <w:tcPr>
            <w:tcW w:w="940" w:type="dxa"/>
            <w:vAlign w:val="bottom"/>
            <w:gridSpan w:val="5"/>
            <w:shd w:val="clear" w:color="auto" w:fill="D9D9D6"/>
          </w:tcPr>
          <w:p>
            <w:pPr>
              <w:ind w:left="300"/>
              <w:spacing w:after="0"/>
              <w:rPr>
                <w:sz w:val="20"/>
                <w:szCs w:val="20"/>
                <w:color w:val="auto"/>
              </w:rPr>
            </w:pPr>
            <w:r>
              <w:rPr>
                <w:rFonts w:ascii="Arial" w:cs="Arial" w:eastAsia="Arial" w:hAnsi="Arial"/>
                <w:sz w:val="14"/>
                <w:szCs w:val="14"/>
                <w:color w:val="auto"/>
              </w:rPr>
              <w:t>Change</w:t>
            </w:r>
          </w:p>
        </w:tc>
      </w:tr>
      <w:tr>
        <w:trPr>
          <w:trHeight w:val="223"/>
        </w:trPr>
        <w:tc>
          <w:tcPr>
            <w:tcW w:w="120" w:type="dxa"/>
            <w:vAlign w:val="bottom"/>
            <w:tcBorders>
              <w:top w:val="single" w:sz="8" w:color="D9D9D6"/>
            </w:tcBorders>
            <w:shd w:val="clear" w:color="auto" w:fill="D9D9D6"/>
          </w:tcPr>
          <w:p>
            <w:pPr>
              <w:spacing w:after="0"/>
              <w:rPr>
                <w:sz w:val="19"/>
                <w:szCs w:val="19"/>
                <w:color w:val="auto"/>
              </w:rPr>
            </w:pPr>
          </w:p>
        </w:tc>
        <w:tc>
          <w:tcPr>
            <w:tcW w:w="81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00" w:type="dxa"/>
            <w:vAlign w:val="bottom"/>
            <w:tcBorders>
              <w:top w:val="single" w:sz="8" w:color="D9D9D6"/>
              <w:right w:val="single" w:sz="8" w:color="D9D9D6"/>
            </w:tcBorders>
            <w:shd w:val="clear" w:color="auto" w:fill="D9D9D6"/>
          </w:tcPr>
          <w:p>
            <w:pPr>
              <w:spacing w:after="0"/>
              <w:rPr>
                <w:sz w:val="19"/>
                <w:szCs w:val="19"/>
                <w:color w:val="auto"/>
              </w:rPr>
            </w:pPr>
          </w:p>
        </w:tc>
        <w:tc>
          <w:tcPr>
            <w:tcW w:w="220" w:type="dxa"/>
            <w:vAlign w:val="bottom"/>
            <w:tcBorders>
              <w:top w:val="single" w:sz="8" w:color="D9D9D6"/>
            </w:tcBorders>
            <w:shd w:val="clear" w:color="auto" w:fill="D9D9D6"/>
          </w:tcPr>
          <w:p>
            <w:pPr>
              <w:spacing w:after="0"/>
              <w:rPr>
                <w:sz w:val="19"/>
                <w:szCs w:val="19"/>
                <w:color w:val="auto"/>
              </w:rPr>
            </w:pPr>
          </w:p>
        </w:tc>
        <w:tc>
          <w:tcPr>
            <w:tcW w:w="3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5"/>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Advertising</w:t>
            </w: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$2,635</w:t>
            </w:r>
          </w:p>
        </w:tc>
        <w:tc>
          <w:tcPr>
            <w:tcW w:w="920" w:type="dxa"/>
            <w:vAlign w:val="bottom"/>
            <w:tcBorders>
              <w:right w:val="single" w:sz="8" w:color="D9D9D6"/>
            </w:tcBorders>
            <w:gridSpan w:val="4"/>
            <w:shd w:val="clear" w:color="auto" w:fill="DBDBDB"/>
          </w:tcPr>
          <w:p>
            <w:pPr>
              <w:jc w:val="right"/>
              <w:ind w:right="40"/>
              <w:spacing w:after="0"/>
              <w:rPr>
                <w:sz w:val="20"/>
                <w:szCs w:val="20"/>
                <w:color w:val="auto"/>
              </w:rPr>
            </w:pPr>
            <w:r>
              <w:rPr>
                <w:rFonts w:ascii="Arial" w:cs="Arial" w:eastAsia="Arial" w:hAnsi="Arial"/>
                <w:sz w:val="14"/>
                <w:szCs w:val="14"/>
                <w:color w:val="auto"/>
              </w:rPr>
              <w:t>$2,829</w:t>
            </w:r>
          </w:p>
        </w:tc>
        <w:tc>
          <w:tcPr>
            <w:tcW w:w="220" w:type="dxa"/>
            <w:vAlign w:val="bottom"/>
            <w:shd w:val="clear" w:color="auto" w:fill="D9D9D6"/>
          </w:tcPr>
          <w:p>
            <w:pPr>
              <w:spacing w:after="0"/>
              <w:rPr>
                <w:sz w:val="16"/>
                <w:szCs w:val="16"/>
                <w:color w:val="auto"/>
              </w:rPr>
            </w:pPr>
          </w:p>
        </w:tc>
        <w:tc>
          <w:tcPr>
            <w:tcW w:w="6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(6.9</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3"/>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Distribution</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2,747</w:t>
            </w:r>
          </w:p>
        </w:tc>
        <w:tc>
          <w:tcPr>
            <w:tcW w:w="920" w:type="dxa"/>
            <w:vAlign w:val="bottom"/>
            <w:tcBorders>
              <w:right w:val="single" w:sz="8" w:color="D9D9D6"/>
            </w:tcBorders>
            <w:gridSpan w:val="4"/>
            <w:shd w:val="clear" w:color="auto" w:fill="DBDBDB"/>
          </w:tcPr>
          <w:p>
            <w:pPr>
              <w:jc w:val="right"/>
              <w:ind w:right="100"/>
              <w:spacing w:after="0"/>
              <w:rPr>
                <w:sz w:val="20"/>
                <w:szCs w:val="20"/>
                <w:color w:val="auto"/>
              </w:rPr>
            </w:pPr>
            <w:r>
              <w:rPr>
                <w:rFonts w:ascii="Arial" w:cs="Arial" w:eastAsia="Arial" w:hAnsi="Arial"/>
                <w:sz w:val="14"/>
                <w:szCs w:val="14"/>
                <w:color w:val="auto"/>
              </w:rPr>
              <w:t>2,532</w:t>
            </w:r>
          </w:p>
        </w:tc>
        <w:tc>
          <w:tcPr>
            <w:tcW w:w="220" w:type="dxa"/>
            <w:vAlign w:val="bottom"/>
            <w:shd w:val="clear" w:color="auto" w:fill="D9D9D6"/>
          </w:tcPr>
          <w:p>
            <w:pPr>
              <w:spacing w:after="0"/>
              <w:rPr>
                <w:sz w:val="17"/>
                <w:szCs w:val="17"/>
                <w:color w:val="auto"/>
              </w:rPr>
            </w:pPr>
          </w:p>
        </w:tc>
        <w:tc>
          <w:tcPr>
            <w:tcW w:w="6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8.5</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Networks</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1,047</w:t>
            </w:r>
          </w:p>
        </w:tc>
        <w:tc>
          <w:tcPr>
            <w:tcW w:w="920" w:type="dxa"/>
            <w:vAlign w:val="bottom"/>
            <w:tcBorders>
              <w:right w:val="single" w:sz="8" w:color="D9D9D6"/>
            </w:tcBorders>
            <w:gridSpan w:val="4"/>
            <w:shd w:val="clear" w:color="auto" w:fill="DBDBDB"/>
          </w:tcPr>
          <w:p>
            <w:pPr>
              <w:jc w:val="right"/>
              <w:ind w:right="100"/>
              <w:spacing w:after="0"/>
              <w:rPr>
                <w:sz w:val="20"/>
                <w:szCs w:val="20"/>
                <w:color w:val="auto"/>
              </w:rPr>
            </w:pPr>
            <w:r>
              <w:rPr>
                <w:rFonts w:ascii="Arial" w:cs="Arial" w:eastAsia="Arial" w:hAnsi="Arial"/>
                <w:sz w:val="14"/>
                <w:szCs w:val="14"/>
                <w:color w:val="auto"/>
              </w:rPr>
              <w:t>893</w:t>
            </w:r>
          </w:p>
        </w:tc>
        <w:tc>
          <w:tcPr>
            <w:tcW w:w="220" w:type="dxa"/>
            <w:vAlign w:val="bottom"/>
            <w:shd w:val="clear" w:color="auto" w:fill="D9D9D6"/>
          </w:tcPr>
          <w:p>
            <w:pPr>
              <w:spacing w:after="0"/>
              <w:rPr>
                <w:sz w:val="17"/>
                <w:szCs w:val="17"/>
                <w:color w:val="auto"/>
              </w:rPr>
            </w:pPr>
          </w:p>
        </w:tc>
        <w:tc>
          <w:tcPr>
            <w:tcW w:w="6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17.3</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550</w:t>
            </w:r>
          </w:p>
        </w:tc>
        <w:tc>
          <w:tcPr>
            <w:tcW w:w="920" w:type="dxa"/>
            <w:vAlign w:val="bottom"/>
            <w:tcBorders>
              <w:bottom w:val="single" w:sz="8" w:color="auto"/>
              <w:right w:val="single" w:sz="8" w:color="D9D9D6"/>
            </w:tcBorders>
            <w:gridSpan w:val="4"/>
            <w:shd w:val="clear" w:color="auto" w:fill="DBDBDB"/>
          </w:tcPr>
          <w:p>
            <w:pPr>
              <w:jc w:val="right"/>
              <w:ind w:right="100"/>
              <w:spacing w:after="0"/>
              <w:rPr>
                <w:sz w:val="20"/>
                <w:szCs w:val="20"/>
                <w:color w:val="auto"/>
              </w:rPr>
            </w:pPr>
            <w:r>
              <w:rPr>
                <w:rFonts w:ascii="Arial" w:cs="Arial" w:eastAsia="Arial" w:hAnsi="Arial"/>
                <w:sz w:val="14"/>
                <w:szCs w:val="14"/>
                <w:color w:val="auto"/>
              </w:rPr>
              <w:t>514</w:t>
            </w:r>
          </w:p>
        </w:tc>
        <w:tc>
          <w:tcPr>
            <w:tcW w:w="220" w:type="dxa"/>
            <w:vAlign w:val="bottom"/>
            <w:tcBorders>
              <w:bottom w:val="single" w:sz="8" w:color="auto"/>
            </w:tcBorders>
            <w:shd w:val="clear" w:color="auto" w:fill="D9D9D6"/>
          </w:tcPr>
          <w:p>
            <w:pPr>
              <w:spacing w:after="0"/>
              <w:rPr>
                <w:sz w:val="17"/>
                <w:szCs w:val="17"/>
                <w:color w:val="auto"/>
              </w:rPr>
            </w:pPr>
          </w:p>
        </w:tc>
        <w:tc>
          <w:tcPr>
            <w:tcW w:w="62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7.0</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$6,979</w:t>
            </w:r>
          </w:p>
        </w:tc>
        <w:tc>
          <w:tcPr>
            <w:tcW w:w="920" w:type="dxa"/>
            <w:vAlign w:val="bottom"/>
            <w:tcBorders>
              <w:right w:val="single" w:sz="8" w:color="D9D9D6"/>
            </w:tcBorders>
            <w:gridSpan w:val="4"/>
            <w:shd w:val="clear" w:color="auto" w:fill="DBDBDB"/>
          </w:tcPr>
          <w:p>
            <w:pPr>
              <w:jc w:val="right"/>
              <w:ind w:right="100"/>
              <w:spacing w:after="0"/>
              <w:rPr>
                <w:sz w:val="20"/>
                <w:szCs w:val="20"/>
                <w:color w:val="auto"/>
              </w:rPr>
            </w:pPr>
            <w:r>
              <w:rPr>
                <w:rFonts w:ascii="Arial" w:cs="Arial" w:eastAsia="Arial" w:hAnsi="Arial"/>
                <w:sz w:val="14"/>
                <w:szCs w:val="14"/>
                <w:b w:val="1"/>
                <w:bCs w:val="1"/>
                <w:color w:val="auto"/>
              </w:rPr>
              <w:t>$6,768</w:t>
            </w:r>
          </w:p>
        </w:tc>
        <w:tc>
          <w:tcPr>
            <w:tcW w:w="220" w:type="dxa"/>
            <w:vAlign w:val="bottom"/>
            <w:shd w:val="clear" w:color="auto" w:fill="D9D9D6"/>
          </w:tcPr>
          <w:p>
            <w:pPr>
              <w:spacing w:after="0"/>
              <w:rPr>
                <w:sz w:val="17"/>
                <w:szCs w:val="17"/>
                <w:color w:val="auto"/>
              </w:rPr>
            </w:pPr>
          </w:p>
        </w:tc>
        <w:tc>
          <w:tcPr>
            <w:tcW w:w="6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3.1</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6,871</w:t>
            </w:r>
          </w:p>
        </w:tc>
        <w:tc>
          <w:tcPr>
            <w:tcW w:w="920" w:type="dxa"/>
            <w:vAlign w:val="bottom"/>
            <w:tcBorders>
              <w:bottom w:val="single" w:sz="8" w:color="auto"/>
              <w:right w:val="single" w:sz="8" w:color="D9D9D6"/>
            </w:tcBorders>
            <w:gridSpan w:val="4"/>
            <w:shd w:val="clear" w:color="auto" w:fill="DBDBDB"/>
          </w:tcPr>
          <w:p>
            <w:pPr>
              <w:jc w:val="right"/>
              <w:ind w:right="100"/>
              <w:spacing w:after="0"/>
              <w:rPr>
                <w:sz w:val="20"/>
                <w:szCs w:val="20"/>
                <w:color w:val="auto"/>
              </w:rPr>
            </w:pPr>
            <w:r>
              <w:rPr>
                <w:rFonts w:ascii="Arial" w:cs="Arial" w:eastAsia="Arial" w:hAnsi="Arial"/>
                <w:sz w:val="14"/>
                <w:szCs w:val="14"/>
                <w:color w:val="auto"/>
              </w:rPr>
              <w:t>6,550</w:t>
            </w:r>
          </w:p>
        </w:tc>
        <w:tc>
          <w:tcPr>
            <w:tcW w:w="220" w:type="dxa"/>
            <w:vAlign w:val="bottom"/>
            <w:tcBorders>
              <w:bottom w:val="single" w:sz="8" w:color="auto"/>
            </w:tcBorders>
            <w:shd w:val="clear" w:color="auto" w:fill="D9D9D6"/>
          </w:tcPr>
          <w:p>
            <w:pPr>
              <w:spacing w:after="0"/>
              <w:rPr>
                <w:sz w:val="17"/>
                <w:szCs w:val="17"/>
                <w:color w:val="auto"/>
              </w:rPr>
            </w:pPr>
          </w:p>
        </w:tc>
        <w:tc>
          <w:tcPr>
            <w:tcW w:w="62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4.9</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37"/>
        </w:trPr>
        <w:tc>
          <w:tcPr>
            <w:tcW w:w="120" w:type="dxa"/>
            <w:vAlign w:val="bottom"/>
            <w:tcBorders>
              <w:bottom w:val="single" w:sz="8" w:color="D9D9D6"/>
            </w:tcBorders>
            <w:shd w:val="clear" w:color="auto" w:fill="D9D9D6"/>
          </w:tcPr>
          <w:p>
            <w:pPr>
              <w:spacing w:after="0"/>
              <w:rPr>
                <w:sz w:val="20"/>
                <w:szCs w:val="20"/>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Borders>
              <w:bottom w:val="single" w:sz="8" w:color="D9D9D6"/>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$108</w:t>
            </w:r>
          </w:p>
        </w:tc>
        <w:tc>
          <w:tcPr>
            <w:tcW w:w="920" w:type="dxa"/>
            <w:vAlign w:val="bottom"/>
            <w:tcBorders>
              <w:bottom w:val="single" w:sz="8" w:color="D9D9D6"/>
              <w:right w:val="single" w:sz="8" w:color="D9D9D6"/>
            </w:tcBorders>
            <w:gridSpan w:val="4"/>
            <w:shd w:val="clear" w:color="auto" w:fill="DBDBDB"/>
          </w:tcPr>
          <w:p>
            <w:pPr>
              <w:jc w:val="right"/>
              <w:ind w:right="100"/>
              <w:spacing w:after="0"/>
              <w:rPr>
                <w:sz w:val="20"/>
                <w:szCs w:val="20"/>
                <w:color w:val="auto"/>
              </w:rPr>
            </w:pPr>
            <w:r>
              <w:rPr>
                <w:rFonts w:ascii="Arial" w:cs="Arial" w:eastAsia="Arial" w:hAnsi="Arial"/>
                <w:sz w:val="14"/>
                <w:szCs w:val="14"/>
                <w:b w:val="1"/>
                <w:bCs w:val="1"/>
                <w:color w:val="auto"/>
              </w:rPr>
              <w:t>$218</w:t>
            </w:r>
          </w:p>
        </w:tc>
        <w:tc>
          <w:tcPr>
            <w:tcW w:w="220" w:type="dxa"/>
            <w:vAlign w:val="bottom"/>
            <w:tcBorders>
              <w:bottom w:val="single" w:sz="8" w:color="D9D9D6"/>
            </w:tcBorders>
            <w:shd w:val="clear" w:color="auto" w:fill="D9D9D6"/>
          </w:tcPr>
          <w:p>
            <w:pPr>
              <w:spacing w:after="0"/>
              <w:rPr>
                <w:sz w:val="20"/>
                <w:szCs w:val="20"/>
                <w:color w:val="auto"/>
              </w:rPr>
            </w:pPr>
          </w:p>
        </w:tc>
        <w:tc>
          <w:tcPr>
            <w:tcW w:w="62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(50.2</w:t>
            </w:r>
          </w:p>
        </w:tc>
        <w:tc>
          <w:tcPr>
            <w:tcW w:w="18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D9D9D6"/>
            </w:tcBorders>
            <w:shd w:val="clear" w:color="auto" w:fill="D9D9D6"/>
          </w:tcPr>
          <w:p>
            <w:pPr>
              <w:spacing w:after="0"/>
              <w:rPr>
                <w:sz w:val="20"/>
                <w:szCs w:val="20"/>
                <w:color w:val="auto"/>
              </w:rPr>
            </w:pPr>
          </w:p>
        </w:tc>
        <w:tc>
          <w:tcPr>
            <w:tcW w:w="120" w:type="dxa"/>
            <w:vAlign w:val="bottom"/>
            <w:tcBorders>
              <w:bottom w:val="single" w:sz="8" w:color="D9D9D6"/>
            </w:tcBorders>
            <w:shd w:val="clear" w:color="auto" w:fill="D9D9D6"/>
          </w:tcPr>
          <w:p>
            <w:pPr>
              <w:spacing w:after="0"/>
              <w:rPr>
                <w:sz w:val="20"/>
                <w:szCs w:val="20"/>
                <w:color w:val="auto"/>
              </w:rPr>
            </w:pPr>
          </w:p>
        </w:tc>
      </w:tr>
    </w:tbl>
    <w:p>
      <w:pPr>
        <w:spacing w:after="0" w:line="30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Media increased due to higher domestic distribution, international networks and other revenue, partially offset by lower domestic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revenue. Domestic distribution revenue increased primarily due to higher revenue at Peacock, driven by an increase in paid subscribers. International networks revenue increased primarily reflecting an increase in revenue associated with the distribution of sports channels and the positive impact of foreign currency. Domestic advertising revenue decreased reflecting the unfavorable comparison to Telemundo's broadcast of the FIFA World Cup in the prior year period. Excluding the contribution from World Cup advertising</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in the prior year period, advertising revenue increased 2.7%, primarily due to an increase in revenue at Peacock, partially offset by lower revenue at our networks.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84" w:right="339" w:bottom="1440" w:gutter="0" w:footer="0" w:header="0"/>
        </w:sectPr>
      </w:pPr>
    </w:p>
    <w:bookmarkStart w:id="8" w:name="page9"/>
    <w:bookmarkEnd w:id="8"/>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Media decreased due to higher operating expenses, which more than offset higher revenue. The increase in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was due to increased sports programming costs and higher programming costs at Peacock, partially offset by a decrease in content costs at our entertainment television networks, including the impacts of the Writers Guild and Screen Actors Guild work stoppages in the current year period. The increase in sports costs reflected the contractual rate increase in NFL programming, the addition of Big 10 and higher Premier League costs compared to the prior year period when games were paused for four weeks to accommodate the timing of the FIFA World Cup. Media results in the fourth quarter include $1.0 billion of revenue and an Adjusted EBITDA</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loss of $825 million related to Peacock, compared to $660 million of revenue and an Adjusted EBITDA</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loss of $978 million in the prior year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3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60" w:type="dxa"/>
            <w:vAlign w:val="bottom"/>
            <w:shd w:val="clear" w:color="auto" w:fill="D9D9D6"/>
          </w:tcPr>
          <w:p>
            <w:pPr>
              <w:spacing w:after="0"/>
              <w:rPr>
                <w:sz w:val="17"/>
                <w:szCs w:val="17"/>
                <w:color w:val="auto"/>
              </w:rPr>
            </w:pPr>
          </w:p>
        </w:tc>
        <w:tc>
          <w:tcPr>
            <w:tcW w:w="5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16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60" w:type="dxa"/>
            <w:vAlign w:val="bottom"/>
            <w:tcBorders>
              <w:bottom w:val="single" w:sz="8" w:color="D9D9D6"/>
            </w:tcBorders>
            <w:shd w:val="clear" w:color="auto" w:fill="D9D9D6"/>
          </w:tcPr>
          <w:p>
            <w:pPr>
              <w:spacing w:after="0"/>
              <w:rPr>
                <w:sz w:val="15"/>
                <w:szCs w:val="15"/>
                <w:color w:val="auto"/>
              </w:rPr>
            </w:pPr>
          </w:p>
        </w:tc>
        <w:tc>
          <w:tcPr>
            <w:tcW w:w="72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w w:val="98"/>
              </w:rPr>
              <w:t>4th Quarter</w:t>
            </w:r>
          </w:p>
        </w:tc>
        <w:tc>
          <w:tcPr>
            <w:tcW w:w="54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160" w:type="dxa"/>
            <w:vAlign w:val="bottom"/>
            <w:shd w:val="clear" w:color="auto" w:fill="D9D9D6"/>
          </w:tcPr>
          <w:p>
            <w:pPr>
              <w:spacing w:after="0"/>
              <w:rPr>
                <w:sz w:val="15"/>
                <w:szCs w:val="15"/>
                <w:color w:val="auto"/>
              </w:rPr>
            </w:pP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880" w:type="dxa"/>
            <w:vAlign w:val="bottom"/>
            <w:gridSpan w:val="4"/>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5</w:t>
            </w:r>
          </w:p>
        </w:tc>
        <w:tc>
          <w:tcPr>
            <w:tcW w:w="1180" w:type="dxa"/>
            <w:vAlign w:val="bottom"/>
            <w:gridSpan w:val="5"/>
            <w:shd w:val="clear" w:color="auto" w:fill="D9D9D6"/>
          </w:tcPr>
          <w:p>
            <w:pPr>
              <w:ind w:left="54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16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60" w:type="dxa"/>
            <w:vAlign w:val="bottom"/>
            <w:tcBorders>
              <w:top w:val="single" w:sz="8" w:color="D9D9D6"/>
            </w:tcBorders>
            <w:shd w:val="clear" w:color="auto" w:fill="D9D9D6"/>
          </w:tcPr>
          <w:p>
            <w:pPr>
              <w:spacing w:after="0"/>
              <w:rPr>
                <w:sz w:val="19"/>
                <w:szCs w:val="19"/>
                <w:color w:val="auto"/>
              </w:rPr>
            </w:pPr>
          </w:p>
        </w:tc>
        <w:tc>
          <w:tcPr>
            <w:tcW w:w="5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 Licensing</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$2,375</w:t>
            </w:r>
          </w:p>
        </w:tc>
        <w:tc>
          <w:tcPr>
            <w:tcW w:w="20" w:type="dxa"/>
            <w:vAlign w:val="bottom"/>
            <w:shd w:val="clear" w:color="auto" w:fill="D9D9D6"/>
          </w:tcPr>
          <w:p>
            <w:pPr>
              <w:spacing w:after="0"/>
              <w:rPr>
                <w:sz w:val="17"/>
                <w:szCs w:val="17"/>
                <w:color w:val="auto"/>
              </w:rPr>
            </w:pPr>
          </w:p>
        </w:tc>
        <w:tc>
          <w:tcPr>
            <w:tcW w:w="88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$2,382</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(0.3 %)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Theatrical</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343</w:t>
            </w:r>
          </w:p>
        </w:tc>
        <w:tc>
          <w:tcPr>
            <w:tcW w:w="20" w:type="dxa"/>
            <w:vAlign w:val="bottom"/>
            <w:shd w:val="clear" w:color="auto" w:fill="D9D9D6"/>
          </w:tcPr>
          <w:p>
            <w:pPr>
              <w:spacing w:after="0"/>
              <w:rPr>
                <w:sz w:val="17"/>
                <w:szCs w:val="17"/>
                <w:color w:val="auto"/>
              </w:rPr>
            </w:pPr>
          </w:p>
        </w:tc>
        <w:tc>
          <w:tcPr>
            <w:tcW w:w="88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216</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58.8 %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345</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339</w:t>
            </w:r>
          </w:p>
        </w:tc>
        <w:tc>
          <w:tcPr>
            <w:tcW w:w="104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1.7 %</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$3,064</w:t>
            </w:r>
          </w:p>
        </w:tc>
        <w:tc>
          <w:tcPr>
            <w:tcW w:w="20" w:type="dxa"/>
            <w:vAlign w:val="bottom"/>
            <w:shd w:val="clear" w:color="auto" w:fill="D9D9D6"/>
          </w:tcPr>
          <w:p>
            <w:pPr>
              <w:spacing w:after="0"/>
              <w:rPr>
                <w:sz w:val="17"/>
                <w:szCs w:val="17"/>
                <w:color w:val="auto"/>
              </w:rPr>
            </w:pPr>
          </w:p>
        </w:tc>
        <w:tc>
          <w:tcPr>
            <w:tcW w:w="88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$2,938</w:t>
            </w:r>
          </w:p>
        </w:tc>
        <w:tc>
          <w:tcPr>
            <w:tcW w:w="104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4.3 %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2,756</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4"/>
            <w:shd w:val="clear" w:color="auto" w:fill="D9D9D6"/>
          </w:tcPr>
          <w:p>
            <w:pPr>
              <w:jc w:val="right"/>
              <w:ind w:right="60"/>
              <w:spacing w:after="0"/>
              <w:rPr>
                <w:sz w:val="20"/>
                <w:szCs w:val="20"/>
                <w:color w:val="auto"/>
              </w:rPr>
            </w:pPr>
            <w:r>
              <w:rPr>
                <w:rFonts w:ascii="Arial" w:cs="Arial" w:eastAsia="Arial" w:hAnsi="Arial"/>
                <w:sz w:val="14"/>
                <w:szCs w:val="14"/>
                <w:color w:val="auto"/>
              </w:rPr>
              <w:t>2,770</w:t>
            </w:r>
          </w:p>
        </w:tc>
        <w:tc>
          <w:tcPr>
            <w:tcW w:w="86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(0.5</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$308</w:t>
            </w:r>
          </w:p>
        </w:tc>
        <w:tc>
          <w:tcPr>
            <w:tcW w:w="20" w:type="dxa"/>
            <w:vAlign w:val="bottom"/>
            <w:shd w:val="clear" w:color="auto" w:fill="D9D9D6"/>
          </w:tcPr>
          <w:p>
            <w:pPr>
              <w:spacing w:after="0"/>
              <w:rPr>
                <w:sz w:val="17"/>
                <w:szCs w:val="17"/>
                <w:color w:val="auto"/>
              </w:rPr>
            </w:pPr>
          </w:p>
        </w:tc>
        <w:tc>
          <w:tcPr>
            <w:tcW w:w="880" w:type="dxa"/>
            <w:vAlign w:val="bottom"/>
            <w:gridSpan w:val="4"/>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$168</w:t>
            </w:r>
          </w:p>
        </w:tc>
        <w:tc>
          <w:tcPr>
            <w:tcW w:w="86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83.0</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56"/>
        </w:trPr>
        <w:tc>
          <w:tcPr>
            <w:tcW w:w="120" w:type="dxa"/>
            <w:vAlign w:val="bottom"/>
            <w:shd w:val="clear" w:color="auto" w:fill="D9D9D6"/>
          </w:tcPr>
          <w:p>
            <w:pPr>
              <w:spacing w:after="0"/>
              <w:rPr>
                <w:sz w:val="4"/>
                <w:szCs w:val="4"/>
                <w:color w:val="auto"/>
              </w:rPr>
            </w:pPr>
          </w:p>
        </w:tc>
        <w:tc>
          <w:tcPr>
            <w:tcW w:w="816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Studios increased primarily due to higher theatrical revenue, including the performance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Five Nights at Freddy's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Trolls Band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Together, The Exorcist: Believer </w:t>
      </w:r>
      <w:r>
        <w:rPr>
          <w:rFonts w:ascii="Arial" w:cs="Arial" w:eastAsia="Arial" w:hAnsi="Arial"/>
          <w:sz w:val="18"/>
          <w:szCs w:val="18"/>
          <w:color w:val="auto"/>
        </w:rPr>
        <w:t>and</w:t>
      </w:r>
      <w:r>
        <w:rPr>
          <w:rFonts w:ascii="Arial" w:cs="Arial" w:eastAsia="Arial" w:hAnsi="Arial"/>
          <w:sz w:val="18"/>
          <w:szCs w:val="18"/>
          <w:i w:val="1"/>
          <w:iCs w:val="1"/>
          <w:color w:val="auto"/>
        </w:rPr>
        <w:t xml:space="preserve"> Migration</w:t>
      </w:r>
      <w:r>
        <w:rPr>
          <w:rFonts w:ascii="Arial" w:cs="Arial" w:eastAsia="Arial" w:hAnsi="Arial"/>
          <w:sz w:val="18"/>
          <w:szCs w:val="18"/>
          <w:color w:val="auto"/>
        </w:rPr>
        <w:t>. Content licensing revenue was consistent as higher content licensing revenue at our film</w:t>
      </w:r>
      <w:r>
        <w:rPr>
          <w:rFonts w:ascii="Arial" w:cs="Arial" w:eastAsia="Arial" w:hAnsi="Arial"/>
          <w:sz w:val="18"/>
          <w:szCs w:val="18"/>
          <w:i w:val="1"/>
          <w:iCs w:val="1"/>
          <w:color w:val="auto"/>
        </w:rPr>
        <w:t xml:space="preserve"> </w:t>
      </w:r>
      <w:r>
        <w:rPr>
          <w:rFonts w:ascii="Arial" w:cs="Arial" w:eastAsia="Arial" w:hAnsi="Arial"/>
          <w:sz w:val="18"/>
          <w:szCs w:val="18"/>
          <w:color w:val="auto"/>
        </w:rPr>
        <w:t>studios was offset by lower content licensing revenue at our television studios, primarily due to the timing of when content was made available under licensing agreements, including the impacts of the Writers Guild and Screen Actors Guild work stoppages in the current year period.</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Studios increased due to higher revenue and consistent operating expenses. The consistent operating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reflected consistent programming and production expenses, due to lower costs associated with lower content licensing sales at our television studios, including the impacts of the work stoppages in the current year period, offset by higher film costs.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82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16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222"/>
        </w:trPr>
        <w:tc>
          <w:tcPr>
            <w:tcW w:w="100" w:type="dxa"/>
            <w:vAlign w:val="bottom"/>
            <w:tcBorders>
              <w:bottom w:val="single" w:sz="8" w:color="D9D9D6"/>
            </w:tcBorders>
            <w:shd w:val="clear" w:color="auto" w:fill="D9D9D6"/>
          </w:tcPr>
          <w:p>
            <w:pPr>
              <w:spacing w:after="0"/>
              <w:rPr>
                <w:sz w:val="19"/>
                <w:szCs w:val="19"/>
                <w:color w:val="auto"/>
              </w:rPr>
            </w:pPr>
          </w:p>
        </w:tc>
        <w:tc>
          <w:tcPr>
            <w:tcW w:w="8280" w:type="dxa"/>
            <w:vAlign w:val="bottom"/>
            <w:tcBorders>
              <w:bottom w:val="single" w:sz="8" w:color="D9D9D6"/>
            </w:tcBorders>
            <w:shd w:val="clear" w:color="auto" w:fill="D9D9D6"/>
          </w:tcPr>
          <w:p>
            <w:pPr>
              <w:spacing w:after="0"/>
              <w:rPr>
                <w:sz w:val="19"/>
                <w:szCs w:val="19"/>
                <w:color w:val="auto"/>
              </w:rPr>
            </w:pPr>
          </w:p>
        </w:tc>
        <w:tc>
          <w:tcPr>
            <w:tcW w:w="540" w:type="dxa"/>
            <w:vAlign w:val="bottom"/>
            <w:tcBorders>
              <w:bottom w:val="single" w:sz="8" w:color="D9D9D6"/>
            </w:tcBorders>
            <w:shd w:val="clear" w:color="auto" w:fill="D9D9D6"/>
          </w:tcPr>
          <w:p>
            <w:pPr>
              <w:spacing w:after="0"/>
              <w:rPr>
                <w:sz w:val="19"/>
                <w:szCs w:val="19"/>
                <w:color w:val="auto"/>
              </w:rPr>
            </w:pPr>
          </w:p>
        </w:tc>
        <w:tc>
          <w:tcPr>
            <w:tcW w:w="340" w:type="dxa"/>
            <w:vAlign w:val="bottom"/>
            <w:tcBorders>
              <w:bottom w:val="single" w:sz="8" w:color="D9D9D6"/>
              <w:right w:val="single" w:sz="8" w:color="D9D9D6"/>
            </w:tcBorders>
            <w:shd w:val="clear" w:color="auto" w:fill="D9D9D6"/>
          </w:tcPr>
          <w:p>
            <w:pPr>
              <w:spacing w:after="0"/>
              <w:rPr>
                <w:sz w:val="19"/>
                <w:szCs w:val="19"/>
                <w:color w:val="auto"/>
              </w:rPr>
            </w:pPr>
          </w:p>
        </w:tc>
        <w:tc>
          <w:tcPr>
            <w:tcW w:w="140" w:type="dxa"/>
            <w:vAlign w:val="bottom"/>
            <w:tcBorders>
              <w:bottom w:val="single" w:sz="8" w:color="D9D9D6"/>
            </w:tcBorders>
            <w:shd w:val="clear" w:color="auto" w:fill="D9D9D6"/>
          </w:tcPr>
          <w:p>
            <w:pPr>
              <w:spacing w:after="0"/>
              <w:rPr>
                <w:sz w:val="19"/>
                <w:szCs w:val="19"/>
                <w:color w:val="auto"/>
              </w:rPr>
            </w:pPr>
          </w:p>
        </w:tc>
        <w:tc>
          <w:tcPr>
            <w:tcW w:w="740" w:type="dxa"/>
            <w:vAlign w:val="bottom"/>
            <w:tcBorders>
              <w:bottom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8"/>
              </w:rPr>
              <w:t>4th Quarter</w:t>
            </w:r>
          </w:p>
        </w:tc>
        <w:tc>
          <w:tcPr>
            <w:tcW w:w="480" w:type="dxa"/>
            <w:vAlign w:val="bottom"/>
            <w:tcBorders>
              <w:bottom w:val="single" w:sz="8" w:color="D9D9D6"/>
            </w:tcBorders>
            <w:shd w:val="clear" w:color="auto" w:fill="D9D9D6"/>
          </w:tcPr>
          <w:p>
            <w:pPr>
              <w:spacing w:after="0"/>
              <w:rPr>
                <w:sz w:val="19"/>
                <w:szCs w:val="19"/>
                <w:color w:val="auto"/>
              </w:rPr>
            </w:pPr>
          </w:p>
        </w:tc>
        <w:tc>
          <w:tcPr>
            <w:tcW w:w="360" w:type="dxa"/>
            <w:vAlign w:val="bottom"/>
            <w:tcBorders>
              <w:bottom w:val="single" w:sz="8" w:color="D9D9D6"/>
            </w:tcBorders>
            <w:shd w:val="clear" w:color="auto" w:fill="D9D9D6"/>
          </w:tcPr>
          <w:p>
            <w:pPr>
              <w:spacing w:after="0"/>
              <w:rPr>
                <w:sz w:val="19"/>
                <w:szCs w:val="19"/>
                <w:color w:val="auto"/>
              </w:rPr>
            </w:pPr>
          </w:p>
        </w:tc>
        <w:tc>
          <w:tcPr>
            <w:tcW w:w="160" w:type="dxa"/>
            <w:vAlign w:val="bottom"/>
            <w:tcBorders>
              <w:bottom w:val="single" w:sz="8" w:color="D9D9D6"/>
              <w:right w:val="single" w:sz="8" w:color="D9D9D6"/>
            </w:tcBorders>
            <w:shd w:val="clear" w:color="auto" w:fill="D9D9D6"/>
          </w:tcPr>
          <w:p>
            <w:pPr>
              <w:spacing w:after="0"/>
              <w:rPr>
                <w:sz w:val="19"/>
                <w:szCs w:val="19"/>
                <w:color w:val="auto"/>
              </w:rPr>
            </w:pPr>
          </w:p>
        </w:tc>
        <w:tc>
          <w:tcPr>
            <w:tcW w:w="100" w:type="dxa"/>
            <w:vAlign w:val="bottom"/>
            <w:tcBorders>
              <w:bottom w:val="single" w:sz="8" w:color="D9D9D6"/>
            </w:tcBorders>
            <w:shd w:val="clear" w:color="auto" w:fill="D9D9D6"/>
          </w:tcPr>
          <w:p>
            <w:pPr>
              <w:spacing w:after="0"/>
              <w:rPr>
                <w:sz w:val="19"/>
                <w:szCs w:val="19"/>
                <w:color w:val="auto"/>
              </w:rPr>
            </w:pPr>
          </w:p>
        </w:tc>
      </w:tr>
      <w:tr>
        <w:trPr>
          <w:trHeight w:val="183"/>
        </w:trPr>
        <w:tc>
          <w:tcPr>
            <w:tcW w:w="100" w:type="dxa"/>
            <w:vAlign w:val="bottom"/>
            <w:shd w:val="clear" w:color="auto" w:fill="D9D9D6"/>
          </w:tcPr>
          <w:p>
            <w:pPr>
              <w:spacing w:after="0"/>
              <w:rPr>
                <w:sz w:val="15"/>
                <w:szCs w:val="15"/>
                <w:color w:val="auto"/>
              </w:rPr>
            </w:pPr>
          </w:p>
        </w:tc>
        <w:tc>
          <w:tcPr>
            <w:tcW w:w="8280" w:type="dxa"/>
            <w:vAlign w:val="bottom"/>
            <w:shd w:val="clear" w:color="auto" w:fill="D9D9D6"/>
          </w:tcPr>
          <w:p>
            <w:pPr>
              <w:spacing w:after="0"/>
              <w:rPr>
                <w:sz w:val="15"/>
                <w:szCs w:val="15"/>
                <w:color w:val="auto"/>
              </w:rPr>
            </w:pPr>
          </w:p>
        </w:tc>
        <w:tc>
          <w:tcPr>
            <w:tcW w:w="88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8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2022</w:t>
            </w:r>
          </w:p>
        </w:tc>
        <w:tc>
          <w:tcPr>
            <w:tcW w:w="480" w:type="dxa"/>
            <w:vAlign w:val="bottom"/>
            <w:shd w:val="clear" w:color="auto" w:fill="D9D9D6"/>
          </w:tcPr>
          <w:p>
            <w:pPr>
              <w:spacing w:after="0"/>
              <w:rPr>
                <w:sz w:val="15"/>
                <w:szCs w:val="15"/>
                <w:color w:val="auto"/>
              </w:rPr>
            </w:pPr>
          </w:p>
        </w:tc>
        <w:tc>
          <w:tcPr>
            <w:tcW w:w="62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w w:val="97"/>
              </w:rPr>
              <w:t>Change</w:t>
            </w:r>
          </w:p>
        </w:tc>
      </w:tr>
      <w:tr>
        <w:trPr>
          <w:trHeight w:val="20"/>
        </w:trPr>
        <w:tc>
          <w:tcPr>
            <w:tcW w:w="100" w:type="dxa"/>
            <w:vAlign w:val="bottom"/>
            <w:shd w:val="clear" w:color="auto" w:fill="D9D9D6"/>
          </w:tcPr>
          <w:p>
            <w:pPr>
              <w:spacing w:after="0" w:line="20" w:lineRule="exact"/>
              <w:rPr>
                <w:sz w:val="1"/>
                <w:szCs w:val="1"/>
                <w:color w:val="auto"/>
              </w:rPr>
            </w:pPr>
          </w:p>
        </w:tc>
        <w:tc>
          <w:tcPr>
            <w:tcW w:w="828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4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48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D9D9D6"/>
            </w:tcBorders>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r>
      <w:tr>
        <w:trPr>
          <w:trHeight w:val="559"/>
        </w:trPr>
        <w:tc>
          <w:tcPr>
            <w:tcW w:w="100" w:type="dxa"/>
            <w:vAlign w:val="bottom"/>
            <w:shd w:val="clear" w:color="auto" w:fill="D9D9D6"/>
          </w:tcPr>
          <w:p>
            <w:pPr>
              <w:spacing w:after="0"/>
              <w:rPr>
                <w:sz w:val="24"/>
                <w:szCs w:val="24"/>
                <w:color w:val="auto"/>
              </w:rPr>
            </w:pPr>
          </w:p>
        </w:tc>
        <w:tc>
          <w:tcPr>
            <w:tcW w:w="82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88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$2,371</w:t>
            </w:r>
          </w:p>
        </w:tc>
        <w:tc>
          <w:tcPr>
            <w:tcW w:w="88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$2,114</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12.2</w:t>
            </w:r>
          </w:p>
        </w:tc>
        <w:tc>
          <w:tcPr>
            <w:tcW w:w="1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D9D9D6"/>
          </w:tcPr>
          <w:p>
            <w:pPr>
              <w:spacing w:after="0"/>
              <w:rPr>
                <w:sz w:val="24"/>
                <w:szCs w:val="24"/>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828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color w:val="auto"/>
              </w:rPr>
              <w:t>1,499</w:t>
            </w:r>
          </w:p>
        </w:tc>
        <w:tc>
          <w:tcPr>
            <w:tcW w:w="880" w:type="dxa"/>
            <w:vAlign w:val="bottom"/>
            <w:tcBorders>
              <w:bottom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1,332</w:t>
            </w:r>
          </w:p>
        </w:tc>
        <w:tc>
          <w:tcPr>
            <w:tcW w:w="8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12.5</w:t>
            </w:r>
          </w:p>
        </w:tc>
        <w:tc>
          <w:tcPr>
            <w:tcW w:w="160" w:type="dxa"/>
            <w:vAlign w:val="bottom"/>
            <w:tcBorders>
              <w:bottom w:val="single" w:sz="8" w:color="auto"/>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D9D9D6"/>
            </w:tcBorders>
            <w:shd w:val="clear" w:color="auto" w:fill="D9D9D6"/>
          </w:tcPr>
          <w:p>
            <w:pPr>
              <w:spacing w:after="0"/>
              <w:rPr>
                <w:sz w:val="17"/>
                <w:szCs w:val="17"/>
                <w:color w:val="auto"/>
              </w:rPr>
            </w:pPr>
          </w:p>
        </w:tc>
      </w:tr>
      <w:tr>
        <w:trPr>
          <w:trHeight w:val="200"/>
        </w:trPr>
        <w:tc>
          <w:tcPr>
            <w:tcW w:w="100" w:type="dxa"/>
            <w:vAlign w:val="bottom"/>
            <w:shd w:val="clear" w:color="auto" w:fill="D9D9D6"/>
          </w:tcPr>
          <w:p>
            <w:pPr>
              <w:spacing w:after="0"/>
              <w:rPr>
                <w:sz w:val="17"/>
                <w:szCs w:val="17"/>
                <w:color w:val="auto"/>
              </w:rPr>
            </w:pPr>
          </w:p>
        </w:tc>
        <w:tc>
          <w:tcPr>
            <w:tcW w:w="828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right w:val="single" w:sz="8" w:color="D9D9D6"/>
            </w:tcBorders>
            <w:gridSpan w:val="2"/>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$872</w:t>
            </w:r>
          </w:p>
        </w:tc>
        <w:tc>
          <w:tcPr>
            <w:tcW w:w="88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$782</w:t>
            </w:r>
          </w:p>
        </w:tc>
        <w:tc>
          <w:tcPr>
            <w:tcW w:w="8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11.6</w:t>
            </w:r>
          </w:p>
        </w:tc>
        <w:tc>
          <w:tcPr>
            <w:tcW w:w="1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100" w:type="dxa"/>
            <w:vAlign w:val="bottom"/>
            <w:shd w:val="clear" w:color="auto" w:fill="D9D9D6"/>
          </w:tcPr>
          <w:p>
            <w:pPr>
              <w:spacing w:after="0"/>
              <w:rPr>
                <w:sz w:val="17"/>
                <w:szCs w:val="17"/>
                <w:color w:val="auto"/>
              </w:rPr>
            </w:pPr>
          </w:p>
        </w:tc>
      </w:tr>
      <w:tr>
        <w:trPr>
          <w:trHeight w:val="56"/>
        </w:trPr>
        <w:tc>
          <w:tcPr>
            <w:tcW w:w="100" w:type="dxa"/>
            <w:vAlign w:val="bottom"/>
            <w:shd w:val="clear" w:color="auto" w:fill="D9D9D6"/>
          </w:tcPr>
          <w:p>
            <w:pPr>
              <w:spacing w:after="0"/>
              <w:rPr>
                <w:sz w:val="4"/>
                <w:szCs w:val="4"/>
                <w:color w:val="auto"/>
              </w:rPr>
            </w:pPr>
          </w:p>
        </w:tc>
        <w:tc>
          <w:tcPr>
            <w:tcW w:w="828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48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160" w:type="dxa"/>
            <w:vAlign w:val="bottom"/>
            <w:tcBorders>
              <w:right w:val="single" w:sz="8" w:color="D9D9D6"/>
            </w:tcBorders>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Theme Parks increased due to higher revenue at both our international and domestic theme parks. Domestic theme parks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reflecting higher revenue at our theme park in Hollywood due to the continued success of Super Nintendo World, partially offset by lower revenue at our theme park in Orlando which continued to be above comparable pre-pandemic 2019 levels.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Theme Parks increased, reflecting higher revenue, which more than offset higher operating expenses. The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expenses was due to higher costs primarily associated with increased guest attendance.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&amp; Other</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Content &amp; Experiences Headquarters &amp; Other includes overhead, personnel costs and costs associated with corporate initiatives. Headquarters &amp; Other Adjusted EBITDA loss in the fourth quarter was $337</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580" w:right="339" w:bottom="1440" w:gutter="0" w:footer="0" w:header="0"/>
        </w:sectPr>
      </w:pPr>
    </w:p>
    <w:bookmarkStart w:id="9" w:name="page10"/>
    <w:bookmarkEnd w:id="9"/>
    <w:p>
      <w:pPr>
        <w:jc w:val="both"/>
        <w:ind w:right="20"/>
        <w:spacing w:after="0" w:line="287" w:lineRule="auto"/>
        <w:rPr>
          <w:sz w:val="20"/>
          <w:szCs w:val="20"/>
          <w:color w:val="auto"/>
        </w:rPr>
      </w:pPr>
      <w:r>
        <w:rPr>
          <w:rFonts w:ascii="Arial" w:cs="Arial" w:eastAsia="Arial" w:hAnsi="Arial"/>
          <w:sz w:val="18"/>
          <w:szCs w:val="18"/>
          <w:color w:val="auto"/>
        </w:rPr>
        <w:t>million, compared to a loss of $353 million in the prior year period. The year-over-year change included the impact of lower severance in the current 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Amounts represent eliminations of transactions between our Content &amp; Experiences segments, the most significant being content licensing</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between the Studios and Media segments, which are affected by the timing of recognition of content licenses. Revenue eliminations were $933 million, compared to $968 million in the prior year period, and Adjusted EBITDA eliminations were a loss of $20 million, compared to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benefit of $97 million in the prior year period.</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wp:posOffset>
            </wp:positionV>
            <wp:extent cx="68580" cy="1739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3990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7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480" w:type="dxa"/>
            <w:vAlign w:val="bottom"/>
            <w:tcBorders>
              <w:bottom w:val="single" w:sz="8" w:color="D9D9D6"/>
            </w:tcBorders>
            <w:shd w:val="clear" w:color="auto" w:fill="D9D9D6"/>
          </w:tcPr>
          <w:p>
            <w:pPr>
              <w:spacing w:after="0"/>
              <w:rPr>
                <w:sz w:val="17"/>
                <w:szCs w:val="17"/>
                <w:color w:val="auto"/>
              </w:rPr>
            </w:pPr>
          </w:p>
        </w:tc>
        <w:tc>
          <w:tcPr>
            <w:tcW w:w="24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80" w:type="dxa"/>
            <w:vAlign w:val="bottom"/>
            <w:tcBorders>
              <w:bottom w:val="single" w:sz="8" w:color="D9D9D6"/>
            </w:tcBorders>
            <w:shd w:val="clear" w:color="auto" w:fill="D9D9D6"/>
          </w:tcPr>
          <w:p>
            <w:pPr>
              <w:spacing w:after="0"/>
              <w:rPr>
                <w:sz w:val="17"/>
                <w:szCs w:val="17"/>
                <w:color w:val="auto"/>
              </w:rPr>
            </w:pPr>
          </w:p>
        </w:tc>
        <w:tc>
          <w:tcPr>
            <w:tcW w:w="5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right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162"/>
        </w:trPr>
        <w:tc>
          <w:tcPr>
            <w:tcW w:w="7760" w:type="dxa"/>
            <w:vAlign w:val="bottom"/>
          </w:tcPr>
          <w:p>
            <w:pPr>
              <w:spacing w:after="0"/>
              <w:rPr>
                <w:sz w:val="14"/>
                <w:szCs w:val="14"/>
                <w:color w:val="auto"/>
              </w:rPr>
            </w:pPr>
          </w:p>
        </w:tc>
        <w:tc>
          <w:tcPr>
            <w:tcW w:w="72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080" w:type="dxa"/>
            <w:vAlign w:val="bottom"/>
            <w:gridSpan w:val="5"/>
            <w:shd w:val="clear" w:color="auto" w:fill="D9D9D6"/>
          </w:tcPr>
          <w:p>
            <w:pPr>
              <w:jc w:val="right"/>
              <w:ind w:right="160"/>
              <w:spacing w:after="0"/>
              <w:rPr>
                <w:sz w:val="20"/>
                <w:szCs w:val="20"/>
                <w:color w:val="auto"/>
              </w:rPr>
            </w:pPr>
            <w:r>
              <w:rPr>
                <w:rFonts w:ascii="Arial" w:cs="Arial" w:eastAsia="Arial" w:hAnsi="Arial"/>
                <w:sz w:val="14"/>
                <w:szCs w:val="14"/>
                <w:color w:val="auto"/>
              </w:rPr>
              <w:t>4th Quarter</w:t>
            </w:r>
          </w:p>
        </w:tc>
        <w:tc>
          <w:tcPr>
            <w:tcW w:w="5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0" w:type="dxa"/>
            <w:vAlign w:val="bottom"/>
            <w:tcBorders>
              <w:right w:val="single" w:sz="8" w:color="D9D9D6"/>
            </w:tcBorders>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72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80" w:type="dxa"/>
            <w:vAlign w:val="bottom"/>
            <w:shd w:val="clear" w:color="auto" w:fill="D9D9D6"/>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0" w:type="dxa"/>
            <w:vAlign w:val="bottom"/>
            <w:tcBorders>
              <w:right w:val="single" w:sz="8" w:color="D9D9D6"/>
            </w:tcBorders>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83"/>
        </w:trPr>
        <w:tc>
          <w:tcPr>
            <w:tcW w:w="7760" w:type="dxa"/>
            <w:vAlign w:val="bottom"/>
          </w:tcPr>
          <w:p>
            <w:pPr>
              <w:spacing w:after="0"/>
              <w:rPr>
                <w:sz w:val="15"/>
                <w:szCs w:val="15"/>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200" w:type="dxa"/>
            <w:vAlign w:val="bottom"/>
            <w:shd w:val="clear" w:color="auto" w:fill="D9D9D6"/>
          </w:tcPr>
          <w:p>
            <w:pPr>
              <w:spacing w:after="0"/>
              <w:rPr>
                <w:sz w:val="15"/>
                <w:szCs w:val="15"/>
                <w:color w:val="auto"/>
              </w:rPr>
            </w:pPr>
          </w:p>
        </w:tc>
        <w:tc>
          <w:tcPr>
            <w:tcW w:w="880" w:type="dxa"/>
            <w:vAlign w:val="bottom"/>
            <w:gridSpan w:val="4"/>
            <w:shd w:val="clear" w:color="auto" w:fill="D9D9D6"/>
          </w:tcPr>
          <w:p>
            <w:pPr>
              <w:jc w:val="right"/>
              <w:ind w:right="20"/>
              <w:spacing w:after="0" w:line="182"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5</w:t>
            </w:r>
          </w:p>
        </w:tc>
        <w:tc>
          <w:tcPr>
            <w:tcW w:w="1220" w:type="dxa"/>
            <w:vAlign w:val="bottom"/>
            <w:gridSpan w:val="4"/>
            <w:shd w:val="clear" w:color="auto" w:fill="D9D9D6"/>
          </w:tcPr>
          <w:p>
            <w:pPr>
              <w:ind w:left="580"/>
              <w:spacing w:after="0"/>
              <w:rPr>
                <w:sz w:val="20"/>
                <w:szCs w:val="20"/>
                <w:color w:val="auto"/>
              </w:rPr>
            </w:pPr>
            <w:r>
              <w:rPr>
                <w:rFonts w:ascii="Arial" w:cs="Arial" w:eastAsia="Arial" w:hAnsi="Arial"/>
                <w:sz w:val="14"/>
                <w:szCs w:val="14"/>
                <w:color w:val="auto"/>
              </w:rPr>
              <w:t>Change</w:t>
            </w:r>
          </w:p>
        </w:tc>
      </w:tr>
      <w:tr>
        <w:trPr>
          <w:trHeight w:val="221"/>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Corporate &amp; Other</w:t>
            </w:r>
          </w:p>
        </w:tc>
        <w:tc>
          <w:tcPr>
            <w:tcW w:w="7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200" w:type="dxa"/>
            <w:vAlign w:val="bottom"/>
            <w:tcBorders>
              <w:top w:val="single" w:sz="8" w:color="D9D9D6"/>
            </w:tcBorders>
            <w:shd w:val="clear" w:color="auto" w:fill="D9D9D6"/>
          </w:tcPr>
          <w:p>
            <w:pPr>
              <w:spacing w:after="0"/>
              <w:rPr>
                <w:sz w:val="19"/>
                <w:szCs w:val="19"/>
                <w:color w:val="auto"/>
              </w:rPr>
            </w:pPr>
          </w:p>
        </w:tc>
        <w:tc>
          <w:tcPr>
            <w:tcW w:w="48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auto"/>
            </w:tcBorders>
            <w:shd w:val="clear" w:color="auto" w:fill="D9D9D6"/>
          </w:tcPr>
          <w:p>
            <w:pPr>
              <w:spacing w:after="0"/>
              <w:rPr>
                <w:sz w:val="19"/>
                <w:szCs w:val="19"/>
                <w:color w:val="auto"/>
              </w:rPr>
            </w:pPr>
          </w:p>
        </w:tc>
        <w:tc>
          <w:tcPr>
            <w:tcW w:w="80" w:type="dxa"/>
            <w:vAlign w:val="bottom"/>
            <w:tcBorders>
              <w:top w:val="single" w:sz="8" w:color="D9D9D6"/>
            </w:tcBorders>
            <w:shd w:val="clear" w:color="auto" w:fill="D9D9D6"/>
          </w:tcPr>
          <w:p>
            <w:pPr>
              <w:spacing w:after="0"/>
              <w:rPr>
                <w:sz w:val="19"/>
                <w:szCs w:val="19"/>
                <w:color w:val="auto"/>
              </w:rPr>
            </w:pPr>
          </w:p>
        </w:tc>
        <w:tc>
          <w:tcPr>
            <w:tcW w:w="5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$760</w:t>
            </w:r>
          </w:p>
        </w:tc>
        <w:tc>
          <w:tcPr>
            <w:tcW w:w="20" w:type="dxa"/>
            <w:vAlign w:val="bottom"/>
            <w:shd w:val="clear" w:color="auto" w:fill="D9D9D6"/>
          </w:tcPr>
          <w:p>
            <w:pPr>
              <w:spacing w:after="0"/>
              <w:rPr>
                <w:sz w:val="17"/>
                <w:szCs w:val="17"/>
                <w:color w:val="auto"/>
              </w:rPr>
            </w:pPr>
          </w:p>
        </w:tc>
        <w:tc>
          <w:tcPr>
            <w:tcW w:w="108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$731</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4.0</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9D6"/>
          </w:tcPr>
          <w:p>
            <w:pPr>
              <w:spacing w:after="0"/>
              <w:rPr>
                <w:sz w:val="17"/>
                <w:szCs w:val="17"/>
                <w:color w:val="auto"/>
              </w:rPr>
            </w:pPr>
          </w:p>
        </w:tc>
      </w:tr>
      <w:tr>
        <w:trPr>
          <w:trHeight w:val="198"/>
        </w:trPr>
        <w:tc>
          <w:tcPr>
            <w:tcW w:w="77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1,254</w:t>
            </w:r>
          </w:p>
        </w:tc>
        <w:tc>
          <w:tcPr>
            <w:tcW w:w="20" w:type="dxa"/>
            <w:vAlign w:val="bottom"/>
            <w:tcBorders>
              <w:bottom w:val="single" w:sz="8" w:color="auto"/>
            </w:tcBorders>
            <w:shd w:val="clear" w:color="auto" w:fill="D9D9D6"/>
          </w:tcPr>
          <w:p>
            <w:pPr>
              <w:spacing w:after="0"/>
              <w:rPr>
                <w:sz w:val="17"/>
                <w:szCs w:val="17"/>
                <w:color w:val="auto"/>
              </w:rPr>
            </w:pPr>
          </w:p>
        </w:tc>
        <w:tc>
          <w:tcPr>
            <w:tcW w:w="1080" w:type="dxa"/>
            <w:vAlign w:val="bottom"/>
            <w:tcBorders>
              <w:bottom w:val="single" w:sz="8" w:color="auto"/>
            </w:tcBorders>
            <w:gridSpan w:val="5"/>
            <w:shd w:val="clear" w:color="auto" w:fill="D9D9D6"/>
          </w:tcPr>
          <w:p>
            <w:pPr>
              <w:jc w:val="right"/>
              <w:ind w:right="80"/>
              <w:spacing w:after="0"/>
              <w:rPr>
                <w:sz w:val="20"/>
                <w:szCs w:val="20"/>
                <w:color w:val="auto"/>
              </w:rPr>
            </w:pPr>
            <w:r>
              <w:rPr>
                <w:rFonts w:ascii="Arial" w:cs="Arial" w:eastAsia="Arial" w:hAnsi="Arial"/>
                <w:sz w:val="14"/>
                <w:szCs w:val="14"/>
                <w:color w:val="auto"/>
              </w:rPr>
              <w:t>1,019</w:t>
            </w:r>
          </w:p>
        </w:tc>
        <w:tc>
          <w:tcPr>
            <w:tcW w:w="9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23.0</w:t>
            </w:r>
          </w:p>
        </w:tc>
        <w:tc>
          <w:tcPr>
            <w:tcW w:w="200" w:type="dxa"/>
            <w:vAlign w:val="bottom"/>
            <w:tcBorders>
              <w:bottom w:val="single" w:sz="8" w:color="auto"/>
              <w:right w:val="single" w:sz="8" w:color="D9D9D6"/>
            </w:tcBorders>
            <w:shd w:val="clear" w:color="auto" w:fill="D9D9D6"/>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($494)</w:t>
            </w:r>
          </w:p>
        </w:tc>
        <w:tc>
          <w:tcPr>
            <w:tcW w:w="20" w:type="dxa"/>
            <w:vAlign w:val="bottom"/>
            <w:shd w:val="clear" w:color="auto" w:fill="D9D9D6"/>
          </w:tcPr>
          <w:p>
            <w:pPr>
              <w:spacing w:after="0"/>
              <w:rPr>
                <w:sz w:val="17"/>
                <w:szCs w:val="17"/>
                <w:color w:val="auto"/>
              </w:rPr>
            </w:pPr>
          </w:p>
        </w:tc>
        <w:tc>
          <w:tcPr>
            <w:tcW w:w="108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($288)</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(71.2</w:t>
            </w:r>
          </w:p>
        </w:tc>
        <w:tc>
          <w:tcPr>
            <w:tcW w:w="200" w:type="dxa"/>
            <w:vAlign w:val="bottom"/>
            <w:tcBorders>
              <w:right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7"/>
                <w:szCs w:val="17"/>
                <w:color w:val="auto"/>
              </w:rPr>
            </w:pPr>
          </w:p>
        </w:tc>
      </w:tr>
      <w:tr>
        <w:trPr>
          <w:trHeight w:val="418"/>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Eliminations</w:t>
            </w:r>
          </w:p>
        </w:tc>
        <w:tc>
          <w:tcPr>
            <w:tcW w:w="7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480" w:type="dxa"/>
            <w:vAlign w:val="bottom"/>
            <w:shd w:val="clear" w:color="auto" w:fill="D9D9D6"/>
          </w:tcPr>
          <w:p>
            <w:pPr>
              <w:spacing w:after="0"/>
              <w:rPr>
                <w:sz w:val="24"/>
                <w:szCs w:val="24"/>
                <w:color w:val="auto"/>
              </w:rPr>
            </w:pPr>
          </w:p>
        </w:tc>
        <w:tc>
          <w:tcPr>
            <w:tcW w:w="2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5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tcBorders>
              <w:right w:val="single" w:sz="8" w:color="D9D9D6"/>
            </w:tcBorders>
            <w:shd w:val="clear" w:color="auto" w:fill="D9D9D6"/>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($1,426)</w:t>
            </w:r>
          </w:p>
        </w:tc>
        <w:tc>
          <w:tcPr>
            <w:tcW w:w="20" w:type="dxa"/>
            <w:vAlign w:val="bottom"/>
            <w:shd w:val="clear" w:color="auto" w:fill="D9D9D6"/>
          </w:tcPr>
          <w:p>
            <w:pPr>
              <w:spacing w:after="0"/>
              <w:rPr>
                <w:sz w:val="17"/>
                <w:szCs w:val="17"/>
                <w:color w:val="auto"/>
              </w:rPr>
            </w:pPr>
          </w:p>
        </w:tc>
        <w:tc>
          <w:tcPr>
            <w:tcW w:w="1080" w:type="dxa"/>
            <w:vAlign w:val="bottom"/>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($1,370)</w:t>
            </w:r>
          </w:p>
        </w:tc>
        <w:tc>
          <w:tcPr>
            <w:tcW w:w="1100" w:type="dxa"/>
            <w:vAlign w:val="bottom"/>
            <w:tcBorders>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4.1 %</w:t>
            </w:r>
          </w:p>
        </w:tc>
        <w:tc>
          <w:tcPr>
            <w:tcW w:w="120" w:type="dxa"/>
            <w:vAlign w:val="bottom"/>
          </w:tcPr>
          <w:p>
            <w:pPr>
              <w:spacing w:after="0"/>
              <w:rPr>
                <w:sz w:val="17"/>
                <w:szCs w:val="17"/>
                <w:color w:val="auto"/>
              </w:rPr>
            </w:pPr>
          </w:p>
        </w:tc>
      </w:tr>
      <w:tr>
        <w:trPr>
          <w:trHeight w:val="198"/>
        </w:trPr>
        <w:tc>
          <w:tcPr>
            <w:tcW w:w="77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(1,420)</w:t>
            </w:r>
          </w:p>
        </w:tc>
        <w:tc>
          <w:tcPr>
            <w:tcW w:w="20" w:type="dxa"/>
            <w:vAlign w:val="bottom"/>
            <w:tcBorders>
              <w:bottom w:val="single" w:sz="8" w:color="auto"/>
            </w:tcBorders>
            <w:shd w:val="clear" w:color="auto" w:fill="D9D9D6"/>
          </w:tcPr>
          <w:p>
            <w:pPr>
              <w:spacing w:after="0"/>
              <w:rPr>
                <w:sz w:val="17"/>
                <w:szCs w:val="17"/>
                <w:color w:val="auto"/>
              </w:rPr>
            </w:pPr>
          </w:p>
        </w:tc>
        <w:tc>
          <w:tcPr>
            <w:tcW w:w="1080" w:type="dxa"/>
            <w:vAlign w:val="bottom"/>
            <w:tcBorders>
              <w:bottom w:val="single" w:sz="8" w:color="auto"/>
            </w:tcBorders>
            <w:gridSpan w:val="5"/>
            <w:shd w:val="clear" w:color="auto" w:fill="D9D9D6"/>
          </w:tcPr>
          <w:p>
            <w:pPr>
              <w:jc w:val="right"/>
              <w:ind w:right="40"/>
              <w:spacing w:after="0"/>
              <w:rPr>
                <w:sz w:val="20"/>
                <w:szCs w:val="20"/>
                <w:color w:val="auto"/>
              </w:rPr>
            </w:pPr>
            <w:r>
              <w:rPr>
                <w:rFonts w:ascii="Arial" w:cs="Arial" w:eastAsia="Arial" w:hAnsi="Arial"/>
                <w:sz w:val="14"/>
                <w:szCs w:val="14"/>
                <w:color w:val="auto"/>
              </w:rPr>
              <w:t>(1,398)</w:t>
            </w:r>
          </w:p>
        </w:tc>
        <w:tc>
          <w:tcPr>
            <w:tcW w:w="1100" w:type="dxa"/>
            <w:vAlign w:val="bottom"/>
            <w:tcBorders>
              <w:bottom w:val="single" w:sz="8" w:color="auto"/>
              <w:right w:val="single" w:sz="8" w:color="D9D9D6"/>
            </w:tcBorders>
            <w:gridSpan w:val="3"/>
            <w:shd w:val="clear" w:color="auto" w:fill="D9D9D6"/>
          </w:tcPr>
          <w:p>
            <w:pPr>
              <w:jc w:val="right"/>
              <w:ind w:right="8"/>
              <w:spacing w:after="0"/>
              <w:rPr>
                <w:sz w:val="20"/>
                <w:szCs w:val="20"/>
                <w:color w:val="auto"/>
              </w:rPr>
            </w:pPr>
            <w:r>
              <w:rPr>
                <w:rFonts w:ascii="Arial" w:cs="Arial" w:eastAsia="Arial" w:hAnsi="Arial"/>
                <w:sz w:val="14"/>
                <w:szCs w:val="14"/>
                <w:color w:val="auto"/>
              </w:rPr>
              <w:t>1.6 %</w:t>
            </w:r>
          </w:p>
        </w:tc>
        <w:tc>
          <w:tcPr>
            <w:tcW w:w="120" w:type="dxa"/>
            <w:vAlign w:val="bottom"/>
          </w:tcPr>
          <w:p>
            <w:pPr>
              <w:spacing w:after="0"/>
              <w:rPr>
                <w:sz w:val="17"/>
                <w:szCs w:val="17"/>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w:t>
            </w:r>
          </w:p>
        </w:tc>
        <w:tc>
          <w:tcPr>
            <w:tcW w:w="20" w:type="dxa"/>
            <w:vAlign w:val="bottom"/>
            <w:shd w:val="clear" w:color="auto" w:fill="D9D9D6"/>
          </w:tcPr>
          <w:p>
            <w:pPr>
              <w:spacing w:after="0"/>
              <w:rPr>
                <w:sz w:val="17"/>
                <w:szCs w:val="17"/>
                <w:color w:val="auto"/>
              </w:rPr>
            </w:pPr>
          </w:p>
        </w:tc>
        <w:tc>
          <w:tcPr>
            <w:tcW w:w="1080" w:type="dxa"/>
            <w:vAlign w:val="bottom"/>
            <w:gridSpan w:val="5"/>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$28</w:t>
            </w:r>
          </w:p>
        </w:tc>
        <w:tc>
          <w:tcPr>
            <w:tcW w:w="580" w:type="dxa"/>
            <w:vAlign w:val="bottom"/>
            <w:shd w:val="clear" w:color="auto" w:fill="D9D9D6"/>
          </w:tcPr>
          <w:p>
            <w:pPr>
              <w:spacing w:after="0"/>
              <w:rPr>
                <w:sz w:val="17"/>
                <w:szCs w:val="17"/>
                <w:color w:val="auto"/>
              </w:rPr>
            </w:pPr>
          </w:p>
        </w:tc>
        <w:tc>
          <w:tcPr>
            <w:tcW w:w="520" w:type="dxa"/>
            <w:vAlign w:val="bottom"/>
            <w:tcBorders>
              <w:right w:val="single" w:sz="8" w:color="D9D9D6"/>
            </w:tcBorders>
            <w:gridSpan w:val="2"/>
            <w:shd w:val="clear" w:color="auto" w:fill="D9D9D6"/>
          </w:tcPr>
          <w:p>
            <w:pPr>
              <w:jc w:val="right"/>
              <w:ind w:right="48"/>
              <w:spacing w:after="0"/>
              <w:rPr>
                <w:sz w:val="20"/>
                <w:szCs w:val="20"/>
                <w:color w:val="auto"/>
              </w:rPr>
            </w:pPr>
            <w:r>
              <w:rPr>
                <w:rFonts w:ascii="Arial" w:cs="Arial" w:eastAsia="Arial" w:hAnsi="Arial"/>
                <w:sz w:val="14"/>
                <w:szCs w:val="14"/>
                <w:b w:val="1"/>
                <w:bCs w:val="1"/>
                <w:color w:val="auto"/>
              </w:rPr>
              <w:t>NM</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-1542415</wp:posOffset>
            </wp:positionV>
            <wp:extent cx="7063740" cy="1705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63740" cy="1705610"/>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NM=comparison not meaningful.</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Corporate &amp; Other primarily includes overhead and personnel costs; our Sky-branded video services and television networks in Germany; Comcast Spectacor, which owns the Philadelphia Flyers and the Wells Fargo Center arena in Philadelphia, Pennsylvania; and Xumo, our consolidated streaming platform joint venture beginning in June 2022. Corporate &amp; Other Adjusted EBITDA decreased primarily reflecting an increase in operating expenses related to Sky operations in Germany, due to higher Bundesliga costs compared to the prior year period when games were paused for four weeks to accommodate the timing of the FIFA World Cup and content charges related to a shift in our entertainment content development strategy.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Amounts represent eliminations of transactions between Connectivity &amp; Platforms, Content &amp; Experiences and other businesses, the most significant being distribution of television network programming between the Media and Residential Connectivity &amp; Platforms segments. Revenue eliminations were $1.4 billion, consistent with the prior year period, and Adjusted EBITDA eliminations were a loss of $5 million compared to a benefit of $28 million in the prior year period.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580"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t>Notes:</w:t>
      </w:r>
    </w:p>
    <w:p>
      <w:pPr>
        <w:spacing w:after="0" w:line="90"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25"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28"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5 Beginning in the first quarter of 2023, we changed our presentation of segment operating results around our two primary businesses, Connectivity &amp; Platforms and Content &amp; Experiences. We present the operations of (1) our Connectivity &amp; Platforms business in two segments: Residential Connectivity &amp; Platforms and Business Services Connectivity and (2) our Content &amp; Experiences business in three segments: Media, Studios and Theme Parks. We have updated certain historical information as a result of these changes, including: (1) presentation of Cable Communications results in the Residential Connectivity &amp; Platforms and Business Services Connectivity segments and (2) presentation of Sky's results across the segments within the Connectivity &amp; Platforms and Content &amp; Experiences business segments, and Corporate &amp; Other.</w:t>
      </w:r>
    </w:p>
    <w:p>
      <w:pPr>
        <w:spacing w:after="0" w:line="129"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6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 See Table 6 for reconciliations of non-GAAP financial measures.</w:t>
      </w:r>
    </w:p>
    <w:p>
      <w:pPr>
        <w:spacing w:after="0" w:line="117"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7 From time to time, we may present adjusted information (e.g., Adjusted Revenues) to exclude the impact of certain events, gains, losses or other charges affecting period-to-period comparability of our operating performance. See Table 7 and Table 8 for reconciliations of non-GAAP financial measures.</w:t>
      </w:r>
    </w:p>
    <w:p>
      <w:pPr>
        <w:spacing w:after="0" w:line="117"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8 Customer metrics for 2022 have been updated to reflect the new segment presentation, and to align methodologies for counting business customer metrics to: (1) include locations receiving our services outside of our distribution system and (2) now count certain customers based on the number of locations receiving services, including arrangements whereby third parties provide connectivity services leveraging our distribution system. These changes in methodology were not material to any period presented. Previously reported total Sky customer relationships of approximately 23 million as of December 31, 2022 also included approximately 5 million customer relationships receiving Sky services in Germany.</w:t>
      </w:r>
    </w:p>
    <w:p>
      <w:pPr>
        <w:spacing w:after="0" w:line="128"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9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generally presented on a consistent basis with the respective segments and include direct revenue and operating costs and expenses attributed to the component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634" w:right="339" w:bottom="1440" w:gutter="0" w:footer="0" w:header="0"/>
        </w:sectPr>
      </w:pPr>
    </w:p>
    <w:bookmarkStart w:id="11" w:name="page12"/>
    <w:bookmarkEnd w:id="11"/>
    <w:p>
      <w:pPr>
        <w:jc w:val="both"/>
        <w:spacing w:after="0" w:line="287" w:lineRule="auto"/>
        <w:rPr>
          <w:sz w:val="20"/>
          <w:szCs w:val="20"/>
          <w:color w:val="auto"/>
        </w:rPr>
      </w:pPr>
      <w:r>
        <w:rPr>
          <w:rFonts w:ascii="Arial" w:cs="Arial" w:eastAsia="Arial" w:hAnsi="Arial"/>
          <w:sz w:val="18"/>
          <w:szCs w:val="18"/>
          <w:color w:val="auto"/>
        </w:rPr>
        <w:t>Numerical information is presented on a rounded basis using actual amounts. Minor differences in totals and percentage calculations may exist due to rounding.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January 25, 2024,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A replay of the call will be available starting at 11:30 a.m. ET on Thursday, January 25, 2024, on the Investor Relations website.</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25"/>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5"/>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laws and regulations; adverse decisions in litigation or governmental investigations;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328930</wp:posOffset>
            </wp:positionV>
            <wp:extent cx="102870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rPr>
              <w:t>December 31,</w:t>
            </w:r>
          </w:p>
        </w:tc>
        <w:tc>
          <w:tcPr>
            <w:tcW w:w="22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$31,253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$30,552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$121,572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$121,427</w:t>
            </w:r>
          </w:p>
        </w:tc>
        <w:tc>
          <w:tcPr>
            <w:tcW w:w="0" w:type="dxa"/>
            <w:vAlign w:val="bottom"/>
          </w:tcPr>
          <w:p>
            <w:pPr>
              <w:spacing w:after="0"/>
              <w:rPr>
                <w:sz w:val="1"/>
                <w:szCs w:val="1"/>
                <w:color w:val="auto"/>
              </w:rPr>
            </w:pPr>
          </w:p>
        </w:tc>
      </w:tr>
      <w:tr>
        <w:trPr>
          <w:trHeight w:val="477"/>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10,256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9,807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36,762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38,213</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2,042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2,182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7,971</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8,506</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10,943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10,561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39,190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38,263</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2,192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2,199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8,854</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8,724</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1,336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5,482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5,097</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Goodwill and long-lived asset impairments</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8,583</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26,769</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26,022</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98,258</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107,385</w:t>
            </w:r>
          </w:p>
        </w:tc>
        <w:tc>
          <w:tcPr>
            <w:tcW w:w="0" w:type="dxa"/>
            <w:vAlign w:val="bottom"/>
          </w:tcPr>
          <w:p>
            <w:pPr>
              <w:spacing w:after="0"/>
              <w:rPr>
                <w:sz w:val="1"/>
                <w:szCs w:val="1"/>
                <w:color w:val="auto"/>
              </w:rPr>
            </w:pPr>
          </w:p>
        </w:tc>
      </w:tr>
      <w:tr>
        <w:trPr>
          <w:trHeight w:val="418"/>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4,484</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4,530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23,314</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14,041</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(1,020)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(974)</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(4,087)</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(3,896)</w:t>
            </w:r>
          </w:p>
        </w:tc>
        <w:tc>
          <w:tcPr>
            <w:tcW w:w="0" w:type="dxa"/>
            <w:vAlign w:val="bottom"/>
          </w:tcPr>
          <w:p>
            <w:pPr>
              <w:spacing w:after="0"/>
              <w:rPr>
                <w:sz w:val="1"/>
                <w:szCs w:val="1"/>
                <w:color w:val="auto"/>
              </w:rPr>
            </w:pPr>
          </w:p>
        </w:tc>
      </w:tr>
      <w:tr>
        <w:trPr>
          <w:trHeight w:val="478"/>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335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789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243</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579</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1,252</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4,043</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3,670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20,478</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9,284</w:t>
            </w:r>
          </w:p>
        </w:tc>
        <w:tc>
          <w:tcPr>
            <w:tcW w:w="0" w:type="dxa"/>
            <w:vAlign w:val="bottom"/>
          </w:tcPr>
          <w:p>
            <w:pPr>
              <w:spacing w:after="0"/>
              <w:rPr>
                <w:sz w:val="1"/>
                <w:szCs w:val="1"/>
                <w:color w:val="auto"/>
              </w:rPr>
            </w:pPr>
          </w:p>
        </w:tc>
      </w:tr>
      <w:tr>
        <w:trPr>
          <w:trHeight w:val="480"/>
        </w:trPr>
        <w:tc>
          <w:tcPr>
            <w:tcW w:w="654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(891)</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(5,371)</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(4,359)</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3,153</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2,873</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15,107</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4,925</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(282)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$3,260</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$3,024</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$15,388</w:t>
            </w: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$5,370</w:t>
            </w:r>
          </w:p>
        </w:tc>
        <w:tc>
          <w:tcPr>
            <w:tcW w:w="0" w:type="dxa"/>
            <w:vAlign w:val="bottom"/>
          </w:tcPr>
          <w:p>
            <w:pPr>
              <w:spacing w:after="0"/>
              <w:rPr>
                <w:sz w:val="1"/>
                <w:szCs w:val="1"/>
                <w:color w:val="auto"/>
              </w:rPr>
            </w:pPr>
          </w:p>
        </w:tc>
      </w:tr>
      <w:tr>
        <w:trPr>
          <w:trHeight w:val="21"/>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$0.81</w:t>
            </w:r>
          </w:p>
        </w:tc>
        <w:tc>
          <w:tcPr>
            <w:tcW w:w="22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$0.70</w:t>
            </w: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$3.71</w:t>
            </w:r>
          </w:p>
        </w:tc>
        <w:tc>
          <w:tcPr>
            <w:tcW w:w="2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94"/>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4,039</w:t>
            </w:r>
          </w:p>
        </w:tc>
        <w:tc>
          <w:tcPr>
            <w:tcW w:w="22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4,290</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4,148</w:t>
            </w:r>
          </w:p>
        </w:tc>
        <w:tc>
          <w:tcPr>
            <w:tcW w:w="2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736"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354965</wp:posOffset>
            </wp:positionV>
            <wp:extent cx="102870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Twelve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23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$15,107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$4,925</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14,336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13,821</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Goodwill and long-lived asset impairments</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8,583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1,241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1,336</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316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(768)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1,177</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(2,739)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(834)</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(996)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(1,327)</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(451)</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(520)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2,784</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28,501</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26,413</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(12,242)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(10,626)</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(3,298)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(3,141)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12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661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1,985</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Advance on sale of investment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8,610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(1,313)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(2,274)</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558</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(7,161)</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(14,140)</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(repayments of) short-term borrowings,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(660)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6,052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2,745</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(4,015)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(2,307)</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Repayment of collateralized obligation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(5,175)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(11,291)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(13,328)</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(4,766)</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(4,741)</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(19,850)</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(16,184)</w:t>
            </w: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1,500</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(3,997)</w:t>
            </w: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4,782</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8,778</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$6,282</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77"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328930</wp:posOffset>
            </wp:positionV>
            <wp:extent cx="102870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3</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2480" w:type="dxa"/>
            <w:vAlign w:val="bottom"/>
          </w:tcPr>
          <w:p>
            <w:pPr>
              <w:spacing w:after="0"/>
              <w:rPr>
                <w:sz w:val="18"/>
                <w:szCs w:val="18"/>
                <w:color w:val="auto"/>
              </w:rPr>
            </w:pPr>
          </w:p>
        </w:tc>
        <w:tc>
          <w:tcPr>
            <w:tcW w:w="18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40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Assets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$6,215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$4,749</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13,813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12,672</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3,959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4,406</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23,987</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21,826</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Film and television costs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12,920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12,560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9,385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7,740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59,686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55,485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Goodwill</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59,268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58,494</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Franchise rights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59,365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27,867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29,308</w:t>
            </w:r>
          </w:p>
        </w:tc>
        <w:tc>
          <w:tcPr>
            <w:tcW w:w="0" w:type="dxa"/>
            <w:vAlign w:val="bottom"/>
          </w:tcPr>
          <w:p>
            <w:pPr>
              <w:spacing w:after="0"/>
              <w:rPr>
                <w:sz w:val="1"/>
                <w:szCs w:val="1"/>
                <w:color w:val="auto"/>
              </w:rPr>
            </w:pPr>
          </w:p>
        </w:tc>
      </w:tr>
      <w:tr>
        <w:trPr>
          <w:trHeight w:val="426"/>
        </w:trPr>
        <w:tc>
          <w:tcPr>
            <w:tcW w:w="5300" w:type="dxa"/>
            <w:vAlign w:val="bottom"/>
          </w:tcPr>
          <w:p>
            <w:pPr>
              <w:spacing w:after="0"/>
              <w:rPr>
                <w:sz w:val="20"/>
                <w:szCs w:val="20"/>
                <w:color w:val="auto"/>
              </w:rPr>
            </w:pPr>
            <w:r>
              <w:rPr>
                <w:rFonts w:ascii="Arial" w:cs="Arial" w:eastAsia="Arial" w:hAnsi="Arial"/>
                <w:sz w:val="16"/>
                <w:szCs w:val="16"/>
                <w:color w:val="auto"/>
              </w:rPr>
              <w:t>Other noncurrent assets, net</w:t>
            </w:r>
          </w:p>
        </w:tc>
        <w:tc>
          <w:tcPr>
            <w:tcW w:w="24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12,333</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12,497</w:t>
            </w:r>
          </w:p>
        </w:tc>
        <w:tc>
          <w:tcPr>
            <w:tcW w:w="0" w:type="dxa"/>
            <w:vAlign w:val="bottom"/>
          </w:tcPr>
          <w:p>
            <w:pPr>
              <w:spacing w:after="0"/>
              <w:rPr>
                <w:sz w:val="1"/>
                <w:szCs w:val="1"/>
                <w:color w:val="auto"/>
              </w:rPr>
            </w:pPr>
          </w:p>
        </w:tc>
      </w:tr>
      <w:tr>
        <w:trPr>
          <w:trHeight w:val="385"/>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$264,811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$257,275</w:t>
            </w: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530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5300" w:type="dxa"/>
            <w:vAlign w:val="bottom"/>
          </w:tcPr>
          <w:p>
            <w:pPr>
              <w:spacing w:after="0"/>
              <w:rPr>
                <w:sz w:val="20"/>
                <w:szCs w:val="20"/>
                <w:color w:val="auto"/>
              </w:rPr>
            </w:pPr>
            <w:r>
              <w:rPr>
                <w:rFonts w:ascii="Arial" w:cs="Arial" w:eastAsia="Arial" w:hAnsi="Arial"/>
                <w:sz w:val="16"/>
                <w:szCs w:val="16"/>
                <w:color w:val="auto"/>
              </w:rPr>
              <w:t>Current Liabilities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$12,437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$12,544</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participations and residuals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1,671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3,242</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11,613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9,450</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Current portion of long-term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2,069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1,743</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Advance on sale of investment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9,167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40,198</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27,887</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Long-term debt, less current portion</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95,021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93,068</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Collateralized obligation</w:t>
            </w:r>
          </w:p>
        </w:tc>
        <w:tc>
          <w:tcPr>
            <w:tcW w:w="2480" w:type="dxa"/>
            <w:vAlign w:val="bottom"/>
          </w:tcPr>
          <w:p>
            <w:pPr>
              <w:spacing w:after="0"/>
              <w:rPr>
                <w:sz w:val="24"/>
                <w:szCs w:val="24"/>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5,172</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Deferred income taxes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26,003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28,714</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20,122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20,395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241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424"/>
        </w:trPr>
        <w:tc>
          <w:tcPr>
            <w:tcW w:w="5300" w:type="dxa"/>
            <w:vAlign w:val="bottom"/>
          </w:tcPr>
          <w:p>
            <w:pPr>
              <w:spacing w:after="0"/>
              <w:rPr>
                <w:sz w:val="20"/>
                <w:szCs w:val="20"/>
                <w:color w:val="auto"/>
              </w:rPr>
            </w:pPr>
            <w:r>
              <w:rPr>
                <w:rFonts w:ascii="Arial" w:cs="Arial" w:eastAsia="Arial" w:hAnsi="Arial"/>
                <w:sz w:val="16"/>
                <w:szCs w:val="16"/>
                <w:color w:val="auto"/>
              </w:rPr>
              <w:t>Equity</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Comcast Corporation shareholders'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82,703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80,943</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523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equity</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83,226</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81,627</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$264,811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$257,275</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2019"/>
              <w:spacing w:after="0"/>
              <w:rPr>
                <w:sz w:val="20"/>
                <w:szCs w:val="20"/>
                <w:color w:val="auto"/>
              </w:rPr>
            </w:pPr>
            <w:r>
              <w:rPr>
                <w:rFonts w:ascii="Arial" w:cs="Arial" w:eastAsia="Arial" w:hAnsi="Arial"/>
                <w:sz w:val="14"/>
                <w:szCs w:val="14"/>
                <w:color w:val="auto"/>
              </w:rPr>
              <w:t>12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5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36" w:right="339" w:bottom="1440" w:gutter="0" w:footer="0" w:header="0"/>
        </w:sectPr>
      </w:pPr>
    </w:p>
    <w:bookmarkStart w:id="15" w:name="page16"/>
    <w:bookmarkEnd w:id="15"/>
    <w:p>
      <w:pPr>
        <w:ind w:left="1"/>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6294755</wp:posOffset>
            </wp:positionH>
            <wp:positionV relativeFrom="page">
              <wp:posOffset>568960</wp:posOffset>
            </wp:positionV>
            <wp:extent cx="1028700" cy="43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37515"/>
                    </a:xfrm>
                    <a:prstGeom prst="rect">
                      <a:avLst/>
                    </a:prstGeom>
                    <a:noFill/>
                  </pic:spPr>
                </pic:pic>
              </a:graphicData>
            </a:graphic>
          </wp:anchor>
        </w:drawing>
        <w:t>TABLE 4</w:t>
      </w:r>
    </w:p>
    <w:p>
      <w:pPr>
        <w:spacing w:after="0" w:line="35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2" w:lineRule="exact"/>
        <w:rPr>
          <w:sz w:val="20"/>
          <w:szCs w:val="20"/>
          <w:color w:val="auto"/>
        </w:rPr>
      </w:pPr>
    </w:p>
    <w:tbl>
      <w:tblPr>
        <w:tblLayout w:type="fixed"/>
        <w:tblInd w:w="1"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92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0"/>
                <w:szCs w:val="20"/>
                <w:color w:val="auto"/>
              </w:rPr>
            </w:pPr>
          </w:p>
        </w:tc>
        <w:tc>
          <w:tcPr>
            <w:tcW w:w="190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Twelve Months Ended</w:t>
            </w:r>
          </w:p>
        </w:tc>
      </w:tr>
      <w:tr>
        <w:trPr>
          <w:trHeight w:val="189"/>
        </w:trPr>
        <w:tc>
          <w:tcPr>
            <w:tcW w:w="7280" w:type="dxa"/>
            <w:vAlign w:val="bottom"/>
          </w:tcPr>
          <w:p>
            <w:pPr>
              <w:spacing w:after="0"/>
              <w:rPr>
                <w:sz w:val="16"/>
                <w:szCs w:val="16"/>
                <w:color w:val="auto"/>
              </w:rPr>
            </w:pPr>
          </w:p>
        </w:tc>
        <w:tc>
          <w:tcPr>
            <w:tcW w:w="192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90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28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2022</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2022</w:t>
            </w:r>
          </w:p>
        </w:tc>
      </w:tr>
      <w:tr>
        <w:trPr>
          <w:trHeight w:val="196"/>
        </w:trPr>
        <w:tc>
          <w:tcPr>
            <w:tcW w:w="728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$3,260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$3,024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$15,388</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$5,370</w:t>
            </w: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(282)</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Income tax expense</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891</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797</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5,371</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4,359</w:t>
            </w: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Interest expense</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1,020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4,087</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3,896</w:t>
            </w: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(579)</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(114)</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(1,252)</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861</w:t>
            </w: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Depreciation</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2,192</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2,199</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8,854</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8,724</w:t>
            </w: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Amortization</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1,336</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1,273</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5,482</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5,097</w:t>
            </w:r>
          </w:p>
        </w:tc>
      </w:tr>
      <w:tr>
        <w:trPr>
          <w:trHeight w:val="203"/>
        </w:trPr>
        <w:tc>
          <w:tcPr>
            <w:tcW w:w="7280" w:type="dxa"/>
            <w:vAlign w:val="bottom"/>
          </w:tcPr>
          <w:p>
            <w:pPr>
              <w:spacing w:after="0"/>
              <w:rPr>
                <w:sz w:val="20"/>
                <w:szCs w:val="20"/>
                <w:color w:val="auto"/>
              </w:rPr>
            </w:pPr>
            <w:r>
              <w:rPr>
                <w:rFonts w:ascii="Arial" w:cs="Arial" w:eastAsia="Arial" w:hAnsi="Arial"/>
                <w:sz w:val="14"/>
                <w:szCs w:val="14"/>
                <w:color w:val="auto"/>
              </w:rPr>
              <w:t>Goodwill and long-lived asset impairments</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8,583</w:t>
            </w:r>
          </w:p>
        </w:tc>
      </w:tr>
      <w:tr>
        <w:trPr>
          <w:trHeight w:val="205"/>
        </w:trPr>
        <w:tc>
          <w:tcPr>
            <w:tcW w:w="7280" w:type="dxa"/>
            <w:vAlign w:val="bottom"/>
          </w:tcPr>
          <w:p>
            <w:pPr>
              <w:spacing w:after="0" w:line="205"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36"/>
        </w:trPr>
        <w:tc>
          <w:tcPr>
            <w:tcW w:w="728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$8,012</w:t>
            </w:r>
          </w:p>
        </w:tc>
        <w:tc>
          <w:tcPr>
            <w:tcW w:w="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$8,000</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$37,633</w:t>
            </w:r>
          </w:p>
        </w:tc>
        <w:tc>
          <w:tcPr>
            <w:tcW w:w="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$36,459</w:t>
            </w:r>
          </w:p>
        </w:tc>
      </w:tr>
    </w:tbl>
    <w:p>
      <w:pPr>
        <w:spacing w:after="0" w:line="35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16"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1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92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Twelve Months Ended</w:t>
            </w:r>
          </w:p>
        </w:tc>
      </w:tr>
      <w:tr>
        <w:trPr>
          <w:trHeight w:val="193"/>
        </w:trPr>
        <w:tc>
          <w:tcPr>
            <w:tcW w:w="7200" w:type="dxa"/>
            <w:vAlign w:val="bottom"/>
          </w:tcPr>
          <w:p>
            <w:pPr>
              <w:spacing w:after="0"/>
              <w:rPr>
                <w:sz w:val="16"/>
                <w:szCs w:val="16"/>
                <w:color w:val="auto"/>
              </w:rPr>
            </w:pPr>
          </w:p>
        </w:tc>
        <w:tc>
          <w:tcPr>
            <w:tcW w:w="198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92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2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2022</w:t>
            </w:r>
          </w:p>
        </w:tc>
      </w:tr>
      <w:tr>
        <w:trPr>
          <w:trHeight w:val="196"/>
        </w:trPr>
        <w:tc>
          <w:tcPr>
            <w:tcW w:w="720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$5,922</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$5,883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$28,501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$26,413</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(3,320)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(3,564)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(12,242)</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(10,626)</w:t>
            </w:r>
          </w:p>
        </w:tc>
      </w:tr>
      <w:tr>
        <w:trPr>
          <w:trHeight w:val="204"/>
        </w:trPr>
        <w:tc>
          <w:tcPr>
            <w:tcW w:w="72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(893)</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(3,298)</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(3,141)</w:t>
            </w:r>
          </w:p>
        </w:tc>
      </w:tr>
      <w:tr>
        <w:trPr>
          <w:trHeight w:val="237"/>
        </w:trPr>
        <w:tc>
          <w:tcPr>
            <w:tcW w:w="72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$1,708</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$1,330</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$12,962</w:t>
            </w:r>
          </w:p>
        </w:tc>
        <w:tc>
          <w:tcPr>
            <w:tcW w:w="1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$12,646</w:t>
            </w:r>
          </w:p>
        </w:tc>
      </w:tr>
    </w:tbl>
    <w:p>
      <w:pPr>
        <w:spacing w:after="0" w:line="7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71151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62" w:lineRule="exact"/>
        <w:rPr>
          <w:sz w:val="20"/>
          <w:szCs w:val="20"/>
          <w:color w:val="auto"/>
        </w:rPr>
      </w:pPr>
    </w:p>
    <w:tbl>
      <w:tblPr>
        <w:tblLayout w:type="fixed"/>
        <w:tblInd w:w="1" w:type="dxa"/>
        <w:tblCellMar>
          <w:top w:w="0" w:type="dxa"/>
          <w:left w:w="0" w:type="dxa"/>
          <w:bottom w:w="0" w:type="dxa"/>
          <w:right w:w="0" w:type="dxa"/>
        </w:tblCellMar>
      </w:tblPr>
      <w:tr>
        <w:trPr>
          <w:trHeight w:val="189"/>
        </w:trPr>
        <w:tc>
          <w:tcPr>
            <w:tcW w:w="7200" w:type="dxa"/>
            <w:vAlign w:val="bottom"/>
          </w:tcPr>
          <w:p>
            <w:pPr>
              <w:spacing w:after="0"/>
              <w:rPr>
                <w:sz w:val="16"/>
                <w:szCs w:val="16"/>
                <w:color w:val="auto"/>
              </w:rPr>
            </w:pPr>
          </w:p>
        </w:tc>
        <w:tc>
          <w:tcPr>
            <w:tcW w:w="19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92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Twelve Months Ended</w:t>
            </w:r>
          </w:p>
        </w:tc>
      </w:tr>
      <w:tr>
        <w:trPr>
          <w:trHeight w:val="193"/>
        </w:trPr>
        <w:tc>
          <w:tcPr>
            <w:tcW w:w="7200" w:type="dxa"/>
            <w:vAlign w:val="bottom"/>
          </w:tcPr>
          <w:p>
            <w:pPr>
              <w:spacing w:after="0"/>
              <w:rPr>
                <w:sz w:val="16"/>
                <w:szCs w:val="16"/>
                <w:color w:val="auto"/>
              </w:rPr>
            </w:pPr>
          </w:p>
        </w:tc>
        <w:tc>
          <w:tcPr>
            <w:tcW w:w="198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192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20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2022</w:t>
            </w:r>
          </w:p>
        </w:tc>
      </w:tr>
      <w:tr>
        <w:trPr>
          <w:trHeight w:val="196"/>
        </w:trPr>
        <w:tc>
          <w:tcPr>
            <w:tcW w:w="72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$8,012</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$8,000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$37,633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$36,459</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(3,320)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(3,564)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(12,242)</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(10,626)</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(893)</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(3,298)</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(3,141)</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Cash interest expense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(1,145)</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(3,711)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(3,413)</w:t>
            </w:r>
          </w:p>
        </w:tc>
      </w:tr>
      <w:tr>
        <w:trPr>
          <w:trHeight w:val="202"/>
        </w:trPr>
        <w:tc>
          <w:tcPr>
            <w:tcW w:w="7200" w:type="dxa"/>
            <w:vAlign w:val="bottom"/>
          </w:tcPr>
          <w:p>
            <w:pPr>
              <w:spacing w:after="0"/>
              <w:rPr>
                <w:sz w:val="20"/>
                <w:szCs w:val="20"/>
                <w:color w:val="auto"/>
              </w:rPr>
            </w:pPr>
            <w:r>
              <w:rPr>
                <w:rFonts w:ascii="Arial" w:cs="Arial" w:eastAsia="Arial" w:hAnsi="Arial"/>
                <w:sz w:val="14"/>
                <w:szCs w:val="14"/>
                <w:color w:val="auto"/>
              </w:rPr>
              <w:t>Cash taxes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(1,283)</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(5,107)</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(5,265)</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(2,055)</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(3,006)</w:t>
            </w:r>
          </w:p>
        </w:tc>
      </w:tr>
      <w:tr>
        <w:trPr>
          <w:trHeight w:val="203"/>
        </w:trPr>
        <w:tc>
          <w:tcPr>
            <w:tcW w:w="720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286</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346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1,241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1,336</w:t>
            </w:r>
          </w:p>
        </w:tc>
      </w:tr>
      <w:tr>
        <w:trPr>
          <w:trHeight w:val="205"/>
        </w:trPr>
        <w:tc>
          <w:tcPr>
            <w:tcW w:w="7200" w:type="dxa"/>
            <w:vAlign w:val="bottom"/>
          </w:tcPr>
          <w:p>
            <w:pPr>
              <w:spacing w:after="0" w:line="205"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77</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500</w:t>
            </w: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w:t>
            </w:r>
          </w:p>
        </w:tc>
      </w:tr>
      <w:tr>
        <w:trPr>
          <w:trHeight w:val="236"/>
        </w:trPr>
        <w:tc>
          <w:tcPr>
            <w:tcW w:w="72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$1,708</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$1,330</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$12,962</w:t>
            </w:r>
          </w:p>
        </w:tc>
        <w:tc>
          <w:tcPr>
            <w:tcW w:w="1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$12,646</w:t>
            </w:r>
          </w:p>
        </w:tc>
      </w:tr>
    </w:tbl>
    <w:p>
      <w:pPr>
        <w:spacing w:after="0" w:line="31" w:lineRule="exact"/>
        <w:rPr>
          <w:sz w:val="20"/>
          <w:szCs w:val="20"/>
          <w:color w:val="auto"/>
        </w:rPr>
      </w:pPr>
    </w:p>
    <w:p>
      <w:pPr>
        <w:jc w:val="both"/>
        <w:ind w:left="321" w:right="20" w:hanging="321"/>
        <w:spacing w:after="0" w:line="197" w:lineRule="auto"/>
        <w:tabs>
          <w:tab w:leader="none" w:pos="321"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4th quarter and full year 2023 Adjusted EBITDA exclude $— and $(16) million of other operating and administrative expenses, respectively, related to our investment portfolio. 4th quarter and full year 2022 Adjusted EBITDA exclude $(2) million and $13 million of other operating and administrative expense, respectively, related to our investment portfolio.</w:t>
      </w:r>
    </w:p>
    <w:p>
      <w:pPr>
        <w:spacing w:after="0" w:line="68" w:lineRule="exact"/>
        <w:rPr>
          <w:rFonts w:ascii="Arial" w:cs="Arial" w:eastAsia="Arial" w:hAnsi="Arial"/>
          <w:sz w:val="22"/>
          <w:szCs w:val="22"/>
          <w:color w:val="auto"/>
          <w:vertAlign w:val="superscript"/>
        </w:rPr>
      </w:pPr>
    </w:p>
    <w:p>
      <w:pPr>
        <w:ind w:left="321" w:right="300" w:hanging="321"/>
        <w:spacing w:after="0" w:line="188" w:lineRule="auto"/>
        <w:tabs>
          <w:tab w:leader="none" w:pos="321"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4th quarter and full year 2023 include decreases of $— and $(16) million, respectively, of costs related to our investment portfolio as these amounts are excluded from Adjusted EBITDA. 4th quarter and full year 2022 include decreases of $(2) million and $13 million, respectively, of costs related to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181"/>
          </w:cols>
          <w:pgMar w:left="359" w:top="898" w:right="359" w:bottom="1440" w:gutter="0" w:footer="0" w:header="0"/>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6003290</wp:posOffset>
            </wp:positionH>
            <wp:positionV relativeFrom="page">
              <wp:posOffset>526415</wp:posOffset>
            </wp:positionV>
            <wp:extent cx="1080135"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080135" cy="462915"/>
                    </a:xfrm>
                    <a:prstGeom prst="rect">
                      <a:avLst/>
                    </a:prstGeom>
                    <a:noFill/>
                  </pic:spPr>
                </pic:pic>
              </a:graphicData>
            </a:graphic>
          </wp:anchor>
        </w:drawing>
        <w:t>TABLE 5</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100" w:type="dxa"/>
            <w:vAlign w:val="bottom"/>
          </w:tcPr>
          <w:p>
            <w:pPr>
              <w:spacing w:after="0"/>
              <w:rPr>
                <w:sz w:val="15"/>
                <w:szCs w:val="15"/>
                <w:color w:val="auto"/>
              </w:rPr>
            </w:pPr>
          </w:p>
        </w:tc>
        <w:tc>
          <w:tcPr>
            <w:tcW w:w="288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Twelve Months Ended</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8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10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14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EPS</w:t>
            </w:r>
          </w:p>
        </w:tc>
        <w:tc>
          <w:tcPr>
            <w:tcW w:w="98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EPS</w:t>
            </w:r>
          </w:p>
        </w:tc>
        <w:tc>
          <w:tcPr>
            <w:tcW w:w="100" w:type="dxa"/>
            <w:vAlign w:val="bottom"/>
          </w:tcPr>
          <w:p>
            <w:pPr>
              <w:spacing w:after="0"/>
              <w:rPr>
                <w:sz w:val="15"/>
                <w:szCs w:val="15"/>
                <w:color w:val="auto"/>
              </w:rPr>
            </w:pPr>
          </w:p>
        </w:tc>
        <w:tc>
          <w:tcPr>
            <w:tcW w:w="114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EPS</w:t>
            </w:r>
          </w:p>
        </w:tc>
        <w:tc>
          <w:tcPr>
            <w:tcW w:w="100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ind w:left="60"/>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08"/>
        </w:trPr>
        <w:tc>
          <w:tcPr>
            <w:tcW w:w="4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660" w:type="dxa"/>
            <w:vAlign w:val="bottom"/>
            <w:tcBorders>
              <w:right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w:t>
            </w:r>
          </w:p>
        </w:tc>
        <w:tc>
          <w:tcPr>
            <w:tcW w:w="1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100" w:type="dxa"/>
            <w:vAlign w:val="bottom"/>
          </w:tcPr>
          <w:p>
            <w:pPr>
              <w:ind w:left="160"/>
              <w:spacing w:after="0" w:line="145" w:lineRule="exact"/>
              <w:rPr>
                <w:sz w:val="20"/>
                <w:szCs w:val="20"/>
                <w:color w:val="auto"/>
              </w:rPr>
            </w:pPr>
            <w:r>
              <w:rPr>
                <w:rFonts w:ascii="Arial" w:cs="Arial" w:eastAsia="Arial" w:hAnsi="Arial"/>
                <w:sz w:val="14"/>
                <w:szCs w:val="14"/>
                <w:b w:val="1"/>
                <w:bCs w:val="1"/>
                <w:color w:val="auto"/>
              </w:rPr>
              <w:t>diluted earnings per share attributable to Comcast</w:t>
            </w:r>
          </w:p>
        </w:tc>
        <w:tc>
          <w:tcPr>
            <w:tcW w:w="11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$3,260</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$0.81</w:t>
            </w:r>
          </w:p>
        </w:tc>
        <w:tc>
          <w:tcPr>
            <w:tcW w:w="12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color w:val="auto"/>
              </w:rPr>
              <w:t>$3,024</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$0.70</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$15,388</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$3.71</w:t>
            </w:r>
          </w:p>
        </w:tc>
        <w:tc>
          <w:tcPr>
            <w:tcW w:w="120" w:type="dxa"/>
            <w:vAlign w:val="bottom"/>
          </w:tcPr>
          <w:p>
            <w:pPr>
              <w:spacing w:after="0"/>
              <w:rPr>
                <w:sz w:val="12"/>
                <w:szCs w:val="12"/>
                <w:color w:val="auto"/>
              </w:rPr>
            </w:pPr>
          </w:p>
        </w:tc>
        <w:tc>
          <w:tcPr>
            <w:tcW w:w="1000" w:type="dxa"/>
            <w:vAlign w:val="bottom"/>
            <w:vMerge w:val="restart"/>
          </w:tcPr>
          <w:p>
            <w:pPr>
              <w:jc w:val="right"/>
              <w:ind w:right="228"/>
              <w:spacing w:after="0"/>
              <w:rPr>
                <w:sz w:val="20"/>
                <w:szCs w:val="20"/>
                <w:color w:val="auto"/>
              </w:rPr>
            </w:pPr>
            <w:r>
              <w:rPr>
                <w:rFonts w:ascii="Arial" w:cs="Arial" w:eastAsia="Arial" w:hAnsi="Arial"/>
                <w:sz w:val="14"/>
                <w:szCs w:val="14"/>
                <w:color w:val="auto"/>
              </w:rPr>
              <w:t>$5,370</w:t>
            </w: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95"/>
        </w:trPr>
        <w:tc>
          <w:tcPr>
            <w:tcW w:w="4100" w:type="dxa"/>
            <w:vAlign w:val="bottom"/>
          </w:tcPr>
          <w:p>
            <w:pPr>
              <w:ind w:left="160"/>
              <w:spacing w:after="0"/>
              <w:rPr>
                <w:sz w:val="20"/>
                <w:szCs w:val="20"/>
                <w:color w:val="auto"/>
              </w:rPr>
            </w:pPr>
            <w:r>
              <w:rPr>
                <w:rFonts w:ascii="Arial" w:cs="Arial" w:eastAsia="Arial" w:hAnsi="Arial"/>
                <w:sz w:val="14"/>
                <w:szCs w:val="14"/>
                <w:b w:val="1"/>
                <w:bCs w:val="1"/>
                <w:color w:val="auto"/>
              </w:rPr>
              <w:t>Corporation shareholders</w:t>
            </w:r>
          </w:p>
        </w:tc>
        <w:tc>
          <w:tcPr>
            <w:tcW w:w="1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0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40" w:type="dxa"/>
            <w:vAlign w:val="bottom"/>
          </w:tcPr>
          <w:p>
            <w:pPr>
              <w:jc w:val="right"/>
              <w:ind w:right="288"/>
              <w:spacing w:after="0"/>
              <w:rPr>
                <w:sz w:val="20"/>
                <w:szCs w:val="20"/>
                <w:color w:val="auto"/>
              </w:rPr>
            </w:pPr>
            <w:r>
              <w:rPr>
                <w:rFonts w:ascii="Arial" w:cs="Arial" w:eastAsia="Arial" w:hAnsi="Arial"/>
                <w:sz w:val="14"/>
                <w:szCs w:val="14"/>
                <w:i w:val="1"/>
                <w:iCs w:val="1"/>
                <w:color w:val="auto"/>
              </w:rPr>
              <w:t>7.8 %</w:t>
            </w: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15.7 %</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i w:val="1"/>
                <w:iCs w:val="1"/>
                <w:color w:val="auto"/>
              </w:rPr>
              <w:t>186.5 %</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NM</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10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1140" w:type="dxa"/>
            <w:vAlign w:val="bottom"/>
          </w:tcPr>
          <w:p>
            <w:pPr>
              <w:jc w:val="right"/>
              <w:ind w:right="448"/>
              <w:spacing w:after="0"/>
              <w:rPr>
                <w:sz w:val="20"/>
                <w:szCs w:val="20"/>
                <w:color w:val="auto"/>
              </w:rPr>
            </w:pPr>
            <w:r>
              <w:rPr>
                <w:rFonts w:ascii="Arial" w:cs="Arial" w:eastAsia="Arial" w:hAnsi="Arial"/>
                <w:sz w:val="14"/>
                <w:szCs w:val="14"/>
                <w:b w:val="1"/>
                <w:bCs w:val="1"/>
                <w:color w:val="auto"/>
              </w:rPr>
              <w:t>436</w:t>
            </w: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0.11</w:t>
            </w:r>
          </w:p>
        </w:tc>
        <w:tc>
          <w:tcPr>
            <w:tcW w:w="120" w:type="dxa"/>
            <w:vAlign w:val="bottom"/>
          </w:tcPr>
          <w:p>
            <w:pPr>
              <w:spacing w:after="0"/>
              <w:rPr>
                <w:sz w:val="23"/>
                <w:szCs w:val="23"/>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417</w:t>
            </w:r>
          </w:p>
        </w:tc>
        <w:tc>
          <w:tcPr>
            <w:tcW w:w="54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auto"/>
              </w:rPr>
              <w:t>1,755</w:t>
            </w: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0.42</w:t>
            </w:r>
          </w:p>
        </w:tc>
        <w:tc>
          <w:tcPr>
            <w:tcW w:w="120" w:type="dxa"/>
            <w:vAlign w:val="bottom"/>
          </w:tcPr>
          <w:p>
            <w:pPr>
              <w:spacing w:after="0"/>
              <w:rPr>
                <w:sz w:val="23"/>
                <w:szCs w:val="23"/>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1,771</w:t>
            </w:r>
          </w:p>
        </w:tc>
        <w:tc>
          <w:tcPr>
            <w:tcW w:w="560" w:type="dxa"/>
            <w:vAlign w:val="bottom"/>
          </w:tcPr>
          <w:p>
            <w:pPr>
              <w:jc w:val="center"/>
              <w:ind w:left="88"/>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205"/>
        </w:trPr>
        <w:tc>
          <w:tcPr>
            <w:tcW w:w="4100" w:type="dxa"/>
            <w:vAlign w:val="bottom"/>
          </w:tcPr>
          <w:p>
            <w:pPr>
              <w:spacing w:after="0" w:line="205"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auto"/>
              </w:rPr>
              <w:t>(286)</w:t>
            </w: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(0.07)</w:t>
            </w:r>
          </w:p>
        </w:tc>
        <w:tc>
          <w:tcPr>
            <w:tcW w:w="120" w:type="dxa"/>
            <w:vAlign w:val="bottom"/>
          </w:tcPr>
          <w:p>
            <w:pPr>
              <w:spacing w:after="0"/>
              <w:rPr>
                <w:sz w:val="17"/>
                <w:szCs w:val="17"/>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80</w:t>
            </w:r>
          </w:p>
        </w:tc>
        <w:tc>
          <w:tcPr>
            <w:tcW w:w="54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68"/>
              <w:spacing w:after="0"/>
              <w:rPr>
                <w:sz w:val="20"/>
                <w:szCs w:val="20"/>
                <w:color w:val="auto"/>
              </w:rPr>
            </w:pPr>
            <w:r>
              <w:rPr>
                <w:rFonts w:ascii="Arial" w:cs="Arial" w:eastAsia="Arial" w:hAnsi="Arial"/>
                <w:sz w:val="14"/>
                <w:szCs w:val="14"/>
                <w:b w:val="1"/>
                <w:bCs w:val="1"/>
                <w:color w:val="auto"/>
              </w:rPr>
              <w:t>(649)</w:t>
            </w: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(0.16)</w:t>
            </w:r>
          </w:p>
        </w:tc>
        <w:tc>
          <w:tcPr>
            <w:tcW w:w="12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681</w:t>
            </w:r>
          </w:p>
        </w:tc>
        <w:tc>
          <w:tcPr>
            <w:tcW w:w="560" w:type="dxa"/>
            <w:vAlign w:val="bottom"/>
          </w:tcPr>
          <w:p>
            <w:pPr>
              <w:jc w:val="center"/>
              <w:ind w:left="88"/>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00" w:type="dxa"/>
            <w:vAlign w:val="bottom"/>
          </w:tcPr>
          <w:p>
            <w:pPr>
              <w:ind w:left="120"/>
              <w:spacing w:after="0"/>
              <w:rPr>
                <w:sz w:val="20"/>
                <w:szCs w:val="20"/>
                <w:color w:val="auto"/>
              </w:rPr>
            </w:pPr>
            <w:r>
              <w:rPr>
                <w:rFonts w:ascii="Arial" w:cs="Arial" w:eastAsia="Arial" w:hAnsi="Arial"/>
                <w:sz w:val="14"/>
                <w:szCs w:val="14"/>
                <w:color w:val="auto"/>
              </w:rPr>
              <w:t xml:space="preserve">Goodwill and long-lived asset impairments </w:t>
            </w:r>
            <w:r>
              <w:rPr>
                <w:rFonts w:ascii="Arial" w:cs="Arial" w:eastAsia="Arial" w:hAnsi="Arial"/>
                <w:sz w:val="18"/>
                <w:szCs w:val="18"/>
                <w:color w:val="auto"/>
                <w:vertAlign w:val="superscript"/>
              </w:rPr>
              <w:t>(3)</w:t>
            </w:r>
          </w:p>
        </w:tc>
        <w:tc>
          <w:tcPr>
            <w:tcW w:w="114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8,541</w:t>
            </w:r>
          </w:p>
        </w:tc>
        <w:tc>
          <w:tcPr>
            <w:tcW w:w="560" w:type="dxa"/>
            <w:vAlign w:val="bottom"/>
          </w:tcPr>
          <w:p>
            <w:pPr>
              <w:jc w:val="center"/>
              <w:ind w:left="8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line="202" w:lineRule="exact"/>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18"/>
                <w:szCs w:val="18"/>
                <w:color w:val="auto"/>
                <w:vertAlign w:val="superscript"/>
              </w:rPr>
              <w:t>(4)</w:t>
            </w:r>
          </w:p>
        </w:tc>
        <w:tc>
          <w:tcPr>
            <w:tcW w:w="114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28"/>
              <w:spacing w:after="0"/>
              <w:rPr>
                <w:sz w:val="20"/>
                <w:szCs w:val="20"/>
                <w:color w:val="auto"/>
              </w:rPr>
            </w:pPr>
            <w:r>
              <w:rPr>
                <w:rFonts w:ascii="Arial" w:cs="Arial" w:eastAsia="Arial" w:hAnsi="Arial"/>
                <w:sz w:val="14"/>
                <w:szCs w:val="14"/>
                <w:color w:val="auto"/>
              </w:rPr>
              <w:t>(286)</w:t>
            </w:r>
          </w:p>
        </w:tc>
        <w:tc>
          <w:tcPr>
            <w:tcW w:w="560" w:type="dxa"/>
            <w:vAlign w:val="bottom"/>
          </w:tcPr>
          <w:p>
            <w:pPr>
              <w:jc w:val="center"/>
              <w:ind w:left="6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01"/>
        </w:trPr>
        <w:tc>
          <w:tcPr>
            <w:tcW w:w="4100" w:type="dxa"/>
            <w:vAlign w:val="bottom"/>
          </w:tcPr>
          <w:p>
            <w:pPr>
              <w:ind w:left="120"/>
              <w:spacing w:after="0" w:line="201" w:lineRule="exact"/>
              <w:rPr>
                <w:sz w:val="20"/>
                <w:szCs w:val="20"/>
                <w:color w:val="auto"/>
              </w:rPr>
            </w:pPr>
            <w:r>
              <w:rPr>
                <w:rFonts w:ascii="Arial" w:cs="Arial" w:eastAsia="Arial" w:hAnsi="Arial"/>
                <w:sz w:val="14"/>
                <w:szCs w:val="14"/>
                <w:color w:val="auto"/>
              </w:rPr>
              <w:t xml:space="preserve">Gains and losses related to businesses and investments </w:t>
            </w:r>
            <w:r>
              <w:rPr>
                <w:rFonts w:ascii="Arial" w:cs="Arial" w:eastAsia="Arial" w:hAnsi="Arial"/>
                <w:sz w:val="18"/>
                <w:szCs w:val="18"/>
                <w:color w:val="auto"/>
                <w:vertAlign w:val="superscript"/>
              </w:rPr>
              <w:t>(5)</w:t>
            </w:r>
          </w:p>
        </w:tc>
        <w:tc>
          <w:tcPr>
            <w:tcW w:w="114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69</w:t>
            </w:r>
          </w:p>
        </w:tc>
        <w:tc>
          <w:tcPr>
            <w:tcW w:w="560" w:type="dxa"/>
            <w:vAlign w:val="bottom"/>
          </w:tcPr>
          <w:p>
            <w:pPr>
              <w:jc w:val="center"/>
              <w:ind w:left="8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77"/>
        </w:trPr>
        <w:tc>
          <w:tcPr>
            <w:tcW w:w="410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114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$3,410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$0.84</w:t>
            </w:r>
          </w:p>
        </w:tc>
        <w:tc>
          <w:tcPr>
            <w:tcW w:w="120" w:type="dxa"/>
            <w:vAlign w:val="bottom"/>
          </w:tcPr>
          <w:p>
            <w:pPr>
              <w:spacing w:after="0"/>
              <w:rPr>
                <w:sz w:val="24"/>
                <w:szCs w:val="24"/>
                <w:color w:val="auto"/>
              </w:rPr>
            </w:pPr>
          </w:p>
        </w:tc>
        <w:tc>
          <w:tcPr>
            <w:tcW w:w="9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$3,520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$0.82</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$16,493</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$3.98</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$16,147</w:t>
            </w:r>
          </w:p>
        </w:tc>
        <w:tc>
          <w:tcPr>
            <w:tcW w:w="560" w:type="dxa"/>
            <w:vAlign w:val="bottom"/>
            <w:tcBorders>
              <w:top w:val="single" w:sz="8" w:color="auto"/>
              <w:bottom w:val="single" w:sz="8" w:color="auto"/>
            </w:tcBorders>
          </w:tcPr>
          <w:p>
            <w:pPr>
              <w:jc w:val="center"/>
              <w:ind w:left="88"/>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40" w:type="dxa"/>
            <w:vAlign w:val="bottom"/>
          </w:tcPr>
          <w:p>
            <w:pPr>
              <w:jc w:val="right"/>
              <w:ind w:right="248"/>
              <w:spacing w:after="0"/>
              <w:rPr>
                <w:sz w:val="20"/>
                <w:szCs w:val="20"/>
                <w:color w:val="auto"/>
              </w:rPr>
            </w:pPr>
            <w:r>
              <w:rPr>
                <w:rFonts w:ascii="Arial" w:cs="Arial" w:eastAsia="Arial" w:hAnsi="Arial"/>
                <w:sz w:val="14"/>
                <w:szCs w:val="14"/>
                <w:i w:val="1"/>
                <w:iCs w:val="1"/>
                <w:color w:val="auto"/>
              </w:rPr>
              <w:t>(3.1 %)</w:t>
            </w: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2.4 %</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i w:val="1"/>
                <w:iCs w:val="1"/>
                <w:color w:val="auto"/>
              </w:rPr>
              <w:t>2.1 %</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9.3 %</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4"/>
                <w:szCs w:val="14"/>
                <w:color w:val="auto"/>
              </w:rPr>
              <w:t>NM=comparison not meaningful.</w:t>
            </w: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260" w:right="40" w:hanging="252"/>
        <w:spacing w:after="0" w:line="251" w:lineRule="auto"/>
        <w:tabs>
          <w:tab w:leader="none" w:pos="252"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right"/>
              <w:ind w:right="237"/>
              <w:spacing w:after="0"/>
              <w:rPr>
                <w:sz w:val="20"/>
                <w:szCs w:val="20"/>
                <w:color w:val="auto"/>
              </w:rPr>
            </w:pPr>
            <w:r>
              <w:rPr>
                <w:rFonts w:ascii="Arial" w:cs="Arial" w:eastAsia="Arial" w:hAnsi="Arial"/>
                <w:sz w:val="13"/>
                <w:szCs w:val="13"/>
                <w:color w:val="auto"/>
              </w:rPr>
              <w:t>Twelve Months Ended</w:t>
            </w:r>
          </w:p>
        </w:tc>
      </w:tr>
      <w:tr>
        <w:trPr>
          <w:trHeight w:val="166"/>
        </w:trPr>
        <w:tc>
          <w:tcPr>
            <w:tcW w:w="6700" w:type="dxa"/>
            <w:vAlign w:val="bottom"/>
          </w:tcPr>
          <w:p>
            <w:pPr>
              <w:spacing w:after="0"/>
              <w:rPr>
                <w:sz w:val="14"/>
                <w:szCs w:val="14"/>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5"/>
              </w:rPr>
              <w:t>December 31,</w:t>
            </w:r>
          </w:p>
        </w:tc>
        <w:tc>
          <w:tcPr>
            <w:tcW w:w="1820" w:type="dxa"/>
            <w:vAlign w:val="bottom"/>
            <w:gridSpan w:val="3"/>
          </w:tcPr>
          <w:p>
            <w:pPr>
              <w:jc w:val="right"/>
              <w:ind w:right="457"/>
              <w:spacing w:after="0"/>
              <w:rPr>
                <w:sz w:val="20"/>
                <w:szCs w:val="20"/>
                <w:color w:val="auto"/>
              </w:rPr>
            </w:pPr>
            <w:r>
              <w:rPr>
                <w:rFonts w:ascii="Arial" w:cs="Arial" w:eastAsia="Arial" w:hAnsi="Arial"/>
                <w:sz w:val="13"/>
                <w:szCs w:val="13"/>
                <w:color w:val="auto"/>
              </w:rPr>
              <w:t>December 31,</w:t>
            </w:r>
          </w:p>
        </w:tc>
      </w:tr>
      <w:tr>
        <w:trPr>
          <w:trHeight w:val="192"/>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r>
      <w:tr>
        <w:trPr>
          <w:trHeight w:val="171"/>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$562</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$2,261</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$2,197</w:t>
            </w:r>
          </w:p>
        </w:tc>
      </w:tr>
      <w:tr>
        <w:trPr>
          <w:trHeight w:val="174"/>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$1,755</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$1,771</w:t>
            </w:r>
          </w:p>
        </w:tc>
      </w:tr>
      <w:tr>
        <w:trPr>
          <w:trHeight w:val="20"/>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60" w:right="220" w:hanging="252"/>
        <w:spacing w:after="0" w:line="264"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3"/>
          </w:tcPr>
          <w:p>
            <w:pPr>
              <w:jc w:val="right"/>
              <w:ind w:right="237"/>
              <w:spacing w:after="0"/>
              <w:rPr>
                <w:sz w:val="20"/>
                <w:szCs w:val="20"/>
                <w:color w:val="auto"/>
              </w:rPr>
            </w:pPr>
            <w:r>
              <w:rPr>
                <w:rFonts w:ascii="Arial" w:cs="Arial" w:eastAsia="Arial" w:hAnsi="Arial"/>
                <w:sz w:val="13"/>
                <w:szCs w:val="13"/>
                <w:color w:val="auto"/>
              </w:rPr>
              <w:t>Twelve Months Ended</w:t>
            </w:r>
          </w:p>
        </w:tc>
      </w:tr>
      <w:tr>
        <w:trPr>
          <w:trHeight w:val="166"/>
        </w:trPr>
        <w:tc>
          <w:tcPr>
            <w:tcW w:w="6700" w:type="dxa"/>
            <w:vAlign w:val="bottom"/>
          </w:tcPr>
          <w:p>
            <w:pPr>
              <w:spacing w:after="0"/>
              <w:rPr>
                <w:sz w:val="14"/>
                <w:szCs w:val="14"/>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3"/>
                <w:szCs w:val="13"/>
                <w:color w:val="auto"/>
                <w:w w:val="95"/>
              </w:rPr>
              <w:t>December 31,</w:t>
            </w:r>
          </w:p>
        </w:tc>
        <w:tc>
          <w:tcPr>
            <w:tcW w:w="1820" w:type="dxa"/>
            <w:vAlign w:val="bottom"/>
            <w:gridSpan w:val="3"/>
          </w:tcPr>
          <w:p>
            <w:pPr>
              <w:jc w:val="right"/>
              <w:ind w:right="457"/>
              <w:spacing w:after="0"/>
              <w:rPr>
                <w:sz w:val="20"/>
                <w:szCs w:val="20"/>
                <w:color w:val="auto"/>
              </w:rPr>
            </w:pPr>
            <w:r>
              <w:rPr>
                <w:rFonts w:ascii="Arial" w:cs="Arial" w:eastAsia="Arial" w:hAnsi="Arial"/>
                <w:sz w:val="13"/>
                <w:szCs w:val="13"/>
                <w:color w:val="auto"/>
              </w:rPr>
              <w:t>December 31,</w:t>
            </w:r>
          </w:p>
        </w:tc>
      </w:tr>
      <w:tr>
        <w:trPr>
          <w:trHeight w:val="192"/>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2022</w:t>
            </w: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w:t>
            </w: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$130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$320</w:t>
            </w:r>
          </w:p>
        </w:tc>
      </w:tr>
      <w:tr>
        <w:trPr>
          <w:trHeight w:val="179"/>
        </w:trPr>
        <w:tc>
          <w:tcPr>
            <w:tcW w:w="670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(991)</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w:t>
            </w: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(378)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(861)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902</w:t>
            </w:r>
          </w:p>
        </w:tc>
      </w:tr>
      <w:tr>
        <w:trPr>
          <w:trHeight w:val="185"/>
        </w:trPr>
        <w:tc>
          <w:tcPr>
            <w:tcW w:w="670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($649)</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$681</w:t>
            </w:r>
          </w:p>
        </w:tc>
      </w:tr>
      <w:tr>
        <w:trPr>
          <w:trHeight w:val="20"/>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ind w:left="260" w:right="40" w:hanging="252"/>
        <w:spacing w:after="0" w:line="264"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Full year 2022 net income attributable to Comcast Corporation includes a loss of $8.6 billion related to goodwill and long-lived assets impairments across the Connectivity &amp; Platforms and Content &amp; Experiences segments. The goodwill impairment was primarily not deductible for tax purposes.</w:t>
      </w:r>
    </w:p>
    <w:p>
      <w:pPr>
        <w:spacing w:after="0" w:line="211" w:lineRule="exact"/>
        <w:rPr>
          <w:rFonts w:ascii="Arial" w:cs="Arial" w:eastAsia="Arial" w:hAnsi="Arial"/>
          <w:sz w:val="13"/>
          <w:szCs w:val="13"/>
          <w:color w:val="auto"/>
        </w:rPr>
      </w:pPr>
    </w:p>
    <w:p>
      <w:pPr>
        <w:ind w:left="240" w:hanging="232"/>
        <w:spacing w:after="0"/>
        <w:tabs>
          <w:tab w:leader="none" w:pos="240" w:val="left"/>
        </w:tabs>
        <w:numPr>
          <w:ilvl w:val="0"/>
          <w:numId w:val="7"/>
        </w:numPr>
        <w:rPr>
          <w:rFonts w:ascii="Arial" w:cs="Arial" w:eastAsia="Arial" w:hAnsi="Arial"/>
          <w:sz w:val="13"/>
          <w:szCs w:val="13"/>
          <w:color w:val="auto"/>
        </w:rPr>
      </w:pPr>
      <w:r>
        <w:rPr>
          <w:rFonts w:ascii="Arial" w:cs="Arial" w:eastAsia="Arial" w:hAnsi="Arial"/>
          <w:sz w:val="13"/>
          <w:szCs w:val="13"/>
          <w:color w:val="auto"/>
        </w:rPr>
        <w:t>Full year 2022 net income attributable to Comcast Corporation includes $286 million of income tax benefit related to state tax law changes.</w:t>
      </w:r>
    </w:p>
    <w:p>
      <w:pPr>
        <w:spacing w:after="0" w:line="242" w:lineRule="exact"/>
        <w:rPr>
          <w:rFonts w:ascii="Arial" w:cs="Arial" w:eastAsia="Arial" w:hAnsi="Arial"/>
          <w:sz w:val="13"/>
          <w:szCs w:val="13"/>
          <w:color w:val="auto"/>
        </w:rPr>
      </w:pPr>
    </w:p>
    <w:p>
      <w:pPr>
        <w:ind w:left="260" w:right="160" w:hanging="252"/>
        <w:spacing w:after="0" w:line="264"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Full year 2022 net income attributable to Comcast Corporation includes a loss of $96 million in other income, related to an impairment of an equity method investment, and includes a gain of $(53) million in amortization expense, $(26) million net of tax, related to the sale of a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858"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543560</wp:posOffset>
            </wp:positionV>
            <wp:extent cx="1209040" cy="52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Constant Currency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0891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360" w:type="dxa"/>
            <w:vAlign w:val="bottom"/>
          </w:tcPr>
          <w:p>
            <w:pPr>
              <w:spacing w:after="0"/>
              <w:rPr>
                <w:sz w:val="24"/>
                <w:szCs w:val="24"/>
                <w:color w:val="auto"/>
              </w:rPr>
            </w:pPr>
          </w:p>
        </w:tc>
        <w:tc>
          <w:tcPr>
            <w:tcW w:w="340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3260" w:type="dxa"/>
            <w:vAlign w:val="bottom"/>
            <w:gridSpan w:val="6"/>
          </w:tcPr>
          <w:p>
            <w:pPr>
              <w:jc w:val="center"/>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2360" w:type="dxa"/>
            <w:vAlign w:val="bottom"/>
            <w:gridSpan w:val="5"/>
          </w:tcPr>
          <w:p>
            <w:pPr>
              <w:jc w:val="center"/>
              <w:ind w:left="819"/>
              <w:spacing w:after="0"/>
              <w:rPr>
                <w:sz w:val="20"/>
                <w:szCs w:val="20"/>
                <w:color w:val="auto"/>
              </w:rPr>
            </w:pPr>
            <w:r>
              <w:rPr>
                <w:rFonts w:ascii="Arial" w:cs="Arial" w:eastAsia="Arial" w:hAnsi="Arial"/>
                <w:sz w:val="16"/>
                <w:szCs w:val="16"/>
                <w:b w:val="1"/>
                <w:bCs w:val="1"/>
                <w:color w:val="auto"/>
              </w:rPr>
              <w:t>December 31, 2022</w:t>
            </w:r>
          </w:p>
        </w:tc>
        <w:tc>
          <w:tcPr>
            <w:tcW w:w="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left="819"/>
              <w:spacing w:after="0"/>
              <w:rPr>
                <w:sz w:val="20"/>
                <w:szCs w:val="20"/>
                <w:color w:val="auto"/>
              </w:rPr>
            </w:pPr>
            <w:r>
              <w:rPr>
                <w:rFonts w:ascii="Arial" w:cs="Arial" w:eastAsia="Arial" w:hAnsi="Arial"/>
                <w:sz w:val="16"/>
                <w:szCs w:val="16"/>
                <w:b w:val="1"/>
                <w:bCs w:val="1"/>
                <w:color w:val="auto"/>
              </w:rPr>
              <w:t>December 31, 2022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320"/>
              <w:spacing w:after="0" w:line="163" w:lineRule="exact"/>
              <w:rPr>
                <w:sz w:val="20"/>
                <w:szCs w:val="20"/>
                <w:color w:val="auto"/>
              </w:rPr>
            </w:pPr>
            <w:r>
              <w:rPr>
                <w:rFonts w:ascii="Arial" w:cs="Arial" w:eastAsia="Arial" w:hAnsi="Arial"/>
                <w:sz w:val="16"/>
                <w:szCs w:val="16"/>
                <w:color w:val="auto"/>
                <w:w w:val="98"/>
              </w:rPr>
              <w:t>Effects of</w:t>
            </w:r>
          </w:p>
        </w:tc>
        <w:tc>
          <w:tcPr>
            <w:tcW w:w="104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Constant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300"/>
              <w:spacing w:after="0" w:line="163" w:lineRule="exact"/>
              <w:rPr>
                <w:sz w:val="20"/>
                <w:szCs w:val="20"/>
                <w:color w:val="auto"/>
              </w:rPr>
            </w:pPr>
            <w:r>
              <w:rPr>
                <w:rFonts w:ascii="Arial" w:cs="Arial" w:eastAsia="Arial" w:hAnsi="Arial"/>
                <w:sz w:val="16"/>
                <w:szCs w:val="16"/>
                <w:color w:val="auto"/>
              </w:rPr>
              <w:t>Effects of</w:t>
            </w:r>
          </w:p>
        </w:tc>
        <w:tc>
          <w:tcPr>
            <w:tcW w:w="900" w:type="dxa"/>
            <w:vAlign w:val="bottom"/>
          </w:tcPr>
          <w:p>
            <w:pPr>
              <w:jc w:val="right"/>
              <w:ind w:right="13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436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As Reported</w:t>
            </w:r>
          </w:p>
        </w:tc>
        <w:tc>
          <w:tcPr>
            <w:tcW w:w="120" w:type="dxa"/>
            <w:vAlign w:val="bottom"/>
          </w:tcPr>
          <w:p>
            <w:pPr>
              <w:spacing w:after="0"/>
              <w:rPr>
                <w:sz w:val="14"/>
                <w:szCs w:val="14"/>
                <w:color w:val="auto"/>
              </w:rPr>
            </w:pPr>
          </w:p>
        </w:tc>
        <w:tc>
          <w:tcPr>
            <w:tcW w:w="1220" w:type="dxa"/>
            <w:vAlign w:val="bottom"/>
            <w:gridSpan w:val="3"/>
          </w:tcPr>
          <w:p>
            <w:pPr>
              <w:jc w:val="center"/>
              <w:ind w:right="320"/>
              <w:spacing w:after="0" w:line="162" w:lineRule="exact"/>
              <w:rPr>
                <w:sz w:val="20"/>
                <w:szCs w:val="20"/>
                <w:color w:val="auto"/>
              </w:rPr>
            </w:pPr>
            <w:r>
              <w:rPr>
                <w:rFonts w:ascii="Arial" w:cs="Arial" w:eastAsia="Arial" w:hAnsi="Arial"/>
                <w:sz w:val="16"/>
                <w:szCs w:val="16"/>
                <w:color w:val="auto"/>
                <w:w w:val="99"/>
              </w:rPr>
              <w:t>Foreign</w:t>
            </w:r>
          </w:p>
        </w:tc>
        <w:tc>
          <w:tcPr>
            <w:tcW w:w="1040" w:type="dxa"/>
            <w:vAlign w:val="bottom"/>
            <w:tcBorders>
              <w:right w:val="single" w:sz="8" w:color="auto"/>
            </w:tcBorders>
            <w:gridSpan w:val="2"/>
          </w:tcPr>
          <w:p>
            <w:pPr>
              <w:spacing w:after="0" w:line="162" w:lineRule="exact"/>
              <w:rPr>
                <w:sz w:val="20"/>
                <w:szCs w:val="20"/>
                <w:color w:val="auto"/>
              </w:rPr>
            </w:pPr>
            <w:r>
              <w:rPr>
                <w:rFonts w:ascii="Arial" w:cs="Arial" w:eastAsia="Arial" w:hAnsi="Arial"/>
                <w:sz w:val="16"/>
                <w:szCs w:val="16"/>
                <w:color w:val="auto"/>
              </w:rPr>
              <w:t>Currency</w:t>
            </w:r>
          </w:p>
        </w:tc>
        <w:tc>
          <w:tcPr>
            <w:tcW w:w="120" w:type="dxa"/>
            <w:vAlign w:val="bottom"/>
          </w:tcPr>
          <w:p>
            <w:pPr>
              <w:spacing w:after="0"/>
              <w:rPr>
                <w:sz w:val="14"/>
                <w:szCs w:val="14"/>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color w:val="auto"/>
              </w:rPr>
              <w:t>As Reported</w:t>
            </w:r>
          </w:p>
        </w:tc>
        <w:tc>
          <w:tcPr>
            <w:tcW w:w="1220" w:type="dxa"/>
            <w:vAlign w:val="bottom"/>
            <w:gridSpan w:val="3"/>
          </w:tcPr>
          <w:p>
            <w:pPr>
              <w:jc w:val="center"/>
              <w:ind w:right="300"/>
              <w:spacing w:after="0" w:line="162" w:lineRule="exact"/>
              <w:rPr>
                <w:sz w:val="20"/>
                <w:szCs w:val="20"/>
                <w:color w:val="auto"/>
              </w:rPr>
            </w:pPr>
            <w:r>
              <w:rPr>
                <w:rFonts w:ascii="Arial" w:cs="Arial" w:eastAsia="Arial" w:hAnsi="Arial"/>
                <w:sz w:val="16"/>
                <w:szCs w:val="16"/>
                <w:color w:val="auto"/>
              </w:rPr>
              <w:t>Foreign</w:t>
            </w:r>
          </w:p>
        </w:tc>
        <w:tc>
          <w:tcPr>
            <w:tcW w:w="90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43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6"/>
                <w:szCs w:val="16"/>
                <w:color w:val="auto"/>
              </w:rPr>
              <w:t>Currency</w:t>
            </w:r>
          </w:p>
        </w:tc>
        <w:tc>
          <w:tcPr>
            <w:tcW w:w="10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Amounts</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6"/>
                <w:szCs w:val="16"/>
                <w:color w:val="auto"/>
                <w:w w:val="98"/>
              </w:rPr>
              <w:t>Currency</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43"/>
        </w:trPr>
        <w:tc>
          <w:tcPr>
            <w:tcW w:w="4360" w:type="dxa"/>
            <w:vAlign w:val="bottom"/>
          </w:tcPr>
          <w:p>
            <w:pPr>
              <w:spacing w:after="0" w:line="144" w:lineRule="exact"/>
              <w:rPr>
                <w:sz w:val="20"/>
                <w:szCs w:val="20"/>
                <w:color w:val="auto"/>
              </w:rPr>
            </w:pPr>
            <w:r>
              <w:rPr>
                <w:rFonts w:ascii="Arial" w:cs="Arial" w:eastAsia="Arial" w:hAnsi="Arial"/>
                <w:sz w:val="16"/>
                <w:szCs w:val="16"/>
                <w:b w:val="1"/>
                <w:bCs w:val="1"/>
                <w:color w:val="auto"/>
              </w:rPr>
              <w:t>Reconciliation of Connectivity &amp; Platforms Constant</w:t>
            </w: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160"/>
              <w:spacing w:after="0"/>
              <w:rPr>
                <w:sz w:val="20"/>
                <w:szCs w:val="20"/>
                <w:color w:val="auto"/>
              </w:rPr>
            </w:pPr>
            <w:r>
              <w:rPr>
                <w:rFonts w:ascii="Arial" w:cs="Arial" w:eastAsia="Arial" w:hAnsi="Arial"/>
                <w:sz w:val="16"/>
                <w:szCs w:val="16"/>
                <w:b w:val="1"/>
                <w:bCs w:val="1"/>
                <w:color w:val="auto"/>
              </w:rPr>
              <w:t>Currency</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360" w:type="dxa"/>
            <w:vAlign w:val="bottom"/>
          </w:tcPr>
          <w:p>
            <w:pPr>
              <w:spacing w:after="0"/>
              <w:rPr>
                <w:sz w:val="20"/>
                <w:szCs w:val="20"/>
                <w:color w:val="auto"/>
              </w:rPr>
            </w:pPr>
            <w:r>
              <w:rPr>
                <w:rFonts w:ascii="Arial" w:cs="Arial" w:eastAsia="Arial" w:hAnsi="Arial"/>
                <w:sz w:val="16"/>
                <w:szCs w:val="16"/>
                <w:b w:val="1"/>
                <w:bCs w:val="1"/>
                <w:color w:val="auto"/>
              </w:rPr>
              <w:t>Connectivity &amp; Platforms Revenue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20" w:type="dxa"/>
            <w:vAlign w:val="bottom"/>
          </w:tcPr>
          <w:p>
            <w:pPr>
              <w:jc w:val="right"/>
              <w:spacing w:after="0"/>
              <w:rPr>
                <w:sz w:val="20"/>
                <w:szCs w:val="20"/>
                <w:color w:val="auto"/>
              </w:rPr>
            </w:pPr>
            <w:r>
              <w:rPr>
                <w:rFonts w:ascii="Arial" w:cs="Arial" w:eastAsia="Arial" w:hAnsi="Arial"/>
                <w:sz w:val="16"/>
                <w:szCs w:val="16"/>
                <w:color w:val="auto"/>
              </w:rPr>
              <w:t>$18,081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$18,289</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$72,386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$72,464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20" w:type="dxa"/>
            <w:vAlign w:val="bottom"/>
          </w:tcPr>
          <w:p>
            <w:pPr>
              <w:jc w:val="right"/>
              <w:spacing w:after="0"/>
              <w:rPr>
                <w:sz w:val="20"/>
                <w:szCs w:val="20"/>
                <w:color w:val="auto"/>
              </w:rPr>
            </w:pPr>
            <w:r>
              <w:rPr>
                <w:rFonts w:ascii="Arial" w:cs="Arial" w:eastAsia="Arial" w:hAnsi="Arial"/>
                <w:sz w:val="16"/>
                <w:szCs w:val="16"/>
                <w:color w:val="auto"/>
              </w:rPr>
              <w:t>2,230</w:t>
            </w:r>
          </w:p>
        </w:tc>
        <w:tc>
          <w:tcPr>
            <w:tcW w:w="12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2,230</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8,819</w:t>
            </w:r>
          </w:p>
        </w:tc>
        <w:tc>
          <w:tcPr>
            <w:tcW w:w="10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8,819</w:t>
            </w:r>
          </w:p>
        </w:tc>
        <w:tc>
          <w:tcPr>
            <w:tcW w:w="0" w:type="dxa"/>
            <w:vAlign w:val="bottom"/>
          </w:tcPr>
          <w:p>
            <w:pPr>
              <w:spacing w:after="0"/>
              <w:rPr>
                <w:sz w:val="1"/>
                <w:szCs w:val="1"/>
                <w:color w:val="auto"/>
              </w:rPr>
            </w:pPr>
          </w:p>
        </w:tc>
      </w:tr>
      <w:tr>
        <w:trPr>
          <w:trHeight w:val="218"/>
        </w:trPr>
        <w:tc>
          <w:tcPr>
            <w:tcW w:w="436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Revenue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$20,311</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$20,519</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$81,205</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$81,284</w:t>
            </w:r>
          </w:p>
        </w:tc>
        <w:tc>
          <w:tcPr>
            <w:tcW w:w="0" w:type="dxa"/>
            <w:vAlign w:val="bottom"/>
          </w:tcPr>
          <w:p>
            <w:pPr>
              <w:spacing w:after="0"/>
              <w:rPr>
                <w:sz w:val="1"/>
                <w:szCs w:val="1"/>
                <w:color w:val="auto"/>
              </w:rPr>
            </w:pPr>
          </w:p>
        </w:tc>
      </w:tr>
      <w:tr>
        <w:trPr>
          <w:trHeight w:val="357"/>
        </w:trPr>
        <w:tc>
          <w:tcPr>
            <w:tcW w:w="4360" w:type="dxa"/>
            <w:vAlign w:val="bottom"/>
          </w:tcPr>
          <w:p>
            <w:pPr>
              <w:spacing w:after="0"/>
              <w:rPr>
                <w:sz w:val="20"/>
                <w:szCs w:val="20"/>
                <w:color w:val="auto"/>
              </w:rPr>
            </w:pPr>
            <w:r>
              <w:rPr>
                <w:rFonts w:ascii="Arial" w:cs="Arial" w:eastAsia="Arial" w:hAnsi="Arial"/>
                <w:sz w:val="16"/>
                <w:szCs w:val="16"/>
                <w:b w:val="1"/>
                <w:bCs w:val="1"/>
                <w:color w:val="auto"/>
              </w:rPr>
              <w:t>Connectivity and Platforms Adjusted EBITDA</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20" w:type="dxa"/>
            <w:vAlign w:val="bottom"/>
          </w:tcPr>
          <w:p>
            <w:pPr>
              <w:jc w:val="right"/>
              <w:spacing w:after="0"/>
              <w:rPr>
                <w:sz w:val="20"/>
                <w:szCs w:val="20"/>
                <w:color w:val="auto"/>
              </w:rPr>
            </w:pPr>
            <w:r>
              <w:rPr>
                <w:rFonts w:ascii="Arial" w:cs="Arial" w:eastAsia="Arial" w:hAnsi="Arial"/>
                <w:sz w:val="16"/>
                <w:szCs w:val="16"/>
                <w:color w:val="auto"/>
              </w:rPr>
              <w:t>$6,073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$6,077</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$26,111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$26,088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20" w:type="dxa"/>
            <w:vAlign w:val="bottom"/>
          </w:tcPr>
          <w:p>
            <w:pPr>
              <w:jc w:val="right"/>
              <w:spacing w:after="0"/>
              <w:rPr>
                <w:sz w:val="20"/>
                <w:szCs w:val="20"/>
                <w:color w:val="auto"/>
              </w:rPr>
            </w:pPr>
            <w:r>
              <w:rPr>
                <w:rFonts w:ascii="Arial" w:cs="Arial" w:eastAsia="Arial" w:hAnsi="Arial"/>
                <w:sz w:val="16"/>
                <w:szCs w:val="16"/>
                <w:color w:val="auto"/>
              </w:rPr>
              <w:t>1,276</w:t>
            </w:r>
          </w:p>
        </w:tc>
        <w:tc>
          <w:tcPr>
            <w:tcW w:w="12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1,276</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5,060</w:t>
            </w:r>
          </w:p>
        </w:tc>
        <w:tc>
          <w:tcPr>
            <w:tcW w:w="10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5,060</w:t>
            </w:r>
          </w:p>
        </w:tc>
        <w:tc>
          <w:tcPr>
            <w:tcW w:w="0" w:type="dxa"/>
            <w:vAlign w:val="bottom"/>
          </w:tcPr>
          <w:p>
            <w:pPr>
              <w:spacing w:after="0"/>
              <w:rPr>
                <w:sz w:val="1"/>
                <w:szCs w:val="1"/>
                <w:color w:val="auto"/>
              </w:rPr>
            </w:pPr>
          </w:p>
        </w:tc>
      </w:tr>
      <w:tr>
        <w:trPr>
          <w:trHeight w:val="218"/>
        </w:trPr>
        <w:tc>
          <w:tcPr>
            <w:tcW w:w="436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$7,349</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$7,353</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$31,171</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$31,148</w:t>
            </w:r>
          </w:p>
        </w:tc>
        <w:tc>
          <w:tcPr>
            <w:tcW w:w="0" w:type="dxa"/>
            <w:vAlign w:val="bottom"/>
          </w:tcPr>
          <w:p>
            <w:pPr>
              <w:spacing w:after="0"/>
              <w:rPr>
                <w:sz w:val="1"/>
                <w:szCs w:val="1"/>
                <w:color w:val="auto"/>
              </w:rPr>
            </w:pPr>
          </w:p>
        </w:tc>
      </w:tr>
      <w:tr>
        <w:trPr>
          <w:trHeight w:val="357"/>
        </w:trPr>
        <w:tc>
          <w:tcPr>
            <w:tcW w:w="4360" w:type="dxa"/>
            <w:vAlign w:val="bottom"/>
          </w:tcPr>
          <w:p>
            <w:pPr>
              <w:spacing w:after="0"/>
              <w:rPr>
                <w:sz w:val="20"/>
                <w:szCs w:val="20"/>
                <w:color w:val="auto"/>
              </w:rPr>
            </w:pPr>
            <w:r>
              <w:rPr>
                <w:rFonts w:ascii="Arial" w:cs="Arial" w:eastAsia="Arial" w:hAnsi="Arial"/>
                <w:sz w:val="16"/>
                <w:szCs w:val="16"/>
                <w:b w:val="1"/>
                <w:bCs w:val="1"/>
                <w:color w:val="auto"/>
              </w:rPr>
              <w:t>Connectivity &amp; Platforms Adjusted EBITDA Margin</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1020" w:type="dxa"/>
            <w:vAlign w:val="bottom"/>
          </w:tcPr>
          <w:p>
            <w:pPr>
              <w:jc w:val="right"/>
              <w:spacing w:after="0"/>
              <w:rPr>
                <w:sz w:val="20"/>
                <w:szCs w:val="20"/>
                <w:color w:val="auto"/>
              </w:rPr>
            </w:pPr>
            <w:r>
              <w:rPr>
                <w:rFonts w:ascii="Arial" w:cs="Arial" w:eastAsia="Arial" w:hAnsi="Arial"/>
                <w:sz w:val="16"/>
                <w:szCs w:val="16"/>
                <w:color w:val="auto"/>
              </w:rPr>
              <w:t>33.6 %</w:t>
            </w:r>
          </w:p>
        </w:tc>
        <w:tc>
          <w:tcPr>
            <w:tcW w:w="12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6"/>
                <w:szCs w:val="16"/>
                <w:color w:val="auto"/>
              </w:rPr>
              <w:t>(40) bps</w:t>
            </w:r>
          </w:p>
        </w:tc>
        <w:tc>
          <w:tcPr>
            <w:tcW w:w="880" w:type="dxa"/>
            <w:vAlign w:val="bottom"/>
          </w:tcPr>
          <w:p>
            <w:pPr>
              <w:jc w:val="right"/>
              <w:spacing w:after="0"/>
              <w:rPr>
                <w:sz w:val="20"/>
                <w:szCs w:val="20"/>
                <w:color w:val="auto"/>
              </w:rPr>
            </w:pPr>
            <w:r>
              <w:rPr>
                <w:rFonts w:ascii="Arial" w:cs="Arial" w:eastAsia="Arial" w:hAnsi="Arial"/>
                <w:sz w:val="16"/>
                <w:szCs w:val="16"/>
                <w:color w:val="auto"/>
              </w:rPr>
              <w:t>33.2 %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36.1 %</w:t>
            </w:r>
          </w:p>
        </w:tc>
        <w:tc>
          <w:tcPr>
            <w:tcW w:w="10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6"/>
                <w:szCs w:val="16"/>
                <w:color w:val="auto"/>
              </w:rPr>
              <w:t>(10) bps</w:t>
            </w:r>
          </w:p>
        </w:tc>
        <w:tc>
          <w:tcPr>
            <w:tcW w:w="900" w:type="dxa"/>
            <w:vAlign w:val="bottom"/>
          </w:tcPr>
          <w:p>
            <w:pPr>
              <w:jc w:val="right"/>
              <w:spacing w:after="0"/>
              <w:rPr>
                <w:sz w:val="20"/>
                <w:szCs w:val="20"/>
                <w:color w:val="auto"/>
              </w:rPr>
            </w:pPr>
            <w:r>
              <w:rPr>
                <w:rFonts w:ascii="Arial" w:cs="Arial" w:eastAsia="Arial" w:hAnsi="Arial"/>
                <w:sz w:val="16"/>
                <w:szCs w:val="16"/>
                <w:color w:val="auto"/>
              </w:rPr>
              <w:t>36.0 %</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1020" w:type="dxa"/>
            <w:vAlign w:val="bottom"/>
          </w:tcPr>
          <w:p>
            <w:pPr>
              <w:jc w:val="right"/>
              <w:spacing w:after="0"/>
              <w:rPr>
                <w:sz w:val="20"/>
                <w:szCs w:val="20"/>
                <w:color w:val="auto"/>
              </w:rPr>
            </w:pPr>
            <w:r>
              <w:rPr>
                <w:rFonts w:ascii="Arial" w:cs="Arial" w:eastAsia="Arial" w:hAnsi="Arial"/>
                <w:sz w:val="16"/>
                <w:szCs w:val="16"/>
                <w:color w:val="auto"/>
              </w:rPr>
              <w:t>57.2 %</w:t>
            </w:r>
          </w:p>
        </w:tc>
        <w:tc>
          <w:tcPr>
            <w:tcW w:w="12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6"/>
                <w:szCs w:val="16"/>
                <w:color w:val="auto"/>
              </w:rPr>
              <w:t>— bps</w:t>
            </w:r>
          </w:p>
        </w:tc>
        <w:tc>
          <w:tcPr>
            <w:tcW w:w="880" w:type="dxa"/>
            <w:vAlign w:val="bottom"/>
          </w:tcPr>
          <w:p>
            <w:pPr>
              <w:jc w:val="right"/>
              <w:spacing w:after="0"/>
              <w:rPr>
                <w:sz w:val="20"/>
                <w:szCs w:val="20"/>
                <w:color w:val="auto"/>
              </w:rPr>
            </w:pPr>
            <w:r>
              <w:rPr>
                <w:rFonts w:ascii="Arial" w:cs="Arial" w:eastAsia="Arial" w:hAnsi="Arial"/>
                <w:sz w:val="16"/>
                <w:szCs w:val="16"/>
                <w:color w:val="auto"/>
              </w:rPr>
              <w:t>57.2 %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57.4 %</w:t>
            </w:r>
          </w:p>
        </w:tc>
        <w:tc>
          <w:tcPr>
            <w:tcW w:w="10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6"/>
                <w:szCs w:val="16"/>
                <w:color w:val="auto"/>
              </w:rPr>
              <w:t>— bps</w:t>
            </w:r>
          </w:p>
        </w:tc>
        <w:tc>
          <w:tcPr>
            <w:tcW w:w="900" w:type="dxa"/>
            <w:vAlign w:val="bottom"/>
          </w:tcPr>
          <w:p>
            <w:pPr>
              <w:jc w:val="right"/>
              <w:spacing w:after="0"/>
              <w:rPr>
                <w:sz w:val="20"/>
                <w:szCs w:val="20"/>
                <w:color w:val="auto"/>
              </w:rPr>
            </w:pPr>
            <w:r>
              <w:rPr>
                <w:rFonts w:ascii="Arial" w:cs="Arial" w:eastAsia="Arial" w:hAnsi="Arial"/>
                <w:sz w:val="16"/>
                <w:szCs w:val="16"/>
                <w:color w:val="auto"/>
              </w:rPr>
              <w:t>57.4 %</w:t>
            </w:r>
          </w:p>
        </w:tc>
        <w:tc>
          <w:tcPr>
            <w:tcW w:w="0" w:type="dxa"/>
            <w:vAlign w:val="bottom"/>
          </w:tcPr>
          <w:p>
            <w:pPr>
              <w:spacing w:after="0"/>
              <w:rPr>
                <w:sz w:val="1"/>
                <w:szCs w:val="1"/>
                <w:color w:val="auto"/>
              </w:rPr>
            </w:pPr>
          </w:p>
        </w:tc>
      </w:tr>
      <w:tr>
        <w:trPr>
          <w:trHeight w:val="218"/>
        </w:trPr>
        <w:tc>
          <w:tcPr>
            <w:tcW w:w="436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 Margin</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36.2 %</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 bps</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35.8 %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38.4 %</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 bps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38.3 %</w:t>
            </w:r>
          </w:p>
        </w:tc>
        <w:tc>
          <w:tcPr>
            <w:tcW w:w="0" w:type="dxa"/>
            <w:vAlign w:val="bottom"/>
          </w:tcPr>
          <w:p>
            <w:pPr>
              <w:spacing w:after="0"/>
              <w:rPr>
                <w:sz w:val="1"/>
                <w:szCs w:val="1"/>
                <w:color w:val="auto"/>
              </w:rPr>
            </w:pPr>
          </w:p>
        </w:tc>
      </w:tr>
      <w:tr>
        <w:trPr>
          <w:trHeight w:val="439"/>
        </w:trPr>
        <w:tc>
          <w:tcPr>
            <w:tcW w:w="4360" w:type="dxa"/>
            <w:vAlign w:val="bottom"/>
          </w:tcPr>
          <w:p>
            <w:pPr>
              <w:spacing w:after="0"/>
              <w:rPr>
                <w:sz w:val="24"/>
                <w:szCs w:val="24"/>
                <w:color w:val="auto"/>
              </w:rPr>
            </w:pPr>
          </w:p>
        </w:tc>
        <w:tc>
          <w:tcPr>
            <w:tcW w:w="340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3260" w:type="dxa"/>
            <w:vAlign w:val="bottom"/>
            <w:gridSpan w:val="6"/>
          </w:tcPr>
          <w:p>
            <w:pPr>
              <w:jc w:val="center"/>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2360" w:type="dxa"/>
            <w:vAlign w:val="bottom"/>
            <w:gridSpan w:val="5"/>
          </w:tcPr>
          <w:p>
            <w:pPr>
              <w:jc w:val="center"/>
              <w:ind w:left="819"/>
              <w:spacing w:after="0"/>
              <w:rPr>
                <w:sz w:val="20"/>
                <w:szCs w:val="20"/>
                <w:color w:val="auto"/>
              </w:rPr>
            </w:pPr>
            <w:r>
              <w:rPr>
                <w:rFonts w:ascii="Arial" w:cs="Arial" w:eastAsia="Arial" w:hAnsi="Arial"/>
                <w:sz w:val="16"/>
                <w:szCs w:val="16"/>
                <w:b w:val="1"/>
                <w:bCs w:val="1"/>
                <w:color w:val="auto"/>
              </w:rPr>
              <w:t>December 31, 2022</w:t>
            </w:r>
          </w:p>
        </w:tc>
        <w:tc>
          <w:tcPr>
            <w:tcW w:w="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left="819"/>
              <w:spacing w:after="0"/>
              <w:rPr>
                <w:sz w:val="20"/>
                <w:szCs w:val="20"/>
                <w:color w:val="auto"/>
              </w:rPr>
            </w:pPr>
            <w:r>
              <w:rPr>
                <w:rFonts w:ascii="Arial" w:cs="Arial" w:eastAsia="Arial" w:hAnsi="Arial"/>
                <w:sz w:val="16"/>
                <w:szCs w:val="16"/>
                <w:b w:val="1"/>
                <w:bCs w:val="1"/>
                <w:color w:val="auto"/>
              </w:rPr>
              <w:t>December 31, 2022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320"/>
              <w:spacing w:after="0" w:line="163" w:lineRule="exact"/>
              <w:rPr>
                <w:sz w:val="20"/>
                <w:szCs w:val="20"/>
                <w:color w:val="auto"/>
              </w:rPr>
            </w:pPr>
            <w:r>
              <w:rPr>
                <w:rFonts w:ascii="Arial" w:cs="Arial" w:eastAsia="Arial" w:hAnsi="Arial"/>
                <w:sz w:val="16"/>
                <w:szCs w:val="16"/>
                <w:color w:val="auto"/>
                <w:w w:val="98"/>
              </w:rPr>
              <w:t>Effects of</w:t>
            </w:r>
          </w:p>
        </w:tc>
        <w:tc>
          <w:tcPr>
            <w:tcW w:w="104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6"/>
                <w:szCs w:val="16"/>
                <w:color w:val="auto"/>
              </w:rPr>
              <w:t>Constant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300"/>
              <w:spacing w:after="0" w:line="163" w:lineRule="exact"/>
              <w:rPr>
                <w:sz w:val="20"/>
                <w:szCs w:val="20"/>
                <w:color w:val="auto"/>
              </w:rPr>
            </w:pPr>
            <w:r>
              <w:rPr>
                <w:rFonts w:ascii="Arial" w:cs="Arial" w:eastAsia="Arial" w:hAnsi="Arial"/>
                <w:sz w:val="16"/>
                <w:szCs w:val="16"/>
                <w:color w:val="auto"/>
              </w:rPr>
              <w:t>Effects of</w:t>
            </w:r>
          </w:p>
        </w:tc>
        <w:tc>
          <w:tcPr>
            <w:tcW w:w="900" w:type="dxa"/>
            <w:vAlign w:val="bottom"/>
          </w:tcPr>
          <w:p>
            <w:pPr>
              <w:jc w:val="right"/>
              <w:ind w:right="13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436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As Reported</w:t>
            </w:r>
          </w:p>
        </w:tc>
        <w:tc>
          <w:tcPr>
            <w:tcW w:w="120" w:type="dxa"/>
            <w:vAlign w:val="bottom"/>
          </w:tcPr>
          <w:p>
            <w:pPr>
              <w:spacing w:after="0"/>
              <w:rPr>
                <w:sz w:val="14"/>
                <w:szCs w:val="14"/>
                <w:color w:val="auto"/>
              </w:rPr>
            </w:pPr>
          </w:p>
        </w:tc>
        <w:tc>
          <w:tcPr>
            <w:tcW w:w="1220" w:type="dxa"/>
            <w:vAlign w:val="bottom"/>
            <w:gridSpan w:val="3"/>
          </w:tcPr>
          <w:p>
            <w:pPr>
              <w:jc w:val="center"/>
              <w:ind w:right="320"/>
              <w:spacing w:after="0" w:line="162" w:lineRule="exact"/>
              <w:rPr>
                <w:sz w:val="20"/>
                <w:szCs w:val="20"/>
                <w:color w:val="auto"/>
              </w:rPr>
            </w:pPr>
            <w:r>
              <w:rPr>
                <w:rFonts w:ascii="Arial" w:cs="Arial" w:eastAsia="Arial" w:hAnsi="Arial"/>
                <w:sz w:val="16"/>
                <w:szCs w:val="16"/>
                <w:color w:val="auto"/>
                <w:w w:val="99"/>
              </w:rPr>
              <w:t>Foreign</w:t>
            </w:r>
          </w:p>
        </w:tc>
        <w:tc>
          <w:tcPr>
            <w:tcW w:w="1040" w:type="dxa"/>
            <w:vAlign w:val="bottom"/>
            <w:tcBorders>
              <w:right w:val="single" w:sz="8" w:color="auto"/>
            </w:tcBorders>
            <w:gridSpan w:val="2"/>
          </w:tcPr>
          <w:p>
            <w:pPr>
              <w:spacing w:after="0" w:line="162" w:lineRule="exact"/>
              <w:rPr>
                <w:sz w:val="20"/>
                <w:szCs w:val="20"/>
                <w:color w:val="auto"/>
              </w:rPr>
            </w:pPr>
            <w:r>
              <w:rPr>
                <w:rFonts w:ascii="Arial" w:cs="Arial" w:eastAsia="Arial" w:hAnsi="Arial"/>
                <w:sz w:val="16"/>
                <w:szCs w:val="16"/>
                <w:color w:val="auto"/>
              </w:rPr>
              <w:t>Currency</w:t>
            </w:r>
          </w:p>
        </w:tc>
        <w:tc>
          <w:tcPr>
            <w:tcW w:w="120" w:type="dxa"/>
            <w:vAlign w:val="bottom"/>
          </w:tcPr>
          <w:p>
            <w:pPr>
              <w:spacing w:after="0"/>
              <w:rPr>
                <w:sz w:val="14"/>
                <w:szCs w:val="14"/>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color w:val="auto"/>
              </w:rPr>
              <w:t>As Reported</w:t>
            </w:r>
          </w:p>
        </w:tc>
        <w:tc>
          <w:tcPr>
            <w:tcW w:w="1220" w:type="dxa"/>
            <w:vAlign w:val="bottom"/>
            <w:gridSpan w:val="3"/>
          </w:tcPr>
          <w:p>
            <w:pPr>
              <w:jc w:val="center"/>
              <w:ind w:right="300"/>
              <w:spacing w:after="0" w:line="162" w:lineRule="exact"/>
              <w:rPr>
                <w:sz w:val="20"/>
                <w:szCs w:val="20"/>
                <w:color w:val="auto"/>
              </w:rPr>
            </w:pPr>
            <w:r>
              <w:rPr>
                <w:rFonts w:ascii="Arial" w:cs="Arial" w:eastAsia="Arial" w:hAnsi="Arial"/>
                <w:sz w:val="16"/>
                <w:szCs w:val="16"/>
                <w:color w:val="auto"/>
              </w:rPr>
              <w:t>Foreign</w:t>
            </w:r>
          </w:p>
        </w:tc>
        <w:tc>
          <w:tcPr>
            <w:tcW w:w="90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43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6"/>
                <w:szCs w:val="16"/>
                <w:color w:val="auto"/>
              </w:rPr>
              <w:t>Currency</w:t>
            </w:r>
          </w:p>
        </w:tc>
        <w:tc>
          <w:tcPr>
            <w:tcW w:w="104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Amounts</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6"/>
                <w:szCs w:val="16"/>
                <w:color w:val="auto"/>
                <w:w w:val="98"/>
              </w:rPr>
              <w:t>Currency</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43"/>
        </w:trPr>
        <w:tc>
          <w:tcPr>
            <w:tcW w:w="4360" w:type="dxa"/>
            <w:vAlign w:val="bottom"/>
          </w:tcPr>
          <w:p>
            <w:pPr>
              <w:spacing w:after="0" w:line="144" w:lineRule="exact"/>
              <w:rPr>
                <w:sz w:val="20"/>
                <w:szCs w:val="20"/>
                <w:color w:val="auto"/>
              </w:rPr>
            </w:pPr>
            <w:r>
              <w:rPr>
                <w:rFonts w:ascii="Arial" w:cs="Arial" w:eastAsia="Arial" w:hAnsi="Arial"/>
                <w:sz w:val="16"/>
                <w:szCs w:val="16"/>
                <w:b w:val="1"/>
                <w:bCs w:val="1"/>
                <w:color w:val="auto"/>
              </w:rPr>
              <w:t>Reconciliation of Residential Connectivity &amp; Platforms</w:t>
            </w: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160"/>
              <w:spacing w:after="0"/>
              <w:rPr>
                <w:sz w:val="20"/>
                <w:szCs w:val="20"/>
                <w:color w:val="auto"/>
              </w:rPr>
            </w:pPr>
            <w:r>
              <w:rPr>
                <w:rFonts w:ascii="Arial" w:cs="Arial" w:eastAsia="Arial" w:hAnsi="Arial"/>
                <w:sz w:val="16"/>
                <w:szCs w:val="16"/>
                <w:b w:val="1"/>
                <w:bCs w:val="1"/>
                <w:color w:val="auto"/>
              </w:rPr>
              <w:t>Constant Currency</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36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340"/>
              <w:spacing w:after="0"/>
              <w:rPr>
                <w:sz w:val="20"/>
                <w:szCs w:val="20"/>
                <w:color w:val="auto"/>
              </w:rPr>
            </w:pPr>
            <w:r>
              <w:rPr>
                <w:rFonts w:ascii="Arial" w:cs="Arial" w:eastAsia="Arial" w:hAnsi="Arial"/>
                <w:sz w:val="16"/>
                <w:szCs w:val="16"/>
                <w:color w:val="auto"/>
              </w:rPr>
              <w:t>Domestic broadband</w:t>
            </w:r>
          </w:p>
        </w:tc>
        <w:tc>
          <w:tcPr>
            <w:tcW w:w="1020" w:type="dxa"/>
            <w:vAlign w:val="bottom"/>
          </w:tcPr>
          <w:p>
            <w:pPr>
              <w:jc w:val="right"/>
              <w:spacing w:after="0"/>
              <w:rPr>
                <w:sz w:val="20"/>
                <w:szCs w:val="20"/>
                <w:color w:val="auto"/>
              </w:rPr>
            </w:pPr>
            <w:r>
              <w:rPr>
                <w:rFonts w:ascii="Arial" w:cs="Arial" w:eastAsia="Arial" w:hAnsi="Arial"/>
                <w:sz w:val="16"/>
                <w:szCs w:val="16"/>
                <w:color w:val="auto"/>
              </w:rPr>
              <w:t>$6,177</w:t>
            </w:r>
          </w:p>
        </w:tc>
        <w:tc>
          <w:tcPr>
            <w:tcW w:w="12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$6,177</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$24,469</w:t>
            </w:r>
          </w:p>
        </w:tc>
        <w:tc>
          <w:tcPr>
            <w:tcW w:w="10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$24,469</w:t>
            </w:r>
          </w:p>
        </w:tc>
        <w:tc>
          <w:tcPr>
            <w:tcW w:w="0" w:type="dxa"/>
            <w:vAlign w:val="bottom"/>
          </w:tcPr>
          <w:p>
            <w:pPr>
              <w:spacing w:after="0"/>
              <w:rPr>
                <w:sz w:val="1"/>
                <w:szCs w:val="1"/>
                <w:color w:val="auto"/>
              </w:rPr>
            </w:pPr>
          </w:p>
        </w:tc>
      </w:tr>
      <w:tr>
        <w:trPr>
          <w:trHeight w:val="216"/>
        </w:trPr>
        <w:tc>
          <w:tcPr>
            <w:tcW w:w="4360" w:type="dxa"/>
            <w:vAlign w:val="bottom"/>
          </w:tcPr>
          <w:p>
            <w:pPr>
              <w:ind w:left="340"/>
              <w:spacing w:after="0"/>
              <w:rPr>
                <w:sz w:val="20"/>
                <w:szCs w:val="20"/>
                <w:color w:val="auto"/>
              </w:rPr>
            </w:pPr>
            <w:r>
              <w:rPr>
                <w:rFonts w:ascii="Arial" w:cs="Arial" w:eastAsia="Arial" w:hAnsi="Arial"/>
                <w:sz w:val="16"/>
                <w:szCs w:val="16"/>
                <w:color w:val="auto"/>
              </w:rPr>
              <w:t>Domestic wireless</w:t>
            </w:r>
          </w:p>
        </w:tc>
        <w:tc>
          <w:tcPr>
            <w:tcW w:w="1020" w:type="dxa"/>
            <w:vAlign w:val="bottom"/>
          </w:tcPr>
          <w:p>
            <w:pPr>
              <w:jc w:val="right"/>
              <w:spacing w:after="0"/>
              <w:rPr>
                <w:sz w:val="20"/>
                <w:szCs w:val="20"/>
                <w:color w:val="auto"/>
              </w:rPr>
            </w:pPr>
            <w:r>
              <w:rPr>
                <w:rFonts w:ascii="Arial" w:cs="Arial" w:eastAsia="Arial" w:hAnsi="Arial"/>
                <w:sz w:val="16"/>
                <w:szCs w:val="16"/>
                <w:color w:val="auto"/>
              </w:rPr>
              <w:t>883</w:t>
            </w:r>
          </w:p>
        </w:tc>
        <w:tc>
          <w:tcPr>
            <w:tcW w:w="12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883</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3,071</w:t>
            </w:r>
          </w:p>
        </w:tc>
        <w:tc>
          <w:tcPr>
            <w:tcW w:w="10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3,071</w:t>
            </w:r>
          </w:p>
        </w:tc>
        <w:tc>
          <w:tcPr>
            <w:tcW w:w="0" w:type="dxa"/>
            <w:vAlign w:val="bottom"/>
          </w:tcPr>
          <w:p>
            <w:pPr>
              <w:spacing w:after="0"/>
              <w:rPr>
                <w:sz w:val="1"/>
                <w:szCs w:val="1"/>
                <w:color w:val="auto"/>
              </w:rPr>
            </w:pPr>
          </w:p>
        </w:tc>
      </w:tr>
      <w:tr>
        <w:trPr>
          <w:trHeight w:val="216"/>
        </w:trPr>
        <w:tc>
          <w:tcPr>
            <w:tcW w:w="4360" w:type="dxa"/>
            <w:vAlign w:val="bottom"/>
          </w:tcPr>
          <w:p>
            <w:pPr>
              <w:ind w:left="340"/>
              <w:spacing w:after="0"/>
              <w:rPr>
                <w:sz w:val="20"/>
                <w:szCs w:val="20"/>
                <w:color w:val="auto"/>
              </w:rPr>
            </w:pPr>
            <w:r>
              <w:rPr>
                <w:rFonts w:ascii="Arial" w:cs="Arial" w:eastAsia="Arial" w:hAnsi="Arial"/>
                <w:sz w:val="16"/>
                <w:szCs w:val="16"/>
                <w:color w:val="auto"/>
              </w:rPr>
              <w:t>International connectivity</w:t>
            </w:r>
          </w:p>
        </w:tc>
        <w:tc>
          <w:tcPr>
            <w:tcW w:w="1020" w:type="dxa"/>
            <w:vAlign w:val="bottom"/>
          </w:tcPr>
          <w:p>
            <w:pPr>
              <w:jc w:val="right"/>
              <w:spacing w:after="0"/>
              <w:rPr>
                <w:sz w:val="20"/>
                <w:szCs w:val="20"/>
                <w:color w:val="auto"/>
              </w:rPr>
            </w:pPr>
            <w:r>
              <w:rPr>
                <w:rFonts w:ascii="Arial" w:cs="Arial" w:eastAsia="Arial" w:hAnsi="Arial"/>
                <w:sz w:val="16"/>
                <w:szCs w:val="16"/>
                <w:color w:val="auto"/>
              </w:rPr>
              <w:t>953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1,007</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3,426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3,451</w:t>
            </w:r>
          </w:p>
        </w:tc>
        <w:tc>
          <w:tcPr>
            <w:tcW w:w="0" w:type="dxa"/>
            <w:vAlign w:val="bottom"/>
          </w:tcPr>
          <w:p>
            <w:pPr>
              <w:spacing w:after="0"/>
              <w:rPr>
                <w:sz w:val="1"/>
                <w:szCs w:val="1"/>
                <w:color w:val="auto"/>
              </w:rPr>
            </w:pPr>
          </w:p>
        </w:tc>
      </w:tr>
      <w:tr>
        <w:trPr>
          <w:trHeight w:val="211"/>
        </w:trPr>
        <w:tc>
          <w:tcPr>
            <w:tcW w:w="4360" w:type="dxa"/>
            <w:vAlign w:val="bottom"/>
          </w:tcPr>
          <w:p>
            <w:pPr>
              <w:ind w:left="220"/>
              <w:spacing w:after="0"/>
              <w:rPr>
                <w:sz w:val="20"/>
                <w:szCs w:val="20"/>
                <w:color w:val="auto"/>
              </w:rPr>
            </w:pPr>
            <w:r>
              <w:rPr>
                <w:rFonts w:ascii="Arial" w:cs="Arial" w:eastAsia="Arial" w:hAnsi="Arial"/>
                <w:sz w:val="16"/>
                <w:szCs w:val="16"/>
                <w:color w:val="auto"/>
              </w:rPr>
              <w:t>Total residential connectivity</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$8,013</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$8,067</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$30,966</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$30,991</w:t>
            </w:r>
          </w:p>
        </w:tc>
        <w:tc>
          <w:tcPr>
            <w:tcW w:w="0" w:type="dxa"/>
            <w:vAlign w:val="bottom"/>
          </w:tcPr>
          <w:p>
            <w:pPr>
              <w:spacing w:after="0"/>
              <w:rPr>
                <w:sz w:val="1"/>
                <w:szCs w:val="1"/>
                <w:color w:val="auto"/>
              </w:rPr>
            </w:pPr>
          </w:p>
        </w:tc>
      </w:tr>
      <w:tr>
        <w:trPr>
          <w:trHeight w:val="215"/>
        </w:trPr>
        <w:tc>
          <w:tcPr>
            <w:tcW w:w="4360" w:type="dxa"/>
            <w:vAlign w:val="bottom"/>
          </w:tcPr>
          <w:p>
            <w:pPr>
              <w:ind w:left="220"/>
              <w:spacing w:after="0"/>
              <w:rPr>
                <w:sz w:val="20"/>
                <w:szCs w:val="20"/>
                <w:color w:val="auto"/>
              </w:rPr>
            </w:pPr>
            <w:r>
              <w:rPr>
                <w:rFonts w:ascii="Arial" w:cs="Arial" w:eastAsia="Arial" w:hAnsi="Arial"/>
                <w:sz w:val="16"/>
                <w:szCs w:val="16"/>
                <w:color w:val="auto"/>
              </w:rPr>
              <w:t>Video</w:t>
            </w:r>
          </w:p>
        </w:tc>
        <w:tc>
          <w:tcPr>
            <w:tcW w:w="1020" w:type="dxa"/>
            <w:vAlign w:val="bottom"/>
          </w:tcPr>
          <w:p>
            <w:pPr>
              <w:jc w:val="right"/>
              <w:spacing w:after="0"/>
              <w:rPr>
                <w:sz w:val="20"/>
                <w:szCs w:val="20"/>
                <w:color w:val="auto"/>
              </w:rPr>
            </w:pPr>
            <w:r>
              <w:rPr>
                <w:rFonts w:ascii="Arial" w:cs="Arial" w:eastAsia="Arial" w:hAnsi="Arial"/>
                <w:sz w:val="16"/>
                <w:szCs w:val="16"/>
                <w:color w:val="auto"/>
              </w:rPr>
              <w:t>7,273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7,385</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30,496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30,543</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6"/>
                <w:szCs w:val="16"/>
                <w:color w:val="auto"/>
              </w:rPr>
              <w:t>Advertising</w:t>
            </w:r>
          </w:p>
        </w:tc>
        <w:tc>
          <w:tcPr>
            <w:tcW w:w="1020" w:type="dxa"/>
            <w:vAlign w:val="bottom"/>
          </w:tcPr>
          <w:p>
            <w:pPr>
              <w:jc w:val="right"/>
              <w:spacing w:after="0"/>
              <w:rPr>
                <w:sz w:val="20"/>
                <w:szCs w:val="20"/>
                <w:color w:val="auto"/>
              </w:rPr>
            </w:pPr>
            <w:r>
              <w:rPr>
                <w:rFonts w:ascii="Arial" w:cs="Arial" w:eastAsia="Arial" w:hAnsi="Arial"/>
                <w:sz w:val="16"/>
                <w:szCs w:val="16"/>
                <w:color w:val="auto"/>
              </w:rPr>
              <w:t>1,283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1,304</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4,546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4,553</w:t>
            </w: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Pr>
          <w:p>
            <w:pPr>
              <w:jc w:val="right"/>
              <w:spacing w:after="0"/>
              <w:rPr>
                <w:sz w:val="20"/>
                <w:szCs w:val="20"/>
                <w:color w:val="auto"/>
              </w:rPr>
            </w:pPr>
            <w:r>
              <w:rPr>
                <w:rFonts w:ascii="Arial" w:cs="Arial" w:eastAsia="Arial" w:hAnsi="Arial"/>
                <w:sz w:val="16"/>
                <w:szCs w:val="16"/>
                <w:color w:val="auto"/>
              </w:rPr>
              <w:t>1,512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1,533</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6,378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6,377</w:t>
            </w:r>
          </w:p>
        </w:tc>
        <w:tc>
          <w:tcPr>
            <w:tcW w:w="0" w:type="dxa"/>
            <w:vAlign w:val="bottom"/>
          </w:tcPr>
          <w:p>
            <w:pPr>
              <w:spacing w:after="0"/>
              <w:rPr>
                <w:sz w:val="1"/>
                <w:szCs w:val="1"/>
                <w:color w:val="auto"/>
              </w:rPr>
            </w:pPr>
          </w:p>
        </w:tc>
      </w:tr>
      <w:tr>
        <w:trPr>
          <w:trHeight w:val="218"/>
        </w:trPr>
        <w:tc>
          <w:tcPr>
            <w:tcW w:w="436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$18,081</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$18,289</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$72,386</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$72,464</w:t>
            </w:r>
          </w:p>
        </w:tc>
        <w:tc>
          <w:tcPr>
            <w:tcW w:w="0" w:type="dxa"/>
            <w:vAlign w:val="bottom"/>
          </w:tcPr>
          <w:p>
            <w:pPr>
              <w:spacing w:after="0"/>
              <w:rPr>
                <w:sz w:val="1"/>
                <w:szCs w:val="1"/>
                <w:color w:val="auto"/>
              </w:rPr>
            </w:pPr>
          </w:p>
        </w:tc>
      </w:tr>
      <w:tr>
        <w:trPr>
          <w:trHeight w:val="357"/>
        </w:trPr>
        <w:tc>
          <w:tcPr>
            <w:tcW w:w="436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120"/>
              <w:spacing w:after="0"/>
              <w:rPr>
                <w:sz w:val="20"/>
                <w:szCs w:val="20"/>
                <w:color w:val="auto"/>
              </w:rPr>
            </w:pPr>
            <w:r>
              <w:rPr>
                <w:rFonts w:ascii="Arial" w:cs="Arial" w:eastAsia="Arial" w:hAnsi="Arial"/>
                <w:sz w:val="16"/>
                <w:szCs w:val="16"/>
                <w:color w:val="auto"/>
              </w:rPr>
              <w:t>Programming</w:t>
            </w:r>
          </w:p>
        </w:tc>
        <w:tc>
          <w:tcPr>
            <w:tcW w:w="1020" w:type="dxa"/>
            <w:vAlign w:val="bottom"/>
          </w:tcPr>
          <w:p>
            <w:pPr>
              <w:jc w:val="right"/>
              <w:spacing w:after="0"/>
              <w:rPr>
                <w:sz w:val="20"/>
                <w:szCs w:val="20"/>
                <w:color w:val="auto"/>
              </w:rPr>
            </w:pPr>
            <w:r>
              <w:rPr>
                <w:rFonts w:ascii="Arial" w:cs="Arial" w:eastAsia="Arial" w:hAnsi="Arial"/>
                <w:sz w:val="16"/>
                <w:szCs w:val="16"/>
                <w:color w:val="auto"/>
              </w:rPr>
              <w:t>$4,473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$4,541</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$18,500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$18,532</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6"/>
                <w:szCs w:val="16"/>
                <w:color w:val="auto"/>
              </w:rPr>
              <w:t>Non-Programming</w:t>
            </w:r>
          </w:p>
        </w:tc>
        <w:tc>
          <w:tcPr>
            <w:tcW w:w="1020" w:type="dxa"/>
            <w:vAlign w:val="bottom"/>
          </w:tcPr>
          <w:p>
            <w:pPr>
              <w:jc w:val="right"/>
              <w:spacing w:after="0"/>
              <w:rPr>
                <w:sz w:val="20"/>
                <w:szCs w:val="20"/>
                <w:color w:val="auto"/>
              </w:rPr>
            </w:pPr>
            <w:r>
              <w:rPr>
                <w:rFonts w:ascii="Arial" w:cs="Arial" w:eastAsia="Arial" w:hAnsi="Arial"/>
                <w:sz w:val="16"/>
                <w:szCs w:val="16"/>
                <w:color w:val="auto"/>
              </w:rPr>
              <w:t>7,536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7,671</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27,775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27,845</w:t>
            </w:r>
          </w:p>
        </w:tc>
        <w:tc>
          <w:tcPr>
            <w:tcW w:w="0" w:type="dxa"/>
            <w:vAlign w:val="bottom"/>
          </w:tcPr>
          <w:p>
            <w:pPr>
              <w:spacing w:after="0"/>
              <w:rPr>
                <w:sz w:val="1"/>
                <w:szCs w:val="1"/>
                <w:color w:val="auto"/>
              </w:rPr>
            </w:pPr>
          </w:p>
        </w:tc>
      </w:tr>
      <w:tr>
        <w:trPr>
          <w:trHeight w:val="218"/>
        </w:trPr>
        <w:tc>
          <w:tcPr>
            <w:tcW w:w="436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$12,009</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$12,212</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$46,275</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$46,377</w:t>
            </w:r>
          </w:p>
        </w:tc>
        <w:tc>
          <w:tcPr>
            <w:tcW w:w="0" w:type="dxa"/>
            <w:vAlign w:val="bottom"/>
          </w:tcPr>
          <w:p>
            <w:pPr>
              <w:spacing w:after="0"/>
              <w:rPr>
                <w:sz w:val="1"/>
                <w:szCs w:val="1"/>
                <w:color w:val="auto"/>
              </w:rPr>
            </w:pPr>
          </w:p>
        </w:tc>
      </w:tr>
      <w:tr>
        <w:trPr>
          <w:trHeight w:val="357"/>
        </w:trPr>
        <w:tc>
          <w:tcPr>
            <w:tcW w:w="436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$6,073</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$6,077</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$26,111</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$26,088</w:t>
            </w:r>
          </w:p>
        </w:tc>
        <w:tc>
          <w:tcPr>
            <w:tcW w:w="0" w:type="dxa"/>
            <w:vAlign w:val="bottom"/>
          </w:tcPr>
          <w:p>
            <w:pPr>
              <w:spacing w:after="0"/>
              <w:rPr>
                <w:sz w:val="1"/>
                <w:szCs w:val="1"/>
                <w:color w:val="auto"/>
              </w:rPr>
            </w:pPr>
          </w:p>
        </w:tc>
      </w:tr>
      <w:tr>
        <w:trPr>
          <w:trHeight w:val="217"/>
        </w:trPr>
        <w:tc>
          <w:tcPr>
            <w:tcW w:w="4360" w:type="dxa"/>
            <w:vAlign w:val="bottom"/>
          </w:tcPr>
          <w:p>
            <w:pPr>
              <w:ind w:left="120"/>
              <w:spacing w:after="0"/>
              <w:rPr>
                <w:sz w:val="20"/>
                <w:szCs w:val="20"/>
                <w:color w:val="auto"/>
              </w:rPr>
            </w:pPr>
            <w:r>
              <w:rPr>
                <w:rFonts w:ascii="Arial" w:cs="Arial" w:eastAsia="Arial" w:hAnsi="Arial"/>
                <w:sz w:val="16"/>
                <w:szCs w:val="16"/>
                <w:i w:val="1"/>
                <w:iCs w:val="1"/>
                <w:color w:val="auto"/>
              </w:rPr>
              <w:t>Adjusted EBITDA Margin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33.6 %</w:t>
            </w:r>
          </w:p>
        </w:tc>
        <w:tc>
          <w:tcPr>
            <w:tcW w:w="12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(40) bps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33.2 %</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36.1 %</w:t>
            </w:r>
          </w:p>
        </w:tc>
        <w:tc>
          <w:tcPr>
            <w:tcW w:w="100" w:type="dxa"/>
            <w:vAlign w:val="bottom"/>
          </w:tcPr>
          <w:p>
            <w:pPr>
              <w:spacing w:after="0"/>
              <w:rPr>
                <w:sz w:val="18"/>
                <w:szCs w:val="18"/>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(10) bps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36.0 %</w:t>
            </w:r>
          </w:p>
        </w:tc>
        <w:tc>
          <w:tcPr>
            <w:tcW w:w="0" w:type="dxa"/>
            <w:vAlign w:val="bottom"/>
          </w:tcPr>
          <w:p>
            <w:pPr>
              <w:spacing w:after="0"/>
              <w:rPr>
                <w:sz w:val="1"/>
                <w:szCs w:val="1"/>
                <w:color w:val="auto"/>
              </w:rPr>
            </w:pPr>
          </w:p>
        </w:tc>
      </w:tr>
      <w:tr>
        <w:trPr>
          <w:trHeight w:val="910"/>
        </w:trPr>
        <w:tc>
          <w:tcPr>
            <w:tcW w:w="4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gridSpan w:val="2"/>
          </w:tcPr>
          <w:p>
            <w:pPr>
              <w:jc w:val="right"/>
              <w:ind w:right="679"/>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80" w:top="1006" w:right="379" w:bottom="1440" w:gutter="0" w:footer="0" w:header="0"/>
        </w:sectPr>
      </w:pPr>
    </w:p>
    <w:bookmarkStart w:id="18" w:name="page19"/>
    <w:bookmarkEnd w:id="18"/>
    <w:p>
      <w:pPr>
        <w:spacing w:after="0"/>
        <w:rPr>
          <w:sz w:val="20"/>
          <w:szCs w:val="20"/>
          <w:color w:val="auto"/>
        </w:rPr>
      </w:pPr>
      <w:r>
        <w:rPr>
          <w:rFonts w:ascii="Arial" w:cs="Arial" w:eastAsia="Arial" w:hAnsi="Arial"/>
          <w:sz w:val="25"/>
          <w:szCs w:val="25"/>
          <w:b w:val="1"/>
          <w:bCs w:val="1"/>
          <w:color w:val="828282"/>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-97790</wp:posOffset>
            </wp:positionV>
            <wp:extent cx="1054100" cy="454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54100" cy="454025"/>
                    </a:xfrm>
                    <a:prstGeom prst="rect">
                      <a:avLst/>
                    </a:prstGeom>
                    <a:noFill/>
                  </pic:spPr>
                </pic:pic>
              </a:graphicData>
            </a:graphic>
          </wp:anchor>
        </w:drawing>
      </w:r>
    </w:p>
    <w:p>
      <w:pPr>
        <w:spacing w:after="0" w:line="392" w:lineRule="exact"/>
        <w:rPr>
          <w:sz w:val="20"/>
          <w:szCs w:val="20"/>
          <w:color w:val="auto"/>
        </w:rPr>
      </w:pPr>
    </w:p>
    <w:p>
      <w:pPr>
        <w:ind w:right="2180"/>
        <w:spacing w:after="0" w:line="252" w:lineRule="auto"/>
        <w:rPr>
          <w:sz w:val="20"/>
          <w:szCs w:val="20"/>
          <w:color w:val="auto"/>
        </w:rPr>
      </w:pPr>
      <w:r>
        <w:rPr>
          <w:rFonts w:ascii="Arial" w:cs="Arial" w:eastAsia="Arial" w:hAnsi="Arial"/>
          <w:sz w:val="19"/>
          <w:szCs w:val="19"/>
          <w:b w:val="1"/>
          <w:bCs w:val="1"/>
          <w:color w:val="828282"/>
        </w:rPr>
        <w:t>Reconciliation of Media Revenue Excluding Olympics, 2022 Super Bowl and 2022 FIFA World Cup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71062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60" w:type="dxa"/>
            <w:vAlign w:val="bottom"/>
            <w:tcBorders>
              <w:right w:val="single" w:sz="8" w:color="auto"/>
            </w:tcBorders>
            <w:gridSpan w:val="7"/>
          </w:tcPr>
          <w:p>
            <w:pPr>
              <w:jc w:val="center"/>
              <w:ind w:right="9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1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9"/>
              </w:rPr>
              <w:t>Twelve Months Ended</w:t>
            </w:r>
          </w:p>
        </w:tc>
        <w:tc>
          <w:tcPr>
            <w:tcW w:w="0" w:type="dxa"/>
            <w:vAlign w:val="bottom"/>
          </w:tcPr>
          <w:p>
            <w:pPr>
              <w:spacing w:after="0"/>
              <w:rPr>
                <w:sz w:val="1"/>
                <w:szCs w:val="1"/>
                <w:color w:val="auto"/>
              </w:rPr>
            </w:pPr>
          </w:p>
        </w:tc>
      </w:tr>
      <w:tr>
        <w:trPr>
          <w:trHeight w:val="215"/>
        </w:trPr>
        <w:tc>
          <w:tcPr>
            <w:tcW w:w="4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6"/>
                <w:szCs w:val="16"/>
                <w:color w:val="auto"/>
              </w:rPr>
              <w:t>(in millions)</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10"/>
        </w:trPr>
        <w:tc>
          <w:tcPr>
            <w:tcW w:w="4320" w:type="dxa"/>
            <w:vAlign w:val="bottom"/>
          </w:tcPr>
          <w:p>
            <w:pPr>
              <w:spacing w:after="0"/>
              <w:rPr>
                <w:sz w:val="20"/>
                <w:szCs w:val="20"/>
                <w:color w:val="auto"/>
              </w:rPr>
            </w:pPr>
            <w:r>
              <w:rPr>
                <w:rFonts w:ascii="Arial" w:cs="Arial" w:eastAsia="Arial" w:hAnsi="Arial"/>
                <w:sz w:val="16"/>
                <w:szCs w:val="16"/>
                <w:color w:val="auto"/>
              </w:rPr>
              <w:t>Revenue</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$6,979</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$6,768</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3.1 %</w:t>
            </w: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$25,355</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$26,719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63"/>
        </w:trPr>
        <w:tc>
          <w:tcPr>
            <w:tcW w:w="4320" w:type="dxa"/>
            <w:vAlign w:val="bottom"/>
          </w:tcPr>
          <w:p>
            <w:pPr>
              <w:spacing w:after="0"/>
              <w:rPr>
                <w:sz w:val="20"/>
                <w:szCs w:val="20"/>
                <w:color w:val="auto"/>
              </w:rPr>
            </w:pPr>
            <w:r>
              <w:rPr>
                <w:rFonts w:ascii="Arial" w:cs="Arial" w:eastAsia="Arial" w:hAnsi="Arial"/>
                <w:sz w:val="16"/>
                <w:szCs w:val="16"/>
                <w:color w:val="auto"/>
              </w:rPr>
              <w:t>Beijing Olympics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2022 Super Bowl</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6"/>
                <w:szCs w:val="16"/>
                <w:color w:val="auto"/>
              </w:rPr>
              <w:t>2022 FIFA World Cup</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20"/>
                <w:szCs w:val="20"/>
                <w:color w:val="auto"/>
              </w:rPr>
            </w:pPr>
            <w:r>
              <w:rPr>
                <w:rFonts w:ascii="Arial" w:cs="Arial" w:eastAsia="Arial" w:hAnsi="Arial"/>
                <w:sz w:val="16"/>
                <w:szCs w:val="16"/>
                <w:color w:val="auto"/>
              </w:rPr>
              <w:t>Revenue excluding Olympics and 2022 Super Bowl and</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$6,979</w:t>
            </w:r>
          </w:p>
        </w:tc>
        <w:tc>
          <w:tcPr>
            <w:tcW w:w="6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$6,505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7.3 %</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$25,355</w:t>
            </w:r>
          </w:p>
        </w:tc>
        <w:tc>
          <w:tcPr>
            <w:tcW w:w="1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$24,975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34"/>
        </w:trPr>
        <w:tc>
          <w:tcPr>
            <w:tcW w:w="4320" w:type="dxa"/>
            <w:vAlign w:val="bottom"/>
          </w:tcPr>
          <w:p>
            <w:pPr>
              <w:ind w:left="160"/>
              <w:spacing w:after="0"/>
              <w:rPr>
                <w:sz w:val="20"/>
                <w:szCs w:val="20"/>
                <w:color w:val="auto"/>
              </w:rPr>
            </w:pPr>
            <w:r>
              <w:rPr>
                <w:rFonts w:ascii="Arial" w:cs="Arial" w:eastAsia="Arial" w:hAnsi="Arial"/>
                <w:sz w:val="16"/>
                <w:szCs w:val="16"/>
                <w:color w:val="auto"/>
              </w:rPr>
              <w:t>2022 FIFA World Cup</w:t>
            </w:r>
          </w:p>
        </w:tc>
        <w:tc>
          <w:tcPr>
            <w:tcW w:w="8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b w:val="1"/>
          <w:bCs w:val="1"/>
          <w:color w:val="828282"/>
        </w:rPr>
        <w:t>Reconciliation of Media Domestic Advertising Revenue Excluding Olympics, 2022 Super Bowl and 2022 FIFA World Cup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69608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560" w:type="dxa"/>
            <w:vAlign w:val="bottom"/>
            <w:tcBorders>
              <w:right w:val="single" w:sz="8" w:color="auto"/>
            </w:tcBorders>
            <w:gridSpan w:val="7"/>
          </w:tcPr>
          <w:p>
            <w:pPr>
              <w:jc w:val="center"/>
              <w:ind w:right="9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1"/>
                <w:szCs w:val="21"/>
                <w:color w:val="auto"/>
              </w:rPr>
            </w:pPr>
          </w:p>
        </w:tc>
        <w:tc>
          <w:tcPr>
            <w:tcW w:w="31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9"/>
              </w:rPr>
              <w:t>Twelve Months Ended</w:t>
            </w:r>
          </w:p>
        </w:tc>
        <w:tc>
          <w:tcPr>
            <w:tcW w:w="0" w:type="dxa"/>
            <w:vAlign w:val="bottom"/>
          </w:tcPr>
          <w:p>
            <w:pPr>
              <w:spacing w:after="0"/>
              <w:rPr>
                <w:sz w:val="1"/>
                <w:szCs w:val="1"/>
                <w:color w:val="auto"/>
              </w:rPr>
            </w:pPr>
          </w:p>
        </w:tc>
      </w:tr>
      <w:tr>
        <w:trPr>
          <w:trHeight w:val="215"/>
        </w:trPr>
        <w:tc>
          <w:tcPr>
            <w:tcW w:w="4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6"/>
                <w:szCs w:val="16"/>
                <w:color w:val="auto"/>
              </w:rPr>
              <w:t>(in millions)</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10"/>
        </w:trPr>
        <w:tc>
          <w:tcPr>
            <w:tcW w:w="4320" w:type="dxa"/>
            <w:vAlign w:val="bottom"/>
          </w:tcPr>
          <w:p>
            <w:pPr>
              <w:spacing w:after="0"/>
              <w:rPr>
                <w:sz w:val="20"/>
                <w:szCs w:val="20"/>
                <w:color w:val="auto"/>
              </w:rPr>
            </w:pPr>
            <w:r>
              <w:rPr>
                <w:rFonts w:ascii="Arial" w:cs="Arial" w:eastAsia="Arial" w:hAnsi="Arial"/>
                <w:sz w:val="16"/>
                <w:szCs w:val="16"/>
                <w:color w:val="auto"/>
              </w:rPr>
              <w:t>Revenue</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$2,635</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$2,829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(6.9 %)</w:t>
            </w: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$8,600</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$10,360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(17.0 %)</w:t>
            </w:r>
          </w:p>
        </w:tc>
        <w:tc>
          <w:tcPr>
            <w:tcW w:w="0" w:type="dxa"/>
            <w:vAlign w:val="bottom"/>
          </w:tcPr>
          <w:p>
            <w:pPr>
              <w:spacing w:after="0"/>
              <w:rPr>
                <w:sz w:val="1"/>
                <w:szCs w:val="1"/>
                <w:color w:val="auto"/>
              </w:rPr>
            </w:pPr>
          </w:p>
        </w:tc>
      </w:tr>
      <w:tr>
        <w:trPr>
          <w:trHeight w:val="317"/>
        </w:trPr>
        <w:tc>
          <w:tcPr>
            <w:tcW w:w="4320" w:type="dxa"/>
            <w:vAlign w:val="bottom"/>
          </w:tcPr>
          <w:p>
            <w:pPr>
              <w:spacing w:after="0"/>
              <w:rPr>
                <w:sz w:val="20"/>
                <w:szCs w:val="20"/>
                <w:color w:val="auto"/>
              </w:rPr>
            </w:pPr>
            <w:r>
              <w:rPr>
                <w:rFonts w:ascii="Arial" w:cs="Arial" w:eastAsia="Arial" w:hAnsi="Arial"/>
                <w:sz w:val="16"/>
                <w:szCs w:val="16"/>
                <w:color w:val="auto"/>
              </w:rPr>
              <w:t>Beijing Olympics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2022 Super Bowl</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6"/>
                <w:szCs w:val="16"/>
                <w:color w:val="auto"/>
              </w:rPr>
              <w:t>2022 FIFA World Cup</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Arial" w:cs="Arial" w:eastAsia="Arial" w:hAnsi="Arial"/>
                <w:sz w:val="16"/>
                <w:szCs w:val="16"/>
                <w:color w:val="auto"/>
              </w:rPr>
              <w:t>Revenue excluding Olympics and 2022 Super Bowl and</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$2,635</w:t>
            </w:r>
          </w:p>
        </w:tc>
        <w:tc>
          <w:tcPr>
            <w:tcW w:w="60" w:type="dxa"/>
            <w:vAlign w:val="bottom"/>
            <w:vMerge w:val="restart"/>
          </w:tcPr>
          <w:p>
            <w:pPr>
              <w:spacing w:after="0"/>
              <w:rPr>
                <w:sz w:val="21"/>
                <w:szCs w:val="21"/>
                <w:color w:val="auto"/>
              </w:rPr>
            </w:pPr>
          </w:p>
        </w:tc>
        <w:tc>
          <w:tcPr>
            <w:tcW w:w="80" w:type="dxa"/>
            <w:vAlign w:val="bottom"/>
            <w:vMerge w:val="restart"/>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$2,566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2.7 %</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$8,600</w:t>
            </w:r>
          </w:p>
        </w:tc>
        <w:tc>
          <w:tcPr>
            <w:tcW w:w="12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$8,942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r>
              <w:rPr>
                <w:rFonts w:ascii="Arial" w:cs="Arial" w:eastAsia="Arial" w:hAnsi="Arial"/>
                <w:sz w:val="16"/>
                <w:szCs w:val="16"/>
                <w:color w:val="auto"/>
              </w:rPr>
              <w:t>2022 FIFA World Cup</w:t>
            </w:r>
          </w:p>
        </w:tc>
        <w:tc>
          <w:tcPr>
            <w:tcW w:w="8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940"/>
          </w:cols>
          <w:pgMar w:left="340" w:top="979" w:right="619" w:bottom="1440" w:gutter="0" w:footer="0" w:header="0"/>
        </w:sectPr>
      </w:pPr>
    </w:p>
    <w:bookmarkStart w:id="19" w:name="page20"/>
    <w:bookmarkEnd w:id="19"/>
    <w:p>
      <w:pPr>
        <w:ind w:left="2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6054725</wp:posOffset>
            </wp:positionH>
            <wp:positionV relativeFrom="page">
              <wp:posOffset>603250</wp:posOffset>
            </wp:positionV>
            <wp:extent cx="1054100" cy="454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054100" cy="454025"/>
                    </a:xfrm>
                    <a:prstGeom prst="rect">
                      <a:avLst/>
                    </a:prstGeom>
                    <a:noFill/>
                  </pic:spPr>
                </pic:pic>
              </a:graphicData>
            </a:graphic>
          </wp:anchor>
        </w:drawing>
        <w:t>TABLE 8</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828282"/>
        </w:rPr>
        <w:t>Reconciliation of Consolidated Adjusted EBITDA Excluding Severance and Other</w:t>
      </w:r>
      <w:r>
        <w:rPr>
          <w:rFonts w:ascii="Arial" w:cs="Arial" w:eastAsia="Arial" w:hAnsi="Arial"/>
          <w:sz w:val="24"/>
          <w:szCs w:val="24"/>
          <w:b w:val="1"/>
          <w:bCs w:val="1"/>
          <w:color w:val="828282"/>
          <w:vertAlign w:val="superscript"/>
        </w:rPr>
        <w:t>(1)</w:t>
      </w:r>
      <w:r>
        <w:rPr>
          <w:rFonts w:ascii="Arial" w:cs="Arial" w:eastAsia="Arial" w:hAnsi="Arial"/>
          <w:sz w:val="19"/>
          <w:szCs w:val="19"/>
          <w:b w:val="1"/>
          <w:bCs w:val="1"/>
          <w:color w:val="828282"/>
        </w:rPr>
        <w:t xml:space="preserv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062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9"/>
              </w:rPr>
              <w:t>December 31,</w:t>
            </w:r>
          </w:p>
        </w:tc>
        <w:tc>
          <w:tcPr>
            <w:tcW w:w="10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17"/>
        </w:trPr>
        <w:tc>
          <w:tcPr>
            <w:tcW w:w="7540" w:type="dxa"/>
            <w:vAlign w:val="bottom"/>
          </w:tcPr>
          <w:p>
            <w:pPr>
              <w:spacing w:after="0"/>
              <w:rPr>
                <w:sz w:val="20"/>
                <w:szCs w:val="20"/>
                <w:color w:val="auto"/>
              </w:rPr>
            </w:pPr>
            <w:r>
              <w:rPr>
                <w:rFonts w:ascii="Arial" w:cs="Arial" w:eastAsia="Arial" w:hAnsi="Arial"/>
                <w:sz w:val="16"/>
                <w:szCs w:val="16"/>
                <w:color w:val="auto"/>
              </w:rPr>
              <w:t>(in millions)</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7540" w:type="dxa"/>
            <w:vAlign w:val="bottom"/>
          </w:tcPr>
          <w:p>
            <w:pPr>
              <w:spacing w:after="0"/>
              <w:rPr>
                <w:sz w:val="20"/>
                <w:szCs w:val="20"/>
                <w:color w:val="auto"/>
              </w:rPr>
            </w:pPr>
            <w:r>
              <w:rPr>
                <w:rFonts w:ascii="Arial" w:cs="Arial" w:eastAsia="Arial" w:hAnsi="Arial"/>
                <w:sz w:val="16"/>
                <w:szCs w:val="16"/>
                <w:color w:val="auto"/>
              </w:rPr>
              <w:t>Adjusted EBITDA</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$8,012</w:t>
            </w:r>
          </w:p>
        </w:tc>
        <w:tc>
          <w:tcPr>
            <w:tcW w:w="1320" w:type="dxa"/>
            <w:vAlign w:val="bottom"/>
            <w:gridSpan w:val="3"/>
          </w:tcPr>
          <w:p>
            <w:pPr>
              <w:jc w:val="right"/>
              <w:ind w:right="119"/>
              <w:spacing w:after="0"/>
              <w:rPr>
                <w:sz w:val="20"/>
                <w:szCs w:val="20"/>
                <w:color w:val="auto"/>
              </w:rPr>
            </w:pPr>
            <w:r>
              <w:rPr>
                <w:rFonts w:ascii="Arial" w:cs="Arial" w:eastAsia="Arial" w:hAnsi="Arial"/>
                <w:sz w:val="16"/>
                <w:szCs w:val="16"/>
                <w:color w:val="auto"/>
              </w:rPr>
              <w:t>$8,000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81"/>
        </w:trPr>
        <w:tc>
          <w:tcPr>
            <w:tcW w:w="7540" w:type="dxa"/>
            <w:vAlign w:val="bottom"/>
          </w:tcPr>
          <w:p>
            <w:pPr>
              <w:spacing w:after="0"/>
              <w:rPr>
                <w:sz w:val="20"/>
                <w:szCs w:val="20"/>
                <w:color w:val="auto"/>
              </w:rPr>
            </w:pPr>
            <w:r>
              <w:rPr>
                <w:rFonts w:ascii="Arial" w:cs="Arial" w:eastAsia="Arial" w:hAnsi="Arial"/>
                <w:sz w:val="16"/>
                <w:szCs w:val="16"/>
                <w:color w:val="auto"/>
              </w:rPr>
              <w:t>Severance and Other</w:t>
            </w:r>
            <w:r>
              <w:rPr>
                <w:rFonts w:ascii="Arial" w:cs="Arial" w:eastAsia="Arial" w:hAnsi="Arial"/>
                <w:sz w:val="21"/>
                <w:szCs w:val="21"/>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527</w:t>
            </w:r>
          </w:p>
        </w:tc>
        <w:tc>
          <w:tcPr>
            <w:tcW w:w="1320" w:type="dxa"/>
            <w:vAlign w:val="bottom"/>
            <w:gridSpan w:val="3"/>
          </w:tcPr>
          <w:p>
            <w:pPr>
              <w:jc w:val="right"/>
              <w:ind w:right="119"/>
              <w:spacing w:after="0"/>
              <w:rPr>
                <w:sz w:val="20"/>
                <w:szCs w:val="20"/>
                <w:color w:val="auto"/>
              </w:rPr>
            </w:pPr>
            <w:r>
              <w:rPr>
                <w:rFonts w:ascii="Arial" w:cs="Arial" w:eastAsia="Arial" w:hAnsi="Arial"/>
                <w:sz w:val="16"/>
                <w:szCs w:val="16"/>
                <w:color w:val="auto"/>
              </w:rPr>
              <w:t>638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line="210" w:lineRule="exact"/>
              <w:rPr>
                <w:sz w:val="20"/>
                <w:szCs w:val="20"/>
                <w:color w:val="auto"/>
              </w:rPr>
            </w:pPr>
            <w:r>
              <w:rPr>
                <w:rFonts w:ascii="Arial" w:cs="Arial" w:eastAsia="Arial" w:hAnsi="Arial"/>
                <w:sz w:val="16"/>
                <w:szCs w:val="16"/>
                <w:color w:val="auto"/>
              </w:rPr>
              <w:t>Adjusted EBITDA excluding Severance and Other</w:t>
            </w:r>
            <w:r>
              <w:rPr>
                <w:rFonts w:ascii="Arial" w:cs="Arial" w:eastAsia="Arial" w:hAnsi="Arial"/>
                <w:sz w:val="21"/>
                <w:szCs w:val="21"/>
                <w:color w:val="auto"/>
                <w:vertAlign w:val="superscript"/>
              </w:rPr>
              <w:t>(1)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$8,538</w:t>
            </w: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$8,638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0" w:right="380"/>
        <w:spacing w:after="0" w:line="243" w:lineRule="auto"/>
        <w:rPr>
          <w:sz w:val="20"/>
          <w:szCs w:val="20"/>
          <w:color w:val="auto"/>
        </w:rPr>
      </w:pPr>
      <w:r>
        <w:rPr>
          <w:rFonts w:ascii="Arial" w:cs="Arial" w:eastAsia="Arial" w:hAnsi="Arial"/>
          <w:sz w:val="19"/>
          <w:szCs w:val="19"/>
          <w:b w:val="1"/>
          <w:bCs w:val="1"/>
          <w:color w:val="828282"/>
        </w:rPr>
        <w:t>Reconciliation of Connectivity &amp; Platforms Constant Currency Adjusted EBITDA and Adjusted EBITDA Margin Excluding Severance and Other</w:t>
      </w:r>
      <w:r>
        <w:rPr>
          <w:rFonts w:ascii="Arial" w:cs="Arial" w:eastAsia="Arial" w:hAnsi="Arial"/>
          <w:sz w:val="24"/>
          <w:szCs w:val="24"/>
          <w:b w:val="1"/>
          <w:bCs w:val="1"/>
          <w:color w:val="828282"/>
          <w:vertAlign w:val="superscript"/>
        </w:rPr>
        <w:t>(1)(2)</w:t>
      </w:r>
      <w:r>
        <w:rPr>
          <w:rFonts w:ascii="Arial" w:cs="Arial" w:eastAsia="Arial" w:hAnsi="Arial"/>
          <w:sz w:val="19"/>
          <w:szCs w:val="19"/>
          <w:b w:val="1"/>
          <w:bCs w:val="1"/>
          <w:color w:val="828282"/>
        </w:rPr>
        <w:t xml:space="preserv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47"/>
        </w:trPr>
        <w:tc>
          <w:tcPr>
            <w:tcW w:w="7540" w:type="dxa"/>
            <w:vAlign w:val="bottom"/>
          </w:tcPr>
          <w:p>
            <w:pPr>
              <w:spacing w:after="0"/>
              <w:rPr>
                <w:sz w:val="12"/>
                <w:szCs w:val="12"/>
                <w:color w:val="auto"/>
              </w:rPr>
            </w:pPr>
          </w:p>
        </w:tc>
        <w:tc>
          <w:tcPr>
            <w:tcW w:w="2680" w:type="dxa"/>
            <w:vAlign w:val="bottom"/>
            <w:gridSpan w:val="5"/>
          </w:tcPr>
          <w:p>
            <w:pPr>
              <w:jc w:val="center"/>
              <w:ind w:left="919"/>
              <w:spacing w:after="0" w:line="148" w:lineRule="exact"/>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9"/>
              </w:rPr>
              <w:t>December 31,</w:t>
            </w:r>
          </w:p>
        </w:tc>
        <w:tc>
          <w:tcPr>
            <w:tcW w:w="10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17"/>
        </w:trPr>
        <w:tc>
          <w:tcPr>
            <w:tcW w:w="7540" w:type="dxa"/>
            <w:vAlign w:val="bottom"/>
          </w:tcPr>
          <w:p>
            <w:pPr>
              <w:spacing w:after="0"/>
              <w:rPr>
                <w:sz w:val="20"/>
                <w:szCs w:val="20"/>
                <w:color w:val="auto"/>
              </w:rPr>
            </w:pPr>
            <w:r>
              <w:rPr>
                <w:rFonts w:ascii="Arial" w:cs="Arial" w:eastAsia="Arial" w:hAnsi="Arial"/>
                <w:sz w:val="16"/>
                <w:szCs w:val="16"/>
                <w:color w:val="auto"/>
              </w:rPr>
              <w:t>(in millions)</w:t>
            </w: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540" w:type="dxa"/>
            <w:vAlign w:val="bottom"/>
          </w:tcPr>
          <w:p>
            <w:pPr>
              <w:spacing w:after="0"/>
              <w:rPr>
                <w:sz w:val="20"/>
                <w:szCs w:val="20"/>
                <w:color w:val="auto"/>
              </w:rPr>
            </w:pPr>
            <w:r>
              <w:rPr>
                <w:rFonts w:ascii="Arial" w:cs="Arial" w:eastAsia="Arial" w:hAnsi="Arial"/>
                <w:sz w:val="16"/>
                <w:szCs w:val="16"/>
                <w:b w:val="1"/>
                <w:bCs w:val="1"/>
                <w:color w:val="auto"/>
              </w:rPr>
              <w:t>Total Connectivity &amp; Platforms</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Adjusted EBITDA</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$7,579</w:t>
            </w:r>
          </w:p>
        </w:tc>
        <w:tc>
          <w:tcPr>
            <w:tcW w:w="8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$7,349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left="359"/>
              <w:spacing w:after="0"/>
              <w:rPr>
                <w:sz w:val="20"/>
                <w:szCs w:val="20"/>
                <w:color w:val="auto"/>
              </w:rPr>
            </w:pPr>
            <w:r>
              <w:rPr>
                <w:rFonts w:ascii="Arial" w:cs="Arial" w:eastAsia="Arial" w:hAnsi="Arial"/>
                <w:sz w:val="16"/>
                <w:szCs w:val="16"/>
                <w:color w:val="auto"/>
                <w:w w:val="97"/>
              </w:rPr>
              <w:t>3.1 %</w:t>
            </w:r>
          </w:p>
        </w:tc>
        <w:tc>
          <w:tcPr>
            <w:tcW w:w="0" w:type="dxa"/>
            <w:vAlign w:val="bottom"/>
          </w:tcPr>
          <w:p>
            <w:pPr>
              <w:spacing w:after="0"/>
              <w:rPr>
                <w:sz w:val="1"/>
                <w:szCs w:val="1"/>
                <w:color w:val="auto"/>
              </w:rPr>
            </w:pPr>
          </w:p>
        </w:tc>
      </w:tr>
      <w:tr>
        <w:trPr>
          <w:trHeight w:val="206"/>
        </w:trPr>
        <w:tc>
          <w:tcPr>
            <w:tcW w:w="7540" w:type="dxa"/>
            <w:vAlign w:val="bottom"/>
          </w:tcPr>
          <w:p>
            <w:pPr>
              <w:ind w:left="120"/>
              <w:spacing w:after="0"/>
              <w:rPr>
                <w:sz w:val="20"/>
                <w:szCs w:val="20"/>
                <w:color w:val="auto"/>
              </w:rPr>
            </w:pPr>
            <w:r>
              <w:rPr>
                <w:rFonts w:ascii="Arial" w:cs="Arial" w:eastAsia="Arial" w:hAnsi="Arial"/>
                <w:sz w:val="16"/>
                <w:szCs w:val="16"/>
                <w:i w:val="1"/>
                <w:iCs w:val="1"/>
                <w:color w:val="auto"/>
              </w:rPr>
              <w:t>Adjusted EBITDA Margin</w:t>
            </w:r>
          </w:p>
        </w:tc>
        <w:tc>
          <w:tcPr>
            <w:tcW w:w="11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37.1 %</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36.2 %</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 bps</w:t>
            </w:r>
          </w:p>
        </w:tc>
        <w:tc>
          <w:tcPr>
            <w:tcW w:w="0" w:type="dxa"/>
            <w:vAlign w:val="bottom"/>
          </w:tcPr>
          <w:p>
            <w:pPr>
              <w:spacing w:after="0"/>
              <w:rPr>
                <w:sz w:val="1"/>
                <w:szCs w:val="1"/>
                <w:color w:val="auto"/>
              </w:rPr>
            </w:pPr>
          </w:p>
        </w:tc>
      </w:tr>
      <w:tr>
        <w:trPr>
          <w:trHeight w:val="216"/>
        </w:trPr>
        <w:tc>
          <w:tcPr>
            <w:tcW w:w="7540" w:type="dxa"/>
            <w:vAlign w:val="bottom"/>
          </w:tcPr>
          <w:p>
            <w:pPr>
              <w:spacing w:after="0" w:line="216" w:lineRule="exact"/>
              <w:rPr>
                <w:sz w:val="20"/>
                <w:szCs w:val="20"/>
                <w:color w:val="auto"/>
              </w:rPr>
            </w:pPr>
            <w:r>
              <w:rPr>
                <w:rFonts w:ascii="Arial" w:cs="Arial" w:eastAsia="Arial" w:hAnsi="Arial"/>
                <w:sz w:val="16"/>
                <w:szCs w:val="16"/>
                <w:color w:val="auto"/>
              </w:rPr>
              <w:t>Severance and Other</w:t>
            </w:r>
            <w:r>
              <w:rPr>
                <w:rFonts w:ascii="Arial" w:cs="Arial" w:eastAsia="Arial" w:hAnsi="Arial"/>
                <w:sz w:val="21"/>
                <w:szCs w:val="21"/>
                <w:color w:val="auto"/>
                <w:vertAlign w:val="superscript"/>
              </w:rPr>
              <w:t>(1)</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422</w:t>
            </w:r>
          </w:p>
        </w:tc>
        <w:tc>
          <w:tcPr>
            <w:tcW w:w="8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7540" w:type="dxa"/>
            <w:vAlign w:val="bottom"/>
          </w:tcPr>
          <w:p>
            <w:pPr>
              <w:spacing w:after="0"/>
              <w:rPr>
                <w:sz w:val="20"/>
                <w:szCs w:val="20"/>
                <w:color w:val="auto"/>
              </w:rPr>
            </w:pPr>
            <w:r>
              <w:rPr>
                <w:rFonts w:ascii="Arial" w:cs="Arial" w:eastAsia="Arial" w:hAnsi="Arial"/>
                <w:sz w:val="16"/>
                <w:szCs w:val="16"/>
                <w:color w:val="auto"/>
              </w:rPr>
              <w:t>Effects of Foreign Currency</w:t>
            </w:r>
            <w:r>
              <w:rPr>
                <w:rFonts w:ascii="Arial" w:cs="Arial" w:eastAsia="Arial" w:hAnsi="Arial"/>
                <w:sz w:val="21"/>
                <w:szCs w:val="21"/>
                <w:color w:val="auto"/>
                <w:vertAlign w:val="superscript"/>
              </w:rPr>
              <w:t>(2)</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540" w:type="dxa"/>
            <w:vAlign w:val="bottom"/>
          </w:tcPr>
          <w:p>
            <w:pPr>
              <w:spacing w:after="0" w:line="210" w:lineRule="exact"/>
              <w:rPr>
                <w:sz w:val="20"/>
                <w:szCs w:val="20"/>
                <w:color w:val="auto"/>
              </w:rPr>
            </w:pPr>
            <w:r>
              <w:rPr>
                <w:rFonts w:ascii="Arial" w:cs="Arial" w:eastAsia="Arial" w:hAnsi="Arial"/>
                <w:sz w:val="16"/>
                <w:szCs w:val="16"/>
                <w:color w:val="auto"/>
              </w:rPr>
              <w:t>Constant Currency Adjusted EBITDA excluding Severance and Other</w:t>
            </w:r>
            <w:r>
              <w:rPr>
                <w:rFonts w:ascii="Arial" w:cs="Arial" w:eastAsia="Arial" w:hAnsi="Arial"/>
                <w:sz w:val="21"/>
                <w:szCs w:val="21"/>
                <w:color w:val="auto"/>
                <w:vertAlign w:val="superscript"/>
              </w:rPr>
              <w:t>(1)(2)</w:t>
            </w: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$8,000</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$7,815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left="359"/>
              <w:spacing w:after="0"/>
              <w:rPr>
                <w:sz w:val="20"/>
                <w:szCs w:val="20"/>
                <w:color w:val="auto"/>
              </w:rPr>
            </w:pPr>
            <w:r>
              <w:rPr>
                <w:rFonts w:ascii="Arial" w:cs="Arial" w:eastAsia="Arial" w:hAnsi="Arial"/>
                <w:sz w:val="16"/>
                <w:szCs w:val="16"/>
                <w:color w:val="auto"/>
                <w:w w:val="97"/>
              </w:rPr>
              <w:t>2.4 %</w:t>
            </w:r>
          </w:p>
        </w:tc>
        <w:tc>
          <w:tcPr>
            <w:tcW w:w="0" w:type="dxa"/>
            <w:vAlign w:val="bottom"/>
          </w:tcPr>
          <w:p>
            <w:pPr>
              <w:spacing w:after="0"/>
              <w:rPr>
                <w:sz w:val="1"/>
                <w:szCs w:val="1"/>
                <w:color w:val="auto"/>
              </w:rPr>
            </w:pPr>
          </w:p>
        </w:tc>
      </w:tr>
      <w:tr>
        <w:trPr>
          <w:trHeight w:val="21"/>
        </w:trPr>
        <w:tc>
          <w:tcPr>
            <w:tcW w:w="75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Constant Currency Adjusted EBITDA Margin excluding Severance and Other</w:t>
            </w:r>
            <w:r>
              <w:rPr>
                <w:rFonts w:ascii="Arial" w:cs="Arial" w:eastAsia="Arial" w:hAnsi="Arial"/>
                <w:sz w:val="21"/>
                <w:szCs w:val="21"/>
                <w:i w:val="1"/>
                <w:iCs w:val="1"/>
                <w:color w:val="auto"/>
                <w:vertAlign w:val="superscript"/>
              </w:rPr>
              <w:t>(1)(2)</w:t>
            </w: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vMerge w:val="restart"/>
          </w:tcPr>
          <w:p>
            <w:pPr>
              <w:jc w:val="center"/>
              <w:ind w:left="319"/>
              <w:spacing w:after="0"/>
              <w:rPr>
                <w:sz w:val="20"/>
                <w:szCs w:val="20"/>
                <w:color w:val="auto"/>
              </w:rPr>
            </w:pPr>
            <w:r>
              <w:rPr>
                <w:rFonts w:ascii="Arial" w:cs="Arial" w:eastAsia="Arial" w:hAnsi="Arial"/>
                <w:sz w:val="16"/>
                <w:szCs w:val="16"/>
                <w:color w:val="auto"/>
                <w:w w:val="98"/>
              </w:rPr>
              <w:t>110 bps</w:t>
            </w:r>
          </w:p>
        </w:tc>
        <w:tc>
          <w:tcPr>
            <w:tcW w:w="0" w:type="dxa"/>
            <w:vAlign w:val="bottom"/>
          </w:tcPr>
          <w:p>
            <w:pPr>
              <w:spacing w:after="0"/>
              <w:rPr>
                <w:sz w:val="1"/>
                <w:szCs w:val="1"/>
                <w:color w:val="auto"/>
              </w:rPr>
            </w:pPr>
          </w:p>
        </w:tc>
      </w:tr>
      <w:tr>
        <w:trPr>
          <w:trHeight w:val="263"/>
        </w:trPr>
        <w:tc>
          <w:tcPr>
            <w:tcW w:w="7540" w:type="dxa"/>
            <w:vAlign w:val="bottom"/>
            <w:vMerge w:val="continue"/>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39.2 %</w:t>
            </w: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38.1 %</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b w:val="1"/>
                <w:bCs w:val="1"/>
                <w:color w:val="auto"/>
              </w:rPr>
              <w:t>Residential Connectivity &amp; Platforms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Adjusted EBITDA</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$6,276</w:t>
            </w:r>
          </w:p>
        </w:tc>
        <w:tc>
          <w:tcPr>
            <w:tcW w:w="8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$6,073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left="359"/>
              <w:spacing w:after="0"/>
              <w:rPr>
                <w:sz w:val="20"/>
                <w:szCs w:val="20"/>
                <w:color w:val="auto"/>
              </w:rPr>
            </w:pPr>
            <w:r>
              <w:rPr>
                <w:rFonts w:ascii="Arial" w:cs="Arial" w:eastAsia="Arial" w:hAnsi="Arial"/>
                <w:sz w:val="16"/>
                <w:szCs w:val="16"/>
                <w:color w:val="auto"/>
                <w:w w:val="97"/>
              </w:rPr>
              <w:t>3.3 %</w:t>
            </w:r>
          </w:p>
        </w:tc>
        <w:tc>
          <w:tcPr>
            <w:tcW w:w="0" w:type="dxa"/>
            <w:vAlign w:val="bottom"/>
          </w:tcPr>
          <w:p>
            <w:pPr>
              <w:spacing w:after="0"/>
              <w:rPr>
                <w:sz w:val="1"/>
                <w:szCs w:val="1"/>
                <w:color w:val="auto"/>
              </w:rPr>
            </w:pPr>
          </w:p>
        </w:tc>
      </w:tr>
      <w:tr>
        <w:trPr>
          <w:trHeight w:val="206"/>
        </w:trPr>
        <w:tc>
          <w:tcPr>
            <w:tcW w:w="7540" w:type="dxa"/>
            <w:vAlign w:val="bottom"/>
          </w:tcPr>
          <w:p>
            <w:pPr>
              <w:ind w:left="120"/>
              <w:spacing w:after="0"/>
              <w:rPr>
                <w:sz w:val="20"/>
                <w:szCs w:val="20"/>
                <w:color w:val="auto"/>
              </w:rPr>
            </w:pPr>
            <w:r>
              <w:rPr>
                <w:rFonts w:ascii="Arial" w:cs="Arial" w:eastAsia="Arial" w:hAnsi="Arial"/>
                <w:sz w:val="16"/>
                <w:szCs w:val="16"/>
                <w:i w:val="1"/>
                <w:iCs w:val="1"/>
                <w:color w:val="auto"/>
              </w:rPr>
              <w:t>Adjusted EBITDA Margin</w:t>
            </w:r>
          </w:p>
        </w:tc>
        <w:tc>
          <w:tcPr>
            <w:tcW w:w="11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34.8 %</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33.6 %</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left="299"/>
              <w:spacing w:after="0"/>
              <w:rPr>
                <w:sz w:val="20"/>
                <w:szCs w:val="20"/>
                <w:color w:val="auto"/>
              </w:rPr>
            </w:pPr>
            <w:r>
              <w:rPr>
                <w:rFonts w:ascii="Arial" w:cs="Arial" w:eastAsia="Arial" w:hAnsi="Arial"/>
                <w:sz w:val="16"/>
                <w:szCs w:val="16"/>
                <w:color w:val="auto"/>
              </w:rPr>
              <w:t>120 bps</w:t>
            </w:r>
          </w:p>
        </w:tc>
        <w:tc>
          <w:tcPr>
            <w:tcW w:w="0" w:type="dxa"/>
            <w:vAlign w:val="bottom"/>
          </w:tcPr>
          <w:p>
            <w:pPr>
              <w:spacing w:after="0"/>
              <w:rPr>
                <w:sz w:val="1"/>
                <w:szCs w:val="1"/>
                <w:color w:val="auto"/>
              </w:rPr>
            </w:pPr>
          </w:p>
        </w:tc>
      </w:tr>
      <w:tr>
        <w:trPr>
          <w:trHeight w:val="216"/>
        </w:trPr>
        <w:tc>
          <w:tcPr>
            <w:tcW w:w="7540" w:type="dxa"/>
            <w:vAlign w:val="bottom"/>
          </w:tcPr>
          <w:p>
            <w:pPr>
              <w:spacing w:after="0" w:line="216" w:lineRule="exact"/>
              <w:rPr>
                <w:sz w:val="20"/>
                <w:szCs w:val="20"/>
                <w:color w:val="auto"/>
              </w:rPr>
            </w:pPr>
            <w:r>
              <w:rPr>
                <w:rFonts w:ascii="Arial" w:cs="Arial" w:eastAsia="Arial" w:hAnsi="Arial"/>
                <w:sz w:val="16"/>
                <w:szCs w:val="16"/>
                <w:color w:val="auto"/>
              </w:rPr>
              <w:t>Severance and Other</w:t>
            </w:r>
            <w:r>
              <w:rPr>
                <w:rFonts w:ascii="Arial" w:cs="Arial" w:eastAsia="Arial" w:hAnsi="Arial"/>
                <w:sz w:val="21"/>
                <w:szCs w:val="21"/>
                <w:color w:val="auto"/>
                <w:vertAlign w:val="superscript"/>
              </w:rPr>
              <w:t>(1)</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380</w:t>
            </w:r>
          </w:p>
        </w:tc>
        <w:tc>
          <w:tcPr>
            <w:tcW w:w="8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7540" w:type="dxa"/>
            <w:vAlign w:val="bottom"/>
          </w:tcPr>
          <w:p>
            <w:pPr>
              <w:spacing w:after="0"/>
              <w:rPr>
                <w:sz w:val="20"/>
                <w:szCs w:val="20"/>
                <w:color w:val="auto"/>
              </w:rPr>
            </w:pPr>
            <w:r>
              <w:rPr>
                <w:rFonts w:ascii="Arial" w:cs="Arial" w:eastAsia="Arial" w:hAnsi="Arial"/>
                <w:sz w:val="16"/>
                <w:szCs w:val="16"/>
                <w:color w:val="auto"/>
              </w:rPr>
              <w:t>Effects of Foreign Currency</w:t>
            </w:r>
            <w:r>
              <w:rPr>
                <w:rFonts w:ascii="Arial" w:cs="Arial" w:eastAsia="Arial" w:hAnsi="Arial"/>
                <w:sz w:val="21"/>
                <w:szCs w:val="21"/>
                <w:color w:val="auto"/>
                <w:vertAlign w:val="superscript"/>
              </w:rPr>
              <w:t>(2)</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line="210" w:lineRule="exact"/>
              <w:rPr>
                <w:sz w:val="20"/>
                <w:szCs w:val="20"/>
                <w:color w:val="auto"/>
              </w:rPr>
            </w:pPr>
            <w:r>
              <w:rPr>
                <w:rFonts w:ascii="Arial" w:cs="Arial" w:eastAsia="Arial" w:hAnsi="Arial"/>
                <w:sz w:val="16"/>
                <w:szCs w:val="16"/>
                <w:color w:val="auto"/>
              </w:rPr>
              <w:t>Constant Currency Adjusted EBITDA excluding Severance and Other</w:t>
            </w:r>
            <w:r>
              <w:rPr>
                <w:rFonts w:ascii="Arial" w:cs="Arial" w:eastAsia="Arial" w:hAnsi="Arial"/>
                <w:sz w:val="21"/>
                <w:szCs w:val="21"/>
                <w:color w:val="auto"/>
                <w:vertAlign w:val="superscript"/>
              </w:rPr>
              <w:t>(1)(2)</w:t>
            </w: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$6,656</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$6,532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left="359"/>
              <w:spacing w:after="0"/>
              <w:rPr>
                <w:sz w:val="20"/>
                <w:szCs w:val="20"/>
                <w:color w:val="auto"/>
              </w:rPr>
            </w:pPr>
            <w:r>
              <w:rPr>
                <w:rFonts w:ascii="Arial" w:cs="Arial" w:eastAsia="Arial" w:hAnsi="Arial"/>
                <w:sz w:val="16"/>
                <w:szCs w:val="16"/>
                <w:color w:val="auto"/>
                <w:w w:val="97"/>
              </w:rPr>
              <w:t>1.9 %</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Constant Currency Adjusted EBITDA Margin excluding Severance and Other</w:t>
            </w:r>
            <w:r>
              <w:rPr>
                <w:rFonts w:ascii="Arial" w:cs="Arial" w:eastAsia="Arial" w:hAnsi="Arial"/>
                <w:sz w:val="21"/>
                <w:szCs w:val="21"/>
                <w:i w:val="1"/>
                <w:iCs w:val="1"/>
                <w:color w:val="auto"/>
                <w:vertAlign w:val="superscript"/>
              </w:rPr>
              <w:t>(1)(2)</w:t>
            </w: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vMerge w:val="restart"/>
          </w:tcPr>
          <w:p>
            <w:pPr>
              <w:jc w:val="center"/>
              <w:ind w:left="299"/>
              <w:spacing w:after="0"/>
              <w:rPr>
                <w:sz w:val="20"/>
                <w:szCs w:val="20"/>
                <w:color w:val="auto"/>
              </w:rPr>
            </w:pPr>
            <w:r>
              <w:rPr>
                <w:rFonts w:ascii="Arial" w:cs="Arial" w:eastAsia="Arial" w:hAnsi="Arial"/>
                <w:sz w:val="16"/>
                <w:szCs w:val="16"/>
                <w:color w:val="auto"/>
              </w:rPr>
              <w:t>120 bps</w:t>
            </w:r>
          </w:p>
        </w:tc>
        <w:tc>
          <w:tcPr>
            <w:tcW w:w="0" w:type="dxa"/>
            <w:vAlign w:val="bottom"/>
          </w:tcPr>
          <w:p>
            <w:pPr>
              <w:spacing w:after="0"/>
              <w:rPr>
                <w:sz w:val="1"/>
                <w:szCs w:val="1"/>
                <w:color w:val="auto"/>
              </w:rPr>
            </w:pPr>
          </w:p>
        </w:tc>
      </w:tr>
      <w:tr>
        <w:trPr>
          <w:trHeight w:val="263"/>
        </w:trPr>
        <w:tc>
          <w:tcPr>
            <w:tcW w:w="7540" w:type="dxa"/>
            <w:vAlign w:val="bottom"/>
            <w:vMerge w:val="continue"/>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36.9 %</w:t>
            </w: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35.7 %</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b w:val="1"/>
                <w:bCs w:val="1"/>
                <w:color w:val="auto"/>
              </w:rPr>
              <w:t>Business Services Connectivity</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Adjusted EBITDA</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$1,303</w:t>
            </w:r>
          </w:p>
        </w:tc>
        <w:tc>
          <w:tcPr>
            <w:tcW w:w="8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$1,276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left="359"/>
              <w:spacing w:after="0"/>
              <w:rPr>
                <w:sz w:val="20"/>
                <w:szCs w:val="20"/>
                <w:color w:val="auto"/>
              </w:rPr>
            </w:pPr>
            <w:r>
              <w:rPr>
                <w:rFonts w:ascii="Arial" w:cs="Arial" w:eastAsia="Arial" w:hAnsi="Arial"/>
                <w:sz w:val="16"/>
                <w:szCs w:val="16"/>
                <w:color w:val="auto"/>
                <w:w w:val="97"/>
              </w:rPr>
              <w:t>2.1 %</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i w:val="1"/>
                <w:iCs w:val="1"/>
                <w:color w:val="auto"/>
              </w:rPr>
              <w:t>Adjusted EBITDA Margin</w:t>
            </w:r>
          </w:p>
        </w:tc>
        <w:tc>
          <w:tcPr>
            <w:tcW w:w="11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55.2 %</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57.2 %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 bps</w:t>
            </w:r>
          </w:p>
        </w:tc>
        <w:tc>
          <w:tcPr>
            <w:tcW w:w="0" w:type="dxa"/>
            <w:vAlign w:val="bottom"/>
          </w:tcPr>
          <w:p>
            <w:pPr>
              <w:spacing w:after="0"/>
              <w:rPr>
                <w:sz w:val="1"/>
                <w:szCs w:val="1"/>
                <w:color w:val="auto"/>
              </w:rPr>
            </w:pPr>
          </w:p>
        </w:tc>
      </w:tr>
      <w:tr>
        <w:trPr>
          <w:trHeight w:val="206"/>
        </w:trPr>
        <w:tc>
          <w:tcPr>
            <w:tcW w:w="7540" w:type="dxa"/>
            <w:vAlign w:val="bottom"/>
          </w:tcPr>
          <w:p>
            <w:pPr>
              <w:spacing w:after="0"/>
              <w:rPr>
                <w:sz w:val="20"/>
                <w:szCs w:val="20"/>
                <w:color w:val="auto"/>
              </w:rPr>
            </w:pPr>
            <w:r>
              <w:rPr>
                <w:rFonts w:ascii="Arial" w:cs="Arial" w:eastAsia="Arial" w:hAnsi="Arial"/>
                <w:sz w:val="16"/>
                <w:szCs w:val="16"/>
                <w:color w:val="auto"/>
              </w:rPr>
              <w:t>Severance</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42</w:t>
            </w:r>
          </w:p>
        </w:tc>
        <w:tc>
          <w:tcPr>
            <w:tcW w:w="8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7540" w:type="dxa"/>
            <w:vAlign w:val="bottom"/>
          </w:tcPr>
          <w:p>
            <w:pPr>
              <w:spacing w:after="0"/>
              <w:rPr>
                <w:sz w:val="20"/>
                <w:szCs w:val="20"/>
                <w:color w:val="auto"/>
              </w:rPr>
            </w:pPr>
            <w:r>
              <w:rPr>
                <w:rFonts w:ascii="Arial" w:cs="Arial" w:eastAsia="Arial" w:hAnsi="Arial"/>
                <w:sz w:val="16"/>
                <w:szCs w:val="16"/>
                <w:color w:val="auto"/>
              </w:rPr>
              <w:t>Effects of Foreign Currency</w:t>
            </w:r>
            <w:r>
              <w:rPr>
                <w:rFonts w:ascii="Arial" w:cs="Arial" w:eastAsia="Arial" w:hAnsi="Arial"/>
                <w:sz w:val="21"/>
                <w:szCs w:val="21"/>
                <w:color w:val="auto"/>
                <w:vertAlign w:val="superscript"/>
              </w:rPr>
              <w:t>(2)</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50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line="210" w:lineRule="exact"/>
              <w:rPr>
                <w:sz w:val="20"/>
                <w:szCs w:val="20"/>
                <w:color w:val="auto"/>
              </w:rPr>
            </w:pPr>
            <w:r>
              <w:rPr>
                <w:rFonts w:ascii="Arial" w:cs="Arial" w:eastAsia="Arial" w:hAnsi="Arial"/>
                <w:sz w:val="16"/>
                <w:szCs w:val="16"/>
                <w:color w:val="auto"/>
              </w:rPr>
              <w:t>Constant Currency Adjusted EBITDA excluding Severance</w:t>
            </w:r>
            <w:r>
              <w:rPr>
                <w:rFonts w:ascii="Arial" w:cs="Arial" w:eastAsia="Arial" w:hAnsi="Arial"/>
                <w:sz w:val="21"/>
                <w:szCs w:val="21"/>
                <w:color w:val="auto"/>
                <w:vertAlign w:val="superscript"/>
              </w:rPr>
              <w:t>(2)</w:t>
            </w: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$1,345</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$1,283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left="359"/>
              <w:spacing w:after="0"/>
              <w:rPr>
                <w:sz w:val="20"/>
                <w:szCs w:val="20"/>
                <w:color w:val="auto"/>
              </w:rPr>
            </w:pPr>
            <w:r>
              <w:rPr>
                <w:rFonts w:ascii="Arial" w:cs="Arial" w:eastAsia="Arial" w:hAnsi="Arial"/>
                <w:sz w:val="16"/>
                <w:szCs w:val="16"/>
                <w:color w:val="auto"/>
                <w:w w:val="97"/>
              </w:rPr>
              <w:t>4.8 %</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Constant Currency Adjusted EBITDA Margin excluding Severance</w:t>
            </w:r>
            <w:r>
              <w:rPr>
                <w:rFonts w:ascii="Arial" w:cs="Arial" w:eastAsia="Arial" w:hAnsi="Arial"/>
                <w:sz w:val="21"/>
                <w:szCs w:val="21"/>
                <w:i w:val="1"/>
                <w:iCs w:val="1"/>
                <w:color w:val="auto"/>
                <w:vertAlign w:val="superscript"/>
              </w:rPr>
              <w:t>(2)</w:t>
            </w: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vMerge w:val="restart"/>
          </w:tcPr>
          <w:p>
            <w:pPr>
              <w:jc w:val="center"/>
              <w:ind w:left="279"/>
              <w:spacing w:after="0"/>
              <w:rPr>
                <w:sz w:val="20"/>
                <w:szCs w:val="20"/>
                <w:color w:val="auto"/>
              </w:rPr>
            </w:pPr>
            <w:r>
              <w:rPr>
                <w:rFonts w:ascii="Arial" w:cs="Arial" w:eastAsia="Arial" w:hAnsi="Arial"/>
                <w:sz w:val="16"/>
                <w:szCs w:val="16"/>
                <w:color w:val="auto"/>
              </w:rPr>
              <w:t>(50) bps</w:t>
            </w:r>
          </w:p>
        </w:tc>
        <w:tc>
          <w:tcPr>
            <w:tcW w:w="0" w:type="dxa"/>
            <w:vAlign w:val="bottom"/>
          </w:tcPr>
          <w:p>
            <w:pPr>
              <w:spacing w:after="0"/>
              <w:rPr>
                <w:sz w:val="1"/>
                <w:szCs w:val="1"/>
                <w:color w:val="auto"/>
              </w:rPr>
            </w:pPr>
          </w:p>
        </w:tc>
      </w:tr>
      <w:tr>
        <w:trPr>
          <w:trHeight w:val="265"/>
        </w:trPr>
        <w:tc>
          <w:tcPr>
            <w:tcW w:w="7540" w:type="dxa"/>
            <w:vAlign w:val="bottom"/>
            <w:vMerge w:val="continue"/>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57.0 %</w:t>
            </w:r>
          </w:p>
        </w:tc>
        <w:tc>
          <w:tcPr>
            <w:tcW w:w="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57.5 %</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828282"/>
        </w:rPr>
        <w:t>Reconciliation of Content &amp; Experiences Adjusted EBITDA Excluding Severance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9"/>
              </w:rPr>
              <w:t>December 31,</w:t>
            </w:r>
          </w:p>
        </w:tc>
        <w:tc>
          <w:tcPr>
            <w:tcW w:w="10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17"/>
        </w:trPr>
        <w:tc>
          <w:tcPr>
            <w:tcW w:w="7540" w:type="dxa"/>
            <w:vAlign w:val="bottom"/>
          </w:tcPr>
          <w:p>
            <w:pPr>
              <w:spacing w:after="0"/>
              <w:rPr>
                <w:sz w:val="20"/>
                <w:szCs w:val="20"/>
                <w:color w:val="auto"/>
              </w:rPr>
            </w:pPr>
            <w:r>
              <w:rPr>
                <w:rFonts w:ascii="Arial" w:cs="Arial" w:eastAsia="Arial" w:hAnsi="Arial"/>
                <w:sz w:val="16"/>
                <w:szCs w:val="16"/>
                <w:color w:val="auto"/>
              </w:rPr>
              <w:t>(in millions)</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540" w:type="dxa"/>
            <w:vAlign w:val="bottom"/>
          </w:tcPr>
          <w:p>
            <w:pPr>
              <w:spacing w:after="0"/>
              <w:rPr>
                <w:sz w:val="20"/>
                <w:szCs w:val="20"/>
                <w:color w:val="auto"/>
              </w:rPr>
            </w:pPr>
            <w:r>
              <w:rPr>
                <w:rFonts w:ascii="Arial" w:cs="Arial" w:eastAsia="Arial" w:hAnsi="Arial"/>
                <w:sz w:val="16"/>
                <w:szCs w:val="16"/>
                <w:color w:val="auto"/>
              </w:rPr>
              <w:t>Adjusted EBITDA</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$932</w:t>
            </w:r>
          </w:p>
        </w:tc>
        <w:tc>
          <w:tcPr>
            <w:tcW w:w="1320" w:type="dxa"/>
            <w:vAlign w:val="bottom"/>
            <w:gridSpan w:val="3"/>
          </w:tcPr>
          <w:p>
            <w:pPr>
              <w:jc w:val="right"/>
              <w:ind w:right="119"/>
              <w:spacing w:after="0"/>
              <w:rPr>
                <w:sz w:val="20"/>
                <w:szCs w:val="20"/>
                <w:color w:val="auto"/>
              </w:rPr>
            </w:pPr>
            <w:r>
              <w:rPr>
                <w:rFonts w:ascii="Arial" w:cs="Arial" w:eastAsia="Arial" w:hAnsi="Arial"/>
                <w:sz w:val="16"/>
                <w:szCs w:val="16"/>
                <w:color w:val="auto"/>
              </w:rPr>
              <w:t>$911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6"/>
                <w:szCs w:val="16"/>
                <w:color w:val="auto"/>
              </w:rPr>
              <w:t>Severance</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101</w:t>
            </w:r>
          </w:p>
        </w:tc>
        <w:tc>
          <w:tcPr>
            <w:tcW w:w="1320" w:type="dxa"/>
            <w:vAlign w:val="bottom"/>
            <w:gridSpan w:val="3"/>
          </w:tcPr>
          <w:p>
            <w:pPr>
              <w:jc w:val="right"/>
              <w:ind w:right="119"/>
              <w:spacing w:after="0"/>
              <w:rPr>
                <w:sz w:val="20"/>
                <w:szCs w:val="20"/>
                <w:color w:val="auto"/>
              </w:rPr>
            </w:pPr>
            <w:r>
              <w:rPr>
                <w:rFonts w:ascii="Arial" w:cs="Arial" w:eastAsia="Arial" w:hAnsi="Arial"/>
                <w:sz w:val="16"/>
                <w:szCs w:val="16"/>
                <w:color w:val="auto"/>
              </w:rPr>
              <w:t>186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7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32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6"/>
                <w:szCs w:val="16"/>
                <w:color w:val="auto"/>
              </w:rPr>
              <w:t>Adjusted EBITDA excluding Severance</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$1,033</w:t>
            </w: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$1,097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3"/>
          <w:szCs w:val="13"/>
          <w:color w:val="auto"/>
        </w:rPr>
      </w:pPr>
      <w:r>
        <w:rPr>
          <w:rFonts w:ascii="Arial" w:cs="Arial" w:eastAsia="Arial" w:hAnsi="Arial"/>
          <w:sz w:val="13"/>
          <w:szCs w:val="13"/>
          <w:color w:val="auto"/>
        </w:rPr>
        <w:t>2023 amount includes an out-of-period adjustment associated with contractual obligations in our advertising business.</w:t>
      </w:r>
    </w:p>
    <w:p>
      <w:pPr>
        <w:spacing w:after="0" w:line="120" w:lineRule="exact"/>
        <w:rPr>
          <w:rFonts w:ascii="Arial" w:cs="Arial" w:eastAsia="Arial" w:hAnsi="Arial"/>
          <w:sz w:val="13"/>
          <w:szCs w:val="13"/>
          <w:color w:val="auto"/>
        </w:rPr>
      </w:pPr>
    </w:p>
    <w:p>
      <w:pPr>
        <w:ind w:left="260" w:right="280" w:hanging="252"/>
        <w:spacing w:after="0" w:line="264" w:lineRule="auto"/>
        <w:tabs>
          <w:tab w:leader="none" w:pos="252" w:val="left"/>
        </w:tabs>
        <w:numPr>
          <w:ilvl w:val="0"/>
          <w:numId w:val="8"/>
        </w:numPr>
        <w:rPr>
          <w:rFonts w:ascii="Arial" w:cs="Arial" w:eastAsia="Arial" w:hAnsi="Arial"/>
          <w:sz w:val="13"/>
          <w:szCs w:val="13"/>
          <w:color w:val="auto"/>
        </w:rPr>
      </w:pPr>
      <w:r>
        <w:rPr>
          <w:rFonts w:ascii="Arial" w:cs="Arial" w:eastAsia="Arial" w:hAnsi="Arial"/>
          <w:sz w:val="13"/>
          <w:szCs w:val="13"/>
          <w:color w:val="auto"/>
        </w:rPr>
        <w:t>2022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76" w:lineRule="exact"/>
        <w:rPr>
          <w:rFonts w:ascii="Arial" w:cs="Arial" w:eastAsia="Arial" w:hAnsi="Arial"/>
          <w:sz w:val="13"/>
          <w:szCs w:val="13"/>
          <w:color w:val="auto"/>
        </w:rPr>
      </w:pPr>
    </w:p>
    <w:p>
      <w:pPr>
        <w:ind w:left="240" w:hanging="232"/>
        <w:spacing w:after="0"/>
        <w:tabs>
          <w:tab w:leader="none" w:pos="240" w:val="left"/>
        </w:tabs>
        <w:numPr>
          <w:ilvl w:val="0"/>
          <w:numId w:val="8"/>
        </w:numPr>
        <w:rPr>
          <w:rFonts w:ascii="Arial" w:cs="Arial" w:eastAsia="Arial" w:hAnsi="Arial"/>
          <w:sz w:val="13"/>
          <w:szCs w:val="13"/>
          <w:color w:val="auto"/>
        </w:rPr>
      </w:pPr>
      <w:r>
        <w:rPr>
          <w:rFonts w:ascii="Arial" w:cs="Arial" w:eastAsia="Arial" w:hAnsi="Arial"/>
          <w:sz w:val="13"/>
          <w:szCs w:val="13"/>
          <w:color w:val="auto"/>
        </w:rPr>
        <w:t>Change percentages represent year/year growth rates. Change in Adjusted EBITDA margin is presented as year/year basis point changes.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966"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30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9"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3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3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Statements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Statements of Cash Flows and are therefore excluded from capital expenditures and cash paid for intangible assets for Free Cash Flow.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evaluate their underlying performance.</w:t>
      </w:r>
    </w:p>
    <w:p>
      <w:pPr>
        <w:spacing w:after="0" w:line="203"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62"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2024-01-25T06:18:32Z</dcterms:created>
  <dcterms:modified xsi:type="dcterms:W3CDTF">2024-01-25T06:18:32Z</dcterms:modified>
</cp:coreProperties>
</file>