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Date of report (Date of earliest event reported): March 16,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Comcast Corporation</w:t>
      </w:r>
    </w:p>
    <w:p>
      <w:pPr>
        <w:spacing w:after="0" w:line="101"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Comcast Corporation Retirement – Investment Plan and</w:t>
      </w:r>
    </w:p>
    <w:p>
      <w:pPr>
        <w:spacing w:after="0" w:line="3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Comcast Spectacor 401(k) Plan</w:t>
      </w:r>
    </w:p>
    <w:p>
      <w:pPr>
        <w:spacing w:after="0" w:line="13"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191770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2480" w:type="dxa"/>
            <w:vAlign w:val="bottom"/>
          </w:tcPr>
          <w:p>
            <w:pPr>
              <w:spacing w:after="0"/>
              <w:rPr>
                <w:sz w:val="18"/>
                <w:szCs w:val="18"/>
                <w:color w:val="auto"/>
              </w:rPr>
            </w:pPr>
          </w:p>
        </w:tc>
        <w:tc>
          <w:tcPr>
            <w:tcW w:w="5460" w:type="dxa"/>
            <w:vAlign w:val="bottom"/>
          </w:tcPr>
          <w:p>
            <w:pPr>
              <w:jc w:val="center"/>
              <w:ind w:right="2342"/>
              <w:spacing w:after="0"/>
              <w:rPr>
                <w:sz w:val="20"/>
                <w:szCs w:val="20"/>
                <w:color w:val="auto"/>
              </w:rPr>
            </w:pPr>
            <w:r>
              <w:rPr>
                <w:rFonts w:ascii="Arial" w:cs="Arial" w:eastAsia="Arial" w:hAnsi="Arial"/>
                <w:sz w:val="18"/>
                <w:szCs w:val="18"/>
                <w:b w:val="1"/>
                <w:bCs w:val="1"/>
                <w:color w:val="auto"/>
                <w:w w:val="86"/>
              </w:rPr>
              <w:t>Pennsylvania</w:t>
            </w:r>
          </w:p>
        </w:tc>
      </w:tr>
      <w:tr>
        <w:trPr>
          <w:trHeight w:val="174"/>
        </w:trPr>
        <w:tc>
          <w:tcPr>
            <w:tcW w:w="2480" w:type="dxa"/>
            <w:vAlign w:val="bottom"/>
          </w:tcPr>
          <w:p>
            <w:pPr>
              <w:spacing w:after="0"/>
              <w:rPr>
                <w:sz w:val="15"/>
                <w:szCs w:val="15"/>
                <w:color w:val="auto"/>
              </w:rPr>
            </w:pPr>
          </w:p>
        </w:tc>
        <w:tc>
          <w:tcPr>
            <w:tcW w:w="5460" w:type="dxa"/>
            <w:vAlign w:val="bottom"/>
          </w:tcPr>
          <w:p>
            <w:pPr>
              <w:jc w:val="center"/>
              <w:ind w:right="2342"/>
              <w:spacing w:after="0"/>
              <w:rPr>
                <w:sz w:val="20"/>
                <w:szCs w:val="20"/>
                <w:color w:val="auto"/>
              </w:rPr>
            </w:pPr>
            <w:r>
              <w:rPr>
                <w:rFonts w:ascii="Arial" w:cs="Arial" w:eastAsia="Arial" w:hAnsi="Arial"/>
                <w:sz w:val="14"/>
                <w:szCs w:val="14"/>
                <w:b w:val="1"/>
                <w:bCs w:val="1"/>
                <w:color w:val="auto"/>
                <w:w w:val="88"/>
              </w:rPr>
              <w:t>(State or Other Jurisdiction of Incorporation)</w:t>
            </w:r>
          </w:p>
        </w:tc>
      </w:tr>
      <w:tr>
        <w:trPr>
          <w:trHeight w:val="393"/>
        </w:trPr>
        <w:tc>
          <w:tcPr>
            <w:tcW w:w="2480" w:type="dxa"/>
            <w:vAlign w:val="bottom"/>
          </w:tcPr>
          <w:p>
            <w:pPr>
              <w:jc w:val="center"/>
              <w:ind w:right="120"/>
              <w:spacing w:after="0"/>
              <w:rPr>
                <w:sz w:val="20"/>
                <w:szCs w:val="20"/>
                <w:color w:val="auto"/>
              </w:rPr>
            </w:pPr>
            <w:r>
              <w:rPr>
                <w:rFonts w:ascii="Arial" w:cs="Arial" w:eastAsia="Arial" w:hAnsi="Arial"/>
                <w:sz w:val="18"/>
                <w:szCs w:val="18"/>
                <w:b w:val="1"/>
                <w:bCs w:val="1"/>
                <w:color w:val="auto"/>
                <w:w w:val="88"/>
              </w:rPr>
              <w:t>001-32871</w:t>
            </w:r>
          </w:p>
        </w:tc>
        <w:tc>
          <w:tcPr>
            <w:tcW w:w="5460" w:type="dxa"/>
            <w:vAlign w:val="bottom"/>
          </w:tcPr>
          <w:p>
            <w:pPr>
              <w:jc w:val="center"/>
              <w:ind w:left="342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2480" w:type="dxa"/>
            <w:vAlign w:val="bottom"/>
          </w:tcPr>
          <w:p>
            <w:pPr>
              <w:jc w:val="center"/>
              <w:ind w:right="120"/>
              <w:spacing w:after="0"/>
              <w:rPr>
                <w:sz w:val="20"/>
                <w:szCs w:val="20"/>
                <w:color w:val="auto"/>
              </w:rPr>
            </w:pPr>
            <w:r>
              <w:rPr>
                <w:rFonts w:ascii="Arial" w:cs="Arial" w:eastAsia="Arial" w:hAnsi="Arial"/>
                <w:sz w:val="14"/>
                <w:szCs w:val="14"/>
                <w:b w:val="1"/>
                <w:bCs w:val="1"/>
                <w:color w:val="auto"/>
                <w:w w:val="87"/>
              </w:rPr>
              <w:t>(Commission File Number)</w:t>
            </w:r>
          </w:p>
        </w:tc>
        <w:tc>
          <w:tcPr>
            <w:tcW w:w="5460" w:type="dxa"/>
            <w:vAlign w:val="bottom"/>
          </w:tcPr>
          <w:p>
            <w:pPr>
              <w:jc w:val="center"/>
              <w:ind w:left="342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2480" w:type="dxa"/>
            <w:vAlign w:val="bottom"/>
          </w:tcPr>
          <w:p>
            <w:pPr>
              <w:jc w:val="center"/>
              <w:ind w:right="120"/>
              <w:spacing w:after="0"/>
              <w:rPr>
                <w:sz w:val="20"/>
                <w:szCs w:val="20"/>
                <w:color w:val="auto"/>
              </w:rPr>
            </w:pPr>
            <w:r>
              <w:rPr>
                <w:rFonts w:ascii="Arial" w:cs="Arial" w:eastAsia="Arial" w:hAnsi="Arial"/>
                <w:sz w:val="18"/>
                <w:szCs w:val="18"/>
                <w:b w:val="1"/>
                <w:bCs w:val="1"/>
                <w:color w:val="auto"/>
                <w:w w:val="87"/>
              </w:rPr>
              <w:t>One Comcast Center</w:t>
            </w:r>
          </w:p>
        </w:tc>
        <w:tc>
          <w:tcPr>
            <w:tcW w:w="5460" w:type="dxa"/>
            <w:vAlign w:val="bottom"/>
          </w:tcPr>
          <w:p>
            <w:pPr>
              <w:spacing w:after="0"/>
              <w:rPr>
                <w:sz w:val="24"/>
                <w:szCs w:val="24"/>
                <w:color w:val="auto"/>
              </w:rPr>
            </w:pPr>
          </w:p>
        </w:tc>
      </w:tr>
      <w:tr>
        <w:trPr>
          <w:trHeight w:val="231"/>
        </w:trPr>
        <w:tc>
          <w:tcPr>
            <w:tcW w:w="2480" w:type="dxa"/>
            <w:vAlign w:val="bottom"/>
          </w:tcPr>
          <w:p>
            <w:pPr>
              <w:jc w:val="center"/>
              <w:ind w:right="100"/>
              <w:spacing w:after="0"/>
              <w:rPr>
                <w:sz w:val="20"/>
                <w:szCs w:val="20"/>
                <w:color w:val="auto"/>
              </w:rPr>
            </w:pPr>
            <w:r>
              <w:rPr>
                <w:rFonts w:ascii="Arial" w:cs="Arial" w:eastAsia="Arial" w:hAnsi="Arial"/>
                <w:sz w:val="18"/>
                <w:szCs w:val="18"/>
                <w:b w:val="1"/>
                <w:bCs w:val="1"/>
                <w:color w:val="auto"/>
                <w:w w:val="89"/>
              </w:rPr>
              <w:t>Philadelphia, PA</w:t>
            </w:r>
          </w:p>
        </w:tc>
        <w:tc>
          <w:tcPr>
            <w:tcW w:w="5460" w:type="dxa"/>
            <w:vAlign w:val="bottom"/>
          </w:tcPr>
          <w:p>
            <w:pPr>
              <w:jc w:val="center"/>
              <w:ind w:left="3422"/>
              <w:spacing w:after="0"/>
              <w:rPr>
                <w:sz w:val="20"/>
                <w:szCs w:val="20"/>
                <w:color w:val="auto"/>
              </w:rPr>
            </w:pPr>
            <w:r>
              <w:rPr>
                <w:rFonts w:ascii="Arial" w:cs="Arial" w:eastAsia="Arial" w:hAnsi="Arial"/>
                <w:sz w:val="18"/>
                <w:szCs w:val="18"/>
                <w:b w:val="1"/>
                <w:bCs w:val="1"/>
                <w:color w:val="auto"/>
                <w:w w:val="87"/>
              </w:rPr>
              <w:t>19103-2838</w:t>
            </w:r>
          </w:p>
        </w:tc>
      </w:tr>
      <w:tr>
        <w:trPr>
          <w:trHeight w:val="174"/>
        </w:trPr>
        <w:tc>
          <w:tcPr>
            <w:tcW w:w="2480" w:type="dxa"/>
            <w:vAlign w:val="bottom"/>
          </w:tcPr>
          <w:p>
            <w:pPr>
              <w:jc w:val="center"/>
              <w:ind w:right="10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460" w:type="dxa"/>
            <w:vAlign w:val="bottom"/>
          </w:tcPr>
          <w:p>
            <w:pPr>
              <w:jc w:val="center"/>
              <w:ind w:left="344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4.01.</w:t>
      </w:r>
      <w:r>
        <w:rPr>
          <w:sz w:val="20"/>
          <w:szCs w:val="20"/>
          <w:color w:val="auto"/>
        </w:rPr>
        <w:tab/>
      </w:r>
      <w:r>
        <w:rPr>
          <w:rFonts w:ascii="Arial" w:cs="Arial" w:eastAsia="Arial" w:hAnsi="Arial"/>
          <w:sz w:val="15"/>
          <w:szCs w:val="15"/>
          <w:b w:val="1"/>
          <w:bCs w:val="1"/>
          <w:color w:val="auto"/>
        </w:rPr>
        <w:t>Changes in Registrant’s Certifying Accountant.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4.01(a)</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On March 16, 2010, Comcast Corporation as Plan Administrator of each of the Comcast Corporation Retirement – Investment Plan and the Comcast Spectacor 401(k) Plan (collectively, the “Plans”) accepted the resignation of Mitchell &amp; Titus, LLP as the Plans’ independent registered public accounting firm. Mitchell &amp; Titus, LLP resigned in anticipation of hiring a former employee of Comcast Corporation. The hiring of the former employee will cause Mitchell &amp; Titus, LLP to cease being independent under applicable Securities and Exchange Commission (“SEC”) rules.</w:t>
      </w:r>
    </w:p>
    <w:p>
      <w:pPr>
        <w:spacing w:after="0" w:line="113"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The reports of Mitchell &amp; Titus, LLP on the Plans’ financial statements for the years ended December 31, 2007 and 2008 contained no adverse opinion or disclaimer of opinion, and such reports were not qualified or modified as to uncertainty, audit scope or accounting principles.</w:t>
      </w:r>
    </w:p>
    <w:p>
      <w:pPr>
        <w:spacing w:after="0" w:line="85"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During the years ended December 31, 2007 and 2008 and through March 16, 2010, there were no disagreements with Mitchell &amp; Titus, LLP on any matter of accounting principles or practices, financial statement disclosure or auditing scope or procedure, which disagreements, if not resolved to the satisfaction of Mitchell &amp; Titus, LLP, would have caused it to make reference thereto in connection with its reports on each of the Plans’ financial statements for such years.</w:t>
      </w:r>
    </w:p>
    <w:p>
      <w:pPr>
        <w:spacing w:after="0" w:line="10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During the years ended December 31, 2007 and 2008 and through March 16, 2010, there were no reportable events as described in paragraph (a)(1)(v) of Item 304 of Regulation S-K.</w:t>
      </w:r>
    </w:p>
    <w:p>
      <w:pPr>
        <w:spacing w:after="0" w:line="13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Comcast Corporation as Plan Administrator of each of the Plans requested that Mitchell &amp; Titus, LLP furnish it with a letter addressed to the SEC stating whether or not it agrees with the above statements. A copy of such letter, dated March 22, 2010, is filed as Exhibit 16 to this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4.01(b)</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On March 22, 2010, Comcast Corporation as Plan Administrator of each of the Plans appointed Deloitte &amp; Touche LLP as the independent registered public accounting firm of the Plans for the year ended December 31, 2009.</w:t>
      </w:r>
    </w:p>
    <w:p>
      <w:pPr>
        <w:spacing w:after="0" w:line="13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Comcast Corporation as Plan Administrator of the Plans did not consult with Deloitte &amp; Touche LLP during the years ended December 31, 2007 and 2008, and through March 22, 2010, on any matter that was the subject of any disagreement or any reportable event as defined in Regulation S-K Item 304(a)(1)(iv) and Regulation S-K Item 304(a)(1)(v), respectively, or on the application of accounting principles to a specified transaction, either completed or proposed, or the type of audit opinion that might be rendered on the Plans’ financial statements, relating to which either a written report was provided to Comcast Corporation as Plan Administrator of the Plans or oral advice was provided that Deloitte &amp; Touche LLP concluded was an important factor considered by Comcast Corporation as Plan Administrator of the Plans in reaching a decision as to the accounting, auditing or financial reporting issue.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040" w:type="dxa"/>
            <w:vAlign w:val="bottom"/>
            <w:gridSpan w:val="3"/>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61"/>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3100" w:type="dxa"/>
            <w:vAlign w:val="bottom"/>
          </w:tcPr>
          <w:p>
            <w:pPr>
              <w:spacing w:after="0"/>
              <w:rPr>
                <w:sz w:val="14"/>
                <w:szCs w:val="14"/>
                <w:color w:val="auto"/>
              </w:rPr>
            </w:pPr>
          </w:p>
        </w:tc>
      </w:tr>
      <w:tr>
        <w:trPr>
          <w:trHeight w:val="316"/>
        </w:trPr>
        <w:tc>
          <w:tcPr>
            <w:tcW w:w="520" w:type="dxa"/>
            <w:vAlign w:val="bottom"/>
          </w:tcPr>
          <w:p>
            <w:pPr>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24"/>
                <w:szCs w:val="24"/>
                <w:color w:val="auto"/>
              </w:rPr>
            </w:pPr>
          </w:p>
        </w:tc>
        <w:tc>
          <w:tcPr>
            <w:tcW w:w="4040" w:type="dxa"/>
            <w:vAlign w:val="bottom"/>
            <w:gridSpan w:val="3"/>
          </w:tcPr>
          <w:p>
            <w:pPr>
              <w:ind w:left="220"/>
              <w:spacing w:after="0"/>
              <w:rPr>
                <w:sz w:val="20"/>
                <w:szCs w:val="20"/>
                <w:color w:val="auto"/>
              </w:rPr>
            </w:pPr>
            <w:r>
              <w:rPr>
                <w:rFonts w:ascii="Arial" w:cs="Arial" w:eastAsia="Arial" w:hAnsi="Arial"/>
                <w:sz w:val="18"/>
                <w:szCs w:val="18"/>
                <w:color w:val="auto"/>
                <w:w w:val="91"/>
              </w:rPr>
              <w:t>Letter of Mitchell &amp; Titus, LLP dated March 22, 2010</w:t>
            </w:r>
          </w:p>
        </w:tc>
      </w:tr>
    </w:tbl>
    <w:p>
      <w:pPr>
        <w:sectPr>
          <w:pgSz w:w="11900" w:h="16838" w:orient="portrait"/>
          <w:cols w:equalWidth="0" w:num="1">
            <w:col w:w="11380"/>
          </w:cols>
          <w:pgMar w:left="240" w:top="274" w:right="27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Comcast Corporation as Plan Administrator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Comcast Corporation Retirement – Investment Plan</w:t>
      </w:r>
    </w:p>
    <w:p>
      <w:pPr>
        <w:spacing w:after="0" w:line="21"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Comcast Spectacor 401(k) Plan</w:t>
      </w:r>
    </w:p>
    <w:p>
      <w:pPr>
        <w:spacing w:after="0" w:line="22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By:  Comcast Corporation</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March 22, 2010</w:t>
      </w:r>
      <w:r>
        <w:rPr>
          <w:sz w:val="20"/>
          <w:szCs w:val="20"/>
          <w:color w:val="auto"/>
        </w:rPr>
        <w:tab/>
      </w:r>
      <w:r>
        <w:rPr>
          <w:rFonts w:ascii="Arial" w:cs="Arial" w:eastAsia="Arial" w:hAnsi="Arial"/>
          <w:sz w:val="16"/>
          <w:szCs w:val="16"/>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Chief Accounting Officer and Controller</w:t>
      </w:r>
    </w:p>
    <w:p>
      <w:pPr>
        <w:sectPr>
          <w:pgSz w:w="11900" w:h="16838" w:orient="portrait"/>
          <w:cols w:equalWidth="0" w:num="1">
            <w:col w:w="11260"/>
          </w:cols>
          <w:pgMar w:left="240" w:top="274"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March 22,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71"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We have read Item 4.01 of Form 8-K dated March 16, 2010, of Comcast Corporation as Plan Administrator of each of the Comcast Corporation Retirement – Investment Plan and the Comcast Spectacor 401(k) Plan (collectively, the “Plans”) and are in agreement with the statements contained in the Form 8-K, Item 4.01(a) therein. We have no basis to agree or disagree with other statements of the registrant contained therein.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Mitchell &amp; Titus, LLP</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2019-12-10T21:21:35Z</dcterms:created>
  <dcterms:modified xsi:type="dcterms:W3CDTF">2019-12-10T21:21:35Z</dcterms:modified>
</cp:coreProperties>
</file>