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20" w:type="dxa"/>
            <w:vAlign w:val="bottom"/>
          </w:tcPr>
          <w:p>
            <w:pPr>
              <w:spacing w:after="0"/>
              <w:rPr>
                <w:sz w:val="20"/>
                <w:szCs w:val="20"/>
                <w:color w:val="auto"/>
              </w:rPr>
            </w:pPr>
          </w:p>
        </w:tc>
        <w:tc>
          <w:tcPr>
            <w:tcW w:w="7140" w:type="dxa"/>
            <w:vAlign w:val="bottom"/>
          </w:tcPr>
          <w:p>
            <w:pPr>
              <w:jc w:val="center"/>
              <w:ind w:right="222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July 31, 2025</w:t>
            </w:r>
          </w:p>
        </w:tc>
      </w:tr>
      <w:tr>
        <w:trPr>
          <w:trHeight w:val="450"/>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20" w:type="dxa"/>
            <w:vAlign w:val="bottom"/>
          </w:tcPr>
          <w:p>
            <w:pPr>
              <w:spacing w:after="0"/>
              <w:rPr>
                <w:sz w:val="12"/>
                <w:szCs w:val="12"/>
                <w:color w:val="auto"/>
              </w:rPr>
            </w:pPr>
          </w:p>
        </w:tc>
        <w:tc>
          <w:tcPr>
            <w:tcW w:w="7140" w:type="dxa"/>
            <w:vAlign w:val="bottom"/>
          </w:tcPr>
          <w:p>
            <w:pPr>
              <w:jc w:val="center"/>
              <w:ind w:right="226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714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2025, Comcast Corporation (“Comcast”) issued a press release reporting the results of its operations for the three and six months ended June 30, 2025.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July 31, 2025.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31, 2025</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2025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31, 2025… Comcast Corporation (NASDAQ: CMCSA) today reported results for the quarter ended June 30, 2025.</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delivered solid financial results in the second quarter, growing Adjusted EPS by 3% and generating $4.5 billion of free cash flow, while</w:t>
      </w:r>
      <w:r>
        <w:rPr>
          <w:rFonts w:ascii="Arial" w:cs="Arial" w:eastAsia="Arial" w:hAnsi="Arial"/>
          <w:sz w:val="18"/>
          <w:szCs w:val="18"/>
          <w:color w:val="auto"/>
        </w:rPr>
        <w:t xml:space="preserve"> </w:t>
      </w:r>
      <w:r>
        <w:rPr>
          <w:rFonts w:ascii="Arial" w:cs="Arial" w:eastAsia="Arial" w:hAnsi="Arial"/>
          <w:sz w:val="18"/>
          <w:szCs w:val="18"/>
          <w:i w:val="1"/>
          <w:iCs w:val="1"/>
          <w:color w:val="auto"/>
        </w:rPr>
        <w:t>continuing to invest in our growth businesses and returning $2.9 billion to shareholders</w:t>
      </w:r>
      <w:r>
        <w:rPr>
          <w:rFonts w:ascii="Arial" w:cs="Arial" w:eastAsia="Arial" w:hAnsi="Arial"/>
          <w:sz w:val="18"/>
          <w:szCs w:val="18"/>
          <w:color w:val="auto"/>
        </w:rPr>
        <w:t>," said Brian L. Roberts, Chairman and Chief</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Executive Officer of Comcast Corporation. "</w:t>
      </w:r>
      <w:r>
        <w:rPr>
          <w:rFonts w:ascii="Arial" w:cs="Arial" w:eastAsia="Arial" w:hAnsi="Arial"/>
          <w:sz w:val="18"/>
          <w:szCs w:val="18"/>
          <w:i w:val="1"/>
          <w:iCs w:val="1"/>
          <w:color w:val="auto"/>
        </w:rPr>
        <w:t>Importantly, we're pleased with the early progress we are seeing with our go-to-market pivot in</w:t>
      </w:r>
      <w:r>
        <w:rPr>
          <w:rFonts w:ascii="Arial" w:cs="Arial" w:eastAsia="Arial" w:hAnsi="Arial"/>
          <w:sz w:val="18"/>
          <w:szCs w:val="18"/>
          <w:color w:val="auto"/>
        </w:rPr>
        <w:t xml:space="preserve"> </w:t>
      </w:r>
      <w:r>
        <w:rPr>
          <w:rFonts w:ascii="Arial" w:cs="Arial" w:eastAsia="Arial" w:hAnsi="Arial"/>
          <w:sz w:val="18"/>
          <w:szCs w:val="18"/>
          <w:i w:val="1"/>
          <w:iCs w:val="1"/>
          <w:color w:val="auto"/>
        </w:rPr>
        <w:t>residential broadband. In addition, our wireless business had its best quarter ever, adding 378,000 lines, further demonstrating our competitive advantage in convergence. And we continued to deliver strong performance in Business Services, where we grew revenue and Adjusted EBITDA by mid-single digits. In Content and Experiences, revenue grew 6% led by Theme Parks, with the successful opening of Epic Universe, which is having a positive impact on our overall Universal Orlando Resort. Peacock continues to differentiate itself with premium content and one of the most robust line-ups of live sports among streaming platforms, and we're excited to build on that leadership with the addition of NBA coverage this fall. With our strategic focus, world-class assets, and disciplined capital allocation, we are well-positioned for the future and confident in our path forward.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8580" cy="1663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63065"/>
                    </a:xfrm>
                    <a:prstGeom prst="rect">
                      <a:avLst/>
                    </a:prstGeom>
                    <a:noFill/>
                  </pic:spPr>
                </pic:pic>
              </a:graphicData>
            </a:graphic>
          </wp:anchor>
        </w:drawing>
      </w:r>
    </w:p>
    <w:p>
      <w:pPr>
        <w:spacing w:after="0" w:line="6"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8060" w:type="dxa"/>
            <w:vAlign w:val="bottom"/>
            <w:tcBorders>
              <w:lef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8"/>
                <w:szCs w:val="18"/>
                <w:color w:val="auto"/>
              </w:rPr>
            </w:pPr>
          </w:p>
        </w:tc>
        <w:tc>
          <w:tcPr>
            <w:tcW w:w="340" w:type="dxa"/>
            <w:vAlign w:val="bottom"/>
            <w:tcBorders>
              <w:right w:val="single" w:sz="8" w:color="D9D9D6"/>
            </w:tcBorders>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420" w:type="dxa"/>
            <w:vAlign w:val="bottom"/>
            <w:shd w:val="clear" w:color="auto" w:fill="D9D9D6"/>
          </w:tcPr>
          <w:p>
            <w:pPr>
              <w:spacing w:after="0"/>
              <w:rPr>
                <w:sz w:val="18"/>
                <w:szCs w:val="18"/>
                <w:color w:val="auto"/>
              </w:rPr>
            </w:pPr>
          </w:p>
        </w:tc>
        <w:tc>
          <w:tcPr>
            <w:tcW w:w="340" w:type="dxa"/>
            <w:vAlign w:val="bottom"/>
            <w:tcBorders>
              <w:right w:val="single" w:sz="8" w:color="D9D9D6"/>
            </w:tcBorders>
            <w:shd w:val="clear" w:color="auto" w:fill="D9D9D6"/>
          </w:tcPr>
          <w:p>
            <w:pPr>
              <w:spacing w:after="0"/>
              <w:rPr>
                <w:sz w:val="18"/>
                <w:szCs w:val="18"/>
                <w:color w:val="auto"/>
              </w:rPr>
            </w:pPr>
          </w:p>
        </w:tc>
        <w:tc>
          <w:tcPr>
            <w:tcW w:w="62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0" w:type="dxa"/>
            <w:vAlign w:val="bottom"/>
            <w:tcBorders>
              <w:right w:val="single" w:sz="8" w:color="D9D9D6"/>
            </w:tcBorders>
            <w:shd w:val="clear" w:color="auto" w:fill="D9D9D6"/>
          </w:tcPr>
          <w:p>
            <w:pPr>
              <w:spacing w:after="0"/>
              <w:rPr>
                <w:sz w:val="18"/>
                <w:szCs w:val="18"/>
                <w:color w:val="auto"/>
              </w:rPr>
            </w:pPr>
          </w:p>
        </w:tc>
      </w:tr>
      <w:tr>
        <w:trPr>
          <w:trHeight w:val="162"/>
        </w:trPr>
        <w:tc>
          <w:tcPr>
            <w:tcW w:w="8060" w:type="dxa"/>
            <w:vAlign w:val="bottom"/>
          </w:tcPr>
          <w:p>
            <w:pPr>
              <w:spacing w:after="0"/>
              <w:rPr>
                <w:sz w:val="14"/>
                <w:szCs w:val="14"/>
                <w:color w:val="auto"/>
              </w:rPr>
            </w:pPr>
          </w:p>
        </w:tc>
        <w:tc>
          <w:tcPr>
            <w:tcW w:w="620" w:type="dxa"/>
            <w:vAlign w:val="bottom"/>
            <w:tcBorders>
              <w:bottom w:val="single" w:sz="8" w:color="D9D9D6"/>
            </w:tcBorders>
            <w:shd w:val="clear" w:color="auto" w:fill="D9D9D6"/>
          </w:tcPr>
          <w:p>
            <w:pPr>
              <w:spacing w:after="0"/>
              <w:rPr>
                <w:sz w:val="14"/>
                <w:szCs w:val="14"/>
                <w:color w:val="auto"/>
              </w:rPr>
            </w:pPr>
          </w:p>
        </w:tc>
        <w:tc>
          <w:tcPr>
            <w:tcW w:w="340" w:type="dxa"/>
            <w:vAlign w:val="bottom"/>
            <w:tcBorders>
              <w:bottom w:val="single" w:sz="8" w:color="D9D9D6"/>
              <w:right w:val="single" w:sz="8" w:color="D9D9D6"/>
            </w:tcBorders>
            <w:shd w:val="clear" w:color="auto" w:fill="D9D9D6"/>
          </w:tcPr>
          <w:p>
            <w:pPr>
              <w:spacing w:after="0"/>
              <w:rPr>
                <w:sz w:val="14"/>
                <w:szCs w:val="14"/>
                <w:color w:val="auto"/>
              </w:rPr>
            </w:pPr>
          </w:p>
        </w:tc>
        <w:tc>
          <w:tcPr>
            <w:tcW w:w="200" w:type="dxa"/>
            <w:vAlign w:val="bottom"/>
            <w:tcBorders>
              <w:bottom w:val="single" w:sz="8" w:color="D9D9D6"/>
            </w:tcBorders>
            <w:shd w:val="clear" w:color="auto" w:fill="D9D9D6"/>
          </w:tcPr>
          <w:p>
            <w:pPr>
              <w:spacing w:after="0"/>
              <w:rPr>
                <w:sz w:val="14"/>
                <w:szCs w:val="14"/>
                <w:color w:val="auto"/>
              </w:rPr>
            </w:pPr>
          </w:p>
        </w:tc>
        <w:tc>
          <w:tcPr>
            <w:tcW w:w="7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8"/>
              </w:rPr>
              <w:t>2nd Quarter</w:t>
            </w:r>
          </w:p>
        </w:tc>
        <w:tc>
          <w:tcPr>
            <w:tcW w:w="62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right w:val="single" w:sz="8" w:color="D9D9D6"/>
            </w:tcBorders>
            <w:shd w:val="clear" w:color="auto" w:fill="D9D9D6"/>
          </w:tcPr>
          <w:p>
            <w:pPr>
              <w:spacing w:after="0"/>
              <w:rPr>
                <w:sz w:val="14"/>
                <w:szCs w:val="14"/>
                <w:color w:val="auto"/>
              </w:rPr>
            </w:pPr>
          </w:p>
        </w:tc>
      </w:tr>
      <w:tr>
        <w:trPr>
          <w:trHeight w:val="183"/>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620" w:type="dxa"/>
            <w:vAlign w:val="bottom"/>
            <w:gridSpan w:val="2"/>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620" w:type="dxa"/>
            <w:vAlign w:val="bottom"/>
            <w:shd w:val="clear" w:color="auto" w:fill="D9D9D6"/>
          </w:tcPr>
          <w:p>
            <w:pPr>
              <w:spacing w:after="0"/>
              <w:rPr>
                <w:sz w:val="15"/>
                <w:szCs w:val="15"/>
                <w:color w:val="auto"/>
              </w:rPr>
            </w:pPr>
          </w:p>
        </w:tc>
        <w:tc>
          <w:tcPr>
            <w:tcW w:w="5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7"/>
              </w:rPr>
              <w:t>Change</w:t>
            </w:r>
          </w:p>
        </w:tc>
      </w:tr>
      <w:tr>
        <w:trPr>
          <w:trHeight w:val="20"/>
        </w:trPr>
        <w:tc>
          <w:tcPr>
            <w:tcW w:w="8060" w:type="dxa"/>
            <w:vAlign w:val="bottom"/>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D9D9D6"/>
            </w:tcBorders>
            <w:shd w:val="clear" w:color="auto" w:fill="000000"/>
          </w:tcPr>
          <w:p>
            <w:pPr>
              <w:spacing w:after="0" w:line="20" w:lineRule="exact"/>
              <w:rPr>
                <w:sz w:val="1"/>
                <w:szCs w:val="1"/>
                <w:color w:val="auto"/>
              </w:rPr>
            </w:pPr>
          </w:p>
        </w:tc>
      </w:tr>
      <w:tr>
        <w:trPr>
          <w:trHeight w:val="311"/>
        </w:trPr>
        <w:tc>
          <w:tcPr>
            <w:tcW w:w="8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$30,313</w:t>
            </w:r>
          </w:p>
        </w:tc>
        <w:tc>
          <w:tcPr>
            <w:tcW w:w="960" w:type="dxa"/>
            <w:vAlign w:val="bottom"/>
            <w:tcBorders>
              <w:bottom w:val="single" w:sz="8" w:color="D9D9D6"/>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$29,688</w:t>
            </w:r>
          </w:p>
        </w:tc>
        <w:tc>
          <w:tcPr>
            <w:tcW w:w="1140" w:type="dxa"/>
            <w:vAlign w:val="bottom"/>
            <w:tcBorders>
              <w:bottom w:val="single" w:sz="8" w:color="D9D9D6"/>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2.1 %</w:t>
            </w:r>
          </w:p>
        </w:tc>
      </w:tr>
      <w:tr>
        <w:trPr>
          <w:trHeight w:val="196"/>
        </w:trPr>
        <w:tc>
          <w:tcPr>
            <w:tcW w:w="8060" w:type="dxa"/>
            <w:vAlign w:val="bottom"/>
            <w:tcBorders>
              <w:left w:val="single" w:sz="8" w:color="DBDBDB"/>
              <w:bottom w:val="single" w:sz="8" w:color="DBDBDB"/>
            </w:tcBorders>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$11,123</w:t>
            </w:r>
          </w:p>
        </w:tc>
        <w:tc>
          <w:tcPr>
            <w:tcW w:w="960" w:type="dxa"/>
            <w:vAlign w:val="bottom"/>
            <w:tcBorders>
              <w:bottom w:val="single" w:sz="8" w:color="D9D9D6"/>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$3,929</w:t>
            </w:r>
          </w:p>
        </w:tc>
        <w:tc>
          <w:tcPr>
            <w:tcW w:w="1140" w:type="dxa"/>
            <w:vAlign w:val="bottom"/>
            <w:tcBorders>
              <w:bottom w:val="single" w:sz="8" w:color="D9D9D6"/>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183.1 %</w:t>
            </w: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$4,653</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$4,735</w:t>
            </w:r>
          </w:p>
        </w:tc>
        <w:tc>
          <w:tcPr>
            <w:tcW w:w="114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(1.7 %)</w:t>
            </w: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$10,283</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$10,171</w:t>
            </w:r>
          </w:p>
        </w:tc>
        <w:tc>
          <w:tcPr>
            <w:tcW w:w="114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1.1 %</w:t>
            </w: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$2.98</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197.7</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r>
      <w:tr>
        <w:trPr>
          <w:trHeight w:val="207"/>
        </w:trPr>
        <w:tc>
          <w:tcPr>
            <w:tcW w:w="8060" w:type="dxa"/>
            <w:vAlign w:val="bottom"/>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$1.25</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$1.21</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$7,815</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$4,724</w:t>
            </w:r>
          </w:p>
        </w:tc>
        <w:tc>
          <w:tcPr>
            <w:tcW w:w="9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65.4</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r>
      <w:tr>
        <w:trPr>
          <w:trHeight w:val="203"/>
        </w:trPr>
        <w:tc>
          <w:tcPr>
            <w:tcW w:w="8060" w:type="dxa"/>
            <w:vAlign w:val="bottom"/>
          </w:tcPr>
          <w:p>
            <w:pPr>
              <w:ind w:left="20"/>
              <w:spacing w:after="0" w:line="20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$4,501</w:t>
            </w:r>
          </w:p>
        </w:tc>
        <w:tc>
          <w:tcPr>
            <w:tcW w:w="96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$1,338</w:t>
            </w:r>
          </w:p>
        </w:tc>
        <w:tc>
          <w:tcPr>
            <w:tcW w:w="620" w:type="dxa"/>
            <w:vAlign w:val="bottom"/>
          </w:tcPr>
          <w:p>
            <w:pPr>
              <w:spacing w:after="0"/>
              <w:rPr>
                <w:sz w:val="17"/>
                <w:szCs w:val="17"/>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NM</w:t>
            </w:r>
          </w:p>
        </w:tc>
      </w:tr>
      <w:tr>
        <w:trPr>
          <w:trHeight w:val="54"/>
        </w:trPr>
        <w:tc>
          <w:tcPr>
            <w:tcW w:w="8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Borders>
              <w:right w:val="single" w:sz="8" w:color="D9D9D6"/>
            </w:tcBorders>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-1499870</wp:posOffset>
            </wp:positionV>
            <wp:extent cx="7063740" cy="1628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1628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109"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2025 Highlights:</w:t>
      </w:r>
    </w:p>
    <w:p>
      <w:pPr>
        <w:spacing w:after="0" w:line="40" w:lineRule="exact"/>
        <w:rPr>
          <w:sz w:val="20"/>
          <w:szCs w:val="20"/>
          <w:color w:val="auto"/>
        </w:rPr>
      </w:pPr>
    </w:p>
    <w:p>
      <w:pPr>
        <w:ind w:left="340" w:right="20" w:hanging="332"/>
        <w:spacing w:after="0" w:line="26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1.1% to $10.3 Billion; Adjusted EPS Increased 3.3% to $1.25; Generated Free Cash Flow of $4.5 Billion</w:t>
      </w:r>
    </w:p>
    <w:p>
      <w:pPr>
        <w:spacing w:after="0" w:line="8"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$2.9 Billion to Shareholders Through a Combination of $1.2 Billion in Dividend Payments and $1.7 Billion in Share Repurchases, Reducing Shares Outstanding by 5% Compared to the Prior Year Period</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5.4% to $11.5 Billion, Reflecting Growth in Domestic Broadband, Domestic Wireless, International Connectivity and Business Services Connectivity</w:t>
      </w:r>
    </w:p>
    <w:p>
      <w:pPr>
        <w:spacing w:after="0" w:line="1" w:lineRule="exact"/>
        <w:rPr>
          <w:rFonts w:ascii="Arial" w:cs="Arial" w:eastAsia="Arial" w:hAnsi="Arial"/>
          <w:sz w:val="18"/>
          <w:szCs w:val="18"/>
          <w:color w:val="auto"/>
        </w:rPr>
      </w:pPr>
    </w:p>
    <w:p>
      <w:pPr>
        <w:jc w:val="both"/>
        <w:ind w:left="340" w:right="20" w:hanging="332"/>
        <w:spacing w:after="0" w:line="26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Pivoted Our Go-to-Market Strategy and Tactics, Including the Launch of New, National Internet Plans with Everyday Pricing (EDP) and Everything Included; a 5-Year Internet Price Guarantee; a Free Xfinity Unlimited Mobile Line Included for 1-Year; and a New Premium Unlimited Wireless Plan That Delivers Gigabit Speeds, Upgraded Features, and Significant Savings</w:t>
      </w:r>
    </w:p>
    <w:p>
      <w:pPr>
        <w:spacing w:after="0" w:line="8"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 Net Additions Were 378,000, the Best Quarterly Result on Record; Reached 14% Penetration of Our Domestic Residential Broadband Customers with a Total of 8.5 Million Lines</w:t>
      </w:r>
    </w:p>
    <w:p>
      <w:pPr>
        <w:spacing w:after="0" w:line="1"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 EBITDA Increased 9.3% to $1.5 Billion, Driven by Peacock. Peacock Revenue Increased 18% to $1.2 Billion; Peacock EBITDA Losses of $101 Million Improved by $247 Million Compared to the Prior Year Period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jc w:val="both"/>
        <w:ind w:left="34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How to Train Your Dragon </w:t>
      </w:r>
      <w:r>
        <w:rPr>
          <w:rFonts w:ascii="Arial" w:cs="Arial" w:eastAsia="Arial" w:hAnsi="Arial"/>
          <w:sz w:val="18"/>
          <w:szCs w:val="18"/>
          <w:color w:val="auto"/>
        </w:rPr>
        <w:t>Debuted in June and Grossed Over $600 Million in Worldwide Box Office Year-to-Date, Pushing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Franchise's Cumulative Total Past $2 Billion; </w:t>
      </w:r>
      <w:r>
        <w:rPr>
          <w:rFonts w:ascii="Arial" w:cs="Arial" w:eastAsia="Arial" w:hAnsi="Arial"/>
          <w:sz w:val="18"/>
          <w:szCs w:val="18"/>
          <w:i w:val="1"/>
          <w:iCs w:val="1"/>
          <w:color w:val="auto"/>
        </w:rPr>
        <w:t>Jurassic World Rebirth</w:t>
      </w:r>
      <w:r>
        <w:rPr>
          <w:rFonts w:ascii="Arial" w:cs="Arial" w:eastAsia="Arial" w:hAnsi="Arial"/>
          <w:sz w:val="18"/>
          <w:szCs w:val="18"/>
          <w:color w:val="auto"/>
        </w:rPr>
        <w:t xml:space="preserve"> Premiered in July as the Next Installment in the $6 Billion Film Series and Opened to Strong Worldwide Box Office Results</w:t>
      </w:r>
    </w:p>
    <w:p>
      <w:pPr>
        <w:spacing w:after="0" w:line="8"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Celebrated the Grand Opening of Epic Universe on May 22nd, Welcoming Thousands of Visitors to the Park's Five Immersive Worlds and Earning Strong Positive Guest Reactions; Universal Horror Unleashed Opens August 14th in Las Vegas, Expanding Our Parks Footprint with a Year-Round, Horror-Themed Entertainment Experience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2nd Quarter Consolidated Financial Results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2.1% compared to the prior year period.</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was $11.1 billion, including a $9.4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gain from the sale of our interest in Hulu, compared to $3.9 billion in the prior year period.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1.7%. </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increased 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increased to $2.98, compared to $1.00 in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3.3% to $1.25.</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1.7% to $2.7 billion. Connectivity &amp; Platforms’ capital expenditures increased 3.4% to $1.9 billion,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higher spending on customer premise equipment and line extensions. Content &amp; Experiences' capital expenditures decreased 13.1% to $734 million, as we opened Epic Universe in Orlando on May 22,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$7.8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$4.5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49.3 million of its shares for $1.7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$2.9 billion.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494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383"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28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78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2nd Quarter</w:t>
            </w:r>
          </w:p>
        </w:tc>
        <w:tc>
          <w:tcPr>
            <w:tcW w:w="120" w:type="dxa"/>
            <w:vAlign w:val="bottom"/>
            <w:gridSpan w:val="2"/>
            <w:vMerge w:val="restart"/>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12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0" w:type="dxa"/>
            <w:vAlign w:val="bottom"/>
            <w:tcBorders>
              <w:bottom w:val="single" w:sz="8" w:color="D9D9D6"/>
            </w:tcBorders>
            <w:shd w:val="clear" w:color="auto" w:fill="D9D9D6"/>
          </w:tcPr>
          <w:p>
            <w:pPr>
              <w:spacing w:after="0"/>
              <w:rPr>
                <w:sz w:val="6"/>
                <w:szCs w:val="6"/>
                <w:color w:val="auto"/>
              </w:rPr>
            </w:pPr>
          </w:p>
        </w:tc>
        <w:tc>
          <w:tcPr>
            <w:tcW w:w="180" w:type="dxa"/>
            <w:vAlign w:val="bottom"/>
            <w:tcBorders>
              <w:bottom w:val="single" w:sz="8" w:color="D9D9D6"/>
            </w:tcBorders>
            <w:shd w:val="clear" w:color="auto" w:fill="D9D9D6"/>
          </w:tcPr>
          <w:p>
            <w:pPr>
              <w:spacing w:after="0"/>
              <w:rPr>
                <w:sz w:val="6"/>
                <w:szCs w:val="6"/>
                <w:color w:val="auto"/>
              </w:rPr>
            </w:pPr>
          </w:p>
        </w:tc>
        <w:tc>
          <w:tcPr>
            <w:tcW w:w="14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00" w:type="dxa"/>
            <w:vAlign w:val="bottom"/>
            <w:tcBorders>
              <w:bottom w:val="single" w:sz="8" w:color="D9D9D6"/>
            </w:tcBorders>
            <w:shd w:val="clear" w:color="auto" w:fill="D9D9D6"/>
          </w:tcPr>
          <w:p>
            <w:pPr>
              <w:spacing w:after="0"/>
              <w:rPr>
                <w:sz w:val="6"/>
                <w:szCs w:val="6"/>
                <w:color w:val="auto"/>
              </w:rPr>
            </w:pPr>
          </w:p>
        </w:tc>
        <w:tc>
          <w:tcPr>
            <w:tcW w:w="780" w:type="dxa"/>
            <w:vAlign w:val="bottom"/>
            <w:tcBorders>
              <w:bottom w:val="single" w:sz="8" w:color="auto"/>
            </w:tcBorders>
            <w:gridSpan w:val="2"/>
            <w:vMerge w:val="continue"/>
            <w:shd w:val="clear" w:color="auto" w:fill="D9D9D6"/>
          </w:tcPr>
          <w:p>
            <w:pPr>
              <w:spacing w:after="0"/>
              <w:rPr>
                <w:sz w:val="6"/>
                <w:szCs w:val="6"/>
                <w:color w:val="auto"/>
              </w:rPr>
            </w:pPr>
          </w:p>
        </w:tc>
        <w:tc>
          <w:tcPr>
            <w:tcW w:w="120" w:type="dxa"/>
            <w:vAlign w:val="bottom"/>
            <w:tcBorders>
              <w:bottom w:val="single" w:sz="8" w:color="D9D9D6"/>
            </w:tcBorders>
            <w:gridSpan w:val="2"/>
            <w:vMerge w:val="continue"/>
            <w:shd w:val="clear" w:color="auto" w:fill="D9D9D6"/>
          </w:tcPr>
          <w:p>
            <w:pPr>
              <w:spacing w:after="0"/>
              <w:rPr>
                <w:sz w:val="6"/>
                <w:szCs w:val="6"/>
                <w:color w:val="auto"/>
              </w:rPr>
            </w:pPr>
          </w:p>
        </w:tc>
        <w:tc>
          <w:tcPr>
            <w:tcW w:w="5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0" w:type="dxa"/>
            <w:vAlign w:val="bottom"/>
            <w:tcBorders>
              <w:bottom w:val="single" w:sz="8" w:color="D9D9D6"/>
            </w:tcBorders>
            <w:shd w:val="clear" w:color="auto" w:fill="D9D9D6"/>
          </w:tcPr>
          <w:p>
            <w:pPr>
              <w:spacing w:after="0"/>
              <w:rPr>
                <w:sz w:val="6"/>
                <w:szCs w:val="6"/>
                <w:color w:val="auto"/>
              </w:rPr>
            </w:pPr>
          </w:p>
        </w:tc>
        <w:tc>
          <w:tcPr>
            <w:tcW w:w="1120" w:type="dxa"/>
            <w:vAlign w:val="bottom"/>
            <w:tcBorders>
              <w:bottom w:val="single" w:sz="8" w:color="D9D9D6"/>
              <w:right w:val="single" w:sz="8" w:color="D9D9D6"/>
            </w:tcBorders>
            <w:gridSpan w:val="2"/>
            <w:vMerge w:val="restart"/>
            <w:shd w:val="clear" w:color="auto" w:fill="D9D9D6"/>
          </w:tcPr>
          <w:p>
            <w:pPr>
              <w:jc w:val="right"/>
              <w:spacing w:after="0" w:line="146" w:lineRule="exact"/>
              <w:rPr>
                <w:sz w:val="20"/>
                <w:szCs w:val="20"/>
                <w:color w:val="auto"/>
              </w:rPr>
            </w:pPr>
            <w:r>
              <w:rPr>
                <w:rFonts w:ascii="Arial" w:cs="Arial" w:eastAsia="Arial" w:hAnsi="Arial"/>
                <w:sz w:val="14"/>
                <w:szCs w:val="14"/>
                <w:color w:val="auto"/>
              </w:rPr>
              <w:t>Currency</w:t>
            </w:r>
          </w:p>
        </w:tc>
        <w:tc>
          <w:tcPr>
            <w:tcW w:w="32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8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20" w:type="dxa"/>
            <w:vAlign w:val="bottom"/>
            <w:tcBorders>
              <w:right w:val="single" w:sz="8" w:color="D9D9D6"/>
            </w:tcBorders>
            <w:gridSpan w:val="2"/>
            <w:vMerge w:val="continue"/>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8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20" w:type="dxa"/>
            <w:vAlign w:val="bottom"/>
            <w:tcBorders>
              <w:bottom w:val="single" w:sz="8" w:color="auto"/>
            </w:tcBorders>
            <w:gridSpan w:val="2"/>
            <w:vMerge w:val="continue"/>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32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2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$17,814</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$17,824</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(1.2 %)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2,575</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2,421</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6.3 %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$20,389</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$20,245</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(0.4 %)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$7,082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$7,103</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1,444</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1,380</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$8,526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$8,483</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39.8</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39.9 %</w:t>
            </w:r>
          </w:p>
        </w:tc>
        <w:tc>
          <w:tcPr>
            <w:tcW w:w="20" w:type="dxa"/>
            <w:vAlign w:val="bottom"/>
            <w:shd w:val="clear" w:color="auto" w:fill="D9D9D6"/>
          </w:tcPr>
          <w:p>
            <w:pPr>
              <w:spacing w:after="0"/>
              <w:rPr>
                <w:sz w:val="24"/>
                <w:szCs w:val="24"/>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 bps</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20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56.1</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57.0 %</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(90) bps</w:t>
            </w:r>
          </w:p>
        </w:tc>
        <w:tc>
          <w:tcPr>
            <w:tcW w:w="56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(80)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41.8</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41.9 %</w:t>
            </w:r>
          </w:p>
        </w:tc>
        <w:tc>
          <w:tcPr>
            <w:tcW w:w="20" w:type="dxa"/>
            <w:vAlign w:val="bottom"/>
            <w:shd w:val="clear" w:color="auto" w:fill="D9D9D6"/>
          </w:tcPr>
          <w:p>
            <w:pPr>
              <w:spacing w:after="0"/>
              <w:rPr>
                <w:sz w:val="17"/>
                <w:szCs w:val="17"/>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 bps</w:t>
            </w:r>
          </w:p>
        </w:tc>
        <w:tc>
          <w:tcPr>
            <w:tcW w:w="56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20 bps</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5880" w:space="720"/>
            <w:col w:w="4640"/>
          </w:cols>
          <w:pgMar w:left="320" w:top="580" w:right="339" w:bottom="1440" w:gutter="0" w:footer="0" w:header="0"/>
          <w:type w:val="continuous"/>
        </w:sectPr>
      </w:pPr>
    </w:p>
    <w:p>
      <w:pPr>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Connectivity &amp; Platforms were consistent with the prior year period.</w:t>
      </w:r>
      <w:r>
        <w:rPr>
          <w:rFonts w:ascii="Arial" w:cs="Arial" w:eastAsia="Arial" w:hAnsi="Arial"/>
          <w:sz w:val="18"/>
          <w:szCs w:val="18"/>
          <w:b w:val="1"/>
          <w:bCs w:val="1"/>
          <w:i w:val="1"/>
          <w:iCs w:val="1"/>
          <w:color w:val="auto"/>
        </w:rPr>
        <w:t xml:space="preserve"> Adjusted EBITDA margin </w:t>
      </w:r>
      <w:r>
        <w:rPr>
          <w:rFonts w:ascii="Arial" w:cs="Arial" w:eastAsia="Arial" w:hAnsi="Arial"/>
          <w:sz w:val="18"/>
          <w:szCs w:val="18"/>
          <w:color w:val="auto"/>
        </w:rPr>
        <w:t>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41.8%.</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744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4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380" w:type="dxa"/>
            <w:vAlign w:val="bottom"/>
            <w:tcBorders>
              <w:top w:val="single" w:sz="8" w:color="auto"/>
              <w:bottom w:val="single" w:sz="8" w:color="D9D9D6"/>
            </w:tcBorders>
            <w:shd w:val="clear" w:color="auto" w:fill="D9D9D6"/>
          </w:tcPr>
          <w:p>
            <w:pPr>
              <w:spacing w:after="0"/>
              <w:rPr>
                <w:sz w:val="15"/>
                <w:szCs w:val="15"/>
                <w:color w:val="auto"/>
              </w:rPr>
            </w:pPr>
          </w:p>
        </w:tc>
        <w:tc>
          <w:tcPr>
            <w:tcW w:w="78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2nd Quarter</w:t>
            </w:r>
          </w:p>
        </w:tc>
        <w:tc>
          <w:tcPr>
            <w:tcW w:w="60" w:type="dxa"/>
            <w:vAlign w:val="bottom"/>
            <w:tcBorders>
              <w:top w:val="single" w:sz="8" w:color="auto"/>
              <w:bottom w:val="single" w:sz="8" w:color="D9D9D6"/>
            </w:tcBorders>
            <w:shd w:val="clear" w:color="auto" w:fill="D9D9D6"/>
          </w:tcPr>
          <w:p>
            <w:pPr>
              <w:spacing w:after="0"/>
              <w:rPr>
                <w:sz w:val="15"/>
                <w:szCs w:val="15"/>
                <w:color w:val="auto"/>
              </w:rPr>
            </w:pPr>
          </w:p>
        </w:tc>
        <w:tc>
          <w:tcPr>
            <w:tcW w:w="100" w:type="dxa"/>
            <w:vAlign w:val="bottom"/>
            <w:tcBorders>
              <w:top w:val="single" w:sz="8" w:color="auto"/>
              <w:bottom w:val="single" w:sz="8" w:color="D9D9D6"/>
            </w:tcBorders>
            <w:shd w:val="clear" w:color="auto" w:fill="D9D9D6"/>
          </w:tcPr>
          <w:p>
            <w:pPr>
              <w:spacing w:after="0"/>
              <w:rPr>
                <w:sz w:val="15"/>
                <w:szCs w:val="15"/>
                <w:color w:val="auto"/>
              </w:rPr>
            </w:pPr>
          </w:p>
        </w:tc>
        <w:tc>
          <w:tcPr>
            <w:tcW w:w="220" w:type="dxa"/>
            <w:vAlign w:val="bottom"/>
            <w:tcBorders>
              <w:top w:val="single" w:sz="8" w:color="auto"/>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4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2Q25</w:t>
            </w:r>
          </w:p>
        </w:tc>
        <w:tc>
          <w:tcPr>
            <w:tcW w:w="520" w:type="dxa"/>
            <w:vAlign w:val="bottom"/>
            <w:shd w:val="clear" w:color="auto" w:fill="D9D9D6"/>
          </w:tcPr>
          <w:p>
            <w:pPr>
              <w:spacing w:after="0"/>
              <w:rPr>
                <w:sz w:val="15"/>
                <w:szCs w:val="15"/>
                <w:color w:val="auto"/>
              </w:rPr>
            </w:pPr>
          </w:p>
        </w:tc>
        <w:tc>
          <w:tcPr>
            <w:tcW w:w="3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2Q24</w:t>
            </w:r>
          </w:p>
        </w:tc>
        <w:tc>
          <w:tcPr>
            <w:tcW w:w="1280" w:type="dxa"/>
            <w:vAlign w:val="bottom"/>
            <w:gridSpan w:val="5"/>
            <w:shd w:val="clear" w:color="auto" w:fill="D9D9D6"/>
          </w:tcPr>
          <w:p>
            <w:pPr>
              <w:jc w:val="right"/>
              <w:ind w:right="420"/>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D9D9D6"/>
          </w:tcPr>
          <w:p>
            <w:pPr>
              <w:spacing w:after="0"/>
              <w:rPr>
                <w:sz w:val="15"/>
                <w:szCs w:val="15"/>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30,746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31,426</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(223)</w:t>
            </w:r>
          </w:p>
        </w:tc>
        <w:tc>
          <w:tcPr>
            <w:tcW w:w="42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17,698</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17,638</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(102)</w:t>
            </w:r>
          </w:p>
        </w:tc>
        <w:tc>
          <w:tcPr>
            <w:tcW w:w="42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D9D9D6"/>
          </w:tcPr>
          <w:p>
            <w:pPr>
              <w:spacing w:after="0"/>
              <w:rPr>
                <w:sz w:val="18"/>
                <w:szCs w:val="18"/>
                <w:color w:val="auto"/>
              </w:rPr>
            </w:pPr>
          </w:p>
        </w:tc>
      </w:tr>
      <w:tr>
        <w:trPr>
          <w:trHeight w:val="203"/>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line="202" w:lineRule="exact"/>
              <w:rPr>
                <w:sz w:val="20"/>
                <w:szCs w:val="20"/>
                <w:color w:val="auto"/>
              </w:rPr>
            </w:pPr>
            <w:r>
              <w:rPr>
                <w:rFonts w:ascii="Arial" w:cs="Arial" w:eastAsia="Arial" w:hAnsi="Arial"/>
                <w:sz w:val="14"/>
                <w:szCs w:val="14"/>
                <w:color w:val="auto"/>
              </w:rPr>
              <w:t>Business Services Connectivity Customer Relationships</w:t>
            </w:r>
            <w:r>
              <w:rPr>
                <w:rFonts w:ascii="Arial" w:cs="Arial" w:eastAsia="Arial" w:hAnsi="Arial"/>
                <w:sz w:val="18"/>
                <w:szCs w:val="18"/>
                <w:color w:val="auto"/>
                <w:vertAlign w:val="superscript"/>
              </w:rPr>
              <w:t>5</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2,713</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2,632</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4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194"/>
        </w:trPr>
        <w:tc>
          <w:tcPr>
            <w:tcW w:w="120" w:type="dxa"/>
            <w:vAlign w:val="bottom"/>
            <w:shd w:val="clear" w:color="auto" w:fill="D9D9D6"/>
          </w:tcPr>
          <w:p>
            <w:pPr>
              <w:spacing w:after="0"/>
              <w:rPr>
                <w:sz w:val="16"/>
                <w:szCs w:val="16"/>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51,156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51,696</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(349)</w:t>
            </w:r>
          </w:p>
        </w:tc>
        <w:tc>
          <w:tcPr>
            <w:tcW w:w="4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(275)</w:t>
            </w:r>
          </w:p>
        </w:tc>
        <w:tc>
          <w:tcPr>
            <w:tcW w:w="120" w:type="dxa"/>
            <w:vAlign w:val="bottom"/>
            <w:shd w:val="clear" w:color="auto" w:fill="D9D9D6"/>
          </w:tcPr>
          <w:p>
            <w:pPr>
              <w:spacing w:after="0"/>
              <w:rPr>
                <w:sz w:val="16"/>
                <w:szCs w:val="16"/>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28,989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29,583</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(201)</w:t>
            </w:r>
          </w:p>
        </w:tc>
        <w:tc>
          <w:tcPr>
            <w:tcW w:w="42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D9D9D6"/>
          </w:tcPr>
          <w:p>
            <w:pPr>
              <w:spacing w:after="0"/>
              <w:rPr>
                <w:sz w:val="17"/>
                <w:szCs w:val="17"/>
                <w:color w:val="auto"/>
              </w:rPr>
            </w:pPr>
          </w:p>
        </w:tc>
      </w:tr>
      <w:tr>
        <w:trPr>
          <w:trHeight w:val="203"/>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line="202" w:lineRule="exact"/>
              <w:rPr>
                <w:sz w:val="20"/>
                <w:szCs w:val="20"/>
                <w:color w:val="auto"/>
              </w:rPr>
            </w:pPr>
            <w:r>
              <w:rPr>
                <w:rFonts w:ascii="Arial" w:cs="Arial" w:eastAsia="Arial" w:hAnsi="Arial"/>
                <w:sz w:val="14"/>
                <w:szCs w:val="14"/>
                <w:color w:val="auto"/>
              </w:rPr>
              <w:t>Business Customers</w:t>
            </w:r>
            <w:r>
              <w:rPr>
                <w:rFonts w:ascii="Arial" w:cs="Arial" w:eastAsia="Arial" w:hAnsi="Arial"/>
                <w:sz w:val="18"/>
                <w:szCs w:val="18"/>
                <w:color w:val="auto"/>
                <w:vertAlign w:val="superscript"/>
              </w:rPr>
              <w:t>5</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2,551</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2,485</w:t>
            </w:r>
          </w:p>
        </w:tc>
        <w:tc>
          <w:tcPr>
            <w:tcW w:w="86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4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195"/>
        </w:trPr>
        <w:tc>
          <w:tcPr>
            <w:tcW w:w="120" w:type="dxa"/>
            <w:vAlign w:val="bottom"/>
            <w:shd w:val="clear" w:color="auto" w:fill="D9D9D6"/>
          </w:tcPr>
          <w:p>
            <w:pPr>
              <w:spacing w:after="0"/>
              <w:rPr>
                <w:sz w:val="16"/>
                <w:szCs w:val="16"/>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31,540</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32,068</w:t>
            </w:r>
          </w:p>
        </w:tc>
        <w:tc>
          <w:tcPr>
            <w:tcW w:w="86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(226)</w:t>
            </w:r>
          </w:p>
        </w:tc>
        <w:tc>
          <w:tcPr>
            <w:tcW w:w="4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(120)</w:t>
            </w:r>
          </w:p>
        </w:tc>
        <w:tc>
          <w:tcPr>
            <w:tcW w:w="120" w:type="dxa"/>
            <w:vAlign w:val="bottom"/>
            <w:shd w:val="clear" w:color="auto" w:fill="D9D9D6"/>
          </w:tcPr>
          <w:p>
            <w:pPr>
              <w:spacing w:after="0"/>
              <w:rPr>
                <w:sz w:val="16"/>
                <w:szCs w:val="16"/>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8,527</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7,199</w:t>
            </w:r>
          </w:p>
        </w:tc>
        <w:tc>
          <w:tcPr>
            <w:tcW w:w="8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378</w:t>
            </w:r>
          </w:p>
        </w:tc>
        <w:tc>
          <w:tcPr>
            <w:tcW w:w="4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322</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11,771</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13,199</w:t>
            </w:r>
          </w:p>
        </w:tc>
        <w:tc>
          <w:tcPr>
            <w:tcW w:w="8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(325)</w:t>
            </w:r>
          </w:p>
        </w:tc>
        <w:tc>
          <w:tcPr>
            <w:tcW w:w="42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(419)</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349,000 to 51.2 million, primarily reflecting decreases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Connectivity &amp; Platforms customer relationships. Total domestic broadband customer net losses were 226,000, total domestic wireless line net additions were 378,000 and total domestic video customer net losses were 325,000.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80" w:type="dxa"/>
            <w:vAlign w:val="bottom"/>
            <w:tcBorders>
              <w:right w:val="single" w:sz="8" w:color="D9D9D6"/>
            </w:tcBorders>
            <w:shd w:val="clear" w:color="auto" w:fill="D9D9D6"/>
          </w:tcPr>
          <w:p>
            <w:pPr>
              <w:spacing w:after="0"/>
              <w:rPr>
                <w:sz w:val="19"/>
                <w:szCs w:val="19"/>
                <w:color w:val="auto"/>
              </w:rPr>
            </w:pPr>
          </w:p>
        </w:tc>
        <w:tc>
          <w:tcPr>
            <w:tcW w:w="58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80" w:type="dxa"/>
            <w:vAlign w:val="bottom"/>
            <w:tcBorders>
              <w:right w:val="single" w:sz="8" w:color="D9D9D6"/>
            </w:tcBorders>
            <w:shd w:val="clear" w:color="auto" w:fill="D9D9D6"/>
          </w:tcPr>
          <w:p>
            <w:pPr>
              <w:spacing w:after="0"/>
              <w:rPr>
                <w:sz w:val="12"/>
                <w:szCs w:val="12"/>
                <w:color w:val="auto"/>
              </w:rPr>
            </w:pPr>
          </w:p>
        </w:tc>
        <w:tc>
          <w:tcPr>
            <w:tcW w:w="920" w:type="dxa"/>
            <w:vAlign w:val="bottom"/>
            <w:gridSpan w:val="4"/>
            <w:vMerge w:val="restart"/>
            <w:shd w:val="clear" w:color="auto" w:fill="D9D9D6"/>
          </w:tcPr>
          <w:p>
            <w:pPr>
              <w:jc w:val="right"/>
              <w:ind w:right="160"/>
              <w:spacing w:after="0"/>
              <w:rPr>
                <w:sz w:val="20"/>
                <w:szCs w:val="20"/>
                <w:color w:val="auto"/>
              </w:rPr>
            </w:pPr>
            <w:r>
              <w:rPr>
                <w:rFonts w:ascii="Arial" w:cs="Arial" w:eastAsia="Arial" w:hAnsi="Arial"/>
                <w:sz w:val="14"/>
                <w:szCs w:val="14"/>
                <w:color w:val="auto"/>
                <w:w w:val="98"/>
              </w:rPr>
              <w:t>2nd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80" w:type="dxa"/>
            <w:vAlign w:val="bottom"/>
            <w:tcBorders>
              <w:right w:val="single" w:sz="8" w:color="D9D9D6"/>
            </w:tcBorders>
            <w:shd w:val="clear" w:color="auto" w:fill="D9D9D6"/>
          </w:tcPr>
          <w:p>
            <w:pPr>
              <w:spacing w:after="0"/>
              <w:rPr>
                <w:sz w:val="6"/>
                <w:szCs w:val="6"/>
                <w:color w:val="auto"/>
              </w:rPr>
            </w:pPr>
          </w:p>
        </w:tc>
        <w:tc>
          <w:tcPr>
            <w:tcW w:w="92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4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780" w:type="dxa"/>
            <w:vAlign w:val="bottom"/>
            <w:shd w:val="clear" w:color="auto" w:fill="D9D9D6"/>
          </w:tcPr>
          <w:p>
            <w:pPr>
              <w:spacing w:after="0" w:line="20" w:lineRule="exact"/>
              <w:rPr>
                <w:sz w:val="1"/>
                <w:szCs w:val="1"/>
                <w:color w:val="auto"/>
              </w:rPr>
            </w:pPr>
          </w:p>
        </w:tc>
        <w:tc>
          <w:tcPr>
            <w:tcW w:w="760" w:type="dxa"/>
            <w:vAlign w:val="bottom"/>
            <w:shd w:val="clear" w:color="auto" w:fill="D9D9D6"/>
          </w:tcPr>
          <w:p>
            <w:pPr>
              <w:spacing w:after="0" w:line="20" w:lineRule="exact"/>
              <w:rPr>
                <w:sz w:val="1"/>
                <w:szCs w:val="1"/>
                <w:color w:val="auto"/>
              </w:rPr>
            </w:pPr>
          </w:p>
        </w:tc>
        <w:tc>
          <w:tcPr>
            <w:tcW w:w="320" w:type="dxa"/>
            <w:vAlign w:val="bottom"/>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2025</w:t>
            </w:r>
          </w:p>
        </w:tc>
        <w:tc>
          <w:tcPr>
            <w:tcW w:w="80" w:type="dxa"/>
            <w:vAlign w:val="bottom"/>
            <w:tcBorders>
              <w:right w:val="single" w:sz="8" w:color="D9D9D6"/>
            </w:tcBorders>
            <w:shd w:val="clear" w:color="auto" w:fill="D9D9D6"/>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0" w:type="dxa"/>
            <w:vAlign w:val="bottom"/>
            <w:shd w:val="clear" w:color="auto" w:fill="D9D9D6"/>
          </w:tcPr>
          <w:p>
            <w:pPr>
              <w:spacing w:after="0" w:line="20" w:lineRule="exact"/>
              <w:rPr>
                <w:sz w:val="1"/>
                <w:szCs w:val="1"/>
                <w:color w:val="auto"/>
              </w:rPr>
            </w:pPr>
          </w:p>
        </w:tc>
        <w:tc>
          <w:tcPr>
            <w:tcW w:w="1080" w:type="dxa"/>
            <w:vAlign w:val="bottom"/>
            <w:gridSpan w:val="4"/>
            <w:vMerge w:val="continue"/>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00" w:type="dxa"/>
            <w:vAlign w:val="bottom"/>
            <w:shd w:val="clear" w:color="auto" w:fill="D9D9D6"/>
          </w:tcPr>
          <w:p>
            <w:pPr>
              <w:spacing w:after="0"/>
              <w:rPr>
                <w:sz w:val="4"/>
                <w:szCs w:val="4"/>
                <w:color w:val="auto"/>
              </w:rPr>
            </w:pPr>
          </w:p>
        </w:tc>
        <w:tc>
          <w:tcPr>
            <w:tcW w:w="6780" w:type="dxa"/>
            <w:vAlign w:val="bottom"/>
            <w:shd w:val="clear" w:color="auto" w:fill="D9D9D6"/>
          </w:tcPr>
          <w:p>
            <w:pPr>
              <w:spacing w:after="0"/>
              <w:rPr>
                <w:sz w:val="4"/>
                <w:szCs w:val="4"/>
                <w:color w:val="auto"/>
              </w:rPr>
            </w:pPr>
          </w:p>
        </w:tc>
        <w:tc>
          <w:tcPr>
            <w:tcW w:w="760" w:type="dxa"/>
            <w:vAlign w:val="bottom"/>
            <w:shd w:val="clear" w:color="auto" w:fill="D9D9D6"/>
          </w:tcPr>
          <w:p>
            <w:pPr>
              <w:spacing w:after="0"/>
              <w:rPr>
                <w:sz w:val="4"/>
                <w:szCs w:val="4"/>
                <w:color w:val="auto"/>
              </w:rPr>
            </w:pPr>
          </w:p>
        </w:tc>
        <w:tc>
          <w:tcPr>
            <w:tcW w:w="320" w:type="dxa"/>
            <w:vAlign w:val="bottom"/>
            <w:vMerge w:val="continue"/>
            <w:shd w:val="clear" w:color="auto" w:fill="D9D9D6"/>
          </w:tcPr>
          <w:p>
            <w:pPr>
              <w:spacing w:after="0"/>
              <w:rPr>
                <w:sz w:val="4"/>
                <w:szCs w:val="4"/>
                <w:color w:val="auto"/>
              </w:rPr>
            </w:pPr>
          </w:p>
        </w:tc>
        <w:tc>
          <w:tcPr>
            <w:tcW w:w="80" w:type="dxa"/>
            <w:vAlign w:val="bottom"/>
            <w:tcBorders>
              <w:right w:val="single" w:sz="8" w:color="D9D9D6"/>
            </w:tcBorders>
            <w:shd w:val="clear" w:color="auto" w:fill="D9D9D6"/>
          </w:tcPr>
          <w:p>
            <w:pPr>
              <w:spacing w:after="0"/>
              <w:rPr>
                <w:sz w:val="4"/>
                <w:szCs w:val="4"/>
                <w:color w:val="auto"/>
              </w:rPr>
            </w:pPr>
          </w:p>
        </w:tc>
        <w:tc>
          <w:tcPr>
            <w:tcW w:w="9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80" w:type="dxa"/>
            <w:vAlign w:val="bottom"/>
            <w:shd w:val="clear" w:color="auto" w:fill="D9D9D6"/>
          </w:tcPr>
          <w:p>
            <w:pPr>
              <w:spacing w:after="0"/>
              <w:rPr>
                <w:sz w:val="4"/>
                <w:szCs w:val="4"/>
                <w:color w:val="auto"/>
              </w:rPr>
            </w:pPr>
          </w:p>
        </w:tc>
        <w:tc>
          <w:tcPr>
            <w:tcW w:w="520" w:type="dxa"/>
            <w:vAlign w:val="bottom"/>
            <w:gridSpan w:val="2"/>
            <w:vMerge w:val="continue"/>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080" w:type="dxa"/>
            <w:vAlign w:val="bottom"/>
            <w:gridSpan w:val="4"/>
            <w:vMerge w:val="continue"/>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vMerge w:val="continue"/>
            <w:shd w:val="clear" w:color="auto" w:fill="D9D9D6"/>
          </w:tcPr>
          <w:p>
            <w:pPr>
              <w:spacing w:after="0"/>
              <w:rPr>
                <w:sz w:val="15"/>
                <w:szCs w:val="15"/>
                <w:color w:val="auto"/>
              </w:rPr>
            </w:pPr>
          </w:p>
        </w:tc>
        <w:tc>
          <w:tcPr>
            <w:tcW w:w="80" w:type="dxa"/>
            <w:vAlign w:val="bottom"/>
            <w:tcBorders>
              <w:bottom w:val="single" w:sz="8" w:color="D9D9D6"/>
              <w:right w:val="single" w:sz="8" w:color="D9D9D6"/>
            </w:tcBorders>
            <w:shd w:val="clear" w:color="auto" w:fill="D9D9D6"/>
          </w:tcPr>
          <w:p>
            <w:pPr>
              <w:spacing w:after="0"/>
              <w:rPr>
                <w:sz w:val="15"/>
                <w:szCs w:val="15"/>
                <w:color w:val="auto"/>
              </w:rPr>
            </w:pPr>
          </w:p>
        </w:tc>
        <w:tc>
          <w:tcPr>
            <w:tcW w:w="920" w:type="dxa"/>
            <w:vAlign w:val="bottom"/>
            <w:tcBorders>
              <w:bottom w:val="single" w:sz="8" w:color="D9D9D6"/>
            </w:tcBorders>
            <w:gridSpan w:val="4"/>
            <w:vMerge w:val="continue"/>
            <w:shd w:val="clear" w:color="auto" w:fill="D9D9D6"/>
          </w:tcPr>
          <w:p>
            <w:pPr>
              <w:spacing w:after="0"/>
              <w:rPr>
                <w:sz w:val="15"/>
                <w:szCs w:val="15"/>
                <w:color w:val="auto"/>
              </w:rPr>
            </w:pP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vMerge w:val="continue"/>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right w:val="single" w:sz="8" w:color="D9D9D6"/>
            </w:tcBorders>
            <w:shd w:val="clear" w:color="auto" w:fill="D9D9D6"/>
          </w:tcPr>
          <w:p>
            <w:pPr>
              <w:spacing w:after="0"/>
              <w:rPr>
                <w:sz w:val="24"/>
                <w:szCs w:val="24"/>
                <w:color w:val="auto"/>
              </w:rPr>
            </w:pPr>
          </w:p>
        </w:tc>
        <w:tc>
          <w:tcPr>
            <w:tcW w:w="5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$6,530</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$6,429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1,195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1,019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17.3 %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1,219</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1,056</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15.4</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8,945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8,505</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6,722</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7,013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935</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993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(7.7</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1,213</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1,313</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(9.0</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$17,814</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$17,824</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tcBorders>
              <w:right w:val="single" w:sz="8" w:color="D9D9D6"/>
            </w:tcBorders>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$3,998</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$4,248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(7.4 %)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6,734</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6,472</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$10,733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$10,721</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$7,082</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$7,103</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(0.3 %)</w:t>
            </w:r>
          </w:p>
        </w:tc>
        <w:tc>
          <w:tcPr>
            <w:tcW w:w="20" w:type="dxa"/>
            <w:vAlign w:val="bottom"/>
            <w:shd w:val="clear" w:color="auto" w:fill="D9D9D6"/>
          </w:tcPr>
          <w:p>
            <w:pPr>
              <w:spacing w:after="0"/>
              <w:rPr>
                <w:sz w:val="24"/>
                <w:szCs w:val="24"/>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(0.8 %)</w:t>
            </w: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39.8 %</w:t>
            </w:r>
          </w:p>
        </w:tc>
        <w:tc>
          <w:tcPr>
            <w:tcW w:w="80" w:type="dxa"/>
            <w:vAlign w:val="bottom"/>
            <w:tcBorders>
              <w:right w:val="single" w:sz="8" w:color="D9D9D6"/>
            </w:tcBorders>
            <w:shd w:val="clear" w:color="auto" w:fill="D9D9D6"/>
          </w:tcPr>
          <w:p>
            <w:pPr>
              <w:spacing w:after="0"/>
              <w:rPr>
                <w:sz w:val="17"/>
                <w:szCs w:val="17"/>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39.9 %</w:t>
            </w:r>
          </w:p>
        </w:tc>
        <w:tc>
          <w:tcPr>
            <w:tcW w:w="20" w:type="dxa"/>
            <w:vAlign w:val="bottom"/>
            <w:shd w:val="clear" w:color="auto" w:fill="D9D9D6"/>
          </w:tcPr>
          <w:p>
            <w:pPr>
              <w:spacing w:after="0"/>
              <w:rPr>
                <w:sz w:val="17"/>
                <w:szCs w:val="17"/>
                <w:color w:val="auto"/>
              </w:rPr>
            </w:pPr>
          </w:p>
        </w:tc>
        <w:tc>
          <w:tcPr>
            <w:tcW w:w="10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80" w:type="dxa"/>
            <w:vAlign w:val="bottom"/>
            <w:tcBorders>
              <w:right w:val="single" w:sz="8" w:color="D9D9D6"/>
            </w:tcBorders>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in the first quarter of 2025, commission revenue from the sale of certain direct to consumer (“DTC”) streaming services and revenue related to certain equipment are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presented in video revenue. Previously, these amounts were presented in domestic broadband and international connectivity. Prior periods have been reclassified to reflect the current year presentation.</w:t>
      </w:r>
    </w:p>
    <w:p>
      <w:pPr>
        <w:spacing w:after="0" w:line="27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with the prior year period but decreased when excluding the impact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currency, driven by decreases in video, other and advertising revenue, offset by increases in domestic wireless, international connectivity and domestic broadband revenue. Domestic broadband revenue increased due to higher average rates, partially offset by a</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decline in the number of domestic broadband customers. Domestic wireless revenue increased primarily due to an increase in the number of customer lines and device sales. International connectivity revenue increased due to increases in broadband revenue from higher average rates and in wireless revenue, reflecting higher sales of wireless services, which includes the positive impact of foreign currency. Video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due to a decline in the number of video customers, partially offset by an overall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8"/>
          <w:szCs w:val="18"/>
          <w:color w:val="auto"/>
        </w:rPr>
        <w:t>increase in average rates and the positive impact of foreign currency. Advertising revenue decreased due to lower domestic nonpolitical and political advertising and lower international advertising, partially offset by the positive impact of foreign currency. Other revenue decreased primarily due to lower residential wireline voice revenue, driven by a decline in the number of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was consistent with the prior year period reflecting lower revenue mostly offset by</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lower operating expenses when excluding the impact of foreign currency. Programming expenses decreased primarily due to a decline in the number of domestic video customers, partially offset by rate increases under our domestic programming contracts, an increase in programming expenses for our international sports networks and the impact of foreign currency. Non-programming expenses increased primarily due to an increase in direct product costs mainly due to higher mobile device sales, as well as higher marketing and promotion</w:t>
      </w:r>
    </w:p>
    <w:p>
      <w:pPr>
        <w:jc w:val="both"/>
        <w:spacing w:after="0" w:line="244" w:lineRule="auto"/>
        <w:rPr>
          <w:sz w:val="20"/>
          <w:szCs w:val="20"/>
          <w:color w:val="auto"/>
        </w:rPr>
      </w:pPr>
      <w:r>
        <w:rPr>
          <w:rFonts w:ascii="Arial" w:cs="Arial" w:eastAsia="Arial" w:hAnsi="Arial"/>
          <w:sz w:val="18"/>
          <w:szCs w:val="18"/>
          <w:color w:val="auto"/>
        </w:rPr>
        <w:t xml:space="preserve">costs driven by our new broadband and mobile offers introduced in April 2025, as well as the impact of foreign currency.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margin </w:t>
      </w:r>
      <w:r>
        <w:rPr>
          <w:rFonts w:ascii="Arial" w:cs="Arial" w:eastAsia="Arial" w:hAnsi="Arial"/>
          <w:sz w:val="18"/>
          <w:szCs w:val="18"/>
          <w:color w:val="auto"/>
        </w:rPr>
        <w:t>was 39.8%.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2"/>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tcBorders>
              <w:right w:val="single" w:sz="8" w:color="D9D9D6"/>
            </w:tcBorders>
            <w:gridSpan w:val="3"/>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2nd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D9D9D6"/>
          </w:tcPr>
          <w:p>
            <w:pPr>
              <w:spacing w:after="0"/>
              <w:rPr>
                <w:sz w:val="7"/>
                <w:szCs w:val="7"/>
                <w:color w:val="auto"/>
              </w:rPr>
            </w:pPr>
          </w:p>
        </w:tc>
        <w:tc>
          <w:tcPr>
            <w:tcW w:w="6820" w:type="dxa"/>
            <w:vAlign w:val="bottom"/>
            <w:shd w:val="clear" w:color="auto" w:fill="D9D9D6"/>
          </w:tcPr>
          <w:p>
            <w:pPr>
              <w:spacing w:after="0"/>
              <w:rPr>
                <w:sz w:val="7"/>
                <w:szCs w:val="7"/>
                <w:color w:val="auto"/>
              </w:rPr>
            </w:pPr>
          </w:p>
        </w:tc>
        <w:tc>
          <w:tcPr>
            <w:tcW w:w="640" w:type="dxa"/>
            <w:vAlign w:val="bottom"/>
            <w:shd w:val="clear" w:color="auto" w:fill="D9D9D6"/>
          </w:tcPr>
          <w:p>
            <w:pPr>
              <w:spacing w:after="0"/>
              <w:rPr>
                <w:sz w:val="7"/>
                <w:szCs w:val="7"/>
                <w:color w:val="auto"/>
              </w:rPr>
            </w:pPr>
          </w:p>
        </w:tc>
        <w:tc>
          <w:tcPr>
            <w:tcW w:w="32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000" w:type="dxa"/>
            <w:vAlign w:val="bottom"/>
            <w:tcBorders>
              <w:right w:val="single" w:sz="8" w:color="D9D9D6"/>
            </w:tcBorders>
            <w:gridSpan w:val="3"/>
            <w:vMerge w:val="continue"/>
            <w:shd w:val="clear" w:color="auto" w:fill="D9D9D6"/>
          </w:tcPr>
          <w:p>
            <w:pPr>
              <w:spacing w:after="0"/>
              <w:rPr>
                <w:sz w:val="7"/>
                <w:szCs w:val="7"/>
                <w:color w:val="auto"/>
              </w:rPr>
            </w:pPr>
          </w:p>
        </w:tc>
        <w:tc>
          <w:tcPr>
            <w:tcW w:w="540" w:type="dxa"/>
            <w:vAlign w:val="bottom"/>
            <w:shd w:val="clear" w:color="auto" w:fill="D9D9D6"/>
          </w:tcPr>
          <w:p>
            <w:pPr>
              <w:spacing w:after="0"/>
              <w:rPr>
                <w:sz w:val="7"/>
                <w:szCs w:val="7"/>
                <w:color w:val="auto"/>
              </w:rPr>
            </w:pPr>
          </w:p>
        </w:tc>
        <w:tc>
          <w:tcPr>
            <w:tcW w:w="360" w:type="dxa"/>
            <w:vAlign w:val="bottom"/>
            <w:shd w:val="clear" w:color="auto" w:fill="D9D9D6"/>
          </w:tcPr>
          <w:p>
            <w:pPr>
              <w:spacing w:after="0"/>
              <w:rPr>
                <w:sz w:val="7"/>
                <w:szCs w:val="7"/>
                <w:color w:val="auto"/>
              </w:rPr>
            </w:pPr>
          </w:p>
        </w:tc>
        <w:tc>
          <w:tcPr>
            <w:tcW w:w="140" w:type="dxa"/>
            <w:vAlign w:val="bottom"/>
            <w:shd w:val="clear" w:color="auto" w:fill="D9D9D6"/>
          </w:tcPr>
          <w:p>
            <w:pPr>
              <w:spacing w:after="0"/>
              <w:rPr>
                <w:sz w:val="7"/>
                <w:szCs w:val="7"/>
                <w:color w:val="auto"/>
              </w:rPr>
            </w:pPr>
          </w:p>
        </w:tc>
        <w:tc>
          <w:tcPr>
            <w:tcW w:w="20" w:type="dxa"/>
            <w:vAlign w:val="bottom"/>
            <w:shd w:val="clear" w:color="auto" w:fill="D9D9D6"/>
          </w:tcPr>
          <w:p>
            <w:pPr>
              <w:spacing w:after="0"/>
              <w:rPr>
                <w:sz w:val="7"/>
                <w:szCs w:val="7"/>
                <w:color w:val="auto"/>
              </w:rPr>
            </w:pPr>
          </w:p>
        </w:tc>
        <w:tc>
          <w:tcPr>
            <w:tcW w:w="1260" w:type="dxa"/>
            <w:vAlign w:val="bottom"/>
            <w:gridSpan w:val="3"/>
            <w:vMerge w:val="restart"/>
            <w:shd w:val="clear" w:color="auto" w:fill="D9D9D6"/>
          </w:tcPr>
          <w:p>
            <w:pPr>
              <w:jc w:val="right"/>
              <w:ind w:right="260"/>
              <w:spacing w:after="0" w:line="13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2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60" w:type="dxa"/>
            <w:vAlign w:val="bottom"/>
            <w:gridSpan w:val="3"/>
            <w:vMerge w:val="continue"/>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0" w:type="dxa"/>
            <w:vAlign w:val="bottom"/>
            <w:shd w:val="clear" w:color="auto" w:fill="D9D9D6"/>
          </w:tcPr>
          <w:p>
            <w:pPr>
              <w:spacing w:after="0"/>
              <w:rPr>
                <w:sz w:val="3"/>
                <w:szCs w:val="3"/>
                <w:color w:val="auto"/>
              </w:rPr>
            </w:pPr>
          </w:p>
        </w:tc>
        <w:tc>
          <w:tcPr>
            <w:tcW w:w="6820" w:type="dxa"/>
            <w:vAlign w:val="bottom"/>
            <w:shd w:val="clear" w:color="auto" w:fill="D9D9D6"/>
          </w:tcPr>
          <w:p>
            <w:pPr>
              <w:spacing w:after="0"/>
              <w:rPr>
                <w:sz w:val="3"/>
                <w:szCs w:val="3"/>
                <w:color w:val="auto"/>
              </w:rPr>
            </w:pPr>
          </w:p>
        </w:tc>
        <w:tc>
          <w:tcPr>
            <w:tcW w:w="640" w:type="dxa"/>
            <w:vAlign w:val="bottom"/>
            <w:vMerge w:val="restart"/>
            <w:shd w:val="clear" w:color="auto" w:fill="D9D9D6"/>
          </w:tcPr>
          <w:p>
            <w:pPr>
              <w:spacing w:after="0"/>
              <w:rPr>
                <w:sz w:val="3"/>
                <w:szCs w:val="3"/>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2025</w:t>
            </w:r>
          </w:p>
        </w:tc>
        <w:tc>
          <w:tcPr>
            <w:tcW w:w="160" w:type="dxa"/>
            <w:vAlign w:val="bottom"/>
            <w:vMerge w:val="restart"/>
            <w:shd w:val="clear" w:color="auto" w:fill="D9D9D6"/>
          </w:tcPr>
          <w:p>
            <w:pPr>
              <w:spacing w:after="0"/>
              <w:rPr>
                <w:sz w:val="3"/>
                <w:szCs w:val="3"/>
                <w:color w:val="auto"/>
              </w:rPr>
            </w:pPr>
          </w:p>
        </w:tc>
        <w:tc>
          <w:tcPr>
            <w:tcW w:w="840" w:type="dxa"/>
            <w:vAlign w:val="bottom"/>
            <w:tcBorders>
              <w:right w:val="single" w:sz="8" w:color="D9D9D6"/>
            </w:tcBorders>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0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260" w:type="dxa"/>
            <w:vAlign w:val="bottom"/>
            <w:gridSpan w:val="3"/>
            <w:vMerge w:val="continue"/>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vMerge w:val="continue"/>
            <w:shd w:val="clear" w:color="auto" w:fill="D9D9D6"/>
          </w:tcPr>
          <w:p>
            <w:pPr>
              <w:spacing w:after="0"/>
              <w:rPr>
                <w:sz w:val="12"/>
                <w:szCs w:val="12"/>
                <w:color w:val="auto"/>
              </w:rPr>
            </w:pPr>
          </w:p>
        </w:tc>
        <w:tc>
          <w:tcPr>
            <w:tcW w:w="340" w:type="dxa"/>
            <w:vAlign w:val="bottom"/>
            <w:gridSpan w:val="2"/>
            <w:vMerge w:val="continue"/>
            <w:shd w:val="clear" w:color="auto" w:fill="D9D9D6"/>
          </w:tcPr>
          <w:p>
            <w:pPr>
              <w:spacing w:after="0"/>
              <w:rPr>
                <w:sz w:val="12"/>
                <w:szCs w:val="12"/>
                <w:color w:val="auto"/>
              </w:rPr>
            </w:pPr>
          </w:p>
        </w:tc>
        <w:tc>
          <w:tcPr>
            <w:tcW w:w="160" w:type="dxa"/>
            <w:vAlign w:val="bottom"/>
            <w:vMerge w:val="continue"/>
            <w:shd w:val="clear" w:color="auto" w:fill="D9D9D6"/>
          </w:tcPr>
          <w:p>
            <w:pPr>
              <w:spacing w:after="0"/>
              <w:rPr>
                <w:sz w:val="12"/>
                <w:szCs w:val="12"/>
                <w:color w:val="auto"/>
              </w:rPr>
            </w:pPr>
          </w:p>
        </w:tc>
        <w:tc>
          <w:tcPr>
            <w:tcW w:w="840" w:type="dxa"/>
            <w:vAlign w:val="bottom"/>
            <w:tcBorders>
              <w:right w:val="single" w:sz="8" w:color="D9D9D6"/>
            </w:tcBorders>
            <w:gridSpan w:val="2"/>
            <w:vMerge w:val="continue"/>
            <w:shd w:val="clear" w:color="auto" w:fill="D9D9D6"/>
          </w:tcPr>
          <w:p>
            <w:pPr>
              <w:spacing w:after="0"/>
              <w:rPr>
                <w:sz w:val="12"/>
                <w:szCs w:val="12"/>
                <w:color w:val="auto"/>
              </w:rPr>
            </w:pPr>
          </w:p>
        </w:tc>
        <w:tc>
          <w:tcPr>
            <w:tcW w:w="1060" w:type="dxa"/>
            <w:vAlign w:val="bottom"/>
            <w:gridSpan w:val="4"/>
            <w:vMerge w:val="continue"/>
            <w:shd w:val="clear" w:color="auto" w:fill="D9D9D6"/>
          </w:tcPr>
          <w:p>
            <w:pPr>
              <w:spacing w:after="0"/>
              <w:rPr>
                <w:sz w:val="12"/>
                <w:szCs w:val="12"/>
                <w:color w:val="auto"/>
              </w:rPr>
            </w:pPr>
          </w:p>
        </w:tc>
        <w:tc>
          <w:tcPr>
            <w:tcW w:w="1260" w:type="dxa"/>
            <w:vAlign w:val="bottom"/>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340" w:type="dxa"/>
            <w:vAlign w:val="bottom"/>
            <w:tcBorders>
              <w:top w:val="single" w:sz="8" w:color="auto"/>
              <w:right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$2,575</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$2,421</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6.3</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6.3 %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1,131</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1,041</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8.6</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8.5 %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$1,444</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$1,380</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4.7 %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56.1 %</w:t>
            </w:r>
          </w:p>
        </w:tc>
        <w:tc>
          <w:tcPr>
            <w:tcW w:w="20" w:type="dxa"/>
            <w:vAlign w:val="bottom"/>
            <w:shd w:val="clear" w:color="auto" w:fill="D9D9D6"/>
          </w:tcPr>
          <w:p>
            <w:pPr>
              <w:spacing w:after="0"/>
              <w:rPr>
                <w:sz w:val="17"/>
                <w:szCs w:val="17"/>
                <w:color w:val="auto"/>
              </w:rPr>
            </w:pP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57.0 %</w:t>
            </w: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(90)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(80)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40" w:type="dxa"/>
            <w:vAlign w:val="bottom"/>
            <w:tcBorders>
              <w:right w:val="single" w:sz="8" w:color="D9D9D6"/>
            </w:tcBorders>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enterprise solutions offerings, including the</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results from a recent acquisition, and an increase in revenue from small business customers driven by an increase in average rates due to higher adoption of our suite of advanced services.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operating expenses was primarily due to increases in direct product costs, which include the results from a recent acquisition.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was 56.1%.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7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2nd Quarter</w:t>
            </w: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040" w:type="dxa"/>
            <w:vAlign w:val="bottom"/>
            <w:tcBorders>
              <w:top w:val="single" w:sz="8" w:color="D9D9D6"/>
            </w:tcBorders>
            <w:shd w:val="clear" w:color="auto" w:fill="D9D9D6"/>
          </w:tcPr>
          <w:p>
            <w:pPr>
              <w:spacing w:after="0"/>
              <w:rPr>
                <w:sz w:val="15"/>
                <w:szCs w:val="15"/>
                <w:color w:val="auto"/>
              </w:rPr>
            </w:pPr>
          </w:p>
        </w:tc>
        <w:tc>
          <w:tcPr>
            <w:tcW w:w="98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2024</w:t>
            </w:r>
          </w:p>
        </w:tc>
        <w:tc>
          <w:tcPr>
            <w:tcW w:w="20" w:type="dxa"/>
            <w:vAlign w:val="bottom"/>
            <w:tcBorders>
              <w:top w:val="single" w:sz="8" w:color="D9D9D6"/>
            </w:tcBorders>
            <w:shd w:val="clear" w:color="auto" w:fill="D9D9D6"/>
          </w:tcPr>
          <w:p>
            <w:pPr>
              <w:spacing w:after="0"/>
              <w:rPr>
                <w:sz w:val="15"/>
                <w:szCs w:val="15"/>
                <w:color w:val="auto"/>
              </w:rPr>
            </w:pPr>
          </w:p>
        </w:tc>
        <w:tc>
          <w:tcPr>
            <w:tcW w:w="1200" w:type="dxa"/>
            <w:vAlign w:val="bottom"/>
            <w:tcBorders>
              <w:top w:val="single" w:sz="8" w:color="D9D9D6"/>
            </w:tcBorders>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$6,440</w:t>
            </w: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$6,324</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2,432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2,253</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2,349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1,975</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10</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(606)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(505)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$10,625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$10,057</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5.6</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$1,482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$1,356</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124</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(31.0 %)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658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632</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(198)</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(32.4 %)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54.8</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$1,949</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3.6</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driven by Theme Parks, Studios and Media.</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Content &amp; Experiences increased primarily due to growth in Media and Theme Parks, partially offset by a decline in Studios.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56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1160" w:type="dxa"/>
            <w:vAlign w:val="bottom"/>
            <w:gridSpan w:val="4"/>
            <w:shd w:val="clear" w:color="auto" w:fill="D9D9D6"/>
          </w:tcPr>
          <w:p>
            <w:pPr>
              <w:ind w:left="140"/>
              <w:spacing w:after="0"/>
              <w:rPr>
                <w:sz w:val="20"/>
                <w:szCs w:val="20"/>
                <w:color w:val="auto"/>
              </w:rPr>
            </w:pPr>
            <w:r>
              <w:rPr>
                <w:rFonts w:ascii="Arial" w:cs="Arial" w:eastAsia="Arial" w:hAnsi="Arial"/>
                <w:sz w:val="14"/>
                <w:szCs w:val="14"/>
                <w:color w:val="auto"/>
              </w:rPr>
              <w:t>2nd Quarter</w:t>
            </w:r>
          </w:p>
        </w:tc>
        <w:tc>
          <w:tcPr>
            <w:tcW w:w="2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16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4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2024</w:t>
            </w:r>
          </w:p>
        </w:tc>
        <w:tc>
          <w:tcPr>
            <w:tcW w:w="260" w:type="dxa"/>
            <w:vAlign w:val="bottom"/>
            <w:tcBorders>
              <w:top w:val="single" w:sz="8" w:color="D9D9D6"/>
            </w:tcBorders>
            <w:shd w:val="clear" w:color="auto" w:fill="D9D9D6"/>
          </w:tcPr>
          <w:p>
            <w:pPr>
              <w:spacing w:after="0"/>
              <w:rPr>
                <w:sz w:val="15"/>
                <w:szCs w:val="15"/>
                <w:color w:val="auto"/>
              </w:rPr>
            </w:pPr>
          </w:p>
        </w:tc>
        <w:tc>
          <w:tcPr>
            <w:tcW w:w="900" w:type="dxa"/>
            <w:vAlign w:val="bottom"/>
            <w:tcBorders>
              <w:top w:val="single" w:sz="8" w:color="D9D9D6"/>
            </w:tcBorders>
            <w:gridSpan w:val="5"/>
            <w:shd w:val="clear" w:color="auto" w:fill="D9D9D6"/>
          </w:tcPr>
          <w:p>
            <w:pPr>
              <w:ind w:left="26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right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$1,848</w:t>
            </w:r>
          </w:p>
        </w:tc>
        <w:tc>
          <w:tcPr>
            <w:tcW w:w="900" w:type="dxa"/>
            <w:vAlign w:val="bottom"/>
            <w:tcBorders>
              <w:right w:val="single" w:sz="8" w:color="D9D9D6"/>
            </w:tcBorders>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$1,991</w:t>
            </w:r>
          </w:p>
        </w:tc>
        <w:tc>
          <w:tcPr>
            <w:tcW w:w="260" w:type="dxa"/>
            <w:vAlign w:val="bottom"/>
            <w:shd w:val="clear" w:color="auto" w:fill="D9D9D6"/>
          </w:tcPr>
          <w:p>
            <w:pPr>
              <w:spacing w:after="0"/>
              <w:rPr>
                <w:sz w:val="16"/>
                <w:szCs w:val="16"/>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2,812</w:t>
            </w:r>
          </w:p>
        </w:tc>
        <w:tc>
          <w:tcPr>
            <w:tcW w:w="900" w:type="dxa"/>
            <w:vAlign w:val="bottom"/>
            <w:tcBorders>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2,764</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1,266</w:t>
            </w:r>
          </w:p>
        </w:tc>
        <w:tc>
          <w:tcPr>
            <w:tcW w:w="900" w:type="dxa"/>
            <w:vAlign w:val="bottom"/>
            <w:tcBorders>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1,102</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514</w:t>
            </w:r>
          </w:p>
        </w:tc>
        <w:tc>
          <w:tcPr>
            <w:tcW w:w="900" w:type="dxa"/>
            <w:vAlign w:val="bottom"/>
            <w:tcBorders>
              <w:bottom w:val="single" w:sz="8" w:color="auto"/>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467</w:t>
            </w:r>
          </w:p>
        </w:tc>
        <w:tc>
          <w:tcPr>
            <w:tcW w:w="26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10.1</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$6,440</w:t>
            </w:r>
          </w:p>
        </w:tc>
        <w:tc>
          <w:tcPr>
            <w:tcW w:w="900" w:type="dxa"/>
            <w:vAlign w:val="bottom"/>
            <w:tcBorders>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$6,324</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1.8</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4,958</w:t>
            </w:r>
          </w:p>
        </w:tc>
        <w:tc>
          <w:tcPr>
            <w:tcW w:w="900" w:type="dxa"/>
            <w:vAlign w:val="bottom"/>
            <w:tcBorders>
              <w:bottom w:val="single" w:sz="8" w:color="auto"/>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4,968</w:t>
            </w:r>
          </w:p>
        </w:tc>
        <w:tc>
          <w:tcPr>
            <w:tcW w:w="26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$1,482</w:t>
            </w:r>
          </w:p>
        </w:tc>
        <w:tc>
          <w:tcPr>
            <w:tcW w:w="900" w:type="dxa"/>
            <w:vAlign w:val="bottom"/>
            <w:tcBorders>
              <w:bottom w:val="single" w:sz="8" w:color="D9D9D6"/>
              <w:right w:val="single" w:sz="8" w:color="D9D9D6"/>
            </w:tcBorders>
            <w:gridSpan w:val="3"/>
            <w:shd w:val="clear" w:color="auto" w:fill="DBDBDB"/>
          </w:tcPr>
          <w:p>
            <w:pPr>
              <w:jc w:val="right"/>
              <w:ind w:right="80"/>
              <w:spacing w:after="0"/>
              <w:rPr>
                <w:sz w:val="20"/>
                <w:szCs w:val="20"/>
                <w:color w:val="auto"/>
              </w:rPr>
            </w:pPr>
            <w:r>
              <w:rPr>
                <w:rFonts w:ascii="Arial" w:cs="Arial" w:eastAsia="Arial" w:hAnsi="Arial"/>
                <w:sz w:val="14"/>
                <w:szCs w:val="14"/>
                <w:b w:val="1"/>
                <w:bCs w:val="1"/>
                <w:color w:val="auto"/>
              </w:rPr>
              <w:t>$1,356</w:t>
            </w:r>
          </w:p>
        </w:tc>
        <w:tc>
          <w:tcPr>
            <w:tcW w:w="260" w:type="dxa"/>
            <w:vAlign w:val="bottom"/>
            <w:tcBorders>
              <w:bottom w:val="single" w:sz="8" w:color="D9D9D6"/>
            </w:tcBorders>
            <w:shd w:val="clear" w:color="auto" w:fill="D9D9D6"/>
          </w:tcPr>
          <w:p>
            <w:pPr>
              <w:spacing w:after="0"/>
              <w:rPr>
                <w:sz w:val="20"/>
                <w:szCs w:val="20"/>
                <w:color w:val="auto"/>
              </w:rPr>
            </w:pPr>
          </w:p>
        </w:tc>
        <w:tc>
          <w:tcPr>
            <w:tcW w:w="58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9.3</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international networks and domestic distribution revenue, partially offset by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advertising revenue. Domestic advertising revenue decreased primarily due to lower revenue at our networks, partially offset by an increase in revenue at Peacock. Domestic distribution revenue increased primarily due to higher revenue at Peacock, partially offset by lower revenue at our networks. International networks revenue increased primarily due to an increase in revenue associated with the distribution of sports networks and the positive impact of foreign currency.</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higher revenue and consistent operating expenses. The consistent operating expenses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decreases in programming and production costs, offset by an increase in marketing and promotion expenses, each primarily related to Peacock. Media results include $1.2 billion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$101 million related to Peacock, compared to $1.0 billion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$348 million in the prior year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8"/>
              </w:rPr>
              <w:t>2nd Quarter</w:t>
            </w:r>
          </w:p>
        </w:tc>
        <w:tc>
          <w:tcPr>
            <w:tcW w:w="240" w:type="dxa"/>
            <w:vAlign w:val="bottom"/>
            <w:tcBorders>
              <w:bottom w:val="single" w:sz="8" w:color="D9D9D6"/>
            </w:tcBorders>
            <w:shd w:val="clear" w:color="auto" w:fill="D9D9D6"/>
          </w:tcPr>
          <w:p>
            <w:pPr>
              <w:spacing w:after="0"/>
              <w:rPr>
                <w:sz w:val="15"/>
                <w:szCs w:val="15"/>
                <w:color w:val="auto"/>
              </w:rPr>
            </w:pPr>
          </w:p>
        </w:tc>
        <w:tc>
          <w:tcPr>
            <w:tcW w:w="2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D9D9D6"/>
          </w:tcPr>
          <w:p>
            <w:pPr>
              <w:spacing w:after="0"/>
              <w:rPr>
                <w:sz w:val="15"/>
                <w:szCs w:val="15"/>
                <w:color w:val="auto"/>
              </w:rPr>
            </w:pPr>
          </w:p>
        </w:tc>
        <w:tc>
          <w:tcPr>
            <w:tcW w:w="920" w:type="dxa"/>
            <w:vAlign w:val="bottom"/>
            <w:gridSpan w:val="5"/>
            <w:shd w:val="clear" w:color="auto" w:fill="D9D9D6"/>
          </w:tcPr>
          <w:p>
            <w:pPr>
              <w:ind w:left="2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$1,805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$1,714</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237</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343</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302</w:t>
            </w:r>
          </w:p>
        </w:tc>
        <w:tc>
          <w:tcPr>
            <w:tcW w:w="4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13.5 %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$2,432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$2,253</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2,347</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2,130</w:t>
            </w:r>
          </w:p>
        </w:tc>
        <w:tc>
          <w:tcPr>
            <w:tcW w:w="4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$124</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(31.0</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primarily due to higher content licensing and theatrical revenue. Content licensing revenue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primarily due to the timing of when content was made available by our television studios, partially offset by the timing of when content was made available by our film studios. Theatrical revenue increased primarily due to the successful performance of recent releases, including </w:t>
      </w:r>
      <w:r>
        <w:rPr>
          <w:rFonts w:ascii="Arial" w:cs="Arial" w:eastAsia="Arial" w:hAnsi="Arial"/>
          <w:sz w:val="18"/>
          <w:szCs w:val="18"/>
          <w:i w:val="1"/>
          <w:iCs w:val="1"/>
          <w:color w:val="auto"/>
        </w:rPr>
        <w:t>How to Train Your Dragon</w:t>
      </w:r>
      <w:r>
        <w:rPr>
          <w:rFonts w:ascii="Arial" w:cs="Arial" w:eastAsia="Arial" w:hAnsi="Arial"/>
          <w:sz w:val="18"/>
          <w:szCs w:val="18"/>
          <w:color w:val="auto"/>
        </w:rPr>
        <w: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higher operating expenses, which more than offset higher revenue.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driven by higher programming and production expenses, mainly due to higher costs associated with content licensing sales, and higher marketing and promotion expenses due to increased spending on recent and upcoming theatrical film releases.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360" w:type="dxa"/>
            <w:vAlign w:val="bottom"/>
            <w:gridSpan w:val="4"/>
            <w:shd w:val="clear" w:color="auto" w:fill="D9D9D6"/>
          </w:tcPr>
          <w:p>
            <w:pPr>
              <w:ind w:left="120"/>
              <w:spacing w:after="0"/>
              <w:rPr>
                <w:sz w:val="20"/>
                <w:szCs w:val="20"/>
                <w:color w:val="auto"/>
              </w:rPr>
            </w:pPr>
            <w:r>
              <w:rPr>
                <w:rFonts w:ascii="Arial" w:cs="Arial" w:eastAsia="Arial" w:hAnsi="Arial"/>
                <w:sz w:val="14"/>
                <w:szCs w:val="14"/>
                <w:color w:val="auto"/>
              </w:rPr>
              <w:t>2nd Quarter</w:t>
            </w:r>
          </w:p>
        </w:tc>
        <w:tc>
          <w:tcPr>
            <w:tcW w:w="5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182"/>
        </w:trPr>
        <w:tc>
          <w:tcPr>
            <w:tcW w:w="100" w:type="dxa"/>
            <w:vAlign w:val="bottom"/>
            <w:tcBorders>
              <w:top w:val="single" w:sz="8" w:color="D9D9D6"/>
            </w:tcBorders>
            <w:shd w:val="clear" w:color="auto" w:fill="D9D9D6"/>
          </w:tcPr>
          <w:p>
            <w:pPr>
              <w:spacing w:after="0"/>
              <w:rPr>
                <w:sz w:val="15"/>
                <w:szCs w:val="15"/>
                <w:color w:val="auto"/>
              </w:rPr>
            </w:pPr>
          </w:p>
        </w:tc>
        <w:tc>
          <w:tcPr>
            <w:tcW w:w="8280" w:type="dxa"/>
            <w:vAlign w:val="bottom"/>
            <w:tcBorders>
              <w:top w:val="single" w:sz="8" w:color="D9D9D6"/>
            </w:tcBorders>
            <w:shd w:val="clear" w:color="auto" w:fill="D9D9D6"/>
          </w:tcPr>
          <w:p>
            <w:pPr>
              <w:spacing w:after="0"/>
              <w:rPr>
                <w:sz w:val="15"/>
                <w:szCs w:val="15"/>
                <w:color w:val="auto"/>
              </w:rPr>
            </w:pPr>
          </w:p>
        </w:tc>
        <w:tc>
          <w:tcPr>
            <w:tcW w:w="880" w:type="dxa"/>
            <w:vAlign w:val="bottom"/>
            <w:tcBorders>
              <w:top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2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80" w:type="dxa"/>
            <w:vAlign w:val="bottom"/>
            <w:tcBorders>
              <w:top w:val="single" w:sz="8" w:color="D9D9D6"/>
            </w:tcBorders>
            <w:shd w:val="clear" w:color="auto" w:fill="D9D9D6"/>
          </w:tcPr>
          <w:p>
            <w:pPr>
              <w:spacing w:after="0"/>
              <w:rPr>
                <w:sz w:val="15"/>
                <w:szCs w:val="15"/>
                <w:color w:val="auto"/>
              </w:rPr>
            </w:pPr>
          </w:p>
        </w:tc>
        <w:tc>
          <w:tcPr>
            <w:tcW w:w="62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$2,349</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$1,975</w:t>
            </w:r>
          </w:p>
        </w:tc>
        <w:tc>
          <w:tcPr>
            <w:tcW w:w="480" w:type="dxa"/>
            <w:vAlign w:val="bottom"/>
            <w:shd w:val="clear" w:color="auto" w:fill="D9D9D6"/>
          </w:tcPr>
          <w:p>
            <w:pPr>
              <w:spacing w:after="0"/>
              <w:rPr>
                <w:sz w:val="24"/>
                <w:szCs w:val="24"/>
                <w:color w:val="auto"/>
              </w:rPr>
            </w:pPr>
          </w:p>
        </w:tc>
        <w:tc>
          <w:tcPr>
            <w:tcW w:w="5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18.9 %</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1,691</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1,343</w:t>
            </w:r>
          </w:p>
        </w:tc>
        <w:tc>
          <w:tcPr>
            <w:tcW w:w="48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$658</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$632</w:t>
            </w:r>
          </w:p>
        </w:tc>
        <w:tc>
          <w:tcPr>
            <w:tcW w:w="48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4.1 %</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5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due to higher revenue at domestic theme parks, including the successful opening of Epic Universe,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theme parks, which include the positive impact from foreign currency.</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primarily due to operating costs associated with Epic Universe.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second quarter was $263 million, compared to a loss of $198 million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$ 606 million, compared to $505 million in the prior year period, and Adjusted EBITDA eliminations were a benefit of $56 million, compared to a benefit of $36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8580" cy="173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52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7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60" w:type="dxa"/>
            <w:vAlign w:val="bottom"/>
            <w:tcBorders>
              <w:bottom w:val="single" w:sz="8" w:color="D9D9D6"/>
            </w:tcBorders>
            <w:shd w:val="clear" w:color="auto" w:fill="D9D9D6"/>
          </w:tcPr>
          <w:p>
            <w:pPr>
              <w:spacing w:after="0"/>
              <w:rPr>
                <w:sz w:val="14"/>
                <w:szCs w:val="14"/>
                <w:color w:val="auto"/>
              </w:rPr>
            </w:pPr>
          </w:p>
        </w:tc>
        <w:tc>
          <w:tcPr>
            <w:tcW w:w="78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2nd Quarter</w:t>
            </w:r>
          </w:p>
        </w:tc>
        <w:tc>
          <w:tcPr>
            <w:tcW w:w="120" w:type="dxa"/>
            <w:vAlign w:val="bottom"/>
            <w:tcBorders>
              <w:bottom w:val="single" w:sz="8" w:color="D9D9D6"/>
            </w:tcBorders>
            <w:gridSpan w:val="2"/>
            <w:shd w:val="clear" w:color="auto" w:fill="D9D9D6"/>
          </w:tcPr>
          <w:p>
            <w:pPr>
              <w:spacing w:after="0"/>
              <w:rPr>
                <w:sz w:val="14"/>
                <w:szCs w:val="14"/>
                <w:color w:val="auto"/>
              </w:rPr>
            </w:pPr>
          </w:p>
        </w:tc>
        <w:tc>
          <w:tcPr>
            <w:tcW w:w="600" w:type="dxa"/>
            <w:vAlign w:val="bottom"/>
            <w:tcBorders>
              <w:bottom w:val="single" w:sz="8" w:color="D9D9D6"/>
            </w:tcBorders>
            <w:shd w:val="clear" w:color="auto" w:fill="D9D9D6"/>
          </w:tcPr>
          <w:p>
            <w:pPr>
              <w:spacing w:after="0"/>
              <w:rPr>
                <w:sz w:val="14"/>
                <w:szCs w:val="14"/>
                <w:color w:val="auto"/>
              </w:rPr>
            </w:pPr>
          </w:p>
        </w:tc>
        <w:tc>
          <w:tcPr>
            <w:tcW w:w="520" w:type="dxa"/>
            <w:vAlign w:val="bottom"/>
            <w:tcBorders>
              <w:bottom w:val="single" w:sz="8" w:color="D9D9D6"/>
              <w:right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40" w:type="dxa"/>
            <w:vAlign w:val="bottom"/>
          </w:tcPr>
          <w:p>
            <w:pPr>
              <w:spacing w:after="0"/>
              <w:rPr>
                <w:sz w:val="15"/>
                <w:szCs w:val="15"/>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2025</w:t>
            </w:r>
          </w:p>
        </w:tc>
        <w:tc>
          <w:tcPr>
            <w:tcW w:w="10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40" w:type="dxa"/>
            <w:vAlign w:val="bottom"/>
            <w:gridSpan w:val="3"/>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0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$708</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$706</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0.3 %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990</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966</w:t>
            </w:r>
          </w:p>
        </w:tc>
        <w:tc>
          <w:tcPr>
            <w:tcW w:w="20" w:type="dxa"/>
            <w:vAlign w:val="bottom"/>
            <w:tcBorders>
              <w:bottom w:val="single" w:sz="8" w:color="auto"/>
            </w:tcBorders>
            <w:shd w:val="clear" w:color="auto" w:fill="D9D9D6"/>
          </w:tcPr>
          <w:p>
            <w:pPr>
              <w:spacing w:after="0"/>
              <w:rPr>
                <w:sz w:val="17"/>
                <w:szCs w:val="17"/>
                <w:color w:val="auto"/>
              </w:rPr>
            </w:pPr>
          </w:p>
        </w:tc>
        <w:tc>
          <w:tcPr>
            <w:tcW w:w="1120" w:type="dxa"/>
            <w:vAlign w:val="bottom"/>
            <w:tcBorders>
              <w:bottom w:val="single" w:sz="8" w:color="auto"/>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($282)</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($260)</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(8.3 %)</w:t>
            </w:r>
          </w:p>
        </w:tc>
        <w:tc>
          <w:tcPr>
            <w:tcW w:w="1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160" w:type="dxa"/>
            <w:vAlign w:val="bottom"/>
            <w:shd w:val="clear" w:color="auto" w:fill="D9D9D6"/>
          </w:tcPr>
          <w:p>
            <w:pPr>
              <w:spacing w:after="0"/>
              <w:rPr>
                <w:sz w:val="18"/>
                <w:szCs w:val="18"/>
                <w:color w:val="auto"/>
              </w:rPr>
            </w:pPr>
          </w:p>
        </w:tc>
        <w:tc>
          <w:tcPr>
            <w:tcW w:w="56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10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00" w:type="dxa"/>
            <w:vAlign w:val="bottom"/>
            <w:shd w:val="clear" w:color="auto" w:fill="D9D9D6"/>
          </w:tcPr>
          <w:p>
            <w:pPr>
              <w:spacing w:after="0"/>
              <w:rPr>
                <w:sz w:val="18"/>
                <w:szCs w:val="18"/>
                <w:color w:val="auto"/>
              </w:rPr>
            </w:pPr>
          </w:p>
        </w:tc>
        <w:tc>
          <w:tcPr>
            <w:tcW w:w="520" w:type="dxa"/>
            <w:vAlign w:val="bottom"/>
            <w:tcBorders>
              <w:right w:val="single" w:sz="8" w:color="D9D9D6"/>
            </w:tcBorders>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40" w:type="dxa"/>
            <w:vAlign w:val="bottom"/>
            <w:vMerge w:val="continue"/>
          </w:tcPr>
          <w:p>
            <w:pPr>
              <w:spacing w:after="0"/>
              <w:rPr>
                <w:sz w:val="17"/>
                <w:szCs w:val="17"/>
                <w:color w:val="auto"/>
              </w:rPr>
            </w:pPr>
          </w:p>
        </w:tc>
        <w:tc>
          <w:tcPr>
            <w:tcW w:w="7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10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($1,410)</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($1,320)</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6.8 %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(1,430)</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(1,320)</w:t>
            </w:r>
          </w:p>
        </w:tc>
        <w:tc>
          <w:tcPr>
            <w:tcW w:w="20" w:type="dxa"/>
            <w:vAlign w:val="bottom"/>
            <w:tcBorders>
              <w:bottom w:val="single" w:sz="8" w:color="auto"/>
            </w:tcBorders>
            <w:shd w:val="clear" w:color="auto" w:fill="D9D9D6"/>
          </w:tcPr>
          <w:p>
            <w:pPr>
              <w:spacing w:after="0"/>
              <w:rPr>
                <w:sz w:val="17"/>
                <w:szCs w:val="17"/>
                <w:color w:val="auto"/>
              </w:rPr>
            </w:pPr>
          </w:p>
        </w:tc>
        <w:tc>
          <w:tcPr>
            <w:tcW w:w="1120" w:type="dxa"/>
            <w:vAlign w:val="bottom"/>
            <w:tcBorders>
              <w:bottom w:val="single" w:sz="8" w:color="auto"/>
              <w:right w:val="single" w:sz="8" w:color="D9D9D6"/>
            </w:tcBorders>
            <w:gridSpan w:val="2"/>
            <w:shd w:val="clear" w:color="auto" w:fill="D9D9D6"/>
          </w:tcPr>
          <w:p>
            <w:pPr>
              <w:jc w:val="right"/>
              <w:ind w:right="8"/>
              <w:spacing w:after="0"/>
              <w:rPr>
                <w:sz w:val="20"/>
                <w:szCs w:val="20"/>
                <w:color w:val="auto"/>
              </w:rPr>
            </w:pPr>
            <w:r>
              <w:rPr>
                <w:rFonts w:ascii="Arial" w:cs="Arial" w:eastAsia="Arial" w:hAnsi="Arial"/>
                <w:sz w:val="14"/>
                <w:szCs w:val="14"/>
                <w:color w:val="auto"/>
              </w:rPr>
              <w:t>8.4 %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Corporate &amp; Other Adjusted EBITDA decreased primarily reflecting a decrease at Spectacor and higher costs related to corporate functions.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compared to $ 1.3 billion in the prior year period, and Adjusted EBITDA eliminations were a benefit of $20 million compared to a loss of $1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5 Beginning in the second quarter of 2025, Business Services Connectivity customer relationships and Domestic Broadband Business customers include connections from the acquisition of Nitel and other conforming changes, resulting in an increase of 124,000 Business Services Connectivity customer relationships and an increase of 123,000 domestic broadband business customers as of April 1, 2025. Because these adjustments were made as of April 1, 2025, they are not reflected in prior period customer metrics or in net additions / (losses) in prior and current year periods.</w:t>
      </w:r>
    </w:p>
    <w:p>
      <w:pPr>
        <w:spacing w:after="0" w:line="125"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6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7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31, 2025,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July 31, 2025,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346075</wp:posOffset>
            </wp:positionV>
            <wp:extent cx="10287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$30,313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$29,688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$60,199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$59,746</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7,576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7,961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15,991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16,784</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9,630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20,314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19,487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4,580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3,423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48,548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47,301</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5,992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6,635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11,650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12,445</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(2,155)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9,644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14,647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5,175</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19,139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11,044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3,839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14,340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7,616</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$14,498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9"/>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3,727</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372110</wp:posOffset>
            </wp:positionV>
            <wp:extent cx="102870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2024</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$14,340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$7,616</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8,003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7,091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(9,390)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16,109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12,572</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(4,930)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(1,279)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(7,903)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3,266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(4,930)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(2,462)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(2,418)</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(5,817)</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2,371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7,377</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$9,748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$6,141</w:t>
            </w:r>
          </w:p>
        </w:tc>
      </w:tr>
      <w:tr>
        <w:trPr>
          <w:trHeight w:val="21"/>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346075</wp:posOffset>
            </wp:positionV>
            <wp:extent cx="1028700"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259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$9,687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$7,322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13,040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6,309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29,036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26,801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12,640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8,463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64,025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62,548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61,812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58,209</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24,612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25,599</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13,897</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12,501</w:t>
            </w:r>
          </w:p>
        </w:tc>
        <w:tc>
          <w:tcPr>
            <w:tcW w:w="0" w:type="dxa"/>
            <w:vAlign w:val="bottom"/>
          </w:tcPr>
          <w:p>
            <w:pPr>
              <w:spacing w:after="0"/>
              <w:rPr>
                <w:sz w:val="1"/>
                <w:szCs w:val="1"/>
                <w:color w:val="auto"/>
              </w:rPr>
            </w:pPr>
          </w:p>
        </w:tc>
      </w:tr>
      <w:tr>
        <w:trPr>
          <w:trHeight w:val="453"/>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$273,850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53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$11,826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4,031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3,507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10,215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10,679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5,720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248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31,792</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39,581</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95,808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94,186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27,692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25,227</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21,100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20,942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96,851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85,560</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97,228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86,038</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$273,850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$266,211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-166370</wp:posOffset>
            </wp:positionV>
            <wp:extent cx="1028700" cy="402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4025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0"/>
                <w:szCs w:val="20"/>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 June</w:t>
            </w:r>
          </w:p>
        </w:tc>
      </w:tr>
      <w:tr>
        <w:trPr>
          <w:trHeight w:val="189"/>
        </w:trPr>
        <w:tc>
          <w:tcPr>
            <w:tcW w:w="7300" w:type="dxa"/>
            <w:vAlign w:val="bottom"/>
          </w:tcPr>
          <w:p>
            <w:pPr>
              <w:spacing w:after="0"/>
              <w:rPr>
                <w:sz w:val="16"/>
                <w:szCs w:val="16"/>
                <w:color w:val="auto"/>
              </w:rPr>
            </w:pPr>
          </w:p>
        </w:tc>
        <w:tc>
          <w:tcPr>
            <w:tcW w:w="19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r>
      <w:tr>
        <w:trPr>
          <w:trHeight w:val="196"/>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$11,123</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$3,929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$14,498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$7,785</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3,603</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1,336</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4,799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2,663</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1,105</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1,026</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2,155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2,028</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(9,760)</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(9,644)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Depreciation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2,349</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2,153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4,580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4,328</w:t>
            </w:r>
          </w:p>
        </w:tc>
      </w:tr>
      <w:tr>
        <w:trPr>
          <w:trHeight w:val="203"/>
        </w:trPr>
        <w:tc>
          <w:tcPr>
            <w:tcW w:w="7300" w:type="dxa"/>
            <w:vAlign w:val="bottom"/>
          </w:tcPr>
          <w:p>
            <w:pPr>
              <w:spacing w:after="0"/>
              <w:rPr>
                <w:sz w:val="20"/>
                <w:szCs w:val="20"/>
                <w:color w:val="auto"/>
              </w:rPr>
            </w:pPr>
            <w:r>
              <w:rPr>
                <w:rFonts w:ascii="Arial" w:cs="Arial" w:eastAsia="Arial" w:hAnsi="Arial"/>
                <w:sz w:val="14"/>
                <w:szCs w:val="14"/>
                <w:color w:val="auto"/>
              </w:rPr>
              <w:t>Amortization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1,805</w:t>
            </w:r>
          </w:p>
        </w:tc>
        <w:tc>
          <w:tcPr>
            <w:tcW w:w="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1,387</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3,423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2,762</w:t>
            </w:r>
          </w:p>
        </w:tc>
      </w:tr>
      <w:tr>
        <w:trPr>
          <w:trHeight w:val="205"/>
        </w:trPr>
        <w:tc>
          <w:tcPr>
            <w:tcW w:w="730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36"/>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$10,171</w:t>
            </w: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$19,815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$19,526</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 June</w:t>
            </w:r>
          </w:p>
        </w:tc>
      </w:tr>
      <w:tr>
        <w:trPr>
          <w:trHeight w:val="193"/>
        </w:trPr>
        <w:tc>
          <w:tcPr>
            <w:tcW w:w="7200" w:type="dxa"/>
            <w:vAlign w:val="bottom"/>
          </w:tcPr>
          <w:p>
            <w:pPr>
              <w:spacing w:after="0"/>
              <w:rPr>
                <w:sz w:val="16"/>
                <w:szCs w:val="16"/>
                <w:color w:val="auto"/>
              </w:rPr>
            </w:pPr>
          </w:p>
        </w:tc>
        <w:tc>
          <w:tcPr>
            <w:tcW w:w="12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6"/>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$7,815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$16,109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$12,572</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(4,930)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(5,354)</w:t>
            </w:r>
          </w:p>
        </w:tc>
      </w:tr>
      <w:tr>
        <w:trPr>
          <w:trHeight w:val="204"/>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(1,257)</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w:t>
            </w:r>
          </w:p>
        </w:tc>
      </w:tr>
      <w:tr>
        <w:trPr>
          <w:trHeight w:val="237"/>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208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 June</w:t>
            </w:r>
          </w:p>
        </w:tc>
      </w:tr>
      <w:tr>
        <w:trPr>
          <w:trHeight w:val="193"/>
        </w:trPr>
        <w:tc>
          <w:tcPr>
            <w:tcW w:w="7200" w:type="dxa"/>
            <w:vAlign w:val="bottom"/>
          </w:tcPr>
          <w:p>
            <w:pPr>
              <w:spacing w:after="0"/>
              <w:rPr>
                <w:sz w:val="16"/>
                <w:szCs w:val="16"/>
                <w:color w:val="auto"/>
              </w:rPr>
            </w:pPr>
          </w:p>
        </w:tc>
        <w:tc>
          <w:tcPr>
            <w:tcW w:w="11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2024</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$10,283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$10,171</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$19,815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$19,526</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(2,679)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(4,930)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(5,354)</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(1,082)</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(1,803)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taxes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(1,685)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(4,219)</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(4,568)</w:t>
            </w:r>
          </w:p>
        </w:tc>
      </w:tr>
      <w:tr>
        <w:trPr>
          <w:trHeight w:val="202"/>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(585)</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(1,526)</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316</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689</w:t>
            </w: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236"/>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$5,877</w:t>
            </w:r>
          </w:p>
        </w:tc>
      </w:tr>
    </w:tbl>
    <w:p>
      <w:pPr>
        <w:spacing w:after="0" w:line="23" w:lineRule="exact"/>
        <w:rPr>
          <w:sz w:val="20"/>
          <w:szCs w:val="20"/>
          <w:color w:val="auto"/>
        </w:rPr>
      </w:pPr>
    </w:p>
    <w:p>
      <w:pPr>
        <w:jc w:val="both"/>
        <w:ind w:left="360" w:right="20" w:hanging="354"/>
        <w:spacing w:after="0" w:line="213" w:lineRule="auto"/>
        <w:tabs>
          <w:tab w:leader="none" w:pos="360" w:val="left"/>
        </w:tabs>
        <w:numPr>
          <w:ilvl w:val="0"/>
          <w:numId w:val="4"/>
        </w:numPr>
        <w:rPr>
          <w:rFonts w:ascii="Arial" w:cs="Arial" w:eastAsia="Arial" w:hAnsi="Arial"/>
          <w:sz w:val="11"/>
          <w:szCs w:val="11"/>
          <w:color w:val="auto"/>
        </w:rPr>
      </w:pPr>
      <w:r>
        <w:rPr>
          <w:rFonts w:ascii="Arial" w:cs="Arial" w:eastAsia="Arial" w:hAnsi="Arial"/>
          <w:sz w:val="13"/>
          <w:szCs w:val="13"/>
          <w:color w:val="auto"/>
        </w:rPr>
        <w:t>Adjusted EBITDA excludes transaction and transaction-related costs associated with the proposed spin-off of Versant, as well as other operating and administrative expenses related to our investment portfolio. Transaction costs are incremental costs directly related to effectuating the proposed spin-off and primarily include legal, audit and advisory fees as well as legal entity separation costs.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spin-related employee compensation, severance and retention bonuses; IT separation and implementation costs; and other one-time costs.</w:t>
      </w: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6840" w:type="dxa"/>
            <w:vAlign w:val="bottom"/>
          </w:tcPr>
          <w:p>
            <w:pPr>
              <w:spacing w:after="0"/>
              <w:rPr>
                <w:sz w:val="21"/>
                <w:szCs w:val="21"/>
                <w:color w:val="auto"/>
              </w:rPr>
            </w:pPr>
          </w:p>
        </w:tc>
        <w:tc>
          <w:tcPr>
            <w:tcW w:w="208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1"/>
                <w:szCs w:val="21"/>
                <w:color w:val="auto"/>
              </w:rPr>
            </w:pPr>
          </w:p>
        </w:tc>
        <w:tc>
          <w:tcPr>
            <w:tcW w:w="186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Six Months Ended June</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12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auto"/>
                <w:w w:val="92"/>
              </w:rPr>
              <w:t>30,</w:t>
            </w:r>
          </w:p>
        </w:tc>
        <w:tc>
          <w:tcPr>
            <w:tcW w:w="0" w:type="dxa"/>
            <w:vAlign w:val="bottom"/>
          </w:tcPr>
          <w:p>
            <w:pPr>
              <w:spacing w:after="0"/>
              <w:rPr>
                <w:sz w:val="1"/>
                <w:szCs w:val="1"/>
                <w:color w:val="auto"/>
              </w:rPr>
            </w:pPr>
          </w:p>
        </w:tc>
      </w:tr>
      <w:tr>
        <w:trPr>
          <w:trHeight w:val="196"/>
        </w:trPr>
        <w:tc>
          <w:tcPr>
            <w:tcW w:w="6840" w:type="dxa"/>
            <w:vAlign w:val="bottom"/>
            <w:vMerge w:val="restart"/>
          </w:tcPr>
          <w:p>
            <w:pPr>
              <w:spacing w:after="0"/>
              <w:rPr>
                <w:sz w:val="20"/>
                <w:szCs w:val="20"/>
                <w:color w:val="auto"/>
              </w:rPr>
            </w:pPr>
            <w:r>
              <w:rPr>
                <w:rFonts w:ascii="Arial" w:cs="Arial" w:eastAsia="Arial" w:hAnsi="Arial"/>
                <w:sz w:val="13"/>
                <w:szCs w:val="13"/>
                <w:color w:val="auto"/>
              </w:rPr>
              <w:t>Transaction-related costs</w:t>
            </w: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color w:val="auto"/>
                <w:w w:val="96"/>
              </w:rPr>
              <w:t>2024</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1040" w:type="dxa"/>
            <w:vAlign w:val="bottom"/>
            <w:gridSpan w:val="3"/>
          </w:tcPr>
          <w:p>
            <w:pPr>
              <w:jc w:val="right"/>
              <w:ind w:right="2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0"/>
        </w:trPr>
        <w:tc>
          <w:tcPr>
            <w:tcW w:w="684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Arial" w:cs="Arial" w:eastAsia="Arial" w:hAnsi="Arial"/>
                <w:sz w:val="13"/>
                <w:szCs w:val="13"/>
                <w:color w:val="auto"/>
              </w:rPr>
              <w:t>Transaction costs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6840" w:type="dxa"/>
            <w:vAlign w:val="bottom"/>
          </w:tcPr>
          <w:p>
            <w:pPr>
              <w:spacing w:after="0"/>
              <w:rPr>
                <w:sz w:val="20"/>
                <w:szCs w:val="20"/>
                <w:color w:val="auto"/>
              </w:rPr>
            </w:pPr>
            <w:r>
              <w:rPr>
                <w:rFonts w:ascii="Arial" w:cs="Arial" w:eastAsia="Arial" w:hAnsi="Arial"/>
                <w:sz w:val="13"/>
                <w:szCs w:val="13"/>
                <w:color w:val="auto"/>
              </w:rPr>
              <w:t>Costs related to our investment portfolio</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6840" w:type="dxa"/>
            <w:vAlign w:val="bottom"/>
          </w:tcPr>
          <w:p>
            <w:pPr>
              <w:spacing w:after="0" w:line="146" w:lineRule="exact"/>
              <w:rPr>
                <w:sz w:val="20"/>
                <w:szCs w:val="20"/>
                <w:color w:val="auto"/>
              </w:rPr>
            </w:pPr>
            <w:r>
              <w:rPr>
                <w:rFonts w:ascii="Arial" w:cs="Arial" w:eastAsia="Arial" w:hAnsi="Arial"/>
                <w:sz w:val="13"/>
                <w:szCs w:val="13"/>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60" w:right="20" w:hanging="354"/>
        <w:spacing w:after="0" w:line="218" w:lineRule="auto"/>
        <w:tabs>
          <w:tab w:leader="none" w:pos="360" w:val="left"/>
        </w:tabs>
        <w:numPr>
          <w:ilvl w:val="0"/>
          <w:numId w:val="5"/>
        </w:numPr>
        <w:rPr>
          <w:rFonts w:ascii="Arial" w:cs="Arial" w:eastAsia="Arial" w:hAnsi="Arial"/>
          <w:sz w:val="11"/>
          <w:szCs w:val="11"/>
          <w:color w:val="auto"/>
        </w:rPr>
      </w:pPr>
      <w:r>
        <w:rPr>
          <w:rFonts w:ascii="Arial" w:cs="Arial" w:eastAsia="Arial" w:hAnsi="Arial"/>
          <w:sz w:val="13"/>
          <w:szCs w:val="13"/>
          <w:color w:val="auto"/>
        </w:rPr>
        <w:t>2nd quarter and year to date 2025 includes adjustments of $(110) and $(132) million, respectively, of transaction and transaction-related costs associated with the proposed spin-off of Versant and $(26) and $(29) million, respectively, of other operating and administrative expenses related to our investment portfolio, as these amounts are excluded from Adjusted EBITDA. 2nd quarter and year to date 2024 includes adjustments of $3 and $9 million, respectively, of other operating and administrative expenses related to our investment portfolio, as these amounts are excluded from Adjusted EBITDA.</w:t>
      </w:r>
    </w:p>
    <w:p>
      <w:pPr>
        <w:sectPr>
          <w:pgSz w:w="11900" w:h="16838" w:orient="portrait"/>
          <w:cols w:equalWidth="0" w:num="1">
            <w:col w:w="11220"/>
          </w:cols>
          <w:pgMar w:left="340" w:top="8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898" w:right="33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-174625</wp:posOffset>
            </wp:positionV>
            <wp:extent cx="102870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0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8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2024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5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60" w:type="dxa"/>
            <w:vAlign w:val="bottom"/>
          </w:tcPr>
          <w:p>
            <w:pPr>
              <w:spacing w:after="0"/>
              <w:rPr>
                <w:sz w:val="15"/>
                <w:szCs w:val="15"/>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54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5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5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$11,123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$3,929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$7,785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5"/>
        </w:trPr>
        <w:tc>
          <w:tcPr>
            <w:tcW w:w="450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ind w:right="8"/>
              <w:spacing w:after="0"/>
              <w:rPr>
                <w:sz w:val="20"/>
                <w:szCs w:val="20"/>
                <w:color w:val="auto"/>
              </w:rPr>
            </w:pPr>
            <w:r>
              <w:rPr>
                <w:rFonts w:ascii="Arial" w:cs="Arial" w:eastAsia="Arial" w:hAnsi="Arial"/>
                <w:sz w:val="14"/>
                <w:szCs w:val="14"/>
                <w:i w:val="1"/>
                <w:iCs w:val="1"/>
                <w:color w:val="auto"/>
              </w:rPr>
              <w:t>183.1 %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197.7 %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86.2 %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96.2 %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center"/>
              <w:ind w:left="16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left="188"/>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5"/>
        </w:trPr>
        <w:tc>
          <w:tcPr>
            <w:tcW w:w="450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center"/>
              <w:ind w:left="1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center"/>
              <w:ind w:left="18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90"/>
        </w:trPr>
        <w:tc>
          <w:tcPr>
            <w:tcW w:w="45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20"/>
              <w:spacing w:after="0"/>
              <w:rPr>
                <w:sz w:val="20"/>
                <w:szCs w:val="20"/>
                <w:color w:val="auto"/>
              </w:rPr>
            </w:pPr>
            <w:r>
              <w:rPr>
                <w:rFonts w:ascii="Arial" w:cs="Arial" w:eastAsia="Arial" w:hAnsi="Arial"/>
                <w:sz w:val="14"/>
                <w:szCs w:val="14"/>
                <w:color w:val="auto"/>
              </w:rPr>
              <w:t>Gain related to investment</w:t>
            </w:r>
            <w:r>
              <w:rPr>
                <w:rFonts w:ascii="Arial" w:cs="Arial" w:eastAsia="Arial" w:hAnsi="Arial"/>
                <w:sz w:val="18"/>
                <w:szCs w:val="18"/>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4"/>
                <w:szCs w:val="14"/>
                <w:color w:val="auto"/>
              </w:rPr>
              <w:t>(7,072)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Tax benefit from internal corporate reorganization </w:t>
            </w:r>
            <w:r>
              <w:rPr>
                <w:rFonts w:ascii="Arial" w:cs="Arial" w:eastAsia="Arial" w:hAnsi="Arial"/>
                <w:sz w:val="18"/>
                <w:szCs w:val="18"/>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4"/>
                <w:szCs w:val="14"/>
                <w:color w:val="auto"/>
              </w:rPr>
              <w:t>Long-lived asset impairments</w:t>
            </w:r>
            <w:r>
              <w:rPr>
                <w:rFonts w:ascii="Arial" w:cs="Arial" w:eastAsia="Arial" w:hAnsi="Arial"/>
                <w:sz w:val="18"/>
                <w:szCs w:val="18"/>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4"/>
                <w:szCs w:val="14"/>
                <w:color w:val="auto"/>
              </w:rPr>
              <w:t>Transaction-related costs</w:t>
            </w:r>
            <w:r>
              <w:rPr>
                <w:rFonts w:ascii="Arial" w:cs="Arial" w:eastAsia="Arial" w:hAnsi="Arial"/>
                <w:sz w:val="18"/>
                <w:szCs w:val="18"/>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4500" w:type="dxa"/>
            <w:vAlign w:val="bottom"/>
          </w:tcPr>
          <w:p>
            <w:pPr>
              <w:ind w:left="120"/>
              <w:spacing w:after="0"/>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45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$4,653</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$8,784</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$8,906</w:t>
            </w:r>
          </w:p>
        </w:tc>
        <w:tc>
          <w:tcPr>
            <w:tcW w:w="8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3.3 %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(1.4 %)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right="40" w:hanging="252"/>
        <w:spacing w:after="0" w:line="251"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70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$1,600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$1,133</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$1,228</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70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($136)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(128)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493</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60" w:right="340" w:hanging="252"/>
        <w:spacing w:after="0" w:line="248"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2nd quarter and year to date 2025 net income attributable to Comcast Corporation includes a $9.4 billion pre-tax gain in other income (loss), net, $7.1 billion net of tax, related to the sale of our interest in Hulu.</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2nd quarter and year to date 2025 net income attributable to Comcast Corporation includes a $177 million income tax benefit due to an internal corporate reorganization.</w:t>
      </w: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2nd quarter and year to date 2025 net income attributable to Comcast Corporation includes $155 million of long-lived asset impairments.</w:t>
      </w:r>
    </w:p>
    <w:p>
      <w:pPr>
        <w:ind w:left="260" w:right="120" w:hanging="252"/>
        <w:spacing w:after="0" w:line="243"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2nd quarter and year to date 2025 net income attributable to Comcast Corporation includes $75 and $77 million, $66 and $67 million net of tax, respectively, of transaction-related costs related to the proposed spin-off of Versant. Transaction-related costs are incremental costs incurred in anticipation of the separation, including costs that reflect strategic decisions about how the standalone Versant business will be structured or operated, which may be different than if it remained part of Comcast. Transaction-related costs primarily include certain spin-related employee compensation, severance and retention bonuses; IT separation and implementation costs; and other one-time costs.</w:t>
      </w:r>
    </w:p>
    <w:p>
      <w:pPr>
        <w:spacing w:after="0" w:line="2" w:lineRule="exact"/>
        <w:rPr>
          <w:rFonts w:ascii="Arial" w:cs="Arial" w:eastAsia="Arial" w:hAnsi="Arial"/>
          <w:sz w:val="13"/>
          <w:szCs w:val="13"/>
          <w:color w:val="auto"/>
        </w:rPr>
      </w:pPr>
    </w:p>
    <w:p>
      <w:pPr>
        <w:jc w:val="both"/>
        <w:ind w:left="260" w:right="420" w:hanging="252"/>
        <w:spacing w:after="0" w:line="242"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2nd quarter and year to date 2025 net income attributable to Comcast Corporation includes $36 and $55 million, $31 and $49 million net of tax, respectively, of transaction costs related to the proposed spin-off of Versant. Transaction costs are incremental costs directly related to effectuating the proposed spin-off and primarily include legal, audit and advisory fees, and legal entity separation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6114415</wp:posOffset>
            </wp:positionH>
            <wp:positionV relativeFrom="page">
              <wp:posOffset>560705</wp:posOffset>
            </wp:positionV>
            <wp:extent cx="121729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640" w:type="dxa"/>
            <w:vAlign w:val="bottom"/>
          </w:tcPr>
          <w:p>
            <w:pPr>
              <w:spacing w:after="0"/>
              <w:rPr>
                <w:sz w:val="24"/>
                <w:szCs w:val="24"/>
                <w:color w:val="auto"/>
              </w:rPr>
            </w:pPr>
          </w:p>
        </w:tc>
        <w:tc>
          <w:tcPr>
            <w:tcW w:w="322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36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June 30, 2024</w:t>
            </w: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June 30, 2024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00"/>
              <w:spacing w:after="0" w:line="163" w:lineRule="exact"/>
              <w:rPr>
                <w:sz w:val="20"/>
                <w:szCs w:val="20"/>
                <w:color w:val="auto"/>
              </w:rPr>
            </w:pPr>
            <w:r>
              <w:rPr>
                <w:rFonts w:ascii="Arial" w:cs="Arial" w:eastAsia="Arial" w:hAnsi="Arial"/>
                <w:sz w:val="16"/>
                <w:szCs w:val="16"/>
                <w:color w:val="auto"/>
                <w:w w:val="98"/>
              </w:rPr>
              <w:t>Effects of</w:t>
            </w:r>
          </w:p>
        </w:tc>
        <w:tc>
          <w:tcPr>
            <w:tcW w:w="1080" w:type="dxa"/>
            <w:vAlign w:val="bottom"/>
            <w:tcBorders>
              <w:right w:val="single" w:sz="8" w:color="auto"/>
            </w:tcBorders>
            <w:gridSpan w:val="2"/>
          </w:tcPr>
          <w:p>
            <w:pPr>
              <w:ind w:left="1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90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80" w:type="dxa"/>
            <w:vAlign w:val="bottom"/>
          </w:tcPr>
          <w:p>
            <w:pPr>
              <w:spacing w:after="0"/>
              <w:rPr>
                <w:sz w:val="14"/>
                <w:szCs w:val="14"/>
                <w:color w:val="auto"/>
              </w:rPr>
            </w:pPr>
          </w:p>
        </w:tc>
        <w:tc>
          <w:tcPr>
            <w:tcW w:w="1060" w:type="dxa"/>
            <w:vAlign w:val="bottom"/>
            <w:gridSpan w:val="3"/>
          </w:tcPr>
          <w:p>
            <w:pPr>
              <w:jc w:val="center"/>
              <w:ind w:right="200"/>
              <w:spacing w:after="0" w:line="162" w:lineRule="exact"/>
              <w:rPr>
                <w:sz w:val="20"/>
                <w:szCs w:val="20"/>
                <w:color w:val="auto"/>
              </w:rPr>
            </w:pPr>
            <w:r>
              <w:rPr>
                <w:rFonts w:ascii="Arial" w:cs="Arial" w:eastAsia="Arial" w:hAnsi="Arial"/>
                <w:sz w:val="16"/>
                <w:szCs w:val="16"/>
                <w:color w:val="auto"/>
                <w:w w:val="99"/>
              </w:rPr>
              <w:t>Foreign</w:t>
            </w:r>
          </w:p>
        </w:tc>
        <w:tc>
          <w:tcPr>
            <w:tcW w:w="1080" w:type="dxa"/>
            <w:vAlign w:val="bottom"/>
            <w:tcBorders>
              <w:right w:val="single" w:sz="8" w:color="auto"/>
            </w:tcBorders>
            <w:gridSpan w:val="2"/>
          </w:tcPr>
          <w:p>
            <w:pPr>
              <w:ind w:left="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As Reported</w:t>
            </w:r>
          </w:p>
        </w:tc>
        <w:tc>
          <w:tcPr>
            <w:tcW w:w="80" w:type="dxa"/>
            <w:vAlign w:val="bottom"/>
          </w:tcPr>
          <w:p>
            <w:pPr>
              <w:spacing w:after="0"/>
              <w:rPr>
                <w:sz w:val="14"/>
                <w:szCs w:val="14"/>
                <w:color w:val="auto"/>
              </w:rPr>
            </w:pPr>
          </w:p>
        </w:tc>
        <w:tc>
          <w:tcPr>
            <w:tcW w:w="120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90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color w:val="auto"/>
              </w:rPr>
              <w:t>Currency</w:t>
            </w:r>
          </w:p>
        </w:tc>
        <w:tc>
          <w:tcPr>
            <w:tcW w:w="108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$17,824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$18,040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$35,692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$35,865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2,421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$20,245</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$20,462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$40,521</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$40,695</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$7,103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$13,986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1,380</w:t>
            </w: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$8,483</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$8,516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$16,701</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$16,732</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00" w:type="dxa"/>
            <w:vAlign w:val="bottom"/>
          </w:tcPr>
          <w:p>
            <w:pPr>
              <w:jc w:val="right"/>
              <w:spacing w:after="0"/>
              <w:rPr>
                <w:sz w:val="20"/>
                <w:szCs w:val="20"/>
                <w:color w:val="auto"/>
              </w:rPr>
            </w:pPr>
            <w:r>
              <w:rPr>
                <w:rFonts w:ascii="Arial" w:cs="Arial" w:eastAsia="Arial" w:hAnsi="Arial"/>
                <w:sz w:val="16"/>
                <w:szCs w:val="16"/>
                <w:color w:val="auto"/>
              </w:rPr>
              <w:t>39.9 %</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(30) bps</w:t>
            </w:r>
          </w:p>
        </w:tc>
        <w:tc>
          <w:tcPr>
            <w:tcW w:w="940" w:type="dxa"/>
            <w:vAlign w:val="bottom"/>
          </w:tcPr>
          <w:p>
            <w:pPr>
              <w:jc w:val="right"/>
              <w:spacing w:after="0"/>
              <w:rPr>
                <w:sz w:val="20"/>
                <w:szCs w:val="20"/>
                <w:color w:val="auto"/>
              </w:rPr>
            </w:pPr>
            <w:r>
              <w:rPr>
                <w:rFonts w:ascii="Arial" w:cs="Arial" w:eastAsia="Arial" w:hAnsi="Arial"/>
                <w:sz w:val="16"/>
                <w:szCs w:val="16"/>
                <w:color w:val="auto"/>
              </w:rPr>
              <w:t>39.6 %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39.1 %</w:t>
            </w:r>
          </w:p>
        </w:tc>
        <w:tc>
          <w:tcPr>
            <w:tcW w:w="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(10) bps</w:t>
            </w:r>
          </w:p>
        </w:tc>
        <w:tc>
          <w:tcPr>
            <w:tcW w:w="900" w:type="dxa"/>
            <w:vAlign w:val="bottom"/>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57.0 %</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color w:val="auto"/>
              </w:rPr>
              <w:t>56.9 %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56.9 %</w:t>
            </w:r>
          </w:p>
        </w:tc>
        <w:tc>
          <w:tcPr>
            <w:tcW w:w="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(10) bps</w:t>
            </w:r>
          </w:p>
        </w:tc>
        <w:tc>
          <w:tcPr>
            <w:tcW w:w="900" w:type="dxa"/>
            <w:vAlign w:val="bottom"/>
          </w:tcPr>
          <w:p>
            <w:pPr>
              <w:jc w:val="right"/>
              <w:spacing w:after="0"/>
              <w:rPr>
                <w:sz w:val="20"/>
                <w:szCs w:val="20"/>
                <w:color w:val="auto"/>
              </w:rPr>
            </w:pPr>
            <w:r>
              <w:rPr>
                <w:rFonts w:ascii="Arial" w:cs="Arial" w:eastAsia="Arial" w:hAnsi="Arial"/>
                <w:sz w:val="16"/>
                <w:szCs w:val="16"/>
                <w:color w:val="auto"/>
              </w:rPr>
              <w:t>56.8 %</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41.9 %</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 bps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41.6 %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41.2 %</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41.1 %</w:t>
            </w:r>
          </w:p>
        </w:tc>
        <w:tc>
          <w:tcPr>
            <w:tcW w:w="0" w:type="dxa"/>
            <w:vAlign w:val="bottom"/>
          </w:tcPr>
          <w:p>
            <w:pPr>
              <w:spacing w:after="0"/>
              <w:rPr>
                <w:sz w:val="1"/>
                <w:szCs w:val="1"/>
                <w:color w:val="auto"/>
              </w:rPr>
            </w:pPr>
          </w:p>
        </w:tc>
      </w:tr>
      <w:tr>
        <w:trPr>
          <w:trHeight w:val="439"/>
        </w:trPr>
        <w:tc>
          <w:tcPr>
            <w:tcW w:w="4640" w:type="dxa"/>
            <w:vAlign w:val="bottom"/>
          </w:tcPr>
          <w:p>
            <w:pPr>
              <w:spacing w:after="0"/>
              <w:rPr>
                <w:sz w:val="24"/>
                <w:szCs w:val="24"/>
                <w:color w:val="auto"/>
              </w:rPr>
            </w:pPr>
          </w:p>
        </w:tc>
        <w:tc>
          <w:tcPr>
            <w:tcW w:w="3220" w:type="dxa"/>
            <w:vAlign w:val="bottom"/>
            <w:tcBorders>
              <w:right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36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June 30, 2024</w:t>
            </w: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June 30, 2024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00"/>
              <w:spacing w:after="0" w:line="163" w:lineRule="exact"/>
              <w:rPr>
                <w:sz w:val="20"/>
                <w:szCs w:val="20"/>
                <w:color w:val="auto"/>
              </w:rPr>
            </w:pPr>
            <w:r>
              <w:rPr>
                <w:rFonts w:ascii="Arial" w:cs="Arial" w:eastAsia="Arial" w:hAnsi="Arial"/>
                <w:sz w:val="16"/>
                <w:szCs w:val="16"/>
                <w:color w:val="auto"/>
                <w:w w:val="98"/>
              </w:rPr>
              <w:t>Effects of</w:t>
            </w:r>
          </w:p>
        </w:tc>
        <w:tc>
          <w:tcPr>
            <w:tcW w:w="1080" w:type="dxa"/>
            <w:vAlign w:val="bottom"/>
            <w:tcBorders>
              <w:right w:val="single" w:sz="8" w:color="auto"/>
            </w:tcBorders>
            <w:gridSpan w:val="2"/>
          </w:tcPr>
          <w:p>
            <w:pPr>
              <w:ind w:left="10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90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80" w:type="dxa"/>
            <w:vAlign w:val="bottom"/>
          </w:tcPr>
          <w:p>
            <w:pPr>
              <w:spacing w:after="0"/>
              <w:rPr>
                <w:sz w:val="14"/>
                <w:szCs w:val="14"/>
                <w:color w:val="auto"/>
              </w:rPr>
            </w:pPr>
          </w:p>
        </w:tc>
        <w:tc>
          <w:tcPr>
            <w:tcW w:w="1060" w:type="dxa"/>
            <w:vAlign w:val="bottom"/>
            <w:gridSpan w:val="3"/>
          </w:tcPr>
          <w:p>
            <w:pPr>
              <w:jc w:val="center"/>
              <w:ind w:right="200"/>
              <w:spacing w:after="0" w:line="162" w:lineRule="exact"/>
              <w:rPr>
                <w:sz w:val="20"/>
                <w:szCs w:val="20"/>
                <w:color w:val="auto"/>
              </w:rPr>
            </w:pPr>
            <w:r>
              <w:rPr>
                <w:rFonts w:ascii="Arial" w:cs="Arial" w:eastAsia="Arial" w:hAnsi="Arial"/>
                <w:sz w:val="16"/>
                <w:szCs w:val="16"/>
                <w:color w:val="auto"/>
                <w:w w:val="99"/>
              </w:rPr>
              <w:t>Foreign</w:t>
            </w:r>
          </w:p>
        </w:tc>
        <w:tc>
          <w:tcPr>
            <w:tcW w:w="1080" w:type="dxa"/>
            <w:vAlign w:val="bottom"/>
            <w:tcBorders>
              <w:right w:val="single" w:sz="8" w:color="auto"/>
            </w:tcBorders>
            <w:gridSpan w:val="2"/>
          </w:tcPr>
          <w:p>
            <w:pPr>
              <w:ind w:left="8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As Reported</w:t>
            </w:r>
          </w:p>
        </w:tc>
        <w:tc>
          <w:tcPr>
            <w:tcW w:w="80" w:type="dxa"/>
            <w:vAlign w:val="bottom"/>
          </w:tcPr>
          <w:p>
            <w:pPr>
              <w:spacing w:after="0"/>
              <w:rPr>
                <w:sz w:val="14"/>
                <w:szCs w:val="14"/>
                <w:color w:val="auto"/>
              </w:rPr>
            </w:pPr>
          </w:p>
        </w:tc>
        <w:tc>
          <w:tcPr>
            <w:tcW w:w="120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90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6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6"/>
                <w:szCs w:val="16"/>
                <w:color w:val="auto"/>
              </w:rPr>
              <w:t>Currency</w:t>
            </w:r>
          </w:p>
        </w:tc>
        <w:tc>
          <w:tcPr>
            <w:tcW w:w="108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6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00" w:type="dxa"/>
            <w:vAlign w:val="bottom"/>
          </w:tcPr>
          <w:p>
            <w:pPr>
              <w:jc w:val="right"/>
              <w:spacing w:after="0"/>
              <w:rPr>
                <w:sz w:val="20"/>
                <w:szCs w:val="20"/>
                <w:color w:val="auto"/>
              </w:rPr>
            </w:pPr>
            <w:r>
              <w:rPr>
                <w:rFonts w:ascii="Arial" w:cs="Arial" w:eastAsia="Arial" w:hAnsi="Arial"/>
                <w:sz w:val="16"/>
                <w:szCs w:val="16"/>
                <w:color w:val="auto"/>
              </w:rPr>
              <w:t>$6,429</w:t>
            </w: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$6,429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$12,875</w:t>
            </w: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$12,875</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00" w:type="dxa"/>
            <w:vAlign w:val="bottom"/>
          </w:tcPr>
          <w:p>
            <w:pPr>
              <w:jc w:val="right"/>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1,991</w:t>
            </w:r>
          </w:p>
        </w:tc>
        <w:tc>
          <w:tcPr>
            <w:tcW w:w="8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00" w:type="dxa"/>
            <w:vAlign w:val="bottom"/>
          </w:tcPr>
          <w:p>
            <w:pPr>
              <w:jc w:val="right"/>
              <w:spacing w:after="0"/>
              <w:rPr>
                <w:sz w:val="20"/>
                <w:szCs w:val="20"/>
                <w:color w:val="auto"/>
              </w:rPr>
            </w:pPr>
            <w:r>
              <w:rPr>
                <w:rFonts w:ascii="Arial" w:cs="Arial" w:eastAsia="Arial" w:hAnsi="Arial"/>
                <w:sz w:val="16"/>
                <w:szCs w:val="16"/>
                <w:color w:val="auto"/>
              </w:rPr>
              <w:t>1,056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1"/>
        </w:trPr>
        <w:tc>
          <w:tcPr>
            <w:tcW w:w="464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$8,505</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$8,564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$16,956</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$17,006</w:t>
            </w: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Video</w:t>
            </w:r>
          </w:p>
        </w:tc>
        <w:tc>
          <w:tcPr>
            <w:tcW w:w="1000" w:type="dxa"/>
            <w:vAlign w:val="bottom"/>
          </w:tcPr>
          <w:p>
            <w:pPr>
              <w:jc w:val="right"/>
              <w:spacing w:after="0"/>
              <w:rPr>
                <w:sz w:val="20"/>
                <w:szCs w:val="20"/>
                <w:color w:val="auto"/>
              </w:rPr>
            </w:pPr>
            <w:r>
              <w:rPr>
                <w:rFonts w:ascii="Arial" w:cs="Arial" w:eastAsia="Arial" w:hAnsi="Arial"/>
                <w:sz w:val="16"/>
                <w:szCs w:val="16"/>
                <w:color w:val="auto"/>
              </w:rPr>
              <w:t>7,013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14,117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14,208</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00" w:type="dxa"/>
            <w:vAlign w:val="bottom"/>
          </w:tcPr>
          <w:p>
            <w:pPr>
              <w:jc w:val="right"/>
              <w:spacing w:after="0"/>
              <w:rPr>
                <w:sz w:val="20"/>
                <w:szCs w:val="20"/>
                <w:color w:val="auto"/>
              </w:rPr>
            </w:pPr>
            <w:r>
              <w:rPr>
                <w:rFonts w:ascii="Arial" w:cs="Arial" w:eastAsia="Arial" w:hAnsi="Arial"/>
                <w:sz w:val="16"/>
                <w:szCs w:val="16"/>
                <w:color w:val="auto"/>
              </w:rPr>
              <w:t>993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Pr>
          <w:p>
            <w:pPr>
              <w:jc w:val="right"/>
              <w:spacing w:after="0"/>
              <w:rPr>
                <w:sz w:val="20"/>
                <w:szCs w:val="20"/>
                <w:color w:val="auto"/>
              </w:rPr>
            </w:pPr>
            <w:r>
              <w:rPr>
                <w:rFonts w:ascii="Arial" w:cs="Arial" w:eastAsia="Arial" w:hAnsi="Arial"/>
                <w:sz w:val="16"/>
                <w:szCs w:val="16"/>
                <w:color w:val="auto"/>
              </w:rPr>
              <w:t>1,313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$17,824</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$18,040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$35,692</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$35,865</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1000" w:type="dxa"/>
            <w:vAlign w:val="bottom"/>
          </w:tcPr>
          <w:p>
            <w:pPr>
              <w:jc w:val="right"/>
              <w:spacing w:after="0"/>
              <w:rPr>
                <w:sz w:val="20"/>
                <w:szCs w:val="20"/>
                <w:color w:val="auto"/>
              </w:rPr>
            </w:pPr>
            <w:r>
              <w:rPr>
                <w:rFonts w:ascii="Arial" w:cs="Arial" w:eastAsia="Arial" w:hAnsi="Arial"/>
                <w:sz w:val="16"/>
                <w:szCs w:val="16"/>
                <w:color w:val="auto"/>
              </w:rPr>
              <w:t>$4,248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$8,654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$8,706</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1000" w:type="dxa"/>
            <w:vAlign w:val="bottom"/>
          </w:tcPr>
          <w:p>
            <w:pPr>
              <w:jc w:val="right"/>
              <w:spacing w:after="0"/>
              <w:rPr>
                <w:sz w:val="20"/>
                <w:szCs w:val="20"/>
                <w:color w:val="auto"/>
              </w:rPr>
            </w:pPr>
            <w:r>
              <w:rPr>
                <w:rFonts w:ascii="Arial" w:cs="Arial" w:eastAsia="Arial" w:hAnsi="Arial"/>
                <w:sz w:val="16"/>
                <w:szCs w:val="16"/>
                <w:color w:val="auto"/>
              </w:rPr>
              <w:t>6,472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6,586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13,083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13,173</w:t>
            </w:r>
          </w:p>
        </w:tc>
        <w:tc>
          <w:tcPr>
            <w:tcW w:w="0" w:type="dxa"/>
            <w:vAlign w:val="bottom"/>
          </w:tcPr>
          <w:p>
            <w:pPr>
              <w:spacing w:after="0"/>
              <w:rPr>
                <w:sz w:val="1"/>
                <w:szCs w:val="1"/>
                <w:color w:val="auto"/>
              </w:rPr>
            </w:pPr>
          </w:p>
        </w:tc>
      </w:tr>
      <w:tr>
        <w:trPr>
          <w:trHeight w:val="218"/>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$10,721</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$21,737</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$21,879</w:t>
            </w:r>
          </w:p>
        </w:tc>
        <w:tc>
          <w:tcPr>
            <w:tcW w:w="0" w:type="dxa"/>
            <w:vAlign w:val="bottom"/>
          </w:tcPr>
          <w:p>
            <w:pPr>
              <w:spacing w:after="0"/>
              <w:rPr>
                <w:sz w:val="1"/>
                <w:szCs w:val="1"/>
                <w:color w:val="auto"/>
              </w:rPr>
            </w:pPr>
          </w:p>
        </w:tc>
      </w:tr>
      <w:tr>
        <w:trPr>
          <w:trHeight w:val="357"/>
        </w:trPr>
        <w:tc>
          <w:tcPr>
            <w:tcW w:w="46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$7,103</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$7,136</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$13,955</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$13,986</w:t>
            </w:r>
          </w:p>
        </w:tc>
        <w:tc>
          <w:tcPr>
            <w:tcW w:w="0" w:type="dxa"/>
            <w:vAlign w:val="bottom"/>
          </w:tcPr>
          <w:p>
            <w:pPr>
              <w:spacing w:after="0"/>
              <w:rPr>
                <w:sz w:val="1"/>
                <w:szCs w:val="1"/>
                <w:color w:val="auto"/>
              </w:rPr>
            </w:pPr>
          </w:p>
        </w:tc>
      </w:tr>
      <w:tr>
        <w:trPr>
          <w:trHeight w:val="217"/>
        </w:trPr>
        <w:tc>
          <w:tcPr>
            <w:tcW w:w="464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39.9 %</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(30) bps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39.6 %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39.1 %</w:t>
            </w:r>
          </w:p>
        </w:tc>
        <w:tc>
          <w:tcPr>
            <w:tcW w:w="8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(10) bps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20"/>
          </w:cols>
          <w:pgMar w:left="340" w:top="100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2025-07-31T06:15:48Z</dcterms:created>
  <dcterms:modified xsi:type="dcterms:W3CDTF">2025-07-31T06:15:48Z</dcterms:modified>
</cp:coreProperties>
</file>