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34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Supplemental Data and Information Letter was posted by Comcast on its website:</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REDACTED – FOR PUBLIC INSPECTION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June 24, 2014</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ELECTRONIC FILING</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Marlene H. Dortch</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189" w:lineRule="auto"/>
        <w:rPr>
          <w:sz w:val="20"/>
          <w:szCs w:val="20"/>
          <w:color w:val="auto"/>
        </w:rPr>
      </w:pPr>
      <w:r>
        <w:rPr>
          <w:rFonts w:ascii="Arial" w:cs="Arial" w:eastAsia="Arial" w:hAnsi="Arial"/>
          <w:sz w:val="18"/>
          <w:szCs w:val="18"/>
          <w:color w:val="auto"/>
        </w:rPr>
        <w:t>445 12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S.W.</w:t>
      </w:r>
    </w:p>
    <w:p>
      <w:pPr>
        <w:spacing w:after="0"/>
        <w:rPr>
          <w:sz w:val="20"/>
          <w:szCs w:val="20"/>
          <w:color w:val="auto"/>
        </w:rPr>
      </w:pPr>
      <w:r>
        <w:rPr>
          <w:rFonts w:ascii="Arial" w:cs="Arial" w:eastAsia="Arial" w:hAnsi="Arial"/>
          <w:sz w:val="18"/>
          <w:szCs w:val="18"/>
          <w:color w:val="auto"/>
        </w:rPr>
        <w:t>Washington, DC 20554</w:t>
      </w:r>
    </w:p>
    <w:p>
      <w:pPr>
        <w:spacing w:after="0" w:line="205" w:lineRule="exact"/>
        <w:rPr>
          <w:sz w:val="24"/>
          <w:szCs w:val="24"/>
          <w:color w:val="auto"/>
        </w:rPr>
      </w:pPr>
    </w:p>
    <w:p>
      <w:pPr>
        <w:ind w:left="1300" w:right="840" w:hanging="639"/>
        <w:spacing w:after="0" w:line="277" w:lineRule="auto"/>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i w:val="1"/>
          <w:iCs w:val="1"/>
          <w:color w:val="auto"/>
        </w:rPr>
        <w:t>In the Matter of Applications of Comcast Corp. and Time Warner Cable Inc. for Consent to Transfer Control of Licenses and Authorizations</w:t>
      </w:r>
      <w:r>
        <w:rPr>
          <w:rFonts w:ascii="Arial" w:cs="Arial" w:eastAsia="Arial" w:hAnsi="Arial"/>
          <w:sz w:val="18"/>
          <w:szCs w:val="18"/>
          <w:b w:val="1"/>
          <w:bCs w:val="1"/>
          <w:color w:val="auto"/>
        </w:rPr>
        <w:t>, MB Docket No. 14-57</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Dear Ms. Dortch:</w:t>
      </w:r>
    </w:p>
    <w:p>
      <w:pPr>
        <w:spacing w:after="0" w:line="225" w:lineRule="exact"/>
        <w:rPr>
          <w:sz w:val="24"/>
          <w:szCs w:val="24"/>
          <w:color w:val="auto"/>
        </w:rPr>
      </w:pPr>
    </w:p>
    <w:p>
      <w:pPr>
        <w:ind w:right="20"/>
        <w:spacing w:after="0" w:line="255" w:lineRule="auto"/>
        <w:rPr>
          <w:sz w:val="20"/>
          <w:szCs w:val="20"/>
          <w:color w:val="auto"/>
        </w:rPr>
      </w:pPr>
      <w:r>
        <w:rPr>
          <w:rFonts w:ascii="Arial" w:cs="Arial" w:eastAsia="Arial" w:hAnsi="Arial"/>
          <w:sz w:val="16"/>
          <w:szCs w:val="16"/>
          <w:color w:val="auto"/>
        </w:rPr>
        <w:t>On June 5, 2014, Comcast Corporation (“Comcast”) and Time Warner Cable Inc. (“TWC”) submitted a letter in the above-captioned proceeding detailing changes to the relevant facts and figures included in the Comcast-TWC Public Interest Statement</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in light of the “Divestiture Transactions” between Comcast and Charter Communications, Inc. (“Charter”) (collectively, the “parties”).</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As the parties explained, the Divestiture Transactions will preserve the substantial public interest benefits described in the Comcast-TWC Public Interest Statement and, in fact, will yield </w:t>
      </w:r>
      <w:r>
        <w:rPr>
          <w:rFonts w:ascii="Arial" w:cs="Arial" w:eastAsia="Arial" w:hAnsi="Arial"/>
          <w:sz w:val="16"/>
          <w:szCs w:val="16"/>
          <w:i w:val="1"/>
          <w:iCs w:val="1"/>
          <w:color w:val="auto"/>
        </w:rPr>
        <w:t>additional</w:t>
      </w:r>
      <w:r>
        <w:rPr>
          <w:rFonts w:ascii="Arial" w:cs="Arial" w:eastAsia="Arial" w:hAnsi="Arial"/>
          <w:sz w:val="16"/>
          <w:szCs w:val="16"/>
          <w:color w:val="auto"/>
        </w:rPr>
        <w:t xml:space="preserve"> benefits for residential and business customers. At the request of Commission staff, the parties are submitting this letter to provide some additional data and information about Comcast, Charter, and SpinCo, as well as Bright House Networks (“BHN”), following the Comcast-TWC transaction and the Divestiture Transactions.</w:t>
      </w:r>
    </w:p>
    <w:p>
      <w:pPr>
        <w:spacing w:after="0" w:line="193" w:lineRule="exact"/>
        <w:rPr>
          <w:sz w:val="24"/>
          <w:szCs w:val="24"/>
          <w:color w:val="auto"/>
        </w:rPr>
      </w:pPr>
    </w:p>
    <w:p>
      <w:pPr>
        <w:ind w:left="980" w:hanging="324"/>
        <w:spacing w:after="0"/>
        <w:tabs>
          <w:tab w:leader="none" w:pos="98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Subscriber and Homes Passed Data</w:t>
      </w:r>
    </w:p>
    <w:p>
      <w:pPr>
        <w:spacing w:after="0" w:line="225" w:lineRule="exact"/>
        <w:rPr>
          <w:sz w:val="24"/>
          <w:szCs w:val="24"/>
          <w:color w:val="auto"/>
        </w:rPr>
      </w:pPr>
    </w:p>
    <w:p>
      <w:pPr>
        <w:ind w:right="180"/>
        <w:spacing w:after="0" w:line="264" w:lineRule="auto"/>
        <w:rPr>
          <w:sz w:val="20"/>
          <w:szCs w:val="20"/>
          <w:color w:val="auto"/>
        </w:rPr>
      </w:pPr>
      <w:r>
        <w:rPr>
          <w:rFonts w:ascii="Arial" w:cs="Arial" w:eastAsia="Arial" w:hAnsi="Arial"/>
          <w:sz w:val="18"/>
          <w:szCs w:val="18"/>
          <w:color w:val="auto"/>
        </w:rPr>
        <w:t>The Divestiture Transactions follow through on Comcast’s willingness to reduce its post-TWC transaction number of managed residential video subscribers to less than 30 percent of national MVPD subscribers. As previously explained, Comcast will increase its video customer base by approximately seven million video customers after divesting systems serving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5882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right="280" w:firstLine="8"/>
        <w:spacing w:after="0" w:line="216" w:lineRule="auto"/>
        <w:tabs>
          <w:tab w:leader="none" w:pos="108"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Applications and Public Interest Statement of Comcast Corp. and Time Warner Cable Inc., MB Docket No. 14-57 (Apr. 8, 2014) (“Comcast-TWC Public Interest Statement”).</w:t>
      </w:r>
    </w:p>
    <w:p>
      <w:pPr>
        <w:spacing w:after="0" w:line="1" w:lineRule="exact"/>
        <w:rPr>
          <w:rFonts w:ascii="Arial" w:cs="Arial" w:eastAsia="Arial" w:hAnsi="Arial"/>
          <w:sz w:val="25"/>
          <w:szCs w:val="25"/>
          <w:color w:val="auto"/>
          <w:vertAlign w:val="superscript"/>
        </w:rPr>
      </w:pPr>
    </w:p>
    <w:p>
      <w:pPr>
        <w:ind w:right="40"/>
        <w:spacing w:after="0" w:line="232"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i w:val="1"/>
          <w:iCs w:val="1"/>
          <w:color w:val="auto"/>
        </w:rPr>
        <w:t xml:space="preserve"> See </w:t>
      </w:r>
      <w:r>
        <w:rPr>
          <w:rFonts w:ascii="Arial" w:cs="Arial" w:eastAsia="Arial" w:hAnsi="Arial"/>
          <w:sz w:val="18"/>
          <w:szCs w:val="18"/>
          <w:color w:val="auto"/>
        </w:rPr>
        <w:t xml:space="preserve">Letter from Kathryn A. Zachem, Comcast, and Steven Teplitz, TWC, to Marlene H. Dortch, FCC, MB Docket No. 14-57 (June 5, 2014) (“Comcast-TWC Supplement Letter”); </w:t>
      </w:r>
      <w:r>
        <w:rPr>
          <w:rFonts w:ascii="Arial" w:cs="Arial" w:eastAsia="Arial" w:hAnsi="Arial"/>
          <w:sz w:val="18"/>
          <w:szCs w:val="18"/>
          <w:i w:val="1"/>
          <w:iCs w:val="1"/>
          <w:color w:val="auto"/>
        </w:rPr>
        <w:t>see also</w:t>
      </w:r>
      <w:r>
        <w:rPr>
          <w:rFonts w:ascii="Arial" w:cs="Arial" w:eastAsia="Arial" w:hAnsi="Arial"/>
          <w:sz w:val="18"/>
          <w:szCs w:val="18"/>
          <w:color w:val="auto"/>
        </w:rPr>
        <w:t xml:space="preserve"> Public Interest Statement of Comcast Corporation and Charter Communications, Inc., Charter-to-Comcast Exchange Transaction, MB Docket No. 14-57 (June 4, 2014); Public Interest Statement of Charter Communications, Inc. and Comcast Corporation, Comcast-to-Charter Exchange and Sale Transactions, MB Docket No. 14-57 (June 4, 2014); Public Interest Statement of SpinCo, Charter Communications, Inc., and Comcast Corporation, Spin Transaction, MB Docket No. 14-57 (June 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548005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4"/>
          <w:szCs w:val="14"/>
          <w:b w:val="1"/>
          <w:bCs w:val="1"/>
          <w:color w:val="auto"/>
        </w:rPr>
        <w:t>REDACTED – FOR PUBLIC INSPECTION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June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approximately 3.9 million video customers. The parties provide below additional data regarding video, broadband, and voice customers, as well as total homes passed:</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39370</wp:posOffset>
            </wp:positionV>
            <wp:extent cx="5822950" cy="196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2950" cy="196850"/>
                    </a:xfrm>
                    <a:prstGeom prst="rect">
                      <a:avLst/>
                    </a:prstGeom>
                    <a:noFill/>
                  </pic:spPr>
                </pic:pic>
              </a:graphicData>
            </a:graphic>
          </wp:anchor>
        </w:drawing>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COMCAST</w:t>
      </w:r>
      <w:r>
        <w:rPr>
          <w:rFonts w:ascii="Arial" w:cs="Arial" w:eastAsia="Arial" w:hAnsi="Arial"/>
          <w:sz w:val="25"/>
          <w:szCs w:val="25"/>
          <w:color w:val="auto"/>
          <w:vertAlign w:val="superscript"/>
        </w:rPr>
        <w:t>4</w:t>
      </w:r>
    </w:p>
    <w:tbl>
      <w:tblPr>
        <w:tblLayout w:type="fixed"/>
        <w:tblInd w:w="1170" w:type="dxa"/>
        <w:tblCellMar>
          <w:top w:w="0" w:type="dxa"/>
          <w:left w:w="0" w:type="dxa"/>
          <w:bottom w:w="0" w:type="dxa"/>
          <w:right w:w="0" w:type="dxa"/>
        </w:tblCellMar>
      </w:tblPr>
      <w:tr>
        <w:trPr>
          <w:trHeight w:val="198"/>
        </w:trPr>
        <w:tc>
          <w:tcPr>
            <w:tcW w:w="3420" w:type="dxa"/>
            <w:vAlign w:val="bottom"/>
            <w:tcBorders>
              <w:left w:val="single" w:sz="8" w:color="auto"/>
              <w:right w:val="single" w:sz="8" w:color="auto"/>
            </w:tcBorders>
            <w:shd w:val="clear" w:color="auto" w:fill="D9D9D9"/>
          </w:tcPr>
          <w:p>
            <w:pPr>
              <w:spacing w:after="0"/>
              <w:rPr>
                <w:sz w:val="17"/>
                <w:szCs w:val="17"/>
                <w:color w:val="auto"/>
              </w:rPr>
            </w:pPr>
          </w:p>
        </w:tc>
        <w:tc>
          <w:tcPr>
            <w:tcW w:w="17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5"/>
              </w:rPr>
              <w:t>Current</w:t>
            </w:r>
          </w:p>
        </w:tc>
        <w:tc>
          <w:tcPr>
            <w:tcW w:w="19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Post-TWC Transaction</w:t>
            </w:r>
          </w:p>
        </w:tc>
        <w:tc>
          <w:tcPr>
            <w:tcW w:w="2040" w:type="dxa"/>
            <w:vAlign w:val="bottom"/>
            <w:tcBorders>
              <w:right w:val="single" w:sz="8" w:color="auto"/>
            </w:tcBorders>
            <w:shd w:val="clear" w:color="auto" w:fill="D9D9D9"/>
          </w:tcPr>
          <w:p>
            <w:pPr>
              <w:jc w:val="center"/>
              <w:spacing w:after="0" w:line="198" w:lineRule="exact"/>
              <w:rPr>
                <w:sz w:val="20"/>
                <w:szCs w:val="20"/>
                <w:color w:val="auto"/>
              </w:rPr>
            </w:pPr>
            <w:r>
              <w:rPr>
                <w:rFonts w:ascii="Arial" w:cs="Arial" w:eastAsia="Arial" w:hAnsi="Arial"/>
                <w:sz w:val="18"/>
                <w:szCs w:val="18"/>
                <w:b w:val="1"/>
                <w:bCs w:val="1"/>
                <w:color w:val="auto"/>
                <w:w w:val="88"/>
              </w:rPr>
              <w:t>Post-Divestiture</w:t>
            </w:r>
          </w:p>
        </w:tc>
        <w:tc>
          <w:tcPr>
            <w:tcW w:w="0" w:type="dxa"/>
            <w:vAlign w:val="bottom"/>
          </w:tcPr>
          <w:p>
            <w:pPr>
              <w:spacing w:after="0"/>
              <w:rPr>
                <w:sz w:val="1"/>
                <w:szCs w:val="1"/>
                <w:color w:val="auto"/>
              </w:rPr>
            </w:pPr>
          </w:p>
        </w:tc>
      </w:tr>
      <w:tr>
        <w:trPr>
          <w:trHeight w:val="126"/>
        </w:trPr>
        <w:tc>
          <w:tcPr>
            <w:tcW w:w="3420" w:type="dxa"/>
            <w:vAlign w:val="bottom"/>
            <w:tcBorders>
              <w:left w:val="single" w:sz="8" w:color="auto"/>
              <w:right w:val="single" w:sz="8" w:color="auto"/>
            </w:tcBorders>
            <w:shd w:val="clear" w:color="auto" w:fill="D9D9D9"/>
          </w:tcPr>
          <w:p>
            <w:pPr>
              <w:spacing w:after="0"/>
              <w:rPr>
                <w:sz w:val="10"/>
                <w:szCs w:val="10"/>
                <w:color w:val="auto"/>
              </w:rPr>
            </w:pPr>
          </w:p>
        </w:tc>
        <w:tc>
          <w:tcPr>
            <w:tcW w:w="1760" w:type="dxa"/>
            <w:vAlign w:val="bottom"/>
            <w:tcBorders>
              <w:right w:val="single" w:sz="8" w:color="auto"/>
            </w:tcBorders>
            <w:vMerge w:val="continue"/>
            <w:shd w:val="clear" w:color="auto" w:fill="D9D9D9"/>
          </w:tcPr>
          <w:p>
            <w:pPr>
              <w:spacing w:after="0"/>
              <w:rPr>
                <w:sz w:val="10"/>
                <w:szCs w:val="10"/>
                <w:color w:val="auto"/>
              </w:rPr>
            </w:pPr>
          </w:p>
        </w:tc>
        <w:tc>
          <w:tcPr>
            <w:tcW w:w="1900" w:type="dxa"/>
            <w:vAlign w:val="bottom"/>
            <w:tcBorders>
              <w:right w:val="single" w:sz="8" w:color="auto"/>
            </w:tcBorders>
            <w:vMerge w:val="continue"/>
            <w:shd w:val="clear" w:color="auto" w:fill="D9D9D9"/>
          </w:tcPr>
          <w:p>
            <w:pPr>
              <w:spacing w:after="0"/>
              <w:rPr>
                <w:sz w:val="10"/>
                <w:szCs w:val="10"/>
                <w:color w:val="auto"/>
              </w:rPr>
            </w:pPr>
          </w:p>
        </w:tc>
        <w:tc>
          <w:tcPr>
            <w:tcW w:w="20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Transactions</w:t>
            </w:r>
          </w:p>
        </w:tc>
        <w:tc>
          <w:tcPr>
            <w:tcW w:w="0" w:type="dxa"/>
            <w:vAlign w:val="bottom"/>
          </w:tcPr>
          <w:p>
            <w:pPr>
              <w:spacing w:after="0"/>
              <w:rPr>
                <w:sz w:val="1"/>
                <w:szCs w:val="1"/>
                <w:color w:val="auto"/>
              </w:rPr>
            </w:pPr>
          </w:p>
        </w:tc>
      </w:tr>
      <w:tr>
        <w:trPr>
          <w:trHeight w:val="108"/>
        </w:trPr>
        <w:tc>
          <w:tcPr>
            <w:tcW w:w="342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1760" w:type="dxa"/>
            <w:vAlign w:val="bottom"/>
            <w:tcBorders>
              <w:bottom w:val="single" w:sz="8" w:color="auto"/>
              <w:right w:val="single" w:sz="8" w:color="auto"/>
            </w:tcBorders>
            <w:shd w:val="clear" w:color="auto" w:fill="D9D9D9"/>
          </w:tcPr>
          <w:p>
            <w:pPr>
              <w:spacing w:after="0"/>
              <w:rPr>
                <w:sz w:val="9"/>
                <w:szCs w:val="9"/>
                <w:color w:val="auto"/>
              </w:rPr>
            </w:pPr>
          </w:p>
        </w:tc>
        <w:tc>
          <w:tcPr>
            <w:tcW w:w="1900" w:type="dxa"/>
            <w:vAlign w:val="bottom"/>
            <w:tcBorders>
              <w:bottom w:val="single" w:sz="8" w:color="auto"/>
              <w:right w:val="single" w:sz="8" w:color="auto"/>
            </w:tcBorders>
            <w:shd w:val="clear" w:color="auto" w:fill="D9D9D9"/>
          </w:tcPr>
          <w:p>
            <w:pPr>
              <w:spacing w:after="0"/>
              <w:rPr>
                <w:sz w:val="9"/>
                <w:szCs w:val="9"/>
                <w:color w:val="auto"/>
              </w:rPr>
            </w:pPr>
          </w:p>
        </w:tc>
        <w:tc>
          <w:tcPr>
            <w:tcW w:w="204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Video Customers</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22.6 million</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33.7 million</w:t>
            </w:r>
          </w:p>
        </w:tc>
        <w:tc>
          <w:tcPr>
            <w:tcW w:w="2040" w:type="dxa"/>
            <w:vAlign w:val="bottom"/>
            <w:tcBorders>
              <w:bottom w:val="single" w:sz="8" w:color="auto"/>
              <w:right w:val="single" w:sz="8" w:color="auto"/>
            </w:tcBorders>
          </w:tcPr>
          <w:p>
            <w:pPr>
              <w:jc w:val="center"/>
              <w:spacing w:after="0" w:line="210" w:lineRule="exact"/>
              <w:rPr>
                <w:sz w:val="20"/>
                <w:szCs w:val="20"/>
                <w:color w:val="auto"/>
              </w:rPr>
            </w:pPr>
            <w:r>
              <w:rPr>
                <w:rFonts w:ascii="Arial" w:cs="Arial" w:eastAsia="Arial" w:hAnsi="Arial"/>
                <w:sz w:val="17"/>
                <w:szCs w:val="17"/>
                <w:color w:val="auto"/>
                <w:w w:val="99"/>
              </w:rPr>
              <w:t>29.8 million</w:t>
            </w:r>
            <w:r>
              <w:rPr>
                <w:rFonts w:ascii="Arial" w:cs="Arial" w:eastAsia="Arial" w:hAnsi="Arial"/>
                <w:sz w:val="24"/>
                <w:szCs w:val="24"/>
                <w:color w:val="auto"/>
                <w:w w:val="99"/>
                <w:vertAlign w:val="superscript"/>
              </w:rPr>
              <w:t>5</w:t>
            </w:r>
          </w:p>
        </w:tc>
        <w:tc>
          <w:tcPr>
            <w:tcW w:w="0" w:type="dxa"/>
            <w:vAlign w:val="bottom"/>
          </w:tcPr>
          <w:p>
            <w:pPr>
              <w:spacing w:after="0"/>
              <w:rPr>
                <w:sz w:val="1"/>
                <w:szCs w:val="1"/>
                <w:color w:val="auto"/>
              </w:rPr>
            </w:pPr>
          </w:p>
        </w:tc>
      </w:tr>
      <w:tr>
        <w:trPr>
          <w:trHeight w:val="210"/>
        </w:trPr>
        <w:tc>
          <w:tcPr>
            <w:tcW w:w="34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Fixed Broadband Customers</w:t>
            </w:r>
          </w:p>
        </w:tc>
        <w:tc>
          <w:tcPr>
            <w:tcW w:w="17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6"/>
              </w:rPr>
              <w:t>21.1 million</w:t>
            </w:r>
          </w:p>
        </w:tc>
        <w:tc>
          <w:tcPr>
            <w:tcW w:w="19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6"/>
              </w:rPr>
              <w:t>32.5 million</w:t>
            </w:r>
          </w:p>
        </w:tc>
        <w:tc>
          <w:tcPr>
            <w:tcW w:w="20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6"/>
              </w:rPr>
              <w:t>29.2 million</w:t>
            </w:r>
          </w:p>
        </w:tc>
        <w:tc>
          <w:tcPr>
            <w:tcW w:w="0" w:type="dxa"/>
            <w:vAlign w:val="bottom"/>
          </w:tcPr>
          <w:p>
            <w:pPr>
              <w:spacing w:after="0"/>
              <w:rPr>
                <w:sz w:val="1"/>
                <w:szCs w:val="1"/>
                <w:color w:val="auto"/>
              </w:rPr>
            </w:pPr>
          </w:p>
        </w:tc>
      </w:tr>
      <w:tr>
        <w:trPr>
          <w:trHeight w:val="210"/>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Voice Customers</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10.9 million</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15.8 million</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14.2 million</w:t>
            </w:r>
          </w:p>
        </w:tc>
        <w:tc>
          <w:tcPr>
            <w:tcW w:w="0" w:type="dxa"/>
            <w:vAlign w:val="bottom"/>
          </w:tcPr>
          <w:p>
            <w:pPr>
              <w:spacing w:after="0"/>
              <w:rPr>
                <w:sz w:val="1"/>
                <w:szCs w:val="1"/>
                <w:color w:val="auto"/>
              </w:rPr>
            </w:pPr>
          </w:p>
        </w:tc>
      </w:tr>
      <w:tr>
        <w:trPr>
          <w:trHeight w:val="230"/>
        </w:trPr>
        <w:tc>
          <w:tcPr>
            <w:tcW w:w="3420" w:type="dxa"/>
            <w:vAlign w:val="bottom"/>
            <w:tcBorders>
              <w:left w:val="single" w:sz="8" w:color="auto"/>
              <w:bottom w:val="single" w:sz="8" w:color="auto"/>
              <w:right w:val="single" w:sz="8" w:color="auto"/>
            </w:tcBorders>
            <w:shd w:val="clear" w:color="auto" w:fill="D9D9D9"/>
          </w:tcPr>
          <w:p>
            <w:pPr>
              <w:jc w:val="center"/>
              <w:spacing w:after="0" w:line="210" w:lineRule="exact"/>
              <w:rPr>
                <w:sz w:val="20"/>
                <w:szCs w:val="20"/>
                <w:color w:val="auto"/>
              </w:rPr>
            </w:pPr>
            <w:r>
              <w:rPr>
                <w:rFonts w:ascii="Arial" w:cs="Arial" w:eastAsia="Arial" w:hAnsi="Arial"/>
                <w:sz w:val="17"/>
                <w:szCs w:val="17"/>
                <w:b w:val="1"/>
                <w:bCs w:val="1"/>
                <w:color w:val="auto"/>
                <w:w w:val="89"/>
              </w:rPr>
              <w:t>Homes Passed</w:t>
            </w:r>
            <w:r>
              <w:rPr>
                <w:rFonts w:ascii="Arial" w:cs="Arial" w:eastAsia="Arial" w:hAnsi="Arial"/>
                <w:sz w:val="24"/>
                <w:szCs w:val="24"/>
                <w:b w:val="1"/>
                <w:bCs w:val="1"/>
                <w:color w:val="auto"/>
                <w:w w:val="89"/>
                <w:vertAlign w:val="superscript"/>
              </w:rPr>
              <w:t>6</w:t>
            </w:r>
          </w:p>
        </w:tc>
        <w:tc>
          <w:tcPr>
            <w:tcW w:w="17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7"/>
              </w:rPr>
              <w:t>54 million</w:t>
            </w:r>
          </w:p>
        </w:tc>
        <w:tc>
          <w:tcPr>
            <w:tcW w:w="19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6"/>
              </w:rPr>
              <w:t>84.1 million</w:t>
            </w:r>
          </w:p>
        </w:tc>
        <w:tc>
          <w:tcPr>
            <w:tcW w:w="20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6"/>
              </w:rPr>
              <w:t>75.4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5882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20" w:firstLine="8"/>
        <w:spacing w:after="0" w:line="232" w:lineRule="auto"/>
        <w:tabs>
          <w:tab w:leader="none" w:pos="94"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The figures in the Post-TWC Transaction and Post-Divestiture Transactions columns include data regarding TWC as of April 17, 2014; all data regarding Comcast and Charter are as of the first quarter of 2014.</w:t>
      </w:r>
    </w:p>
    <w:p>
      <w:pPr>
        <w:spacing w:after="0" w:line="1" w:lineRule="exact"/>
        <w:rPr>
          <w:rFonts w:ascii="Arial" w:cs="Arial" w:eastAsia="Arial" w:hAnsi="Arial"/>
          <w:sz w:val="23"/>
          <w:szCs w:val="23"/>
          <w:color w:val="auto"/>
          <w:vertAlign w:val="superscript"/>
        </w:rPr>
      </w:pPr>
    </w:p>
    <w:p>
      <w:pPr>
        <w:ind w:right="520"/>
        <w:spacing w:after="0" w:line="209" w:lineRule="auto"/>
        <w:rPr>
          <w:rFonts w:ascii="Arial" w:cs="Arial" w:eastAsia="Arial" w:hAnsi="Arial"/>
          <w:sz w:val="23"/>
          <w:szCs w:val="23"/>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The current Comcast customer totals and customer totals being divested to SpinCo include both residential and business customers. As a result, all of Comcast’s and SpinCo’s customer totals are over-inclusive.</w:t>
      </w:r>
    </w:p>
    <w:p>
      <w:pPr>
        <w:spacing w:after="0" w:line="1" w:lineRule="exact"/>
        <w:rPr>
          <w:rFonts w:ascii="Arial" w:cs="Arial" w:eastAsia="Arial" w:hAnsi="Arial"/>
          <w:sz w:val="23"/>
          <w:szCs w:val="23"/>
          <w:color w:val="auto"/>
          <w:vertAlign w:val="superscript"/>
        </w:rPr>
      </w:pPr>
    </w:p>
    <w:p>
      <w:pPr>
        <w:ind w:right="480"/>
        <w:spacing w:after="0" w:line="237" w:lineRule="auto"/>
        <w:rPr>
          <w:rFonts w:ascii="Arial" w:cs="Arial" w:eastAsia="Arial" w:hAnsi="Arial"/>
          <w:sz w:val="23"/>
          <w:szCs w:val="23"/>
          <w:color w:val="auto"/>
          <w:vertAlign w:val="superscript"/>
        </w:rPr>
      </w:pPr>
      <w:r>
        <w:rPr>
          <w:rFonts w:ascii="Arial" w:cs="Arial" w:eastAsia="Arial" w:hAnsi="Arial"/>
          <w:sz w:val="22"/>
          <w:szCs w:val="22"/>
          <w:color w:val="auto"/>
          <w:vertAlign w:val="superscript"/>
        </w:rPr>
        <w:t>5</w:t>
      </w:r>
      <w:r>
        <w:rPr>
          <w:rFonts w:ascii="Arial" w:cs="Arial" w:eastAsia="Arial" w:hAnsi="Arial"/>
          <w:sz w:val="16"/>
          <w:szCs w:val="16"/>
          <w:color w:val="auto"/>
        </w:rPr>
        <w:t xml:space="preserve"> Since there are approximately 100.9 million total residential MVPD subscribers, </w:t>
      </w:r>
      <w:r>
        <w:rPr>
          <w:rFonts w:ascii="Arial" w:cs="Arial" w:eastAsia="Arial" w:hAnsi="Arial"/>
          <w:sz w:val="16"/>
          <w:szCs w:val="16"/>
          <w:i w:val="1"/>
          <w:iCs w:val="1"/>
          <w:color w:val="auto"/>
        </w:rPr>
        <w:t>see</w:t>
      </w:r>
      <w:r>
        <w:rPr>
          <w:rFonts w:ascii="Arial" w:cs="Arial" w:eastAsia="Arial" w:hAnsi="Arial"/>
          <w:sz w:val="16"/>
          <w:szCs w:val="16"/>
          <w:color w:val="auto"/>
        </w:rPr>
        <w:t xml:space="preserve"> SNL Kagan, U.S. Multichannel Industry Benchmarks (2013), the combined company will manage systems serving less than 30 percent of all MVPD subscribers following the Divestiture Transactions.</w:t>
      </w:r>
    </w:p>
    <w:p>
      <w:pPr>
        <w:spacing w:after="0" w:line="271" w:lineRule="auto"/>
        <w:rPr>
          <w:rFonts w:ascii="Arial" w:cs="Arial" w:eastAsia="Arial" w:hAnsi="Arial"/>
          <w:sz w:val="23"/>
          <w:szCs w:val="23"/>
          <w:color w:val="auto"/>
          <w:vertAlign w:val="superscript"/>
        </w:rPr>
      </w:pPr>
      <w:r>
        <w:rPr>
          <w:rFonts w:ascii="Arial" w:cs="Arial" w:eastAsia="Arial" w:hAnsi="Arial"/>
          <w:sz w:val="22"/>
          <w:szCs w:val="22"/>
          <w:color w:val="auto"/>
          <w:vertAlign w:val="superscript"/>
        </w:rPr>
        <w:t>6</w:t>
      </w:r>
      <w:r>
        <w:rPr>
          <w:rFonts w:ascii="Arial" w:cs="Arial" w:eastAsia="Arial" w:hAnsi="Arial"/>
          <w:sz w:val="16"/>
          <w:szCs w:val="16"/>
          <w:color w:val="auto"/>
        </w:rPr>
        <w:t xml:space="preserve"> The homes passed totals reflect both residential and commercial units passed. In addition, while the parties have included homes passed data at the Commission’s request, it bears noting that the Commission has not relied on homes passed as an appropriate measurement for assessing a cable company’s size or relative market power in transaction proceedings, but instead reviews a company’s share of total MVPD subscribers. In fact, the Commission specifically abandoned homes passed as a relevant basis for calculating the now-vacated horizontal ownership cap. </w:t>
      </w:r>
      <w:r>
        <w:rPr>
          <w:rFonts w:ascii="Arial" w:cs="Arial" w:eastAsia="Arial" w:hAnsi="Arial"/>
          <w:sz w:val="16"/>
          <w:szCs w:val="16"/>
          <w:i w:val="1"/>
          <w:iCs w:val="1"/>
          <w:color w:val="auto"/>
        </w:rPr>
        <w:t>See Implementation of Section 11(c) of the</w:t>
      </w:r>
      <w:r>
        <w:rPr>
          <w:rFonts w:ascii="Arial" w:cs="Arial" w:eastAsia="Arial" w:hAnsi="Arial"/>
          <w:sz w:val="16"/>
          <w:szCs w:val="16"/>
          <w:color w:val="auto"/>
        </w:rPr>
        <w:t xml:space="preserve"> </w:t>
      </w:r>
      <w:r>
        <w:rPr>
          <w:rFonts w:ascii="Arial" w:cs="Arial" w:eastAsia="Arial" w:hAnsi="Arial"/>
          <w:sz w:val="16"/>
          <w:szCs w:val="16"/>
          <w:i w:val="1"/>
          <w:iCs w:val="1"/>
          <w:color w:val="auto"/>
        </w:rPr>
        <w:t>Cable Television Consumer Protection and Competition Act of 1992; Horizontal Ownership Limits</w:t>
      </w:r>
      <w:r>
        <w:rPr>
          <w:rFonts w:ascii="Arial" w:cs="Arial" w:eastAsia="Arial" w:hAnsi="Arial"/>
          <w:sz w:val="16"/>
          <w:szCs w:val="16"/>
          <w:color w:val="auto"/>
        </w:rPr>
        <w:t>, Third Report and Order, 14 FCC Rcd. 19098 ¶¶ 20-25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(1999), </w:t>
      </w:r>
      <w:r>
        <w:rPr>
          <w:rFonts w:ascii="Arial" w:cs="Arial" w:eastAsia="Arial" w:hAnsi="Arial"/>
          <w:sz w:val="16"/>
          <w:szCs w:val="16"/>
          <w:i w:val="1"/>
          <w:iCs w:val="1"/>
          <w:color w:val="auto"/>
        </w:rPr>
        <w:t>rev’d on other grounds</w:t>
      </w:r>
      <w:r>
        <w:rPr>
          <w:rFonts w:ascii="Arial" w:cs="Arial" w:eastAsia="Arial" w:hAnsi="Arial"/>
          <w:sz w:val="16"/>
          <w:szCs w:val="16"/>
          <w:color w:val="auto"/>
        </w:rPr>
        <w:t xml:space="preserve">, </w:t>
      </w:r>
      <w:r>
        <w:rPr>
          <w:rFonts w:ascii="Arial" w:cs="Arial" w:eastAsia="Arial" w:hAnsi="Arial"/>
          <w:sz w:val="16"/>
          <w:szCs w:val="16"/>
          <w:i w:val="1"/>
          <w:iCs w:val="1"/>
          <w:color w:val="auto"/>
        </w:rPr>
        <w:t>Time Warner Entm’t Co. v. FCC</w:t>
      </w:r>
      <w:r>
        <w:rPr>
          <w:rFonts w:ascii="Arial" w:cs="Arial" w:eastAsia="Arial" w:hAnsi="Arial"/>
          <w:sz w:val="16"/>
          <w:szCs w:val="16"/>
          <w:color w:val="auto"/>
        </w:rPr>
        <w:t>, 240 F.3d 1126 (D.C. Cir. 2001) (“</w:t>
      </w:r>
      <w:r>
        <w:rPr>
          <w:rFonts w:ascii="Arial" w:cs="Arial" w:eastAsia="Arial" w:hAnsi="Arial"/>
          <w:sz w:val="16"/>
          <w:szCs w:val="16"/>
          <w:i w:val="1"/>
          <w:iCs w:val="1"/>
          <w:color w:val="auto"/>
        </w:rPr>
        <w:t>Time Warner II</w:t>
      </w:r>
      <w:r>
        <w:rPr>
          <w:rFonts w:ascii="Arial" w:cs="Arial" w:eastAsia="Arial" w:hAnsi="Arial"/>
          <w:sz w:val="16"/>
          <w:szCs w:val="16"/>
          <w:color w:val="auto"/>
        </w:rPr>
        <w:t>”). If homes passed were a relevant metric, it would be worth noting that the two satellite companies – DirecTV and Dish – pass virtually 100 percent of homes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534670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0" w:right="2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4"/>
          <w:szCs w:val="14"/>
          <w:b w:val="1"/>
          <w:bCs w:val="1"/>
          <w:color w:val="auto"/>
        </w:rPr>
        <w:t>REDACTED – FOR PUBLIC INSPECTION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June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267335</wp:posOffset>
            </wp:positionV>
            <wp:extent cx="5093970" cy="196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93970" cy="1968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1730" w:type="dxa"/>
        <w:tblCellMar>
          <w:top w:w="0" w:type="dxa"/>
          <w:left w:w="0" w:type="dxa"/>
          <w:bottom w:w="0" w:type="dxa"/>
          <w:right w:w="0" w:type="dxa"/>
        </w:tblCellMar>
      </w:tblPr>
      <w:tr>
        <w:trPr>
          <w:trHeight w:val="287"/>
        </w:trPr>
        <w:tc>
          <w:tcPr>
            <w:tcW w:w="3340" w:type="dxa"/>
            <w:vAlign w:val="bottom"/>
          </w:tcPr>
          <w:p>
            <w:pPr>
              <w:spacing w:after="0"/>
              <w:rPr>
                <w:sz w:val="24"/>
                <w:szCs w:val="24"/>
                <w:color w:val="auto"/>
              </w:rPr>
            </w:pPr>
          </w:p>
        </w:tc>
        <w:tc>
          <w:tcPr>
            <w:tcW w:w="2260" w:type="dxa"/>
            <w:vAlign w:val="bottom"/>
          </w:tcPr>
          <w:p>
            <w:pPr>
              <w:ind w:left="180"/>
              <w:spacing w:after="0"/>
              <w:rPr>
                <w:sz w:val="20"/>
                <w:szCs w:val="20"/>
                <w:color w:val="auto"/>
              </w:rPr>
            </w:pPr>
            <w:r>
              <w:rPr>
                <w:rFonts w:ascii="Arial" w:cs="Arial" w:eastAsia="Arial" w:hAnsi="Arial"/>
                <w:sz w:val="18"/>
                <w:szCs w:val="18"/>
                <w:b w:val="1"/>
                <w:bCs w:val="1"/>
                <w:color w:val="auto"/>
              </w:rPr>
              <w:t>CHARTER</w:t>
            </w:r>
            <w:r>
              <w:rPr>
                <w:rFonts w:ascii="Arial" w:cs="Arial" w:eastAsia="Arial" w:hAnsi="Arial"/>
                <w:sz w:val="25"/>
                <w:szCs w:val="25"/>
                <w:color w:val="auto"/>
                <w:vertAlign w:val="superscript"/>
              </w:rPr>
              <w:t>7</w:t>
            </w:r>
          </w:p>
        </w:tc>
        <w:tc>
          <w:tcPr>
            <w:tcW w:w="2380" w:type="dxa"/>
            <w:vAlign w:val="bottom"/>
          </w:tcPr>
          <w:p>
            <w:pPr>
              <w:spacing w:after="0"/>
              <w:rPr>
                <w:sz w:val="24"/>
                <w:szCs w:val="24"/>
                <w:color w:val="auto"/>
              </w:rPr>
            </w:pPr>
          </w:p>
        </w:tc>
      </w:tr>
      <w:tr>
        <w:trPr>
          <w:trHeight w:val="216"/>
        </w:trPr>
        <w:tc>
          <w:tcPr>
            <w:tcW w:w="334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22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2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Post-Divestiture Transactions</w:t>
            </w:r>
          </w:p>
        </w:tc>
      </w:tr>
      <w:tr>
        <w:trPr>
          <w:trHeight w:val="210"/>
        </w:trPr>
        <w:tc>
          <w:tcPr>
            <w:tcW w:w="3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Video Customers</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4.2 million</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5.6 million</w:t>
            </w:r>
          </w:p>
        </w:tc>
      </w:tr>
      <w:tr>
        <w:trPr>
          <w:trHeight w:val="210"/>
        </w:trPr>
        <w:tc>
          <w:tcPr>
            <w:tcW w:w="334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Fixed Broadband Customers</w:t>
            </w:r>
          </w:p>
        </w:tc>
        <w:tc>
          <w:tcPr>
            <w:tcW w:w="22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8"/>
              </w:rPr>
              <w:t>4.5 million</w:t>
            </w:r>
          </w:p>
        </w:tc>
        <w:tc>
          <w:tcPr>
            <w:tcW w:w="2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6"/>
              </w:rPr>
              <w:t>5.5 million</w:t>
            </w:r>
          </w:p>
        </w:tc>
      </w:tr>
      <w:tr>
        <w:trPr>
          <w:trHeight w:val="210"/>
        </w:trPr>
        <w:tc>
          <w:tcPr>
            <w:tcW w:w="3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Voice Customers</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2.3 million</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2.8 million</w:t>
            </w:r>
          </w:p>
        </w:tc>
      </w:tr>
      <w:tr>
        <w:trPr>
          <w:trHeight w:val="230"/>
        </w:trPr>
        <w:tc>
          <w:tcPr>
            <w:tcW w:w="334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5"/>
              </w:rPr>
              <w:t>Homes Passed</w:t>
            </w:r>
          </w:p>
        </w:tc>
        <w:tc>
          <w:tcPr>
            <w:tcW w:w="22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6"/>
              </w:rPr>
              <w:t>12.8 million</w:t>
            </w:r>
          </w:p>
        </w:tc>
        <w:tc>
          <w:tcPr>
            <w:tcW w:w="2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6"/>
              </w:rPr>
              <w:t>15.1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261620</wp:posOffset>
            </wp:positionV>
            <wp:extent cx="5093970" cy="196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93970" cy="1968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1730" w:type="dxa"/>
        <w:tblCellMar>
          <w:top w:w="0" w:type="dxa"/>
          <w:left w:w="0" w:type="dxa"/>
          <w:bottom w:w="0" w:type="dxa"/>
          <w:right w:w="0" w:type="dxa"/>
        </w:tblCellMar>
      </w:tblPr>
      <w:tr>
        <w:trPr>
          <w:trHeight w:val="241"/>
        </w:trPr>
        <w:tc>
          <w:tcPr>
            <w:tcW w:w="3420" w:type="dxa"/>
            <w:vAlign w:val="bottom"/>
          </w:tcPr>
          <w:p>
            <w:pPr>
              <w:spacing w:after="0"/>
              <w:rPr>
                <w:sz w:val="20"/>
                <w:szCs w:val="20"/>
                <w:color w:val="auto"/>
              </w:rPr>
            </w:pPr>
          </w:p>
        </w:tc>
        <w:tc>
          <w:tcPr>
            <w:tcW w:w="4560" w:type="dxa"/>
            <w:vAlign w:val="bottom"/>
            <w:gridSpan w:val="2"/>
          </w:tcPr>
          <w:p>
            <w:pPr>
              <w:ind w:left="240"/>
              <w:spacing w:after="0"/>
              <w:rPr>
                <w:sz w:val="20"/>
                <w:szCs w:val="20"/>
                <w:color w:val="auto"/>
              </w:rPr>
            </w:pPr>
            <w:r>
              <w:rPr>
                <w:rFonts w:ascii="Arial" w:cs="Arial" w:eastAsia="Arial" w:hAnsi="Arial"/>
                <w:sz w:val="18"/>
                <w:szCs w:val="18"/>
                <w:b w:val="1"/>
                <w:bCs w:val="1"/>
                <w:color w:val="auto"/>
              </w:rPr>
              <w:t>SPINCO</w:t>
            </w:r>
          </w:p>
        </w:tc>
      </w:tr>
      <w:tr>
        <w:trPr>
          <w:trHeight w:val="223"/>
        </w:trPr>
        <w:tc>
          <w:tcPr>
            <w:tcW w:w="3420" w:type="dxa"/>
            <w:vAlign w:val="bottom"/>
            <w:tcBorders>
              <w:left w:val="single" w:sz="8" w:color="auto"/>
              <w:bottom w:val="single" w:sz="8" w:color="auto"/>
            </w:tcBorders>
            <w:shd w:val="clear" w:color="auto" w:fill="D9D9D9"/>
          </w:tcPr>
          <w:p>
            <w:pPr>
              <w:spacing w:after="0"/>
              <w:rPr>
                <w:sz w:val="19"/>
                <w:szCs w:val="19"/>
                <w:color w:val="auto"/>
              </w:rPr>
            </w:pPr>
          </w:p>
        </w:tc>
        <w:tc>
          <w:tcPr>
            <w:tcW w:w="720" w:type="dxa"/>
            <w:vAlign w:val="bottom"/>
            <w:tcBorders>
              <w:bottom w:val="single" w:sz="8" w:color="auto"/>
              <w:right w:val="single" w:sz="8" w:color="auto"/>
            </w:tcBorders>
            <w:shd w:val="clear" w:color="auto" w:fill="D9D9D9"/>
          </w:tcPr>
          <w:p>
            <w:pPr>
              <w:spacing w:after="0"/>
              <w:rPr>
                <w:sz w:val="19"/>
                <w:szCs w:val="19"/>
                <w:color w:val="auto"/>
              </w:rPr>
            </w:pPr>
          </w:p>
        </w:tc>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Post-Divestiture Transactions</w:t>
            </w:r>
          </w:p>
        </w:tc>
      </w:tr>
      <w:tr>
        <w:trPr>
          <w:trHeight w:val="210"/>
        </w:trPr>
        <w:tc>
          <w:tcPr>
            <w:tcW w:w="3420" w:type="dxa"/>
            <w:vAlign w:val="bottom"/>
            <w:tcBorders>
              <w:left w:val="single" w:sz="8" w:color="auto"/>
              <w:bottom w:val="single" w:sz="8" w:color="auto"/>
            </w:tcBorders>
          </w:tcPr>
          <w:p>
            <w:pPr>
              <w:jc w:val="center"/>
              <w:ind w:left="650"/>
              <w:spacing w:after="0"/>
              <w:rPr>
                <w:sz w:val="20"/>
                <w:szCs w:val="20"/>
                <w:color w:val="auto"/>
              </w:rPr>
            </w:pPr>
            <w:r>
              <w:rPr>
                <w:rFonts w:ascii="Arial" w:cs="Arial" w:eastAsia="Arial" w:hAnsi="Arial"/>
                <w:sz w:val="18"/>
                <w:szCs w:val="18"/>
                <w:b w:val="1"/>
                <w:bCs w:val="1"/>
                <w:color w:val="auto"/>
                <w:w w:val="89"/>
              </w:rPr>
              <w:t>Video Customers</w:t>
            </w:r>
          </w:p>
        </w:tc>
        <w:tc>
          <w:tcPr>
            <w:tcW w:w="720" w:type="dxa"/>
            <w:vAlign w:val="bottom"/>
            <w:tcBorders>
              <w:bottom w:val="single" w:sz="8" w:color="auto"/>
              <w:right w:val="single" w:sz="8" w:color="auto"/>
            </w:tcBorders>
          </w:tcPr>
          <w:p>
            <w:pPr>
              <w:spacing w:after="0"/>
              <w:rPr>
                <w:sz w:val="18"/>
                <w:szCs w:val="18"/>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2.5 million</w:t>
            </w:r>
          </w:p>
        </w:tc>
      </w:tr>
      <w:tr>
        <w:trPr>
          <w:trHeight w:val="210"/>
        </w:trPr>
        <w:tc>
          <w:tcPr>
            <w:tcW w:w="3420" w:type="dxa"/>
            <w:vAlign w:val="bottom"/>
            <w:tcBorders>
              <w:left w:val="single" w:sz="8" w:color="auto"/>
              <w:bottom w:val="single" w:sz="8" w:color="auto"/>
            </w:tcBorders>
            <w:shd w:val="clear" w:color="auto" w:fill="D9D9D9"/>
          </w:tcPr>
          <w:p>
            <w:pPr>
              <w:jc w:val="center"/>
              <w:ind w:left="670"/>
              <w:spacing w:after="0"/>
              <w:rPr>
                <w:sz w:val="20"/>
                <w:szCs w:val="20"/>
                <w:color w:val="auto"/>
              </w:rPr>
            </w:pPr>
            <w:r>
              <w:rPr>
                <w:rFonts w:ascii="Arial" w:cs="Arial" w:eastAsia="Arial" w:hAnsi="Arial"/>
                <w:sz w:val="18"/>
                <w:szCs w:val="18"/>
                <w:b w:val="1"/>
                <w:bCs w:val="1"/>
                <w:color w:val="auto"/>
                <w:w w:val="90"/>
              </w:rPr>
              <w:t>Fixed Broadband Customers</w:t>
            </w:r>
          </w:p>
        </w:tc>
        <w:tc>
          <w:tcPr>
            <w:tcW w:w="720" w:type="dxa"/>
            <w:vAlign w:val="bottom"/>
            <w:tcBorders>
              <w:bottom w:val="single" w:sz="8" w:color="auto"/>
              <w:right w:val="single" w:sz="8" w:color="auto"/>
            </w:tcBorders>
            <w:shd w:val="clear" w:color="auto" w:fill="D9D9D9"/>
          </w:tcPr>
          <w:p>
            <w:pPr>
              <w:spacing w:after="0"/>
              <w:rPr>
                <w:sz w:val="18"/>
                <w:szCs w:val="18"/>
                <w:color w:val="auto"/>
              </w:rPr>
            </w:pPr>
          </w:p>
        </w:tc>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8"/>
              </w:rPr>
              <w:t>2.3 million</w:t>
            </w:r>
          </w:p>
        </w:tc>
      </w:tr>
      <w:tr>
        <w:trPr>
          <w:trHeight w:val="210"/>
        </w:trPr>
        <w:tc>
          <w:tcPr>
            <w:tcW w:w="3420" w:type="dxa"/>
            <w:vAlign w:val="bottom"/>
            <w:tcBorders>
              <w:left w:val="single" w:sz="8" w:color="auto"/>
              <w:bottom w:val="single" w:sz="8" w:color="auto"/>
            </w:tcBorders>
          </w:tcPr>
          <w:p>
            <w:pPr>
              <w:jc w:val="center"/>
              <w:ind w:left="650"/>
              <w:spacing w:after="0"/>
              <w:rPr>
                <w:sz w:val="20"/>
                <w:szCs w:val="20"/>
                <w:color w:val="auto"/>
              </w:rPr>
            </w:pPr>
            <w:r>
              <w:rPr>
                <w:rFonts w:ascii="Arial" w:cs="Arial" w:eastAsia="Arial" w:hAnsi="Arial"/>
                <w:sz w:val="18"/>
                <w:szCs w:val="18"/>
                <w:b w:val="1"/>
                <w:bCs w:val="1"/>
                <w:color w:val="auto"/>
                <w:w w:val="87"/>
              </w:rPr>
              <w:t>Voice Customers</w:t>
            </w:r>
          </w:p>
        </w:tc>
        <w:tc>
          <w:tcPr>
            <w:tcW w:w="720" w:type="dxa"/>
            <w:vAlign w:val="bottom"/>
            <w:tcBorders>
              <w:bottom w:val="single" w:sz="8" w:color="auto"/>
              <w:right w:val="single" w:sz="8" w:color="auto"/>
            </w:tcBorders>
          </w:tcPr>
          <w:p>
            <w:pPr>
              <w:spacing w:after="0"/>
              <w:rPr>
                <w:sz w:val="18"/>
                <w:szCs w:val="18"/>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1.2 million</w:t>
            </w:r>
          </w:p>
        </w:tc>
      </w:tr>
      <w:tr>
        <w:trPr>
          <w:trHeight w:val="230"/>
        </w:trPr>
        <w:tc>
          <w:tcPr>
            <w:tcW w:w="3420" w:type="dxa"/>
            <w:vAlign w:val="bottom"/>
            <w:tcBorders>
              <w:left w:val="single" w:sz="8" w:color="auto"/>
              <w:bottom w:val="single" w:sz="8" w:color="auto"/>
            </w:tcBorders>
            <w:shd w:val="clear" w:color="auto" w:fill="D9D9D9"/>
          </w:tcPr>
          <w:p>
            <w:pPr>
              <w:jc w:val="center"/>
              <w:ind w:left="670"/>
              <w:spacing w:after="0"/>
              <w:rPr>
                <w:sz w:val="20"/>
                <w:szCs w:val="20"/>
                <w:color w:val="auto"/>
              </w:rPr>
            </w:pPr>
            <w:r>
              <w:rPr>
                <w:rFonts w:ascii="Arial" w:cs="Arial" w:eastAsia="Arial" w:hAnsi="Arial"/>
                <w:sz w:val="18"/>
                <w:szCs w:val="18"/>
                <w:b w:val="1"/>
                <w:bCs w:val="1"/>
                <w:color w:val="auto"/>
                <w:w w:val="85"/>
              </w:rPr>
              <w:t>Homes Passed</w:t>
            </w:r>
          </w:p>
        </w:tc>
        <w:tc>
          <w:tcPr>
            <w:tcW w:w="720" w:type="dxa"/>
            <w:vAlign w:val="bottom"/>
            <w:tcBorders>
              <w:bottom w:val="single" w:sz="8" w:color="auto"/>
              <w:right w:val="single" w:sz="8" w:color="auto"/>
            </w:tcBorders>
            <w:shd w:val="clear" w:color="auto" w:fill="D9D9D9"/>
          </w:tcPr>
          <w:p>
            <w:pPr>
              <w:spacing w:after="0"/>
              <w:rPr>
                <w:sz w:val="20"/>
                <w:szCs w:val="20"/>
                <w:color w:val="auto"/>
              </w:rPr>
            </w:pPr>
          </w:p>
        </w:tc>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8"/>
              </w:rPr>
              <w:t>6.3 million</w:t>
            </w:r>
          </w:p>
        </w:tc>
      </w:tr>
    </w:tbl>
    <w:p>
      <w:pPr>
        <w:spacing w:after="0" w:line="200" w:lineRule="exact"/>
        <w:rPr>
          <w:sz w:val="20"/>
          <w:szCs w:val="20"/>
          <w:color w:val="auto"/>
        </w:rPr>
      </w:pPr>
    </w:p>
    <w:p>
      <w:pPr>
        <w:spacing w:after="0" w:line="218"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Additional Broadband Competition Data</w:t>
      </w:r>
    </w:p>
    <w:p>
      <w:pPr>
        <w:spacing w:after="0" w:line="22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detailed in the public interest statements, the broadband marketplace is highly competitive and dynamic. Indeed, the vast majority of consumers have access to multiple broadband competitors, and the transactions do not alter this competitive landscape.</w:t>
      </w:r>
      <w:r>
        <w:rPr>
          <w:rFonts w:ascii="Arial" w:cs="Arial" w:eastAsia="Arial" w:hAnsi="Arial"/>
          <w:sz w:val="25"/>
          <w:szCs w:val="25"/>
          <w:color w:val="auto"/>
          <w:vertAlign w:val="superscript"/>
        </w:rPr>
        <w:t>8</w:t>
      </w:r>
      <w:r>
        <w:rPr>
          <w:rFonts w:ascii="Arial" w:cs="Arial" w:eastAsia="Arial" w:hAnsi="Arial"/>
          <w:sz w:val="18"/>
          <w:szCs w:val="18"/>
          <w:color w:val="auto"/>
        </w:rPr>
        <w:t xml:space="preserve"> Because Comcast, TWC, and Charter serve distinct geographic markets and do not compete today, there will be no reduction in competitive choices for consumers. Following the transactions, Comcast, Charter, and SpinCo will face competition from numerous fixed and mobile broadband providers throughout their respective footprints. The table below shows the percentage of Comcast’s,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5882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8"/>
        <w:spacing w:after="0" w:line="226" w:lineRule="auto"/>
        <w:tabs>
          <w:tab w:leader="none" w:pos="108"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Current Charter customers and homes passed are based on Charter’s reporting methodology; the gains from TWC as a result of the Divestiture Transactions are based on TWC’s reporting methodology, where there may be small definitional differences. Current Charter customers are residential only, while homes passed are residential and commercial.</w:t>
      </w:r>
    </w:p>
    <w:p>
      <w:pPr>
        <w:spacing w:after="0" w:line="2"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8</w:t>
      </w:r>
      <w:r>
        <w:rPr>
          <w:rFonts w:ascii="Arial" w:cs="Arial" w:eastAsia="Arial" w:hAnsi="Arial"/>
          <w:sz w:val="18"/>
          <w:szCs w:val="18"/>
          <w:color w:val="auto"/>
        </w:rPr>
        <w:t xml:space="preserve"> Comcast-TWC Public Interest Statement at 42-56, 141-43; </w:t>
      </w:r>
      <w:r>
        <w:rPr>
          <w:rFonts w:ascii="Arial" w:cs="Arial" w:eastAsia="Arial" w:hAnsi="Arial"/>
          <w:sz w:val="18"/>
          <w:szCs w:val="18"/>
          <w:i w:val="1"/>
          <w:iCs w:val="1"/>
          <w:color w:val="auto"/>
        </w:rPr>
        <w:t>id</w:t>
      </w:r>
      <w:r>
        <w:rPr>
          <w:rFonts w:ascii="Arial" w:cs="Arial" w:eastAsia="Arial" w:hAnsi="Arial"/>
          <w:sz w:val="18"/>
          <w:szCs w:val="18"/>
          <w:color w:val="auto"/>
        </w:rPr>
        <w:t>., Exhibit 6, Declaration of Dr. Mark A. Israel (“Israel Decl.”) ¶¶ 43-71.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0"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REDACTED – FOR PUBLIC INSPECTION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June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2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Charter’s, and SpinCo’s respective footprints overlapped by a non-exhaustive list of competing broadband providers, both today and following the applicable transactions:</w:t>
      </w:r>
      <w:r>
        <w:rPr>
          <w:rFonts w:ascii="Arial" w:cs="Arial" w:eastAsia="Arial" w:hAnsi="Arial"/>
          <w:sz w:val="25"/>
          <w:szCs w:val="25"/>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6226810</wp:posOffset>
            </wp:positionH>
            <wp:positionV relativeFrom="paragraph">
              <wp:posOffset>39370</wp:posOffset>
            </wp:positionV>
            <wp:extent cx="1037590" cy="196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37590" cy="196850"/>
                    </a:xfrm>
                    <a:prstGeom prst="rect">
                      <a:avLst/>
                    </a:prstGeom>
                    <a:noFill/>
                  </pic:spPr>
                </pic:pic>
              </a:graphicData>
            </a:graphic>
          </wp:anchor>
        </w:drawing>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86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18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COMCAST</w:t>
            </w:r>
          </w:p>
        </w:tc>
        <w:tc>
          <w:tcPr>
            <w:tcW w:w="1440" w:type="dxa"/>
            <w:vAlign w:val="bottom"/>
            <w:tcBorders>
              <w:top w:val="single" w:sz="8" w:color="auto"/>
              <w:bottom w:val="single" w:sz="8" w:color="auto"/>
              <w:right w:val="single" w:sz="8" w:color="auto"/>
            </w:tcBorders>
          </w:tcPr>
          <w:p>
            <w:pPr>
              <w:spacing w:after="0"/>
              <w:rPr>
                <w:sz w:val="22"/>
                <w:szCs w:val="22"/>
                <w:color w:val="auto"/>
              </w:rPr>
            </w:pPr>
          </w:p>
        </w:tc>
        <w:tc>
          <w:tcPr>
            <w:tcW w:w="250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8"/>
                <w:szCs w:val="18"/>
                <w:b w:val="1"/>
                <w:bCs w:val="1"/>
                <w:color w:val="auto"/>
              </w:rPr>
              <w:t>CHARTER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SPINCO</w:t>
            </w:r>
          </w:p>
        </w:tc>
        <w:tc>
          <w:tcPr>
            <w:tcW w:w="0" w:type="dxa"/>
            <w:vAlign w:val="bottom"/>
          </w:tcPr>
          <w:p>
            <w:pPr>
              <w:spacing w:after="0"/>
              <w:rPr>
                <w:sz w:val="1"/>
                <w:szCs w:val="1"/>
                <w:color w:val="auto"/>
              </w:rPr>
            </w:pPr>
          </w:p>
        </w:tc>
      </w:tr>
      <w:tr>
        <w:trPr>
          <w:trHeight w:val="191"/>
        </w:trPr>
        <w:tc>
          <w:tcPr>
            <w:tcW w:w="1860" w:type="dxa"/>
            <w:vAlign w:val="bottom"/>
            <w:tcBorders>
              <w:left w:val="single" w:sz="8" w:color="auto"/>
              <w:right w:val="single" w:sz="8" w:color="auto"/>
            </w:tcBorders>
            <w:shd w:val="clear" w:color="auto" w:fill="D9D9D9"/>
          </w:tcPr>
          <w:p>
            <w:pPr>
              <w:ind w:left="520"/>
              <w:spacing w:after="0" w:line="191" w:lineRule="exact"/>
              <w:rPr>
                <w:sz w:val="20"/>
                <w:szCs w:val="20"/>
                <w:color w:val="auto"/>
              </w:rPr>
            </w:pPr>
            <w:r>
              <w:rPr>
                <w:rFonts w:ascii="Arial" w:cs="Arial" w:eastAsia="Arial" w:hAnsi="Arial"/>
                <w:sz w:val="18"/>
                <w:szCs w:val="18"/>
                <w:b w:val="1"/>
                <w:bCs w:val="1"/>
                <w:color w:val="auto"/>
              </w:rPr>
              <w:t>Broadband</w:t>
            </w:r>
          </w:p>
        </w:tc>
        <w:tc>
          <w:tcPr>
            <w:tcW w:w="1320" w:type="dxa"/>
            <w:vAlign w:val="bottom"/>
            <w:tcBorders>
              <w:right w:val="single" w:sz="8" w:color="auto"/>
            </w:tcBorders>
            <w:shd w:val="clear" w:color="auto" w:fill="D9D9D9"/>
          </w:tcPr>
          <w:p>
            <w:pPr>
              <w:jc w:val="center"/>
              <w:spacing w:after="0" w:line="191" w:lineRule="exact"/>
              <w:rPr>
                <w:sz w:val="20"/>
                <w:szCs w:val="20"/>
                <w:color w:val="auto"/>
              </w:rPr>
            </w:pPr>
            <w:r>
              <w:rPr>
                <w:rFonts w:ascii="Arial" w:cs="Arial" w:eastAsia="Arial" w:hAnsi="Arial"/>
                <w:sz w:val="18"/>
                <w:szCs w:val="18"/>
                <w:b w:val="1"/>
                <w:bCs w:val="1"/>
                <w:color w:val="auto"/>
                <w:w w:val="95"/>
              </w:rPr>
              <w:t>Current</w:t>
            </w:r>
          </w:p>
        </w:tc>
        <w:tc>
          <w:tcPr>
            <w:tcW w:w="1300" w:type="dxa"/>
            <w:vAlign w:val="bottom"/>
            <w:tcBorders>
              <w:right w:val="single" w:sz="8" w:color="auto"/>
            </w:tcBorders>
            <w:gridSpan w:val="2"/>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Current TWC</w:t>
            </w:r>
          </w:p>
        </w:tc>
        <w:tc>
          <w:tcPr>
            <w:tcW w:w="1440" w:type="dxa"/>
            <w:vAlign w:val="bottom"/>
            <w:tcBorders>
              <w:right w:val="single" w:sz="8" w:color="auto"/>
            </w:tcBorders>
            <w:shd w:val="clear" w:color="auto" w:fill="D9D9D9"/>
          </w:tcPr>
          <w:p>
            <w:pPr>
              <w:jc w:val="center"/>
              <w:spacing w:after="0" w:line="191" w:lineRule="exact"/>
              <w:rPr>
                <w:sz w:val="20"/>
                <w:szCs w:val="20"/>
                <w:color w:val="auto"/>
              </w:rPr>
            </w:pPr>
            <w:r>
              <w:rPr>
                <w:rFonts w:ascii="Arial" w:cs="Arial" w:eastAsia="Arial" w:hAnsi="Arial"/>
                <w:sz w:val="18"/>
                <w:szCs w:val="18"/>
                <w:b w:val="1"/>
                <w:bCs w:val="1"/>
                <w:color w:val="auto"/>
                <w:w w:val="95"/>
              </w:rPr>
              <w:t>Post-TWC</w:t>
            </w:r>
          </w:p>
        </w:tc>
        <w:tc>
          <w:tcPr>
            <w:tcW w:w="1440" w:type="dxa"/>
            <w:vAlign w:val="bottom"/>
            <w:tcBorders>
              <w:right w:val="single" w:sz="8" w:color="auto"/>
            </w:tcBorders>
            <w:shd w:val="clear" w:color="auto" w:fill="D9D9D9"/>
          </w:tcPr>
          <w:p>
            <w:pPr>
              <w:jc w:val="center"/>
              <w:spacing w:after="0" w:line="191" w:lineRule="exact"/>
              <w:rPr>
                <w:sz w:val="20"/>
                <w:szCs w:val="20"/>
                <w:color w:val="auto"/>
              </w:rPr>
            </w:pPr>
            <w:r>
              <w:rPr>
                <w:rFonts w:ascii="Arial" w:cs="Arial" w:eastAsia="Arial" w:hAnsi="Arial"/>
                <w:sz w:val="18"/>
                <w:szCs w:val="18"/>
                <w:b w:val="1"/>
                <w:bCs w:val="1"/>
                <w:color w:val="auto"/>
                <w:w w:val="89"/>
              </w:rPr>
              <w:t>Post-Divestiture</w:t>
            </w:r>
          </w:p>
        </w:tc>
        <w:tc>
          <w:tcPr>
            <w:tcW w:w="1180" w:type="dxa"/>
            <w:vAlign w:val="bottom"/>
            <w:tcBorders>
              <w:right w:val="single" w:sz="8" w:color="auto"/>
            </w:tcBorders>
            <w:shd w:val="clear" w:color="auto" w:fill="D9D9D9"/>
          </w:tcPr>
          <w:p>
            <w:pPr>
              <w:jc w:val="center"/>
              <w:spacing w:after="0" w:line="191" w:lineRule="exact"/>
              <w:rPr>
                <w:sz w:val="20"/>
                <w:szCs w:val="20"/>
                <w:color w:val="auto"/>
              </w:rPr>
            </w:pPr>
            <w:r>
              <w:rPr>
                <w:rFonts w:ascii="Arial" w:cs="Arial" w:eastAsia="Arial" w:hAnsi="Arial"/>
                <w:sz w:val="18"/>
                <w:szCs w:val="18"/>
                <w:b w:val="1"/>
                <w:bCs w:val="1"/>
                <w:color w:val="auto"/>
                <w:w w:val="98"/>
              </w:rPr>
              <w:t>Current</w:t>
            </w:r>
          </w:p>
        </w:tc>
        <w:tc>
          <w:tcPr>
            <w:tcW w:w="1320" w:type="dxa"/>
            <w:vAlign w:val="bottom"/>
            <w:tcBorders>
              <w:right w:val="single" w:sz="8" w:color="auto"/>
            </w:tcBorders>
            <w:shd w:val="clear" w:color="auto" w:fill="D9D9D9"/>
          </w:tcPr>
          <w:p>
            <w:pPr>
              <w:jc w:val="center"/>
              <w:spacing w:after="0" w:line="191" w:lineRule="exact"/>
              <w:rPr>
                <w:sz w:val="20"/>
                <w:szCs w:val="20"/>
                <w:color w:val="auto"/>
              </w:rPr>
            </w:pPr>
            <w:r>
              <w:rPr>
                <w:rFonts w:ascii="Arial" w:cs="Arial" w:eastAsia="Arial" w:hAnsi="Arial"/>
                <w:sz w:val="18"/>
                <w:szCs w:val="18"/>
                <w:b w:val="1"/>
                <w:bCs w:val="1"/>
                <w:color w:val="auto"/>
                <w:w w:val="89"/>
              </w:rPr>
              <w:t>Post-Divestiture</w:t>
            </w:r>
          </w:p>
        </w:tc>
        <w:tc>
          <w:tcPr>
            <w:tcW w:w="1560" w:type="dxa"/>
            <w:vAlign w:val="bottom"/>
            <w:tcBorders>
              <w:right w:val="single" w:sz="8" w:color="auto"/>
            </w:tcBorders>
            <w:shd w:val="clear" w:color="auto" w:fill="D9D9D9"/>
          </w:tcPr>
          <w:p>
            <w:pPr>
              <w:jc w:val="center"/>
              <w:spacing w:after="0" w:line="191" w:lineRule="exact"/>
              <w:rPr>
                <w:sz w:val="20"/>
                <w:szCs w:val="20"/>
                <w:color w:val="auto"/>
              </w:rPr>
            </w:pPr>
            <w:r>
              <w:rPr>
                <w:rFonts w:ascii="Arial" w:cs="Arial" w:eastAsia="Arial" w:hAnsi="Arial"/>
                <w:sz w:val="18"/>
                <w:szCs w:val="18"/>
                <w:b w:val="1"/>
                <w:bCs w:val="1"/>
                <w:color w:val="auto"/>
                <w:w w:val="89"/>
              </w:rPr>
              <w:t>Post-Divestiture</w:t>
            </w:r>
          </w:p>
        </w:tc>
        <w:tc>
          <w:tcPr>
            <w:tcW w:w="0" w:type="dxa"/>
            <w:vAlign w:val="bottom"/>
          </w:tcPr>
          <w:p>
            <w:pPr>
              <w:spacing w:after="0"/>
              <w:rPr>
                <w:sz w:val="1"/>
                <w:szCs w:val="1"/>
                <w:color w:val="auto"/>
              </w:rPr>
            </w:pPr>
          </w:p>
        </w:tc>
      </w:tr>
      <w:tr>
        <w:trPr>
          <w:trHeight w:val="126"/>
        </w:trPr>
        <w:tc>
          <w:tcPr>
            <w:tcW w:w="1860" w:type="dxa"/>
            <w:vAlign w:val="bottom"/>
            <w:tcBorders>
              <w:left w:val="single" w:sz="8" w:color="auto"/>
              <w:right w:val="single" w:sz="8" w:color="auto"/>
            </w:tcBorders>
            <w:vMerge w:val="restart"/>
            <w:shd w:val="clear" w:color="auto" w:fill="D9D9D9"/>
          </w:tcPr>
          <w:p>
            <w:pPr>
              <w:ind w:left="460"/>
              <w:spacing w:after="0"/>
              <w:rPr>
                <w:sz w:val="20"/>
                <w:szCs w:val="20"/>
                <w:color w:val="auto"/>
              </w:rPr>
            </w:pPr>
            <w:r>
              <w:rPr>
                <w:rFonts w:ascii="Arial" w:cs="Arial" w:eastAsia="Arial" w:hAnsi="Arial"/>
                <w:sz w:val="18"/>
                <w:szCs w:val="18"/>
                <w:b w:val="1"/>
                <w:bCs w:val="1"/>
                <w:color w:val="auto"/>
              </w:rPr>
              <w:t>Competitors</w:t>
            </w:r>
          </w:p>
        </w:tc>
        <w:tc>
          <w:tcPr>
            <w:tcW w:w="13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6"/>
              </w:rPr>
              <w:t>Comcast</w:t>
            </w:r>
          </w:p>
        </w:tc>
        <w:tc>
          <w:tcPr>
            <w:tcW w:w="1300" w:type="dxa"/>
            <w:vAlign w:val="bottom"/>
            <w:tcBorders>
              <w:right w:val="single" w:sz="8" w:color="auto"/>
            </w:tcBorders>
            <w:gridSpan w:val="2"/>
            <w:vMerge w:val="continue"/>
            <w:shd w:val="clear" w:color="auto" w:fill="D9D9D9"/>
          </w:tcPr>
          <w:p>
            <w:pPr>
              <w:spacing w:after="0"/>
              <w:rPr>
                <w:sz w:val="10"/>
                <w:szCs w:val="10"/>
                <w:color w:val="auto"/>
              </w:rPr>
            </w:pPr>
          </w:p>
        </w:tc>
        <w:tc>
          <w:tcPr>
            <w:tcW w:w="14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Transaction</w:t>
            </w:r>
          </w:p>
        </w:tc>
        <w:tc>
          <w:tcPr>
            <w:tcW w:w="14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Transactions</w:t>
            </w:r>
          </w:p>
        </w:tc>
        <w:tc>
          <w:tcPr>
            <w:tcW w:w="11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6"/>
              </w:rPr>
              <w:t>Charter</w:t>
            </w:r>
          </w:p>
        </w:tc>
        <w:tc>
          <w:tcPr>
            <w:tcW w:w="13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Transactions</w:t>
            </w:r>
          </w:p>
        </w:tc>
        <w:tc>
          <w:tcPr>
            <w:tcW w:w="15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Transactions</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bottom w:val="single" w:sz="8" w:color="auto"/>
              <w:right w:val="single" w:sz="8" w:color="auto"/>
            </w:tcBorders>
            <w:vMerge w:val="continue"/>
            <w:shd w:val="clear" w:color="auto" w:fill="D9D9D9"/>
          </w:tcPr>
          <w:p>
            <w:pPr>
              <w:spacing w:after="0"/>
              <w:rPr>
                <w:sz w:val="9"/>
                <w:szCs w:val="9"/>
                <w:color w:val="auto"/>
              </w:rPr>
            </w:pPr>
          </w:p>
        </w:tc>
        <w:tc>
          <w:tcPr>
            <w:tcW w:w="132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900" w:type="dxa"/>
            <w:vAlign w:val="bottom"/>
            <w:tcBorders>
              <w:bottom w:val="single" w:sz="8" w:color="auto"/>
            </w:tcBorders>
            <w:shd w:val="clear" w:color="auto" w:fill="D9D9D9"/>
          </w:tcPr>
          <w:p>
            <w:pPr>
              <w:spacing w:after="0"/>
              <w:rPr>
                <w:sz w:val="9"/>
                <w:szCs w:val="9"/>
                <w:color w:val="auto"/>
              </w:rPr>
            </w:pPr>
          </w:p>
        </w:tc>
        <w:tc>
          <w:tcPr>
            <w:tcW w:w="400" w:type="dxa"/>
            <w:vAlign w:val="bottom"/>
            <w:tcBorders>
              <w:bottom w:val="single" w:sz="8" w:color="auto"/>
              <w:right w:val="single" w:sz="8" w:color="auto"/>
            </w:tcBorders>
            <w:shd w:val="clear" w:color="auto" w:fill="D9D9D9"/>
          </w:tcPr>
          <w:p>
            <w:pPr>
              <w:spacing w:after="0"/>
              <w:rPr>
                <w:sz w:val="9"/>
                <w:szCs w:val="9"/>
                <w:color w:val="auto"/>
              </w:rPr>
            </w:pPr>
          </w:p>
        </w:tc>
        <w:tc>
          <w:tcPr>
            <w:tcW w:w="144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144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118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132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156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4"/>
              </w:rPr>
              <w:t>Fixed Broadband Competitor Overlaps</w:t>
            </w:r>
          </w:p>
        </w:tc>
        <w:tc>
          <w:tcPr>
            <w:tcW w:w="1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AT&amp;T (Total)</w:t>
            </w:r>
          </w:p>
        </w:tc>
        <w:tc>
          <w:tcPr>
            <w:tcW w:w="1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900" w:type="dxa"/>
            <w:vAlign w:val="bottom"/>
            <w:tcBorders>
              <w:bottom w:val="single" w:sz="8" w:color="auto"/>
            </w:tcBorders>
            <w:shd w:val="clear" w:color="auto" w:fill="D9D9D9"/>
          </w:tcPr>
          <w:p>
            <w:pPr>
              <w:jc w:val="center"/>
              <w:ind w:left="290"/>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400" w:type="dxa"/>
            <w:vAlign w:val="bottom"/>
            <w:tcBorders>
              <w:bottom w:val="single" w:sz="8" w:color="auto"/>
              <w:right w:val="single" w:sz="8" w:color="auto"/>
            </w:tcBorders>
            <w:shd w:val="clear" w:color="auto" w:fill="D9D9D9"/>
          </w:tcPr>
          <w:p>
            <w:pPr>
              <w:spacing w:after="0"/>
              <w:rPr>
                <w:sz w:val="18"/>
                <w:szCs w:val="18"/>
                <w:color w:val="auto"/>
              </w:rPr>
            </w:pP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1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AT&amp;T U-verse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90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40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i w:val="1"/>
                <w:iCs w:val="1"/>
                <w:color w:val="auto"/>
              </w:rPr>
              <w:t>AT&amp;T DSL</w:t>
            </w:r>
          </w:p>
        </w:tc>
        <w:tc>
          <w:tcPr>
            <w:tcW w:w="1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900" w:type="dxa"/>
            <w:vAlign w:val="bottom"/>
            <w:tcBorders>
              <w:bottom w:val="single" w:sz="8" w:color="auto"/>
            </w:tcBorders>
            <w:shd w:val="clear" w:color="auto" w:fill="D9D9D9"/>
          </w:tcPr>
          <w:p>
            <w:pPr>
              <w:jc w:val="center"/>
              <w:ind w:left="290"/>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400" w:type="dxa"/>
            <w:vAlign w:val="bottom"/>
            <w:tcBorders>
              <w:bottom w:val="single" w:sz="8" w:color="auto"/>
              <w:right w:val="single" w:sz="8" w:color="auto"/>
            </w:tcBorders>
            <w:shd w:val="clear" w:color="auto" w:fill="D9D9D9"/>
          </w:tcPr>
          <w:p>
            <w:pPr>
              <w:spacing w:after="0"/>
              <w:rPr>
                <w:sz w:val="18"/>
                <w:szCs w:val="18"/>
                <w:color w:val="auto"/>
              </w:rPr>
            </w:pP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1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Verizon (Total)</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90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40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i w:val="1"/>
                <w:iCs w:val="1"/>
                <w:color w:val="auto"/>
              </w:rPr>
              <w:t>Verizon FiOS</w:t>
            </w:r>
          </w:p>
        </w:tc>
        <w:tc>
          <w:tcPr>
            <w:tcW w:w="1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900" w:type="dxa"/>
            <w:vAlign w:val="bottom"/>
            <w:tcBorders>
              <w:bottom w:val="single" w:sz="8" w:color="auto"/>
            </w:tcBorders>
            <w:shd w:val="clear" w:color="auto" w:fill="D9D9D9"/>
          </w:tcPr>
          <w:p>
            <w:pPr>
              <w:jc w:val="center"/>
              <w:ind w:left="290"/>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400" w:type="dxa"/>
            <w:vAlign w:val="bottom"/>
            <w:tcBorders>
              <w:bottom w:val="single" w:sz="8" w:color="auto"/>
              <w:right w:val="single" w:sz="8" w:color="auto"/>
            </w:tcBorders>
            <w:shd w:val="clear" w:color="auto" w:fill="D9D9D9"/>
          </w:tcPr>
          <w:p>
            <w:pPr>
              <w:spacing w:after="0"/>
              <w:rPr>
                <w:sz w:val="18"/>
                <w:szCs w:val="18"/>
                <w:color w:val="auto"/>
              </w:rPr>
            </w:pP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1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Verizon DSL</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90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40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CenturyLink (Total)</w:t>
            </w:r>
          </w:p>
        </w:tc>
        <w:tc>
          <w:tcPr>
            <w:tcW w:w="1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900" w:type="dxa"/>
            <w:vAlign w:val="bottom"/>
            <w:tcBorders>
              <w:bottom w:val="single" w:sz="8" w:color="auto"/>
            </w:tcBorders>
            <w:shd w:val="clear" w:color="auto" w:fill="D9D9D9"/>
          </w:tcPr>
          <w:p>
            <w:pPr>
              <w:jc w:val="center"/>
              <w:ind w:left="290"/>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400" w:type="dxa"/>
            <w:vAlign w:val="bottom"/>
            <w:tcBorders>
              <w:bottom w:val="single" w:sz="8" w:color="auto"/>
              <w:right w:val="single" w:sz="8" w:color="auto"/>
            </w:tcBorders>
            <w:shd w:val="clear" w:color="auto" w:fill="D9D9D9"/>
          </w:tcPr>
          <w:p>
            <w:pPr>
              <w:spacing w:after="0"/>
              <w:rPr>
                <w:sz w:val="18"/>
                <w:szCs w:val="18"/>
                <w:color w:val="auto"/>
              </w:rPr>
            </w:pP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1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195"/>
        </w:trPr>
        <w:tc>
          <w:tcPr>
            <w:tcW w:w="186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i w:val="1"/>
                <w:iCs w:val="1"/>
                <w:color w:val="auto"/>
              </w:rPr>
              <w:t>CenturyLink</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90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4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122"/>
        </w:trPr>
        <w:tc>
          <w:tcPr>
            <w:tcW w:w="1860" w:type="dxa"/>
            <w:vAlign w:val="bottom"/>
            <w:tcBorders>
              <w:left w:val="single" w:sz="8" w:color="auto"/>
              <w:right w:val="single" w:sz="8" w:color="auto"/>
            </w:tcBorders>
            <w:vMerge w:val="restart"/>
          </w:tcPr>
          <w:p>
            <w:pPr>
              <w:ind w:left="40"/>
              <w:spacing w:after="0" w:line="230" w:lineRule="exact"/>
              <w:rPr>
                <w:sz w:val="20"/>
                <w:szCs w:val="20"/>
                <w:color w:val="auto"/>
              </w:rPr>
            </w:pPr>
            <w:r>
              <w:rPr>
                <w:rFonts w:ascii="Arial" w:cs="Arial" w:eastAsia="Arial" w:hAnsi="Arial"/>
                <w:sz w:val="18"/>
                <w:szCs w:val="18"/>
                <w:i w:val="1"/>
                <w:iCs w:val="1"/>
                <w:color w:val="auto"/>
              </w:rPr>
              <w:t>Fiber</w:t>
            </w:r>
            <w:r>
              <w:rPr>
                <w:rFonts w:ascii="Arial" w:cs="Arial" w:eastAsia="Arial" w:hAnsi="Arial"/>
                <w:sz w:val="25"/>
                <w:szCs w:val="25"/>
                <w:color w:val="auto"/>
                <w:vertAlign w:val="superscript"/>
              </w:rPr>
              <w:t>10</w:t>
            </w:r>
          </w:p>
        </w:tc>
        <w:tc>
          <w:tcPr>
            <w:tcW w:w="13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860" w:type="dxa"/>
            <w:vAlign w:val="bottom"/>
            <w:tcBorders>
              <w:left w:val="single" w:sz="8" w:color="auto"/>
              <w:right w:val="single" w:sz="8" w:color="auto"/>
            </w:tcBorders>
            <w:shd w:val="clear" w:color="auto" w:fill="D9D9D9"/>
          </w:tcPr>
          <w:p>
            <w:pPr>
              <w:ind w:left="40"/>
              <w:spacing w:after="0" w:line="195" w:lineRule="exact"/>
              <w:rPr>
                <w:sz w:val="20"/>
                <w:szCs w:val="20"/>
                <w:color w:val="auto"/>
              </w:rPr>
            </w:pPr>
            <w:r>
              <w:rPr>
                <w:rFonts w:ascii="Arial" w:cs="Arial" w:eastAsia="Arial" w:hAnsi="Arial"/>
                <w:sz w:val="18"/>
                <w:szCs w:val="18"/>
                <w:i w:val="1"/>
                <w:iCs w:val="1"/>
                <w:color w:val="auto"/>
              </w:rPr>
              <w:t>CenturyLink</w:t>
            </w:r>
          </w:p>
        </w:tc>
        <w:tc>
          <w:tcPr>
            <w:tcW w:w="13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900" w:type="dxa"/>
            <w:vAlign w:val="bottom"/>
            <w:vMerge w:val="restart"/>
            <w:shd w:val="clear" w:color="auto" w:fill="D9D9D9"/>
          </w:tcPr>
          <w:p>
            <w:pPr>
              <w:jc w:val="center"/>
              <w:ind w:left="290"/>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400" w:type="dxa"/>
            <w:vAlign w:val="bottom"/>
            <w:tcBorders>
              <w:right w:val="single" w:sz="8" w:color="auto"/>
            </w:tcBorders>
            <w:shd w:val="clear" w:color="auto" w:fill="D9D9D9"/>
          </w:tcPr>
          <w:p>
            <w:pPr>
              <w:spacing w:after="0"/>
              <w:rPr>
                <w:sz w:val="16"/>
                <w:szCs w:val="16"/>
                <w:color w:val="auto"/>
              </w:rPr>
            </w:pPr>
          </w:p>
        </w:tc>
        <w:tc>
          <w:tcPr>
            <w:tcW w:w="14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4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1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3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122"/>
        </w:trPr>
        <w:tc>
          <w:tcPr>
            <w:tcW w:w="1860" w:type="dxa"/>
            <w:vAlign w:val="bottom"/>
            <w:tcBorders>
              <w:left w:val="single" w:sz="8" w:color="auto"/>
              <w:right w:val="single" w:sz="8" w:color="auto"/>
            </w:tcBorders>
            <w:vMerge w:val="restart"/>
            <w:shd w:val="clear" w:color="auto" w:fill="D9D9D9"/>
          </w:tcPr>
          <w:p>
            <w:pPr>
              <w:ind w:left="40"/>
              <w:spacing w:after="0"/>
              <w:rPr>
                <w:sz w:val="20"/>
                <w:szCs w:val="20"/>
                <w:color w:val="auto"/>
              </w:rPr>
            </w:pPr>
            <w:r>
              <w:rPr>
                <w:rFonts w:ascii="Arial" w:cs="Arial" w:eastAsia="Arial" w:hAnsi="Arial"/>
                <w:sz w:val="18"/>
                <w:szCs w:val="18"/>
                <w:i w:val="1"/>
                <w:iCs w:val="1"/>
                <w:color w:val="auto"/>
              </w:rPr>
              <w:t>DSL</w:t>
            </w:r>
          </w:p>
        </w:tc>
        <w:tc>
          <w:tcPr>
            <w:tcW w:w="1320" w:type="dxa"/>
            <w:vAlign w:val="bottom"/>
            <w:tcBorders>
              <w:right w:val="single" w:sz="8" w:color="auto"/>
            </w:tcBorders>
            <w:vMerge w:val="continue"/>
            <w:shd w:val="clear" w:color="auto" w:fill="D9D9D9"/>
          </w:tcPr>
          <w:p>
            <w:pPr>
              <w:spacing w:after="0"/>
              <w:rPr>
                <w:sz w:val="10"/>
                <w:szCs w:val="10"/>
                <w:color w:val="auto"/>
              </w:rPr>
            </w:pPr>
          </w:p>
        </w:tc>
        <w:tc>
          <w:tcPr>
            <w:tcW w:w="900" w:type="dxa"/>
            <w:vAlign w:val="bottom"/>
            <w:vMerge w:val="continue"/>
            <w:shd w:val="clear" w:color="auto" w:fill="D9D9D9"/>
          </w:tcPr>
          <w:p>
            <w:pPr>
              <w:spacing w:after="0"/>
              <w:rPr>
                <w:sz w:val="10"/>
                <w:szCs w:val="10"/>
                <w:color w:val="auto"/>
              </w:rPr>
            </w:pPr>
          </w:p>
        </w:tc>
        <w:tc>
          <w:tcPr>
            <w:tcW w:w="400" w:type="dxa"/>
            <w:vAlign w:val="bottom"/>
            <w:tcBorders>
              <w:right w:val="single" w:sz="8" w:color="auto"/>
            </w:tcBorders>
            <w:shd w:val="clear" w:color="auto" w:fill="D9D9D9"/>
          </w:tcPr>
          <w:p>
            <w:pPr>
              <w:spacing w:after="0"/>
              <w:rPr>
                <w:sz w:val="10"/>
                <w:szCs w:val="10"/>
                <w:color w:val="auto"/>
              </w:rPr>
            </w:pPr>
          </w:p>
        </w:tc>
        <w:tc>
          <w:tcPr>
            <w:tcW w:w="1440" w:type="dxa"/>
            <w:vAlign w:val="bottom"/>
            <w:tcBorders>
              <w:right w:val="single" w:sz="8" w:color="auto"/>
            </w:tcBorders>
            <w:vMerge w:val="continue"/>
            <w:shd w:val="clear" w:color="auto" w:fill="D9D9D9"/>
          </w:tcPr>
          <w:p>
            <w:pPr>
              <w:spacing w:after="0"/>
              <w:rPr>
                <w:sz w:val="10"/>
                <w:szCs w:val="10"/>
                <w:color w:val="auto"/>
              </w:rPr>
            </w:pPr>
          </w:p>
        </w:tc>
        <w:tc>
          <w:tcPr>
            <w:tcW w:w="1440" w:type="dxa"/>
            <w:vAlign w:val="bottom"/>
            <w:tcBorders>
              <w:right w:val="single" w:sz="8" w:color="auto"/>
            </w:tcBorders>
            <w:vMerge w:val="continue"/>
            <w:shd w:val="clear" w:color="auto" w:fill="D9D9D9"/>
          </w:tcPr>
          <w:p>
            <w:pPr>
              <w:spacing w:after="0"/>
              <w:rPr>
                <w:sz w:val="10"/>
                <w:szCs w:val="10"/>
                <w:color w:val="auto"/>
              </w:rPr>
            </w:pPr>
          </w:p>
        </w:tc>
        <w:tc>
          <w:tcPr>
            <w:tcW w:w="1180" w:type="dxa"/>
            <w:vAlign w:val="bottom"/>
            <w:tcBorders>
              <w:right w:val="single" w:sz="8" w:color="auto"/>
            </w:tcBorders>
            <w:vMerge w:val="continue"/>
            <w:shd w:val="clear" w:color="auto" w:fill="D9D9D9"/>
          </w:tcPr>
          <w:p>
            <w:pPr>
              <w:spacing w:after="0"/>
              <w:rPr>
                <w:sz w:val="10"/>
                <w:szCs w:val="10"/>
                <w:color w:val="auto"/>
              </w:rPr>
            </w:pPr>
          </w:p>
        </w:tc>
        <w:tc>
          <w:tcPr>
            <w:tcW w:w="1320" w:type="dxa"/>
            <w:vAlign w:val="bottom"/>
            <w:tcBorders>
              <w:right w:val="single" w:sz="8" w:color="auto"/>
            </w:tcBorders>
            <w:vMerge w:val="continue"/>
            <w:shd w:val="clear" w:color="auto" w:fill="D9D9D9"/>
          </w:tcPr>
          <w:p>
            <w:pPr>
              <w:spacing w:after="0"/>
              <w:rPr>
                <w:sz w:val="10"/>
                <w:szCs w:val="10"/>
                <w:color w:val="auto"/>
              </w:rPr>
            </w:pPr>
          </w:p>
        </w:tc>
        <w:tc>
          <w:tcPr>
            <w:tcW w:w="156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bottom w:val="single" w:sz="8" w:color="auto"/>
              <w:right w:val="single" w:sz="8" w:color="auto"/>
            </w:tcBorders>
            <w:vMerge w:val="continue"/>
            <w:shd w:val="clear" w:color="auto" w:fill="D9D9D9"/>
          </w:tcPr>
          <w:p>
            <w:pPr>
              <w:spacing w:after="0"/>
              <w:rPr>
                <w:sz w:val="9"/>
                <w:szCs w:val="9"/>
                <w:color w:val="auto"/>
              </w:rPr>
            </w:pPr>
          </w:p>
        </w:tc>
        <w:tc>
          <w:tcPr>
            <w:tcW w:w="1320" w:type="dxa"/>
            <w:vAlign w:val="bottom"/>
            <w:tcBorders>
              <w:bottom w:val="single" w:sz="8" w:color="auto"/>
              <w:right w:val="single" w:sz="8" w:color="auto"/>
            </w:tcBorders>
            <w:shd w:val="clear" w:color="auto" w:fill="D9D9D9"/>
          </w:tcPr>
          <w:p>
            <w:pPr>
              <w:spacing w:after="0"/>
              <w:rPr>
                <w:sz w:val="9"/>
                <w:szCs w:val="9"/>
                <w:color w:val="auto"/>
              </w:rPr>
            </w:pPr>
          </w:p>
        </w:tc>
        <w:tc>
          <w:tcPr>
            <w:tcW w:w="900" w:type="dxa"/>
            <w:vAlign w:val="bottom"/>
            <w:tcBorders>
              <w:bottom w:val="single" w:sz="8" w:color="auto"/>
            </w:tcBorders>
            <w:shd w:val="clear" w:color="auto" w:fill="D9D9D9"/>
          </w:tcPr>
          <w:p>
            <w:pPr>
              <w:spacing w:after="0"/>
              <w:rPr>
                <w:sz w:val="9"/>
                <w:szCs w:val="9"/>
                <w:color w:val="auto"/>
              </w:rPr>
            </w:pPr>
          </w:p>
        </w:tc>
        <w:tc>
          <w:tcPr>
            <w:tcW w:w="400" w:type="dxa"/>
            <w:vAlign w:val="bottom"/>
            <w:tcBorders>
              <w:bottom w:val="single" w:sz="8" w:color="auto"/>
              <w:right w:val="single" w:sz="8" w:color="auto"/>
            </w:tcBorders>
            <w:shd w:val="clear" w:color="auto" w:fill="D9D9D9"/>
          </w:tcPr>
          <w:p>
            <w:pPr>
              <w:spacing w:after="0"/>
              <w:rPr>
                <w:sz w:val="9"/>
                <w:szCs w:val="9"/>
                <w:color w:val="auto"/>
              </w:rPr>
            </w:pPr>
          </w:p>
        </w:tc>
        <w:tc>
          <w:tcPr>
            <w:tcW w:w="1440" w:type="dxa"/>
            <w:vAlign w:val="bottom"/>
            <w:tcBorders>
              <w:bottom w:val="single" w:sz="8" w:color="auto"/>
              <w:right w:val="single" w:sz="8" w:color="auto"/>
            </w:tcBorders>
            <w:shd w:val="clear" w:color="auto" w:fill="D9D9D9"/>
          </w:tcPr>
          <w:p>
            <w:pPr>
              <w:spacing w:after="0"/>
              <w:rPr>
                <w:sz w:val="9"/>
                <w:szCs w:val="9"/>
                <w:color w:val="auto"/>
              </w:rPr>
            </w:pPr>
          </w:p>
        </w:tc>
        <w:tc>
          <w:tcPr>
            <w:tcW w:w="1440" w:type="dxa"/>
            <w:vAlign w:val="bottom"/>
            <w:tcBorders>
              <w:bottom w:val="single" w:sz="8" w:color="auto"/>
              <w:right w:val="single" w:sz="8" w:color="auto"/>
            </w:tcBorders>
            <w:shd w:val="clear" w:color="auto" w:fill="D9D9D9"/>
          </w:tcPr>
          <w:p>
            <w:pPr>
              <w:spacing w:after="0"/>
              <w:rPr>
                <w:sz w:val="9"/>
                <w:szCs w:val="9"/>
                <w:color w:val="auto"/>
              </w:rPr>
            </w:pPr>
          </w:p>
        </w:tc>
        <w:tc>
          <w:tcPr>
            <w:tcW w:w="1180" w:type="dxa"/>
            <w:vAlign w:val="bottom"/>
            <w:tcBorders>
              <w:bottom w:val="single" w:sz="8" w:color="auto"/>
              <w:right w:val="single" w:sz="8" w:color="auto"/>
            </w:tcBorders>
            <w:shd w:val="clear" w:color="auto" w:fill="D9D9D9"/>
          </w:tcPr>
          <w:p>
            <w:pPr>
              <w:spacing w:after="0"/>
              <w:rPr>
                <w:sz w:val="9"/>
                <w:szCs w:val="9"/>
                <w:color w:val="auto"/>
              </w:rPr>
            </w:pPr>
          </w:p>
        </w:tc>
        <w:tc>
          <w:tcPr>
            <w:tcW w:w="1320" w:type="dxa"/>
            <w:vAlign w:val="bottom"/>
            <w:tcBorders>
              <w:bottom w:val="single" w:sz="8" w:color="auto"/>
              <w:right w:val="single" w:sz="8" w:color="auto"/>
            </w:tcBorders>
            <w:shd w:val="clear" w:color="auto" w:fill="D9D9D9"/>
          </w:tcPr>
          <w:p>
            <w:pPr>
              <w:spacing w:after="0"/>
              <w:rPr>
                <w:sz w:val="9"/>
                <w:szCs w:val="9"/>
                <w:color w:val="auto"/>
              </w:rPr>
            </w:pPr>
          </w:p>
        </w:tc>
        <w:tc>
          <w:tcPr>
            <w:tcW w:w="156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Fairpoint (DSL)</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90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40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Frontier (Total)</w:t>
            </w:r>
          </w:p>
        </w:tc>
        <w:tc>
          <w:tcPr>
            <w:tcW w:w="1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900" w:type="dxa"/>
            <w:vAlign w:val="bottom"/>
            <w:tcBorders>
              <w:bottom w:val="single" w:sz="8" w:color="auto"/>
            </w:tcBorders>
            <w:shd w:val="clear" w:color="auto" w:fill="D9D9D9"/>
          </w:tcPr>
          <w:p>
            <w:pPr>
              <w:jc w:val="center"/>
              <w:ind w:left="290"/>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400" w:type="dxa"/>
            <w:vAlign w:val="bottom"/>
            <w:tcBorders>
              <w:bottom w:val="single" w:sz="8" w:color="auto"/>
              <w:right w:val="single" w:sz="8" w:color="auto"/>
            </w:tcBorders>
            <w:shd w:val="clear" w:color="auto" w:fill="D9D9D9"/>
          </w:tcPr>
          <w:p>
            <w:pPr>
              <w:spacing w:after="0"/>
              <w:rPr>
                <w:sz w:val="18"/>
                <w:szCs w:val="18"/>
                <w:color w:val="auto"/>
              </w:rPr>
            </w:pP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1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Frontier FiOS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90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40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i w:val="1"/>
                <w:iCs w:val="1"/>
                <w:color w:val="auto"/>
              </w:rPr>
              <w:t>Frontier DSL</w:t>
            </w:r>
          </w:p>
        </w:tc>
        <w:tc>
          <w:tcPr>
            <w:tcW w:w="1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900" w:type="dxa"/>
            <w:vAlign w:val="bottom"/>
            <w:tcBorders>
              <w:bottom w:val="single" w:sz="8" w:color="auto"/>
            </w:tcBorders>
            <w:shd w:val="clear" w:color="auto" w:fill="D9D9D9"/>
          </w:tcPr>
          <w:p>
            <w:pPr>
              <w:jc w:val="center"/>
              <w:ind w:left="290"/>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400" w:type="dxa"/>
            <w:vAlign w:val="bottom"/>
            <w:tcBorders>
              <w:bottom w:val="single" w:sz="8" w:color="auto"/>
              <w:right w:val="single" w:sz="8" w:color="auto"/>
            </w:tcBorders>
            <w:shd w:val="clear" w:color="auto" w:fill="D9D9D9"/>
          </w:tcPr>
          <w:p>
            <w:pPr>
              <w:spacing w:after="0"/>
              <w:rPr>
                <w:sz w:val="18"/>
                <w:szCs w:val="18"/>
                <w:color w:val="auto"/>
              </w:rPr>
            </w:pP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1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RCN</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90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40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Windstream (Total)</w:t>
            </w:r>
          </w:p>
        </w:tc>
        <w:tc>
          <w:tcPr>
            <w:tcW w:w="1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900" w:type="dxa"/>
            <w:vAlign w:val="bottom"/>
            <w:tcBorders>
              <w:bottom w:val="single" w:sz="8" w:color="auto"/>
            </w:tcBorders>
            <w:shd w:val="clear" w:color="auto" w:fill="D9D9D9"/>
          </w:tcPr>
          <w:p>
            <w:pPr>
              <w:jc w:val="center"/>
              <w:ind w:left="290"/>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400" w:type="dxa"/>
            <w:vAlign w:val="bottom"/>
            <w:tcBorders>
              <w:bottom w:val="single" w:sz="8" w:color="auto"/>
              <w:right w:val="single" w:sz="8" w:color="auto"/>
            </w:tcBorders>
            <w:shd w:val="clear" w:color="auto" w:fill="D9D9D9"/>
          </w:tcPr>
          <w:p>
            <w:pPr>
              <w:spacing w:after="0"/>
              <w:rPr>
                <w:sz w:val="18"/>
                <w:szCs w:val="18"/>
                <w:color w:val="auto"/>
              </w:rPr>
            </w:pP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1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195"/>
        </w:trPr>
        <w:tc>
          <w:tcPr>
            <w:tcW w:w="186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i w:val="1"/>
                <w:iCs w:val="1"/>
                <w:color w:val="auto"/>
              </w:rPr>
              <w:t>Windstream</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90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4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n/a</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122"/>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i w:val="1"/>
                <w:iCs w:val="1"/>
                <w:color w:val="auto"/>
              </w:rPr>
              <w:t>Fiber</w:t>
            </w:r>
          </w:p>
        </w:tc>
        <w:tc>
          <w:tcPr>
            <w:tcW w:w="13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5882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00" w:firstLine="8"/>
        <w:spacing w:after="0" w:line="237" w:lineRule="auto"/>
        <w:tabs>
          <w:tab w:leader="none" w:pos="108"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 xml:space="preserve">Comcast and TWC previously submitted data regarding the percentage of their respective footprints overlapped by U-Verse and FiOS. </w:t>
      </w:r>
      <w:r>
        <w:rPr>
          <w:rFonts w:ascii="Arial" w:cs="Arial" w:eastAsia="Arial" w:hAnsi="Arial"/>
          <w:sz w:val="18"/>
          <w:szCs w:val="18"/>
          <w:i w:val="1"/>
          <w:iCs w:val="1"/>
          <w:color w:val="auto"/>
        </w:rPr>
        <w:t>See</w:t>
      </w:r>
      <w:r>
        <w:rPr>
          <w:rFonts w:ascii="Arial" w:cs="Arial" w:eastAsia="Arial" w:hAnsi="Arial"/>
          <w:sz w:val="18"/>
          <w:szCs w:val="18"/>
          <w:color w:val="auto"/>
        </w:rPr>
        <w:t xml:space="preserve"> Israel Decl. ¶¶ 50, 56. The table provides updated figures based on more up-to-date data and includes data from additional sources, including NTIA. The above data from these same sources differs from Charter’s internal estimates as previously reported on its annual report on Form 10-K as filed with the SEC. These figures do not reflect overlap by new competitors such as Google Fiber, which has indicated plans to deploy broadband service to nine additional markets. </w:t>
      </w:r>
      <w:r>
        <w:rPr>
          <w:rFonts w:ascii="Arial" w:cs="Arial" w:eastAsia="Arial" w:hAnsi="Arial"/>
          <w:sz w:val="18"/>
          <w:szCs w:val="18"/>
          <w:i w:val="1"/>
          <w:iCs w:val="1"/>
          <w:color w:val="auto"/>
        </w:rPr>
        <w:t>See</w:t>
      </w:r>
      <w:r>
        <w:rPr>
          <w:rFonts w:ascii="Arial" w:cs="Arial" w:eastAsia="Arial" w:hAnsi="Arial"/>
          <w:sz w:val="18"/>
          <w:szCs w:val="18"/>
          <w:color w:val="auto"/>
        </w:rPr>
        <w:t xml:space="preserve"> John Brodkin, </w:t>
      </w:r>
      <w:r>
        <w:rPr>
          <w:rFonts w:ascii="Arial" w:cs="Arial" w:eastAsia="Arial" w:hAnsi="Arial"/>
          <w:sz w:val="18"/>
          <w:szCs w:val="18"/>
          <w:i w:val="1"/>
          <w:iCs w:val="1"/>
          <w:color w:val="auto"/>
        </w:rPr>
        <w:t>Google Fiber Chooses Nine Metro Areas for Possible Expansion</w:t>
      </w:r>
      <w:r>
        <w:rPr>
          <w:rFonts w:ascii="Arial" w:cs="Arial" w:eastAsia="Arial" w:hAnsi="Arial"/>
          <w:sz w:val="18"/>
          <w:szCs w:val="18"/>
          <w:color w:val="auto"/>
        </w:rPr>
        <w:t>, Ars Technica, Feb. 19, 2014, http://arstechnica.com/business/2014/02/google-fiber-chooses-nine-metro-areas-for-possible-expansion/.</w:t>
      </w:r>
    </w:p>
    <w:p>
      <w:pPr>
        <w:spacing w:after="0" w:line="4"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10</w:t>
      </w:r>
      <w:r>
        <w:rPr>
          <w:rFonts w:ascii="Arial" w:cs="Arial" w:eastAsia="Arial" w:hAnsi="Arial"/>
          <w:sz w:val="18"/>
          <w:szCs w:val="18"/>
          <w:color w:val="auto"/>
        </w:rPr>
        <w:t xml:space="preserve"> Includes legacy Qwest.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535940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REDACTED – FOR PUBLIC INSPECTION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6226810</wp:posOffset>
            </wp:positionH>
            <wp:positionV relativeFrom="paragraph">
              <wp:posOffset>404495</wp:posOffset>
            </wp:positionV>
            <wp:extent cx="103759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759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60" w:type="dxa"/>
            <w:vAlign w:val="bottom"/>
            <w:tcBorders>
              <w:top w:val="single" w:sz="8" w:color="auto"/>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i w:val="1"/>
                <w:iCs w:val="1"/>
                <w:color w:val="auto"/>
              </w:rPr>
              <w:t>Windstream DSL</w:t>
            </w:r>
          </w:p>
        </w:tc>
        <w:tc>
          <w:tcPr>
            <w:tcW w:w="1320" w:type="dxa"/>
            <w:vAlign w:val="bottom"/>
            <w:tcBorders>
              <w:top w:val="single" w:sz="8" w:color="auto"/>
              <w:right w:val="single" w:sz="8" w:color="auto"/>
            </w:tcBorders>
            <w:shd w:val="clear" w:color="auto" w:fill="D9D9D9"/>
          </w:tcPr>
          <w:p>
            <w:pPr>
              <w:jc w:val="right"/>
              <w:ind w:right="370"/>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c>
          <w:tcPr>
            <w:tcW w:w="900" w:type="dxa"/>
            <w:vAlign w:val="bottom"/>
            <w:tcBorders>
              <w:top w:val="single" w:sz="8" w:color="auto"/>
            </w:tcBorders>
            <w:gridSpan w:val="2"/>
            <w:shd w:val="clear" w:color="auto" w:fill="D9D9D9"/>
          </w:tcPr>
          <w:p>
            <w:pPr>
              <w:jc w:val="right"/>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c>
          <w:tcPr>
            <w:tcW w:w="400" w:type="dxa"/>
            <w:vAlign w:val="bottom"/>
            <w:tcBorders>
              <w:top w:val="single" w:sz="8" w:color="auto"/>
              <w:right w:val="single" w:sz="8" w:color="auto"/>
            </w:tcBorders>
            <w:shd w:val="clear" w:color="auto" w:fill="D9D9D9"/>
          </w:tcPr>
          <w:p>
            <w:pPr>
              <w:spacing w:after="0"/>
              <w:rPr>
                <w:sz w:val="21"/>
                <w:szCs w:val="21"/>
                <w:color w:val="auto"/>
              </w:rPr>
            </w:pPr>
          </w:p>
        </w:tc>
        <w:tc>
          <w:tcPr>
            <w:tcW w:w="14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4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1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340" w:type="dxa"/>
            <w:vAlign w:val="bottom"/>
            <w:tcBorders>
              <w:top w:val="single" w:sz="8" w:color="auto"/>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top w:val="single" w:sz="8" w:color="D9D9D9"/>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0"/>
        </w:trPr>
        <w:tc>
          <w:tcPr>
            <w:tcW w:w="18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WOW!</w:t>
            </w:r>
          </w:p>
        </w:tc>
        <w:tc>
          <w:tcPr>
            <w:tcW w:w="13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c>
          <w:tcPr>
            <w:tcW w:w="400" w:type="dxa"/>
            <w:vAlign w:val="bottom"/>
            <w:tcBorders>
              <w:top w:val="single" w:sz="8" w:color="auto"/>
              <w:bottom w:val="single" w:sz="8" w:color="auto"/>
              <w:right w:val="single" w:sz="8" w:color="auto"/>
            </w:tcBorders>
          </w:tcPr>
          <w:p>
            <w:pPr>
              <w:spacing w:after="0"/>
              <w:rPr>
                <w:sz w:val="18"/>
                <w:szCs w:val="18"/>
                <w:color w:val="auto"/>
              </w:rPr>
            </w:pPr>
          </w:p>
        </w:tc>
        <w:tc>
          <w:tcPr>
            <w:tcW w:w="1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top w:val="single" w:sz="8" w:color="D9D9D9"/>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191"/>
        </w:trPr>
        <w:tc>
          <w:tcPr>
            <w:tcW w:w="1860" w:type="dxa"/>
            <w:vAlign w:val="bottom"/>
            <w:tcBorders>
              <w:left w:val="single" w:sz="8" w:color="auto"/>
              <w:right w:val="single" w:sz="8" w:color="auto"/>
            </w:tcBorders>
            <w:shd w:val="clear" w:color="auto" w:fill="D9D9D9"/>
          </w:tcPr>
          <w:p>
            <w:pPr>
              <w:ind w:left="40"/>
              <w:spacing w:after="0" w:line="191" w:lineRule="exact"/>
              <w:rPr>
                <w:sz w:val="20"/>
                <w:szCs w:val="20"/>
                <w:color w:val="auto"/>
              </w:rPr>
            </w:pPr>
            <w:r>
              <w:rPr>
                <w:rFonts w:ascii="Arial" w:cs="Arial" w:eastAsia="Arial" w:hAnsi="Arial"/>
                <w:sz w:val="18"/>
                <w:szCs w:val="18"/>
                <w:b w:val="1"/>
                <w:bCs w:val="1"/>
                <w:color w:val="auto"/>
              </w:rPr>
              <w:t>Other Cable</w:t>
            </w:r>
          </w:p>
        </w:tc>
        <w:tc>
          <w:tcPr>
            <w:tcW w:w="1320" w:type="dxa"/>
            <w:vAlign w:val="bottom"/>
            <w:tcBorders>
              <w:right w:val="single" w:sz="8" w:color="auto"/>
            </w:tcBorders>
            <w:vMerge w:val="restart"/>
            <w:shd w:val="clear" w:color="auto" w:fill="D9D9D9"/>
          </w:tcPr>
          <w:p>
            <w:pPr>
              <w:jc w:val="right"/>
              <w:ind w:right="370"/>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c>
          <w:tcPr>
            <w:tcW w:w="900" w:type="dxa"/>
            <w:vAlign w:val="bottom"/>
            <w:gridSpan w:val="2"/>
            <w:vMerge w:val="restart"/>
            <w:shd w:val="clear" w:color="auto" w:fill="D9D9D9"/>
          </w:tcPr>
          <w:p>
            <w:pPr>
              <w:jc w:val="right"/>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c>
          <w:tcPr>
            <w:tcW w:w="400" w:type="dxa"/>
            <w:vAlign w:val="bottom"/>
            <w:tcBorders>
              <w:right w:val="single" w:sz="8" w:color="auto"/>
            </w:tcBorders>
            <w:shd w:val="clear" w:color="auto" w:fill="D9D9D9"/>
          </w:tcPr>
          <w:p>
            <w:pPr>
              <w:spacing w:after="0"/>
              <w:rPr>
                <w:sz w:val="16"/>
                <w:szCs w:val="16"/>
                <w:color w:val="auto"/>
              </w:rPr>
            </w:pPr>
          </w:p>
        </w:tc>
        <w:tc>
          <w:tcPr>
            <w:tcW w:w="14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4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1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3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126"/>
        </w:trPr>
        <w:tc>
          <w:tcPr>
            <w:tcW w:w="1860" w:type="dxa"/>
            <w:vAlign w:val="bottom"/>
            <w:tcBorders>
              <w:left w:val="single" w:sz="8" w:color="auto"/>
              <w:right w:val="single" w:sz="8" w:color="auto"/>
            </w:tcBorders>
            <w:vMerge w:val="restart"/>
            <w:shd w:val="clear" w:color="auto" w:fill="D9D9D9"/>
          </w:tcPr>
          <w:p>
            <w:pPr>
              <w:ind w:left="40"/>
              <w:spacing w:after="0" w:line="234" w:lineRule="exact"/>
              <w:rPr>
                <w:sz w:val="20"/>
                <w:szCs w:val="20"/>
                <w:color w:val="auto"/>
              </w:rPr>
            </w:pPr>
            <w:r>
              <w:rPr>
                <w:rFonts w:ascii="Arial" w:cs="Arial" w:eastAsia="Arial" w:hAnsi="Arial"/>
                <w:sz w:val="18"/>
                <w:szCs w:val="18"/>
                <w:b w:val="1"/>
                <w:bCs w:val="1"/>
                <w:color w:val="auto"/>
              </w:rPr>
              <w:t>Overbuilders</w:t>
            </w:r>
            <w:r>
              <w:rPr>
                <w:rFonts w:ascii="Arial" w:cs="Arial" w:eastAsia="Arial" w:hAnsi="Arial"/>
                <w:sz w:val="25"/>
                <w:szCs w:val="25"/>
                <w:b w:val="1"/>
                <w:bCs w:val="1"/>
                <w:color w:val="auto"/>
                <w:vertAlign w:val="superscript"/>
              </w:rPr>
              <w:t>11</w:t>
            </w:r>
          </w:p>
        </w:tc>
        <w:tc>
          <w:tcPr>
            <w:tcW w:w="1320" w:type="dxa"/>
            <w:vAlign w:val="bottom"/>
            <w:tcBorders>
              <w:right w:val="single" w:sz="8" w:color="auto"/>
            </w:tcBorders>
            <w:vMerge w:val="continue"/>
            <w:shd w:val="clear" w:color="auto" w:fill="D9D9D9"/>
          </w:tcPr>
          <w:p>
            <w:pPr>
              <w:spacing w:after="0"/>
              <w:rPr>
                <w:sz w:val="10"/>
                <w:szCs w:val="10"/>
                <w:color w:val="auto"/>
              </w:rPr>
            </w:pPr>
          </w:p>
        </w:tc>
        <w:tc>
          <w:tcPr>
            <w:tcW w:w="900" w:type="dxa"/>
            <w:vAlign w:val="bottom"/>
            <w:gridSpan w:val="2"/>
            <w:vMerge w:val="continue"/>
            <w:shd w:val="clear" w:color="auto" w:fill="D9D9D9"/>
          </w:tcPr>
          <w:p>
            <w:pPr>
              <w:spacing w:after="0"/>
              <w:rPr>
                <w:sz w:val="10"/>
                <w:szCs w:val="10"/>
                <w:color w:val="auto"/>
              </w:rPr>
            </w:pPr>
          </w:p>
        </w:tc>
        <w:tc>
          <w:tcPr>
            <w:tcW w:w="400" w:type="dxa"/>
            <w:vAlign w:val="bottom"/>
            <w:tcBorders>
              <w:right w:val="single" w:sz="8" w:color="auto"/>
            </w:tcBorders>
            <w:shd w:val="clear" w:color="auto" w:fill="D9D9D9"/>
          </w:tcPr>
          <w:p>
            <w:pPr>
              <w:spacing w:after="0"/>
              <w:rPr>
                <w:sz w:val="10"/>
                <w:szCs w:val="10"/>
                <w:color w:val="auto"/>
              </w:rPr>
            </w:pPr>
          </w:p>
        </w:tc>
        <w:tc>
          <w:tcPr>
            <w:tcW w:w="1420" w:type="dxa"/>
            <w:vAlign w:val="bottom"/>
            <w:tcBorders>
              <w:right w:val="single" w:sz="8" w:color="auto"/>
            </w:tcBorders>
            <w:vMerge w:val="continue"/>
            <w:shd w:val="clear" w:color="auto" w:fill="D9D9D9"/>
          </w:tcPr>
          <w:p>
            <w:pPr>
              <w:spacing w:after="0"/>
              <w:rPr>
                <w:sz w:val="10"/>
                <w:szCs w:val="10"/>
                <w:color w:val="auto"/>
              </w:rPr>
            </w:pPr>
          </w:p>
        </w:tc>
        <w:tc>
          <w:tcPr>
            <w:tcW w:w="1460" w:type="dxa"/>
            <w:vAlign w:val="bottom"/>
            <w:tcBorders>
              <w:right w:val="single" w:sz="8" w:color="auto"/>
            </w:tcBorders>
            <w:vMerge w:val="continue"/>
            <w:shd w:val="clear" w:color="auto" w:fill="D9D9D9"/>
          </w:tcPr>
          <w:p>
            <w:pPr>
              <w:spacing w:after="0"/>
              <w:rPr>
                <w:sz w:val="10"/>
                <w:szCs w:val="10"/>
                <w:color w:val="auto"/>
              </w:rPr>
            </w:pPr>
          </w:p>
        </w:tc>
        <w:tc>
          <w:tcPr>
            <w:tcW w:w="1160" w:type="dxa"/>
            <w:vAlign w:val="bottom"/>
            <w:tcBorders>
              <w:right w:val="single" w:sz="8" w:color="auto"/>
            </w:tcBorders>
            <w:vMerge w:val="continue"/>
            <w:shd w:val="clear" w:color="auto" w:fill="D9D9D9"/>
          </w:tcPr>
          <w:p>
            <w:pPr>
              <w:spacing w:after="0"/>
              <w:rPr>
                <w:sz w:val="10"/>
                <w:szCs w:val="10"/>
                <w:color w:val="auto"/>
              </w:rPr>
            </w:pPr>
          </w:p>
        </w:tc>
        <w:tc>
          <w:tcPr>
            <w:tcW w:w="1340" w:type="dxa"/>
            <w:vAlign w:val="bottom"/>
            <w:tcBorders>
              <w:right w:val="single" w:sz="8" w:color="auto"/>
            </w:tcBorders>
            <w:vMerge w:val="continue"/>
            <w:shd w:val="clear" w:color="auto" w:fill="D9D9D9"/>
          </w:tcPr>
          <w:p>
            <w:pPr>
              <w:spacing w:after="0"/>
              <w:rPr>
                <w:sz w:val="10"/>
                <w:szCs w:val="10"/>
                <w:color w:val="auto"/>
              </w:rPr>
            </w:pPr>
          </w:p>
        </w:tc>
        <w:tc>
          <w:tcPr>
            <w:tcW w:w="156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bottom w:val="single" w:sz="8" w:color="auto"/>
              <w:right w:val="single" w:sz="8" w:color="auto"/>
            </w:tcBorders>
            <w:vMerge w:val="continue"/>
            <w:shd w:val="clear" w:color="auto" w:fill="D9D9D9"/>
          </w:tcPr>
          <w:p>
            <w:pPr>
              <w:spacing w:after="0"/>
              <w:rPr>
                <w:sz w:val="9"/>
                <w:szCs w:val="9"/>
                <w:color w:val="auto"/>
              </w:rPr>
            </w:pPr>
          </w:p>
        </w:tc>
        <w:tc>
          <w:tcPr>
            <w:tcW w:w="1320" w:type="dxa"/>
            <w:vAlign w:val="bottom"/>
            <w:tcBorders>
              <w:bottom w:val="single" w:sz="8" w:color="auto"/>
              <w:right w:val="single" w:sz="8" w:color="auto"/>
            </w:tcBorders>
            <w:shd w:val="clear" w:color="auto" w:fill="D9D9D9"/>
          </w:tcPr>
          <w:p>
            <w:pPr>
              <w:spacing w:after="0"/>
              <w:rPr>
                <w:sz w:val="9"/>
                <w:szCs w:val="9"/>
                <w:color w:val="auto"/>
              </w:rPr>
            </w:pPr>
          </w:p>
        </w:tc>
        <w:tc>
          <w:tcPr>
            <w:tcW w:w="120" w:type="dxa"/>
            <w:vAlign w:val="bottom"/>
            <w:tcBorders>
              <w:bottom w:val="single" w:sz="8" w:color="auto"/>
              <w:right w:val="single" w:sz="8" w:color="D9D9D9"/>
            </w:tcBorders>
            <w:shd w:val="clear" w:color="auto" w:fill="D9D9D9"/>
          </w:tcPr>
          <w:p>
            <w:pPr>
              <w:spacing w:after="0"/>
              <w:rPr>
                <w:sz w:val="9"/>
                <w:szCs w:val="9"/>
                <w:color w:val="auto"/>
              </w:rPr>
            </w:pPr>
          </w:p>
        </w:tc>
        <w:tc>
          <w:tcPr>
            <w:tcW w:w="780" w:type="dxa"/>
            <w:vAlign w:val="bottom"/>
            <w:tcBorders>
              <w:bottom w:val="single" w:sz="8" w:color="auto"/>
            </w:tcBorders>
            <w:shd w:val="clear" w:color="auto" w:fill="D9D9D9"/>
          </w:tcPr>
          <w:p>
            <w:pPr>
              <w:spacing w:after="0"/>
              <w:rPr>
                <w:sz w:val="9"/>
                <w:szCs w:val="9"/>
                <w:color w:val="auto"/>
              </w:rPr>
            </w:pPr>
          </w:p>
        </w:tc>
        <w:tc>
          <w:tcPr>
            <w:tcW w:w="400" w:type="dxa"/>
            <w:vAlign w:val="bottom"/>
            <w:tcBorders>
              <w:bottom w:val="single" w:sz="8" w:color="auto"/>
              <w:right w:val="single" w:sz="8" w:color="auto"/>
            </w:tcBorders>
            <w:shd w:val="clear" w:color="auto" w:fill="D9D9D9"/>
          </w:tcPr>
          <w:p>
            <w:pPr>
              <w:spacing w:after="0"/>
              <w:rPr>
                <w:sz w:val="9"/>
                <w:szCs w:val="9"/>
                <w:color w:val="auto"/>
              </w:rPr>
            </w:pPr>
          </w:p>
        </w:tc>
        <w:tc>
          <w:tcPr>
            <w:tcW w:w="1420" w:type="dxa"/>
            <w:vAlign w:val="bottom"/>
            <w:tcBorders>
              <w:bottom w:val="single" w:sz="8" w:color="auto"/>
              <w:right w:val="single" w:sz="8" w:color="auto"/>
            </w:tcBorders>
            <w:shd w:val="clear" w:color="auto" w:fill="D9D9D9"/>
          </w:tcPr>
          <w:p>
            <w:pPr>
              <w:spacing w:after="0"/>
              <w:rPr>
                <w:sz w:val="9"/>
                <w:szCs w:val="9"/>
                <w:color w:val="auto"/>
              </w:rPr>
            </w:pPr>
          </w:p>
        </w:tc>
        <w:tc>
          <w:tcPr>
            <w:tcW w:w="1460" w:type="dxa"/>
            <w:vAlign w:val="bottom"/>
            <w:tcBorders>
              <w:bottom w:val="single" w:sz="8" w:color="auto"/>
              <w:right w:val="single" w:sz="8" w:color="auto"/>
            </w:tcBorders>
            <w:shd w:val="clear" w:color="auto" w:fill="D9D9D9"/>
          </w:tcPr>
          <w:p>
            <w:pPr>
              <w:spacing w:after="0"/>
              <w:rPr>
                <w:sz w:val="9"/>
                <w:szCs w:val="9"/>
                <w:color w:val="auto"/>
              </w:rPr>
            </w:pPr>
          </w:p>
        </w:tc>
        <w:tc>
          <w:tcPr>
            <w:tcW w:w="1160" w:type="dxa"/>
            <w:vAlign w:val="bottom"/>
            <w:tcBorders>
              <w:bottom w:val="single" w:sz="8" w:color="auto"/>
              <w:right w:val="single" w:sz="8" w:color="auto"/>
            </w:tcBorders>
            <w:shd w:val="clear" w:color="auto" w:fill="D9D9D9"/>
          </w:tcPr>
          <w:p>
            <w:pPr>
              <w:spacing w:after="0"/>
              <w:rPr>
                <w:sz w:val="9"/>
                <w:szCs w:val="9"/>
                <w:color w:val="auto"/>
              </w:rPr>
            </w:pPr>
          </w:p>
        </w:tc>
        <w:tc>
          <w:tcPr>
            <w:tcW w:w="1340" w:type="dxa"/>
            <w:vAlign w:val="bottom"/>
            <w:tcBorders>
              <w:bottom w:val="single" w:sz="8" w:color="auto"/>
              <w:right w:val="single" w:sz="8" w:color="auto"/>
            </w:tcBorders>
            <w:shd w:val="clear" w:color="auto" w:fill="D9D9D9"/>
          </w:tcPr>
          <w:p>
            <w:pPr>
              <w:spacing w:after="0"/>
              <w:rPr>
                <w:sz w:val="9"/>
                <w:szCs w:val="9"/>
                <w:color w:val="auto"/>
              </w:rPr>
            </w:pPr>
          </w:p>
        </w:tc>
        <w:tc>
          <w:tcPr>
            <w:tcW w:w="156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tcPr>
          <w:p>
            <w:pPr>
              <w:ind w:left="40"/>
              <w:spacing w:after="0" w:line="210" w:lineRule="exact"/>
              <w:rPr>
                <w:sz w:val="20"/>
                <w:szCs w:val="20"/>
                <w:color w:val="auto"/>
              </w:rPr>
            </w:pPr>
            <w:r>
              <w:rPr>
                <w:rFonts w:ascii="Arial" w:cs="Arial" w:eastAsia="Arial" w:hAnsi="Arial"/>
                <w:sz w:val="17"/>
                <w:szCs w:val="17"/>
                <w:b w:val="1"/>
                <w:bCs w:val="1"/>
                <w:color w:val="auto"/>
              </w:rPr>
              <w:t>Other Telco Fiber</w:t>
            </w:r>
            <w:r>
              <w:rPr>
                <w:rFonts w:ascii="Arial" w:cs="Arial" w:eastAsia="Arial" w:hAnsi="Arial"/>
                <w:sz w:val="24"/>
                <w:szCs w:val="24"/>
                <w:b w:val="1"/>
                <w:bCs w:val="1"/>
                <w:color w:val="auto"/>
                <w:vertAlign w:val="superscript"/>
              </w:rPr>
              <w:t>12</w:t>
            </w:r>
          </w:p>
        </w:tc>
        <w:tc>
          <w:tcPr>
            <w:tcW w:w="132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c>
          <w:tcPr>
            <w:tcW w:w="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shd w:val="clear" w:color="auto" w:fill="D9D9D9"/>
          </w:tcPr>
          <w:p>
            <w:pPr>
              <w:ind w:left="40"/>
              <w:spacing w:after="0" w:line="210" w:lineRule="exact"/>
              <w:rPr>
                <w:sz w:val="20"/>
                <w:szCs w:val="20"/>
                <w:color w:val="auto"/>
              </w:rPr>
            </w:pPr>
            <w:r>
              <w:rPr>
                <w:rFonts w:ascii="Arial" w:cs="Arial" w:eastAsia="Arial" w:hAnsi="Arial"/>
                <w:sz w:val="17"/>
                <w:szCs w:val="17"/>
                <w:b w:val="1"/>
                <w:bCs w:val="1"/>
                <w:color w:val="auto"/>
              </w:rPr>
              <w:t>Municipal Fiber</w:t>
            </w:r>
            <w:r>
              <w:rPr>
                <w:rFonts w:ascii="Arial" w:cs="Arial" w:eastAsia="Arial" w:hAnsi="Arial"/>
                <w:sz w:val="24"/>
                <w:szCs w:val="24"/>
                <w:b w:val="1"/>
                <w:bCs w:val="1"/>
                <w:color w:val="auto"/>
                <w:vertAlign w:val="superscript"/>
              </w:rPr>
              <w:t>13</w:t>
            </w:r>
          </w:p>
        </w:tc>
        <w:tc>
          <w:tcPr>
            <w:tcW w:w="1320" w:type="dxa"/>
            <w:vAlign w:val="bottom"/>
            <w:tcBorders>
              <w:bottom w:val="single" w:sz="8" w:color="auto"/>
              <w:right w:val="single" w:sz="8" w:color="auto"/>
            </w:tcBorders>
            <w:shd w:val="clear" w:color="auto" w:fill="D9D9D9"/>
          </w:tcPr>
          <w:p>
            <w:pPr>
              <w:jc w:val="right"/>
              <w:ind w:right="370"/>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c>
          <w:tcPr>
            <w:tcW w:w="90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c>
          <w:tcPr>
            <w:tcW w:w="400" w:type="dxa"/>
            <w:vAlign w:val="bottom"/>
            <w:tcBorders>
              <w:bottom w:val="single" w:sz="8" w:color="auto"/>
              <w:right w:val="single" w:sz="8" w:color="auto"/>
            </w:tcBorders>
            <w:shd w:val="clear" w:color="auto" w:fill="D9D9D9"/>
          </w:tcPr>
          <w:p>
            <w:pPr>
              <w:spacing w:after="0"/>
              <w:rPr>
                <w:sz w:val="18"/>
                <w:szCs w:val="18"/>
                <w:color w:val="auto"/>
              </w:rPr>
            </w:pPr>
          </w:p>
        </w:tc>
        <w:tc>
          <w:tcPr>
            <w:tcW w:w="14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1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3"/>
              </w:rPr>
              <w:t>Mobile Broadband Competitor Overlaps</w:t>
            </w:r>
          </w:p>
        </w:tc>
        <w:tc>
          <w:tcPr>
            <w:tcW w:w="1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bottom w:val="single" w:sz="8" w:color="auto"/>
              <w:right w:val="single" w:sz="8" w:color="auto"/>
            </w:tcBorders>
            <w:shd w:val="clear" w:color="auto" w:fill="D9D9D9"/>
          </w:tcPr>
          <w:p>
            <w:pPr>
              <w:ind w:left="40"/>
              <w:spacing w:after="0" w:line="210" w:lineRule="exact"/>
              <w:rPr>
                <w:sz w:val="20"/>
                <w:szCs w:val="20"/>
                <w:color w:val="auto"/>
              </w:rPr>
            </w:pPr>
            <w:r>
              <w:rPr>
                <w:rFonts w:ascii="Arial" w:cs="Arial" w:eastAsia="Arial" w:hAnsi="Arial"/>
                <w:sz w:val="17"/>
                <w:szCs w:val="17"/>
                <w:b w:val="1"/>
                <w:bCs w:val="1"/>
                <w:color w:val="auto"/>
              </w:rPr>
              <w:t>4G / LTE providers</w:t>
            </w:r>
            <w:r>
              <w:rPr>
                <w:rFonts w:ascii="Arial" w:cs="Arial" w:eastAsia="Arial" w:hAnsi="Arial"/>
                <w:sz w:val="24"/>
                <w:szCs w:val="24"/>
                <w:b w:val="1"/>
                <w:bCs w:val="1"/>
                <w:color w:val="auto"/>
                <w:vertAlign w:val="superscript"/>
              </w:rPr>
              <w:t>14</w:t>
            </w:r>
          </w:p>
        </w:tc>
        <w:tc>
          <w:tcPr>
            <w:tcW w:w="1320" w:type="dxa"/>
            <w:vAlign w:val="bottom"/>
            <w:tcBorders>
              <w:bottom w:val="single" w:sz="8" w:color="auto"/>
              <w:right w:val="single" w:sz="8" w:color="D9D9D9"/>
            </w:tcBorders>
            <w:shd w:val="clear" w:color="auto" w:fill="D9D9D9"/>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right w:val="single" w:sz="8" w:color="auto"/>
            </w:tcBorders>
            <w:shd w:val="clear" w:color="auto" w:fill="D9D9D9"/>
          </w:tcPr>
          <w:p>
            <w:pPr>
              <w:spacing w:after="0"/>
              <w:rPr>
                <w:sz w:val="20"/>
                <w:szCs w:val="20"/>
                <w:color w:val="auto"/>
              </w:rPr>
            </w:pPr>
          </w:p>
        </w:tc>
        <w:tc>
          <w:tcPr>
            <w:tcW w:w="780" w:type="dxa"/>
            <w:vAlign w:val="bottom"/>
            <w:tcBorders>
              <w:bottom w:val="single" w:sz="8" w:color="auto"/>
            </w:tcBorders>
            <w:shd w:val="clear" w:color="auto" w:fill="D9D9D9"/>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right w:val="single" w:sz="8" w:color="auto"/>
            </w:tcBorders>
            <w:shd w:val="clear" w:color="auto" w:fill="D9D9D9"/>
          </w:tcPr>
          <w:p>
            <w:pPr>
              <w:spacing w:after="0"/>
              <w:rPr>
                <w:sz w:val="20"/>
                <w:szCs w:val="20"/>
                <w:color w:val="auto"/>
              </w:rPr>
            </w:pPr>
          </w:p>
        </w:tc>
        <w:tc>
          <w:tcPr>
            <w:tcW w:w="14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99.4%</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99.4%</w:t>
            </w:r>
          </w:p>
        </w:tc>
        <w:tc>
          <w:tcPr>
            <w:tcW w:w="11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Sources: Centris, NTIA, and GeoResults</w:t>
      </w:r>
    </w:p>
    <w:p>
      <w:pPr>
        <w:spacing w:after="0" w:line="211" w:lineRule="exact"/>
        <w:rPr>
          <w:sz w:val="20"/>
          <w:szCs w:val="20"/>
          <w:color w:val="auto"/>
        </w:rPr>
      </w:pPr>
    </w:p>
    <w:p>
      <w:pPr>
        <w:ind w:firstLine="648"/>
        <w:spacing w:after="0" w:line="227" w:lineRule="auto"/>
        <w:rPr>
          <w:sz w:val="20"/>
          <w:szCs w:val="20"/>
          <w:color w:val="auto"/>
        </w:rPr>
      </w:pPr>
      <w:r>
        <w:rPr>
          <w:rFonts w:ascii="Arial" w:cs="Arial" w:eastAsia="Arial" w:hAnsi="Arial"/>
          <w:sz w:val="17"/>
          <w:szCs w:val="17"/>
          <w:color w:val="auto"/>
        </w:rPr>
        <w:t>As Dr. Mark Israel explained in his declaration submitted with the Comcast-TWC Public Interest Statement, the combined company’s share of the national universe of broadband subscribers is irrelevant to whether the combined company could act as a bottleneck or harm edge providers.</w:t>
      </w:r>
      <w:r>
        <w:rPr>
          <w:rFonts w:ascii="Arial" w:cs="Arial" w:eastAsia="Arial" w:hAnsi="Arial"/>
          <w:sz w:val="24"/>
          <w:szCs w:val="24"/>
          <w:color w:val="auto"/>
          <w:vertAlign w:val="superscript"/>
        </w:rPr>
        <w:t>15</w:t>
      </w:r>
      <w:r>
        <w:rPr>
          <w:rFonts w:ascii="Arial" w:cs="Arial" w:eastAsia="Arial" w:hAnsi="Arial"/>
          <w:sz w:val="17"/>
          <w:szCs w:val="17"/>
          <w:color w:val="auto"/>
        </w:rPr>
        <w:t xml:space="preserve"> Dr. Israel nonetheless calculated Comcast’s post-transaction share of national broadband subscribers as under 40 percent of fixed-only connections and under 20 percent of fixed and mobile connections combined, assuming divestitures of three million video customers.</w:t>
      </w:r>
      <w:r>
        <w:rPr>
          <w:rFonts w:ascii="Arial" w:cs="Arial" w:eastAsia="Arial" w:hAnsi="Arial"/>
          <w:sz w:val="24"/>
          <w:szCs w:val="24"/>
          <w:color w:val="auto"/>
          <w:vertAlign w:val="superscript"/>
        </w:rPr>
        <w:t>16</w:t>
      </w:r>
      <w:r>
        <w:rPr>
          <w:rFonts w:ascii="Arial" w:cs="Arial" w:eastAsia="Arial" w:hAnsi="Arial"/>
          <w:sz w:val="17"/>
          <w:szCs w:val="17"/>
          <w:color w:val="auto"/>
        </w:rPr>
        <w:t xml:space="preserve"> The parties previously indicated that, post-Divestiture Transactions, these share percentages remain accurate, and, if anything, are slightly overstated since Comcast will be divesting systems serving approximately 900,000 more customers than previously assumed.</w:t>
      </w:r>
      <w:r>
        <w:rPr>
          <w:rFonts w:ascii="Arial" w:cs="Arial" w:eastAsia="Arial" w:hAnsi="Arial"/>
          <w:sz w:val="24"/>
          <w:szCs w:val="24"/>
          <w:color w:val="auto"/>
          <w:vertAlign w:val="superscript"/>
        </w:rPr>
        <w:t>17</w:t>
      </w:r>
      <w:r>
        <w:rPr>
          <w:rFonts w:ascii="Arial" w:cs="Arial" w:eastAsia="Arial" w:hAnsi="Arial"/>
          <w:sz w:val="17"/>
          <w:szCs w:val="17"/>
          <w:color w:val="auto"/>
        </w:rPr>
        <w:t xml:space="preserve"> The table below provides these and related calculations, </w:t>
      </w:r>
      <w:r>
        <w:rPr>
          <w:rFonts w:ascii="Arial" w:cs="Arial" w:eastAsia="Arial" w:hAnsi="Arial"/>
          <w:sz w:val="17"/>
          <w:szCs w:val="17"/>
          <w:i w:val="1"/>
          <w:iCs w:val="1"/>
          <w:color w:val="auto"/>
        </w:rPr>
        <w:t>based on the latest available Commission data</w:t>
      </w:r>
      <w:r>
        <w:rPr>
          <w:rFonts w:ascii="Arial" w:cs="Arial" w:eastAsia="Arial" w:hAnsi="Arial"/>
          <w:sz w:val="17"/>
          <w:szCs w:val="17"/>
          <w:color w:val="auto"/>
        </w:rPr>
        <w:t xml:space="preserve"> </w:t>
      </w:r>
      <w:r>
        <w:rPr>
          <w:rFonts w:ascii="Arial" w:cs="Arial" w:eastAsia="Arial" w:hAnsi="Arial"/>
          <w:sz w:val="17"/>
          <w:szCs w:val="17"/>
          <w:i w:val="1"/>
          <w:iCs w:val="1"/>
          <w:color w:val="auto"/>
        </w:rPr>
        <w:t>as of December 2012</w:t>
      </w:r>
      <w:r>
        <w:rPr>
          <w:rFonts w:ascii="Arial" w:cs="Arial" w:eastAsia="Arial" w:hAnsi="Arial"/>
          <w:sz w:val="17"/>
          <w:szCs w:val="17"/>
          <w:color w:val="auto"/>
        </w:rPr>
        <w:t>, for Comcast following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5882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hanging="152"/>
        <w:spacing w:after="0"/>
        <w:tabs>
          <w:tab w:leader="none" w:pos="160"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Includes all competitive providers that provide data via cable modem technology.</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All data is fiber-to-the-premises (“FTTP”).</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All data is FTTP.</w:t>
      </w:r>
    </w:p>
    <w:p>
      <w:pPr>
        <w:spacing w:after="0" w:line="2" w:lineRule="exact"/>
        <w:rPr>
          <w:rFonts w:ascii="Arial" w:cs="Arial" w:eastAsia="Arial" w:hAnsi="Arial"/>
          <w:sz w:val="20"/>
          <w:szCs w:val="20"/>
          <w:color w:val="auto"/>
          <w:vertAlign w:val="superscript"/>
        </w:rPr>
      </w:pPr>
    </w:p>
    <w:p>
      <w:pPr>
        <w:ind w:right="20" w:firstLine="8"/>
        <w:spacing w:after="0" w:line="272" w:lineRule="auto"/>
        <w:tabs>
          <w:tab w:leader="none" w:pos="171"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 xml:space="preserve">The overlap data for these wireless ISPs are provided collectively, based on data from GeoResults, which calculated the percentages for the combined company only. It bears noting, however, that consumers have a choice of at least one such broadband provider (and often several) in each service area covered by the transactions. For example, Verizon Wireless’s 4G LTE coverage alone includes virtually all of the territory of the parties’ footprints. </w:t>
      </w:r>
      <w:r>
        <w:rPr>
          <w:rFonts w:ascii="Arial" w:cs="Arial" w:eastAsia="Arial" w:hAnsi="Arial"/>
          <w:sz w:val="15"/>
          <w:szCs w:val="15"/>
          <w:i w:val="1"/>
          <w:iCs w:val="1"/>
          <w:color w:val="auto"/>
        </w:rPr>
        <w:t>See</w:t>
      </w:r>
      <w:r>
        <w:rPr>
          <w:rFonts w:ascii="Arial" w:cs="Arial" w:eastAsia="Arial" w:hAnsi="Arial"/>
          <w:sz w:val="15"/>
          <w:szCs w:val="15"/>
          <w:color w:val="auto"/>
        </w:rPr>
        <w:t xml:space="preserve"> Verizon Wireless, http://www.verizonwireless.com/wcms/consumer/4g-lte.html (last visited June 24, 2014).</w:t>
      </w:r>
    </w:p>
    <w:p>
      <w:pPr>
        <w:spacing w:after="0" w:line="2" w:lineRule="exact"/>
        <w:rPr>
          <w:rFonts w:ascii="Arial" w:cs="Arial" w:eastAsia="Arial" w:hAnsi="Arial"/>
          <w:sz w:val="21"/>
          <w:szCs w:val="21"/>
          <w:color w:val="auto"/>
          <w:vertAlign w:val="superscript"/>
        </w:rPr>
      </w:pPr>
    </w:p>
    <w:p>
      <w:pPr>
        <w:ind w:left="180" w:hanging="172"/>
        <w:spacing w:after="0" w:line="196" w:lineRule="auto"/>
        <w:tabs>
          <w:tab w:leader="none" w:pos="18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Israel Decl. ¶¶ 20-23, 42;</w:t>
      </w:r>
      <w:r>
        <w:rPr>
          <w:rFonts w:ascii="Arial" w:cs="Arial" w:eastAsia="Arial" w:hAnsi="Arial"/>
          <w:sz w:val="17"/>
          <w:szCs w:val="17"/>
          <w:i w:val="1"/>
          <w:iCs w:val="1"/>
          <w:color w:val="auto"/>
        </w:rPr>
        <w:t xml:space="preserve"> see also </w:t>
      </w:r>
      <w:r>
        <w:rPr>
          <w:rFonts w:ascii="Arial" w:cs="Arial" w:eastAsia="Arial" w:hAnsi="Arial"/>
          <w:sz w:val="17"/>
          <w:szCs w:val="17"/>
          <w:color w:val="auto"/>
        </w:rPr>
        <w:t>Comcast-TWC Public Interest Statement at 158.</w:t>
      </w:r>
    </w:p>
    <w:p>
      <w:pPr>
        <w:spacing w:after="0" w:line="1" w:lineRule="exact"/>
        <w:rPr>
          <w:rFonts w:ascii="Arial" w:cs="Arial" w:eastAsia="Arial" w:hAnsi="Arial"/>
          <w:sz w:val="23"/>
          <w:szCs w:val="23"/>
          <w:color w:val="auto"/>
          <w:vertAlign w:val="superscript"/>
        </w:rPr>
      </w:pPr>
    </w:p>
    <w:p>
      <w:pPr>
        <w:ind w:left="160" w:hanging="152"/>
        <w:spacing w:after="0" w:line="223" w:lineRule="auto"/>
        <w:tabs>
          <w:tab w:leader="none" w:pos="160"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Israel Decl. ¶ 42 &amp; Table 1.</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Comcast-TWC Supplement Letter at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547370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REDACTED – FOR PUBLIC INSPECTION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June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267335</wp:posOffset>
            </wp:positionV>
            <wp:extent cx="727202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1968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p>
        </w:tc>
        <w:tc>
          <w:tcPr>
            <w:tcW w:w="7700" w:type="dxa"/>
            <w:vAlign w:val="bottom"/>
            <w:gridSpan w:val="5"/>
          </w:tcPr>
          <w:p>
            <w:pPr>
              <w:ind w:left="1120"/>
              <w:spacing w:after="0"/>
              <w:rPr>
                <w:sz w:val="20"/>
                <w:szCs w:val="20"/>
                <w:color w:val="auto"/>
              </w:rPr>
            </w:pPr>
            <w:r>
              <w:rPr>
                <w:rFonts w:ascii="Arial" w:cs="Arial" w:eastAsia="Arial" w:hAnsi="Arial"/>
                <w:sz w:val="18"/>
                <w:szCs w:val="18"/>
                <w:b w:val="1"/>
                <w:bCs w:val="1"/>
                <w:color w:val="auto"/>
              </w:rPr>
              <w:t>National Broadband Shares for at Least 3 Mbps/768 Kbps, December 2012</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3020" w:type="dxa"/>
            <w:vAlign w:val="bottom"/>
            <w:tcBorders>
              <w:bottom w:val="single" w:sz="8" w:color="auto"/>
              <w:right w:val="single" w:sz="8" w:color="auto"/>
            </w:tcBorders>
            <w:gridSpan w:val="2"/>
            <w:shd w:val="clear" w:color="auto" w:fill="D9D9D9"/>
          </w:tcPr>
          <w:p>
            <w:pPr>
              <w:ind w:left="1180"/>
              <w:spacing w:after="0"/>
              <w:rPr>
                <w:sz w:val="20"/>
                <w:szCs w:val="20"/>
                <w:color w:val="auto"/>
              </w:rPr>
            </w:pPr>
            <w:r>
              <w:rPr>
                <w:rFonts w:ascii="Arial" w:cs="Arial" w:eastAsia="Arial" w:hAnsi="Arial"/>
                <w:sz w:val="18"/>
                <w:szCs w:val="18"/>
                <w:b w:val="1"/>
                <w:bCs w:val="1"/>
                <w:color w:val="auto"/>
              </w:rPr>
              <w:t>Current</w:t>
            </w:r>
          </w:p>
        </w:tc>
        <w:tc>
          <w:tcPr>
            <w:tcW w:w="2980" w:type="dxa"/>
            <w:vAlign w:val="bottom"/>
            <w:tcBorders>
              <w:bottom w:val="single" w:sz="8" w:color="auto"/>
              <w:right w:val="single" w:sz="8" w:color="auto"/>
            </w:tcBorders>
            <w:gridSpan w:val="2"/>
            <w:shd w:val="clear" w:color="auto" w:fill="D9D9D9"/>
          </w:tcPr>
          <w:p>
            <w:pPr>
              <w:ind w:left="520"/>
              <w:spacing w:after="0" w:line="223" w:lineRule="exact"/>
              <w:rPr>
                <w:sz w:val="20"/>
                <w:szCs w:val="20"/>
                <w:color w:val="auto"/>
              </w:rPr>
            </w:pPr>
            <w:r>
              <w:rPr>
                <w:rFonts w:ascii="Arial" w:cs="Arial" w:eastAsia="Arial" w:hAnsi="Arial"/>
                <w:sz w:val="18"/>
                <w:szCs w:val="18"/>
                <w:b w:val="1"/>
                <w:bCs w:val="1"/>
                <w:color w:val="auto"/>
              </w:rPr>
              <w:t>Post-TWC Transaction</w:t>
            </w:r>
            <w:r>
              <w:rPr>
                <w:rFonts w:ascii="Arial" w:cs="Arial" w:eastAsia="Arial" w:hAnsi="Arial"/>
                <w:sz w:val="25"/>
                <w:szCs w:val="25"/>
                <w:b w:val="1"/>
                <w:bCs w:val="1"/>
                <w:color w:val="auto"/>
                <w:vertAlign w:val="superscript"/>
              </w:rPr>
              <w:t>18</w:t>
            </w:r>
          </w:p>
        </w:tc>
        <w:tc>
          <w:tcPr>
            <w:tcW w:w="3700" w:type="dxa"/>
            <w:vAlign w:val="bottom"/>
            <w:tcBorders>
              <w:bottom w:val="single" w:sz="8" w:color="auto"/>
              <w:right w:val="single" w:sz="8" w:color="auto"/>
            </w:tcBorders>
            <w:gridSpan w:val="2"/>
            <w:shd w:val="clear" w:color="auto" w:fill="D9D9D9"/>
          </w:tcPr>
          <w:p>
            <w:pPr>
              <w:ind w:left="700"/>
              <w:spacing w:after="0"/>
              <w:rPr>
                <w:sz w:val="20"/>
                <w:szCs w:val="20"/>
                <w:color w:val="auto"/>
              </w:rPr>
            </w:pPr>
            <w:r>
              <w:rPr>
                <w:rFonts w:ascii="Arial" w:cs="Arial" w:eastAsia="Arial" w:hAnsi="Arial"/>
                <w:sz w:val="18"/>
                <w:szCs w:val="18"/>
                <w:b w:val="1"/>
                <w:bCs w:val="1"/>
                <w:color w:val="auto"/>
              </w:rPr>
              <w:t>Post-Divestiture Transactions</w:t>
            </w:r>
          </w:p>
        </w:tc>
        <w:tc>
          <w:tcPr>
            <w:tcW w:w="0" w:type="dxa"/>
            <w:vAlign w:val="bottom"/>
          </w:tcPr>
          <w:p>
            <w:pPr>
              <w:spacing w:after="0"/>
              <w:rPr>
                <w:sz w:val="1"/>
                <w:szCs w:val="1"/>
                <w:color w:val="auto"/>
              </w:rPr>
            </w:pPr>
          </w:p>
        </w:tc>
      </w:tr>
      <w:tr>
        <w:trPr>
          <w:trHeight w:val="195"/>
        </w:trPr>
        <w:tc>
          <w:tcPr>
            <w:tcW w:w="172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Fixed Broadband</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Fixed and Mobile</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Fixed</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Fixed and Mobile</w:t>
            </w:r>
          </w:p>
        </w:tc>
        <w:tc>
          <w:tcPr>
            <w:tcW w:w="170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Fixed and Mobile</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Broadband</w:t>
            </w:r>
          </w:p>
        </w:tc>
        <w:tc>
          <w:tcPr>
            <w:tcW w:w="18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Fixed Broadband Only</w:t>
            </w:r>
          </w:p>
        </w:tc>
        <w:tc>
          <w:tcPr>
            <w:tcW w:w="2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Only</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Broadband</w:t>
            </w:r>
          </w:p>
        </w:tc>
        <w:tc>
          <w:tcPr>
            <w:tcW w:w="110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Broadband</w:t>
            </w:r>
          </w:p>
        </w:tc>
        <w:tc>
          <w:tcPr>
            <w:tcW w:w="1700" w:type="dxa"/>
            <w:vAlign w:val="bottom"/>
            <w:tcBorders>
              <w:right w:val="single" w:sz="8" w:color="auto"/>
            </w:tcBorders>
            <w:vMerge w:val="continue"/>
          </w:tcPr>
          <w:p>
            <w:pPr>
              <w:spacing w:after="0"/>
              <w:rPr>
                <w:sz w:val="9"/>
                <w:szCs w:val="9"/>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Broadband</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Only</w:t>
            </w:r>
          </w:p>
        </w:tc>
        <w:tc>
          <w:tcPr>
            <w:tcW w:w="188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bottom w:val="single" w:sz="8" w:color="auto"/>
              <w:right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vMerge w:val="continue"/>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bottom w:val="single" w:sz="8" w:color="auto"/>
              <w:right w:val="single" w:sz="8" w:color="auto"/>
            </w:tcBorders>
            <w:shd w:val="clear" w:color="auto" w:fill="D9D9D9"/>
          </w:tcPr>
          <w:p>
            <w:pPr>
              <w:ind w:left="540"/>
              <w:spacing w:after="0"/>
              <w:rPr>
                <w:sz w:val="20"/>
                <w:szCs w:val="20"/>
                <w:color w:val="auto"/>
              </w:rPr>
            </w:pPr>
            <w:r>
              <w:rPr>
                <w:rFonts w:ascii="Arial" w:cs="Arial" w:eastAsia="Arial" w:hAnsi="Arial"/>
                <w:sz w:val="18"/>
                <w:szCs w:val="18"/>
                <w:b w:val="1"/>
                <w:bCs w:val="1"/>
                <w:color w:val="auto"/>
              </w:rPr>
              <w:t>Comcast</w:t>
            </w:r>
          </w:p>
        </w:tc>
        <w:tc>
          <w:tcPr>
            <w:tcW w:w="14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 ]]</w:t>
            </w:r>
            <w:r>
              <w:rPr>
                <w:rFonts w:ascii="Arial" w:cs="Arial" w:eastAsia="Arial" w:hAnsi="Arial"/>
                <w:sz w:val="18"/>
                <w:szCs w:val="18"/>
                <w:color w:val="auto"/>
                <w:w w:val="93"/>
              </w:rPr>
              <w:t>%</w:t>
            </w:r>
          </w:p>
        </w:tc>
        <w:tc>
          <w:tcPr>
            <w:tcW w:w="16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 ]]</w:t>
            </w:r>
            <w:r>
              <w:rPr>
                <w:rFonts w:ascii="Arial" w:cs="Arial" w:eastAsia="Arial" w:hAnsi="Arial"/>
                <w:sz w:val="18"/>
                <w:szCs w:val="18"/>
                <w:color w:val="auto"/>
                <w:w w:val="97"/>
              </w:rPr>
              <w:t>%</w:t>
            </w:r>
          </w:p>
        </w:tc>
        <w:tc>
          <w:tcPr>
            <w:tcW w:w="11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3"/>
              </w:rPr>
              <w:t>39.5%</w:t>
            </w:r>
          </w:p>
        </w:tc>
        <w:tc>
          <w:tcPr>
            <w:tcW w:w="18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19.9%</w:t>
            </w:r>
          </w:p>
        </w:tc>
        <w:tc>
          <w:tcPr>
            <w:tcW w:w="1700" w:type="dxa"/>
            <w:vAlign w:val="bottom"/>
            <w:tcBorders>
              <w:bottom w:val="single" w:sz="8" w:color="auto"/>
              <w:right w:val="single" w:sz="8" w:color="auto"/>
            </w:tcBorders>
            <w:shd w:val="clear" w:color="auto" w:fill="D9D9D9"/>
          </w:tcPr>
          <w:p>
            <w:pPr>
              <w:jc w:val="right"/>
              <w:ind w:right="550"/>
              <w:spacing w:after="0"/>
              <w:rPr>
                <w:sz w:val="20"/>
                <w:szCs w:val="20"/>
                <w:color w:val="auto"/>
              </w:rPr>
            </w:pPr>
            <w:r>
              <w:rPr>
                <w:rFonts w:ascii="Arial" w:cs="Arial" w:eastAsia="Arial" w:hAnsi="Arial"/>
                <w:sz w:val="18"/>
                <w:szCs w:val="18"/>
                <w:color w:val="auto"/>
              </w:rPr>
              <w:t>37.1%</w:t>
            </w:r>
          </w:p>
        </w:tc>
        <w:tc>
          <w:tcPr>
            <w:tcW w:w="2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18.6%</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Source: FCC Form 477 data (December 2012)</w:t>
      </w:r>
    </w:p>
    <w:p>
      <w:pPr>
        <w:spacing w:after="0" w:line="21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 Harm to Competition Pending Closing of Divestiture Transactions</w:t>
      </w:r>
    </w:p>
    <w:p>
      <w:pPr>
        <w:spacing w:after="0" w:line="225"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As indicated in the Comcast-TWC Supplement Letter, due to various possible contingencies, Comcast might need to own all of the TWC systems for a temporary period of time following the closing of the Comcast-TWC transaction prior to successfully completing the planned divestitures.</w:t>
      </w:r>
      <w:r>
        <w:rPr>
          <w:rFonts w:ascii="Arial" w:cs="Arial" w:eastAsia="Arial" w:hAnsi="Arial"/>
          <w:sz w:val="24"/>
          <w:szCs w:val="24"/>
          <w:color w:val="auto"/>
          <w:vertAlign w:val="superscript"/>
        </w:rPr>
        <w:t>19</w:t>
      </w:r>
      <w:r>
        <w:rPr>
          <w:rFonts w:ascii="Arial" w:cs="Arial" w:eastAsia="Arial" w:hAnsi="Arial"/>
          <w:sz w:val="17"/>
          <w:szCs w:val="17"/>
          <w:color w:val="auto"/>
        </w:rPr>
        <w:t xml:space="preserve"> If this were to occur, Comcast would serve approximately 33 percent of national MVPD subscribers during this temporary period.</w:t>
      </w:r>
    </w:p>
    <w:p>
      <w:pPr>
        <w:spacing w:after="0" w:line="203"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While Comcast has proposed to reduce its total managed residential video customers to below 30 percent of all nationwide MVPD subscribers, this modest and time-limited increase above 30 percent presents no competitive concerns. Notably, Comcast’s proposal to stay below 30 percent was voluntary. Indeed, as discussed in the Comcast-TWC Public Interest Statement, the D.C. Circuit’s conclusion in 2009 that the FCC’s 30 percent ownership cap could not be justified was based on evidence of a highly competitive video marketplace – reasoning that has even more force today, given the marked expansion of DBS and telco MVPD competitors and the advent of OVDs in the past five years.</w:t>
      </w:r>
      <w:r>
        <w:rPr>
          <w:rFonts w:ascii="Arial" w:cs="Arial" w:eastAsia="Arial" w:hAnsi="Arial"/>
          <w:sz w:val="25"/>
          <w:szCs w:val="25"/>
          <w:color w:val="auto"/>
          <w:vertAlign w:val="superscript"/>
        </w:rPr>
        <w:t>20</w:t>
      </w:r>
      <w:r>
        <w:rPr>
          <w:rFonts w:ascii="Arial" w:cs="Arial" w:eastAsia="Arial" w:hAnsi="Arial"/>
          <w:sz w:val="18"/>
          <w:szCs w:val="18"/>
          <w:color w:val="auto"/>
        </w:rPr>
        <w:t xml:space="preserve"> The same court concluded more than a decade ago that the evidence before the FCC and the court could not have justified a horizontal ownership limit “lower than 60%.”</w:t>
      </w:r>
      <w:r>
        <w:rPr>
          <w:rFonts w:ascii="Arial" w:cs="Arial" w:eastAsia="Arial" w:hAnsi="Arial"/>
          <w:sz w:val="25"/>
          <w:szCs w:val="25"/>
          <w:color w:val="auto"/>
          <w:vertAlign w:val="superscript"/>
        </w:rPr>
        <w:t>21</w:t>
      </w:r>
      <w:r>
        <w:rPr>
          <w:rFonts w:ascii="Arial" w:cs="Arial" w:eastAsia="Arial" w:hAnsi="Arial"/>
          <w:sz w:val="18"/>
          <w:szCs w:val="18"/>
          <w:color w:val="auto"/>
        </w:rPr>
        <w:t xml:space="preserve"> Given these clear judicial precedents and the enhanced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607695</wp:posOffset>
            </wp:positionV>
            <wp:extent cx="715645"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20" w:hanging="164"/>
        <w:spacing w:after="0"/>
        <w:tabs>
          <w:tab w:leader="none" w:pos="82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Assuming divestitures of three million subscribers.</w:t>
      </w:r>
    </w:p>
    <w:p>
      <w:pPr>
        <w:ind w:left="180" w:hanging="172"/>
        <w:spacing w:after="0" w:line="199" w:lineRule="auto"/>
        <w:tabs>
          <w:tab w:leader="none" w:pos="18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Comcast-TWC Supplement Letter at 2 n.4 (noting a possible holding period of 12-18 months following closing of the Comcast-TWC transaction).</w:t>
      </w:r>
    </w:p>
    <w:p>
      <w:pPr>
        <w:spacing w:after="0" w:line="2" w:lineRule="exact"/>
        <w:rPr>
          <w:rFonts w:ascii="Arial" w:cs="Arial" w:eastAsia="Arial" w:hAnsi="Arial"/>
          <w:sz w:val="23"/>
          <w:szCs w:val="23"/>
          <w:color w:val="auto"/>
          <w:vertAlign w:val="superscript"/>
        </w:rPr>
      </w:pPr>
    </w:p>
    <w:p>
      <w:pPr>
        <w:ind w:right="180" w:firstLine="8"/>
        <w:spacing w:after="0" w:line="289" w:lineRule="auto"/>
        <w:tabs>
          <w:tab w:leader="none" w:pos="171"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color w:val="auto"/>
        </w:rPr>
        <w:t>Comcast-TWC Public Interest Statement at 144 (citing and quoting</w:t>
      </w:r>
      <w:r>
        <w:rPr>
          <w:rFonts w:ascii="Arial" w:cs="Arial" w:eastAsia="Arial" w:hAnsi="Arial"/>
          <w:sz w:val="15"/>
          <w:szCs w:val="15"/>
          <w:i w:val="1"/>
          <w:iCs w:val="1"/>
          <w:color w:val="auto"/>
        </w:rPr>
        <w:t xml:space="preserve"> Comcast Corp. v. FCC</w:t>
      </w:r>
      <w:r>
        <w:rPr>
          <w:rFonts w:ascii="Arial" w:cs="Arial" w:eastAsia="Arial" w:hAnsi="Arial"/>
          <w:sz w:val="15"/>
          <w:szCs w:val="15"/>
          <w:color w:val="auto"/>
        </w:rPr>
        <w:t>, 579 F.3d 1, 9 (D.C. Cir. 2009)). The D.C. Circuit’s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conclusion in 2009 was not merely hypothetical. To the contrary, in order to support its standing to challenge the cap, Comcast submitted – and the court credited – a declaration from a senior Comcast executive stating that, “‘[h]ad the horizontal ownership cap not been imposed by the FCC, Comcast would have seriously pursued further negotiations and due diligence with respect to’ a specific but unidentified transaction.” </w:t>
      </w:r>
      <w:r>
        <w:rPr>
          <w:rFonts w:ascii="Arial" w:cs="Arial" w:eastAsia="Arial" w:hAnsi="Arial"/>
          <w:sz w:val="15"/>
          <w:szCs w:val="15"/>
          <w:i w:val="1"/>
          <w:iCs w:val="1"/>
          <w:color w:val="auto"/>
        </w:rPr>
        <w:t>Comcast Corp. v. FCC</w:t>
      </w:r>
      <w:r>
        <w:rPr>
          <w:rFonts w:ascii="Arial" w:cs="Arial" w:eastAsia="Arial" w:hAnsi="Arial"/>
          <w:sz w:val="15"/>
          <w:szCs w:val="15"/>
          <w:color w:val="auto"/>
        </w:rPr>
        <w:t xml:space="preserve">, 579 F.3d at 6. By vacating rather than remanding the rule in 2009, the court understood that it was opening the door to cable transactions that could exceed the 30 percent limitation. </w:t>
      </w:r>
      <w:r>
        <w:rPr>
          <w:rFonts w:ascii="Arial" w:cs="Arial" w:eastAsia="Arial" w:hAnsi="Arial"/>
          <w:sz w:val="15"/>
          <w:szCs w:val="15"/>
          <w:i w:val="1"/>
          <w:iCs w:val="1"/>
          <w:color w:val="auto"/>
        </w:rPr>
        <w:t>See id</w:t>
      </w:r>
      <w:r>
        <w:rPr>
          <w:rFonts w:ascii="Arial" w:cs="Arial" w:eastAsia="Arial" w:hAnsi="Arial"/>
          <w:sz w:val="15"/>
          <w:szCs w:val="15"/>
          <w:color w:val="auto"/>
        </w:rPr>
        <w:t>. at 6, 9-10 (explaining that leaving the cap in place “while the Commission tries yet again to justify it would be to ignore” the dynamic nature of the video programming industry).</w:t>
      </w:r>
    </w:p>
    <w:p>
      <w:pPr>
        <w:spacing w:after="0" w:line="181" w:lineRule="exact"/>
        <w:rPr>
          <w:rFonts w:ascii="Arial" w:cs="Arial" w:eastAsia="Arial" w:hAnsi="Arial"/>
          <w:sz w:val="21"/>
          <w:szCs w:val="21"/>
          <w:color w:val="auto"/>
          <w:vertAlign w:val="superscript"/>
        </w:rPr>
      </w:pPr>
    </w:p>
    <w:p>
      <w:pPr>
        <w:ind w:left="160" w:hanging="152"/>
        <w:spacing w:after="0" w:line="225" w:lineRule="auto"/>
        <w:tabs>
          <w:tab w:leader="none" w:pos="16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color w:val="auto"/>
        </w:rPr>
        <w:t>Comcast-TWC Public Interest Statement at 144-45 (citing and quoting</w:t>
      </w:r>
      <w:r>
        <w:rPr>
          <w:rFonts w:ascii="Arial" w:cs="Arial" w:eastAsia="Arial" w:hAnsi="Arial"/>
          <w:sz w:val="15"/>
          <w:szCs w:val="15"/>
          <w:i w:val="1"/>
          <w:iCs w:val="1"/>
          <w:color w:val="auto"/>
        </w:rPr>
        <w:t xml:space="preserve"> Time Warner II</w:t>
      </w:r>
      <w:r>
        <w:rPr>
          <w:rFonts w:ascii="Arial" w:cs="Arial" w:eastAsia="Arial" w:hAnsi="Arial"/>
          <w:sz w:val="15"/>
          <w:szCs w:val="15"/>
          <w:color w:val="auto"/>
        </w:rPr>
        <w:t>, 240 F.3d at 1136).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547370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4"/>
          <w:szCs w:val="14"/>
          <w:b w:val="1"/>
          <w:bCs w:val="1"/>
          <w:color w:val="auto"/>
        </w:rPr>
        <w:t>REDACTED – FOR PUBLIC INSPECTION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June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0" w:lineRule="exact"/>
        <w:rPr>
          <w:sz w:val="20"/>
          <w:szCs w:val="20"/>
          <w:color w:val="auto"/>
        </w:rPr>
      </w:pPr>
    </w:p>
    <w:p>
      <w:pPr>
        <w:spacing w:after="0" w:line="2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that has developed in the video marketplace since the decisions were issued, there is no credible basis for concluding that a cable operator serving 33 percent of all MVPD subscribers could be a bottleneck or raise competitive concerns.</w:t>
      </w:r>
    </w:p>
    <w:p>
      <w:pPr>
        <w:spacing w:after="0" w:line="170"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Moreover, from the standpoint of a programming network’s viability – the concern animating the former horizontal ownership cap – the difference between 30 and 33 percent is immaterial. Drs. Rosston and Topper illustrated, with a simple calculation, why the transaction presents no horizontal “buying power” concerns such that the combined company could cause a programming network’s demise. Using the FCC’s minimum viable scale of 19 million subscribers for a programming network (and assuming that Comcast would divest three million subscribers), Drs. Rosston and Topper concluded that a programming network “would need to achieve a penetration rate of just 27% in the open field of 70 million households to reach the minimum viable scale of 19 million customers (27% = 19 million / 70 million) if it were not carried by Comcast.”</w:t>
      </w:r>
      <w:r>
        <w:rPr>
          <w:rFonts w:ascii="Arial" w:cs="Arial" w:eastAsia="Arial" w:hAnsi="Arial"/>
          <w:sz w:val="22"/>
          <w:szCs w:val="22"/>
          <w:color w:val="auto"/>
          <w:vertAlign w:val="superscript"/>
        </w:rPr>
        <w:t>22</w:t>
      </w:r>
      <w:r>
        <w:rPr>
          <w:rFonts w:ascii="Arial" w:cs="Arial" w:eastAsia="Arial" w:hAnsi="Arial"/>
          <w:sz w:val="16"/>
          <w:szCs w:val="16"/>
          <w:color w:val="auto"/>
        </w:rPr>
        <w:t xml:space="preserve"> If Comcast has 33 million subscribers, then using the same methodology, a programmer would only need to achieve a penetration rate of 28 percent in the open field of 67 million MVPD households (28% = 19 million / 67 million). Thus, an additional three million video subscribers does not change the competitive analysis.</w:t>
      </w:r>
    </w:p>
    <w:p>
      <w:pPr>
        <w:spacing w:after="0" w:line="1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any event, the temporary nature of Comcast’s exceeding 30 percent of national MVPD subscribers puts to rest </w:t>
      </w:r>
      <w:r>
        <w:rPr>
          <w:rFonts w:ascii="Arial" w:cs="Arial" w:eastAsia="Arial" w:hAnsi="Arial"/>
          <w:sz w:val="18"/>
          <w:szCs w:val="18"/>
          <w:i w:val="1"/>
          <w:iCs w:val="1"/>
          <w:color w:val="auto"/>
        </w:rPr>
        <w:t>any</w:t>
      </w:r>
      <w:r>
        <w:rPr>
          <w:rFonts w:ascii="Arial" w:cs="Arial" w:eastAsia="Arial" w:hAnsi="Arial"/>
          <w:sz w:val="18"/>
          <w:szCs w:val="18"/>
          <w:color w:val="auto"/>
        </w:rPr>
        <w:t xml:space="preserve"> potential programming-related (or other) concerns regarding the post-TWC transaction/pre-divestiture period. It is unlikely during this relatively brief period (which will be no more than 18 months and likely much shorter) that many programming contracts would even come up for renegotiation. And, in all events, any programming decisions Comcast </w:t>
      </w:r>
      <w:r>
        <w:rPr>
          <w:rFonts w:ascii="Arial" w:cs="Arial" w:eastAsia="Arial" w:hAnsi="Arial"/>
          <w:sz w:val="18"/>
          <w:szCs w:val="18"/>
          <w:i w:val="1"/>
          <w:iCs w:val="1"/>
          <w:color w:val="auto"/>
        </w:rPr>
        <w:t xml:space="preserve">did </w:t>
      </w:r>
      <w:r>
        <w:rPr>
          <w:rFonts w:ascii="Arial" w:cs="Arial" w:eastAsia="Arial" w:hAnsi="Arial"/>
          <w:sz w:val="18"/>
          <w:szCs w:val="18"/>
          <w:color w:val="auto"/>
        </w:rPr>
        <w:t>make in the interim would not have a determinative effect on a programmer’s access to the to-be-divested subscribers: If Comcast chooses not to carry a</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network when it temporarily has 33 million subscribers, that same network will have the relatively immediate opportunity, upon the consummation of the Divestiture Transactions, to seek carriage on Charter (with an additional approximately 1.4 million net subscribers from Comcast) and SpinCo (with approximately 2.5 million subscribers from Comcast) – neither of which will be controlled, owned, or influenced by Comcast. In short, the open field for programming networks will be quite extensive even when Comcast briefly has a 33 percent share and will grow even larger once the Divestiture Transactions close.</w:t>
      </w:r>
    </w:p>
    <w:p>
      <w:pPr>
        <w:spacing w:after="0" w:line="19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Post-Divestiture Service Areas of Charter and SpinCo</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The Comcast-TWC Supplement Letter included a new map showing the service areas of Comcast, SpinCo, and Charter affected by the Divestiture Transactions.</w:t>
      </w:r>
      <w:r>
        <w:rPr>
          <w:rFonts w:ascii="Arial" w:cs="Arial" w:eastAsia="Arial" w:hAnsi="Arial"/>
          <w:sz w:val="25"/>
          <w:szCs w:val="25"/>
          <w:color w:val="auto"/>
          <w:vertAlign w:val="superscript"/>
        </w:rPr>
        <w:t>23</w:t>
      </w:r>
      <w:r>
        <w:rPr>
          <w:rFonts w:ascii="Arial" w:cs="Arial" w:eastAsia="Arial" w:hAnsi="Arial"/>
          <w:sz w:val="18"/>
          <w:szCs w:val="18"/>
          <w:color w:val="auto"/>
        </w:rPr>
        <w:t xml:space="preserve"> Below we set out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5882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43"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Comcast-TWC Public Interest Statement, Exhibit 5, Declaration of Dr. Gregory L. Rosston and Dr. Michael D. Topper ¶ 187.</w:t>
      </w:r>
    </w:p>
    <w:p>
      <w:pPr>
        <w:spacing w:after="0" w:line="1" w:lineRule="exact"/>
        <w:rPr>
          <w:rFonts w:ascii="Arial" w:cs="Arial" w:eastAsia="Arial" w:hAnsi="Arial"/>
          <w:sz w:val="23"/>
          <w:szCs w:val="23"/>
          <w:color w:val="auto"/>
          <w:vertAlign w:val="superscript"/>
        </w:rPr>
      </w:pPr>
    </w:p>
    <w:p>
      <w:pPr>
        <w:ind w:left="160" w:hanging="152"/>
        <w:spacing w:after="0" w:line="223" w:lineRule="auto"/>
        <w:tabs>
          <w:tab w:leader="none" w:pos="160"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color w:val="auto"/>
        </w:rPr>
        <w:t>Comcast-TWC Supplement Letter at Attachment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547370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 w:name="page8"/>
    <w:bookmarkEnd w:id="7"/>
    <w:p>
      <w:pPr>
        <w:ind w:left="4340"/>
        <w:spacing w:after="0"/>
        <w:rPr>
          <w:sz w:val="20"/>
          <w:szCs w:val="20"/>
          <w:color w:val="auto"/>
        </w:rPr>
      </w:pPr>
      <w:r>
        <w:rPr>
          <w:rFonts w:ascii="Arial" w:cs="Arial" w:eastAsia="Arial" w:hAnsi="Arial"/>
          <w:sz w:val="14"/>
          <w:szCs w:val="14"/>
          <w:b w:val="1"/>
          <w:bCs w:val="1"/>
          <w:color w:val="auto"/>
        </w:rPr>
        <w:t>REDACTED – FOR PUBLIC INSPECTION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June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additional maps that separately highlight all the service areas of Charter and SpinCo as they will exist after the Divestiture Transactions close.</w:t>
      </w:r>
    </w:p>
    <w:p>
      <w:pPr>
        <w:spacing w:after="0" w:line="244"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Charter Service Areas Post-Divestiture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4311650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154940</wp:posOffset>
            </wp:positionV>
            <wp:extent cx="6106160" cy="3302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06160" cy="3302000"/>
                    </a:xfrm>
                    <a:prstGeom prst="rect">
                      <a:avLst/>
                    </a:prstGeom>
                    <a:noFill/>
                  </pic:spPr>
                </pic:pic>
              </a:graphicData>
            </a:graphic>
          </wp:anchor>
        </w:drawing>
      </w:r>
    </w:p>
    <w:p>
      <w:pPr>
        <w:sectPr>
          <w:pgSz w:w="11900" w:h="16838" w:orient="portrait"/>
          <w:cols w:equalWidth="0" w:num="1">
            <w:col w:w="10220"/>
          </w:cols>
          <w:pgMar w:left="240" w:top="400" w:right="14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REDACTED – FOR PUBLIC INSPECTION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June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SpinCo Service Areas Post-Divestiture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154940</wp:posOffset>
            </wp:positionV>
            <wp:extent cx="5051425" cy="3996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51425" cy="399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Information Regarding Bright House Networks</w:t>
      </w:r>
    </w:p>
    <w:p>
      <w:pPr>
        <w:spacing w:after="0" w:line="225" w:lineRule="exact"/>
        <w:rPr>
          <w:sz w:val="20"/>
          <w:szCs w:val="20"/>
          <w:color w:val="auto"/>
        </w:rPr>
      </w:pPr>
    </w:p>
    <w:p>
      <w:pPr>
        <w:ind w:right="120" w:firstLine="648"/>
        <w:spacing w:after="0" w:line="252" w:lineRule="auto"/>
        <w:rPr>
          <w:sz w:val="20"/>
          <w:szCs w:val="20"/>
          <w:color w:val="auto"/>
        </w:rPr>
      </w:pPr>
      <w:r>
        <w:rPr>
          <w:rFonts w:ascii="Arial" w:cs="Arial" w:eastAsia="Arial" w:hAnsi="Arial"/>
          <w:sz w:val="17"/>
          <w:szCs w:val="17"/>
          <w:color w:val="auto"/>
        </w:rPr>
        <w:t xml:space="preserve">Even though there is no cable horizontal ownership cap in place, Comcast has said from the outset that it was willing to divest systems such that the combined company’s total number of </w:t>
      </w:r>
      <w:r>
        <w:rPr>
          <w:rFonts w:ascii="Arial" w:cs="Arial" w:eastAsia="Arial" w:hAnsi="Arial"/>
          <w:sz w:val="17"/>
          <w:szCs w:val="17"/>
          <w:i w:val="1"/>
          <w:iCs w:val="1"/>
          <w:color w:val="auto"/>
        </w:rPr>
        <w:t>managed</w:t>
      </w:r>
      <w:r>
        <w:rPr>
          <w:rFonts w:ascii="Arial" w:cs="Arial" w:eastAsia="Arial" w:hAnsi="Arial"/>
          <w:sz w:val="17"/>
          <w:szCs w:val="17"/>
          <w:color w:val="auto"/>
        </w:rPr>
        <w:t xml:space="preserve"> residential video customers after divestitures will be under 30 percent of all MVPD customers nationwide.</w:t>
      </w:r>
      <w:r>
        <w:rPr>
          <w:rFonts w:ascii="Arial" w:cs="Arial" w:eastAsia="Arial" w:hAnsi="Arial"/>
          <w:sz w:val="24"/>
          <w:szCs w:val="24"/>
          <w:color w:val="auto"/>
          <w:vertAlign w:val="superscript"/>
        </w:rPr>
        <w:t>24</w:t>
      </w:r>
      <w:r>
        <w:rPr>
          <w:rFonts w:ascii="Arial" w:cs="Arial" w:eastAsia="Arial" w:hAnsi="Arial"/>
          <w:sz w:val="17"/>
          <w:szCs w:val="17"/>
          <w:color w:val="auto"/>
        </w:rPr>
        <w:t xml:space="preserve"> As noted above in the chart on page 2, based on the combined company’s total managed video customers after the Divestiture Transactions, Comcast will meet this goal. The subscribers served by BHN systems</w:t>
      </w:r>
      <w:r>
        <w:rPr>
          <w:rFonts w:ascii="Arial" w:cs="Arial" w:eastAsia="Arial" w:hAnsi="Arial"/>
          <w:sz w:val="24"/>
          <w:szCs w:val="24"/>
          <w:color w:val="auto"/>
          <w:vertAlign w:val="superscript"/>
        </w:rPr>
        <w:t>25</w:t>
      </w:r>
      <w:r>
        <w:rPr>
          <w:rFonts w:ascii="Arial" w:cs="Arial" w:eastAsia="Arial" w:hAnsi="Arial"/>
          <w:sz w:val="17"/>
          <w:szCs w:val="17"/>
          <w:color w:val="auto"/>
        </w:rPr>
        <w:t xml:space="preserve"> were not included in this customer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46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66"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Comcast-TWC Public Interest Statement at 6-7, 143;</w:t>
      </w:r>
      <w:r>
        <w:rPr>
          <w:rFonts w:ascii="Arial" w:cs="Arial" w:eastAsia="Arial" w:hAnsi="Arial"/>
          <w:sz w:val="17"/>
          <w:szCs w:val="17"/>
          <w:i w:val="1"/>
          <w:iCs w:val="1"/>
          <w:color w:val="auto"/>
        </w:rPr>
        <w:t xml:space="preserve"> see also </w:t>
      </w:r>
      <w:r>
        <w:rPr>
          <w:rFonts w:ascii="Arial" w:cs="Arial" w:eastAsia="Arial" w:hAnsi="Arial"/>
          <w:sz w:val="17"/>
          <w:szCs w:val="17"/>
          <w:color w:val="auto"/>
        </w:rPr>
        <w:t>Comcast-TWC Supplement Letter at 1.</w:t>
      </w:r>
    </w:p>
    <w:p>
      <w:pPr>
        <w:spacing w:after="0" w:line="1" w:lineRule="exact"/>
        <w:rPr>
          <w:rFonts w:ascii="Arial" w:cs="Arial" w:eastAsia="Arial" w:hAnsi="Arial"/>
          <w:sz w:val="23"/>
          <w:szCs w:val="23"/>
          <w:color w:val="auto"/>
          <w:vertAlign w:val="superscript"/>
        </w:rPr>
      </w:pPr>
    </w:p>
    <w:p>
      <w:pPr>
        <w:jc w:val="both"/>
        <w:ind w:firstLine="8"/>
        <w:spacing w:after="0" w:line="232" w:lineRule="auto"/>
        <w:tabs>
          <w:tab w:leader="none" w:pos="187"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 xml:space="preserve">Over 80 percent of BHN’s customers are located in Central Florida, primarily in the Tampa and Orlando markets. BHN also serves a relatively smaller number of customers (approximately 100,000 customers per state or less) in Alabama, California, Indiana, and Michigan, and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number in Georgia. BHN has a presence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548005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4"/>
          <w:szCs w:val="14"/>
          <w:b w:val="1"/>
          <w:bCs w:val="1"/>
          <w:color w:val="auto"/>
        </w:rPr>
        <w:t>REDACTED – FOR PUBLIC INSPECTION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June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11"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because, although TWC provides certain services to BHN (described below), it does not (and Comcast will not) manage the company or control any aspect of its day-to-day operations.</w:t>
      </w:r>
      <w:r>
        <w:rPr>
          <w:rFonts w:ascii="Arial" w:cs="Arial" w:eastAsia="Arial" w:hAnsi="Arial"/>
          <w:sz w:val="25"/>
          <w:szCs w:val="25"/>
          <w:color w:val="auto"/>
          <w:vertAlign w:val="superscript"/>
        </w:rPr>
        <w:t>26</w:t>
      </w:r>
      <w:r>
        <w:rPr>
          <w:rFonts w:ascii="Arial" w:cs="Arial" w:eastAsia="Arial" w:hAnsi="Arial"/>
          <w:sz w:val="18"/>
          <w:szCs w:val="18"/>
          <w:color w:val="auto"/>
        </w:rPr>
        <w:t xml:space="preserve"> The parties explain below why neither the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transfer of TWC’s indirect legal interest in BHN from TWC to Comcast nor the provision of certain services by Comcast to BHN post-transaction should give rise to the inclusion of BHN’s customers when considering Comcast’s market share in any relevant respect.</w:t>
      </w:r>
    </w:p>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7"/>
          <w:szCs w:val="17"/>
          <w:i w:val="1"/>
          <w:iCs w:val="1"/>
          <w:u w:val="single" w:color="auto"/>
          <w:color w:val="auto"/>
        </w:rPr>
        <w:t>No Management or Control in BHN Via Ownership Interest</w:t>
      </w:r>
      <w:r>
        <w:rPr>
          <w:rFonts w:ascii="Arial" w:cs="Arial" w:eastAsia="Arial" w:hAnsi="Arial"/>
          <w:sz w:val="17"/>
          <w:szCs w:val="17"/>
          <w:color w:val="auto"/>
        </w:rPr>
        <w:t>. As described in the Comcast-TWC Public Interest Statement, the Comcast-TWC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transaction will result in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transfer of the legal interest of Time Warner Entertainment–Advance/Newhouse Partnership (“TWE-A/N”) in the licenses and authorizations held by BHN.</w:t>
      </w:r>
      <w:r>
        <w:rPr>
          <w:rFonts w:ascii="Arial" w:cs="Arial" w:eastAsia="Arial" w:hAnsi="Arial"/>
          <w:sz w:val="24"/>
          <w:szCs w:val="24"/>
          <w:color w:val="auto"/>
          <w:vertAlign w:val="superscript"/>
        </w:rPr>
        <w:t>27</w:t>
      </w:r>
      <w:r>
        <w:rPr>
          <w:rFonts w:ascii="Arial" w:cs="Arial" w:eastAsia="Arial" w:hAnsi="Arial"/>
          <w:sz w:val="17"/>
          <w:szCs w:val="17"/>
          <w:color w:val="auto"/>
        </w:rPr>
        <w:t xml:space="preserve"> As noted therein, TWC holds 66.67 percent of TWE-A/N, which in turn is the sole member of BHN, but TWE-A/N does not hold any economic interest in BHN or control its operations. Rather, Advance/Newhouse Partnership (“Advance/Newhouse”) (an entity in which TWC holds no legal or economic interest) currently has and will retain post-transaction all economic ownership interest in BHN, as well as exclusive day-to-day management responsibility for and </w:t>
      </w:r>
      <w:r>
        <w:rPr>
          <w:rFonts w:ascii="Arial" w:cs="Arial" w:eastAsia="Arial" w:hAnsi="Arial"/>
          <w:sz w:val="17"/>
          <w:szCs w:val="17"/>
          <w:i w:val="1"/>
          <w:iCs w:val="1"/>
          <w:color w:val="auto"/>
        </w:rPr>
        <w:t>de facto</w:t>
      </w:r>
      <w:r>
        <w:rPr>
          <w:rFonts w:ascii="Arial" w:cs="Arial" w:eastAsia="Arial" w:hAnsi="Arial"/>
          <w:sz w:val="17"/>
          <w:szCs w:val="17"/>
          <w:color w:val="auto"/>
        </w:rPr>
        <w:t xml:space="preserve"> control over the operation of the BHN systems. Advance/Newhouse’s 33 percent partnership interest in TWE-A/N tracks exclusively the economic performance of the BHN systems and, as a result, TWC’s financial statements do not include the results of the BHN systems. By the same token, BHN subscribers are not consolidated with TWC’s for purposes of SEC reporting, and TWC is not deemed the owner or controlling party of BHN for Hart-Scott-Rodino (“HSR”) Act reporting purposes.</w:t>
      </w:r>
    </w:p>
    <w:p>
      <w:pPr>
        <w:spacing w:after="0" w:line="191" w:lineRule="exact"/>
        <w:rPr>
          <w:sz w:val="20"/>
          <w:szCs w:val="20"/>
          <w:color w:val="auto"/>
        </w:rPr>
      </w:pPr>
    </w:p>
    <w:p>
      <w:pPr>
        <w:ind w:right="100" w:firstLine="648"/>
        <w:spacing w:after="0" w:line="245" w:lineRule="auto"/>
        <w:rPr>
          <w:sz w:val="20"/>
          <w:szCs w:val="20"/>
          <w:color w:val="auto"/>
        </w:rPr>
      </w:pPr>
      <w:r>
        <w:rPr>
          <w:rFonts w:ascii="Arial" w:cs="Arial" w:eastAsia="Arial" w:hAnsi="Arial"/>
          <w:sz w:val="17"/>
          <w:szCs w:val="17"/>
          <w:i w:val="1"/>
          <w:iCs w:val="1"/>
          <w:u w:val="single" w:color="auto"/>
          <w:color w:val="auto"/>
        </w:rPr>
        <w:t>No Management or Control Via Service Arrangements with BHN</w:t>
      </w:r>
      <w:r>
        <w:rPr>
          <w:rFonts w:ascii="Arial" w:cs="Arial" w:eastAsia="Arial" w:hAnsi="Arial"/>
          <w:sz w:val="17"/>
          <w:szCs w:val="17"/>
          <w:i w:val="1"/>
          <w:iCs w:val="1"/>
          <w:color w:val="auto"/>
        </w:rPr>
        <w:t xml:space="preserve">. </w:t>
      </w:r>
      <w:r>
        <w:rPr>
          <w:rFonts w:ascii="Arial" w:cs="Arial" w:eastAsia="Arial" w:hAnsi="Arial"/>
          <w:sz w:val="17"/>
          <w:szCs w:val="17"/>
          <w:color w:val="auto"/>
        </w:rPr>
        <w:t>TWC provides various services to BHN for an annual fee.</w:t>
      </w:r>
      <w:r>
        <w:rPr>
          <w:rFonts w:ascii="Arial" w:cs="Arial" w:eastAsia="Arial" w:hAnsi="Arial"/>
          <w:sz w:val="24"/>
          <w:szCs w:val="24"/>
          <w:color w:val="auto"/>
          <w:vertAlign w:val="superscript"/>
        </w:rPr>
        <w:t>28</w:t>
      </w:r>
      <w:r>
        <w:rPr>
          <w:rFonts w:ascii="Arial" w:cs="Arial" w:eastAsia="Arial" w:hAnsi="Arial"/>
          <w:sz w:val="17"/>
          <w:szCs w:val="17"/>
          <w:i w:val="1"/>
          <w:iCs w:val="1"/>
          <w:color w:val="auto"/>
        </w:rPr>
        <w:t xml:space="preserve"> </w:t>
      </w:r>
      <w:r>
        <w:rPr>
          <w:rFonts w:ascii="Arial" w:cs="Arial" w:eastAsia="Arial" w:hAnsi="Arial"/>
          <w:sz w:val="17"/>
          <w:szCs w:val="17"/>
          <w:color w:val="auto"/>
        </w:rPr>
        <w:t>This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 does not provide TWC with management control over BHN (and likewise does not provide Comcast with such control). The agreement enables BHN to obtain services that facilitate its offering of video, broadband Internet access, and voice services, but BHN independently operates all of its systems. TWC provides engineering services and gives BHN the opportunity to acquire equipment and third-party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58825"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following Designated Market Areas (“DMAs”): Gainesville, FL; Panama City, FL; Orlando, FL; Tampa, FL; Birmingham, AL; Montgomery, AL; Dothan, AL; Mobile, AL; Bakersfield, CA; Fresno, CA; Columbus, GA; Indianapolis, IN; and Detroit, MI.</w:t>
      </w:r>
    </w:p>
    <w:p>
      <w:pPr>
        <w:spacing w:after="0" w:line="2" w:lineRule="exact"/>
        <w:rPr>
          <w:sz w:val="20"/>
          <w:szCs w:val="20"/>
          <w:color w:val="auto"/>
        </w:rPr>
      </w:pPr>
    </w:p>
    <w:p>
      <w:pPr>
        <w:jc w:val="both"/>
        <w:ind w:right="260" w:firstLine="8"/>
        <w:spacing w:after="0" w:line="274" w:lineRule="auto"/>
        <w:tabs>
          <w:tab w:leader="none" w:pos="171"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None </w:t>
      </w:r>
      <w:r>
        <w:rPr>
          <w:rFonts w:ascii="Arial" w:cs="Arial" w:eastAsia="Arial" w:hAnsi="Arial"/>
          <w:sz w:val="15"/>
          <w:szCs w:val="15"/>
          <w:color w:val="auto"/>
        </w:rPr>
        <w:t>of the services at issue in these transactions – neither video nor broadband nor voice – is subject to any national market share cap. While Comcast</w:t>
      </w:r>
      <w:r>
        <w:rPr>
          <w:rFonts w:ascii="Arial" w:cs="Arial" w:eastAsia="Arial" w:hAnsi="Arial"/>
          <w:sz w:val="15"/>
          <w:szCs w:val="15"/>
          <w:i w:val="1"/>
          <w:iCs w:val="1"/>
          <w:color w:val="auto"/>
        </w:rPr>
        <w:t xml:space="preserve"> </w:t>
      </w:r>
      <w:r>
        <w:rPr>
          <w:rFonts w:ascii="Arial" w:cs="Arial" w:eastAsia="Arial" w:hAnsi="Arial"/>
          <w:sz w:val="15"/>
          <w:szCs w:val="15"/>
          <w:color w:val="auto"/>
        </w:rPr>
        <w:t>offered to divest video subscribers to fall within 30 percent, there is no valid rule in place with respect to how that 30 percent should be calculated, and so Comcast’s voluntary proposal to divest systems such that its managed residential video subscribers would be below 30 percent of all MVPD subscribers is really the only relevant framework here.</w:t>
      </w:r>
    </w:p>
    <w:p>
      <w:pPr>
        <w:spacing w:after="0" w:line="2" w:lineRule="exact"/>
        <w:rPr>
          <w:rFonts w:ascii="Arial" w:cs="Arial" w:eastAsia="Arial" w:hAnsi="Arial"/>
          <w:sz w:val="21"/>
          <w:szCs w:val="21"/>
          <w:color w:val="auto"/>
          <w:vertAlign w:val="superscript"/>
        </w:rPr>
      </w:pPr>
    </w:p>
    <w:p>
      <w:pPr>
        <w:ind w:left="160" w:hanging="152"/>
        <w:spacing w:after="0" w:line="221" w:lineRule="auto"/>
        <w:tabs>
          <w:tab w:leader="none" w:pos="160"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color w:val="auto"/>
        </w:rPr>
        <w:t>Comcast-TWC Public Interest Statement at 173 n.468.</w:t>
      </w:r>
    </w:p>
    <w:p>
      <w:pPr>
        <w:ind w:left="160" w:hanging="152"/>
        <w:spacing w:after="0" w:line="229" w:lineRule="auto"/>
        <w:tabs>
          <w:tab w:leader="none" w:pos="160"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i w:val="1"/>
          <w:iCs w:val="1"/>
          <w:color w:val="auto"/>
        </w:rPr>
        <w:t>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684530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0" w:right="2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4"/>
          <w:szCs w:val="14"/>
          <w:b w:val="1"/>
          <w:bCs w:val="1"/>
          <w:color w:val="auto"/>
        </w:rPr>
        <w:t>REDACTED – FOR PUBLIC INSPECTION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June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200" w:lineRule="exact"/>
        <w:rPr>
          <w:sz w:val="20"/>
          <w:szCs w:val="20"/>
          <w:color w:val="auto"/>
        </w:rPr>
      </w:pPr>
    </w:p>
    <w:p>
      <w:pPr>
        <w:spacing w:after="0" w:line="2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programming on a joint basis, but BHN determines (under Advance/Newhouse’s management) whether and how to make use of these inputs and is solely responsible for, among other things, its pricing strategies; selling and marketing each of its services (both individually and on a bundled basis); channel line-ups; billing and collections; and installation, repair, and customer care functions.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particular, with respect to BHN’s video services, </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Similarly, BHN relies on TWC for certain inputs into its broadband Internet access services – including backbone/transit services and the Road Runner e-mail service and web portal – and this service arrangement with TWC benefits consumers by helping BHN be a more effective provider that offers meaningful competition to Verizon, for example. At the same time, however, BHN has sole day-to-day responsibility for network management and operations and end-user services. And the same is true regarding BHN’s voice network and services; indeed, BHN chose to transition from third-party providers of interconnection and traffic-exchange services to its own affiliated competitive local exchange carriers several years before TWC undertook such a transition, and BHN’s engineering decisions have departed from TWC’s in various other respects.</w:t>
      </w:r>
    </w:p>
    <w:p>
      <w:pPr>
        <w:spacing w:after="0" w:line="17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short, while BHN and consumers and businesses in its service areas derive substantial benefits from BHN’s relationship with TWC, the dispositive fact for purposes of the Comcast-TWC transaction is that BHN alone (under Advance/Newhouse) is responsible for the day-to-day management of its systems. Comcast and BHN have yet to determine the parameters of their relationship post-transaction. But in all events, even assuming the existing contractual arrangements remain in place without alteration, Advance/Newhouse will retain its role as manager of the BHN systems. As a result, there is no sound basis to treat those systems as if they were held (or managed) by Comcast when considering the competitive effects of the Comcast-TWC transaction. To the contrary, focusing on the systems actually managed by Comcast is both reasonable and appropriate, as those are the only systems over which Comcast has management oversight and control of business decisions. That is why, consistent with long-standing industry practice and accounting principles, cable operators publicly report financial results only for their managed systems. And just as the BHN systems will not be considered Comcast systems under the HSR Act, they should not be considered as part of the competitive effects analysis undertaken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524510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4"/>
          <w:szCs w:val="14"/>
          <w:b w:val="1"/>
          <w:bCs w:val="1"/>
          <w:color w:val="auto"/>
        </w:rPr>
        <w:t>REDACTED – FOR PUBLIC INSPECTION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June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200" w:lineRule="exact"/>
        <w:rPr>
          <w:sz w:val="20"/>
          <w:szCs w:val="20"/>
          <w:color w:val="auto"/>
        </w:rPr>
      </w:pPr>
    </w:p>
    <w:p>
      <w:pPr>
        <w:spacing w:after="0" w:line="22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Finally, to find otherwise in this context – and require Comcast to divest more subscribers so as to come below a 30 percent level based on attributable subscribers – would, in effect, arbitrarily and inappropriately apply the twice-rejected cable ownership cap and associated attribution rules to penalize the combined company. This would neither advance any public interest benefit nor remedy any credible competitive concern. Comcast was clear from the start that its proposal to divest managed subscribers down to a level below 30 percent of total MVPD subscribers was not a narrow legalistic effort to “comply” with a rule that no longer exists, but rather was a broad effort to set to the side any remaining competitive concerns about national MVPD market share by acknowledging and undertaking to abide by the spirit of the old numerical rule. The planned divestiture of systems serving approximately 3.9 million managed subscribers – with clear attendant public interest benefits – already exceeds Comcast’s original proposal and demonstrates Comcast’s bona fides. The Commission should accept this approach as not only more than the law requires, but also as reasonable and appropriate in the current MVPD marketplace.</w:t>
      </w:r>
      <w:r>
        <w:rPr>
          <w:rFonts w:ascii="Arial" w:cs="Arial" w:eastAsia="Arial" w:hAnsi="Arial"/>
          <w:sz w:val="25"/>
          <w:szCs w:val="25"/>
          <w:color w:val="auto"/>
          <w:vertAlign w:val="superscript"/>
        </w:rPr>
        <w:t>29</w:t>
      </w:r>
    </w:p>
    <w:p>
      <w:pPr>
        <w:spacing w:after="0" w:line="96"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Even though the parties strongly believe, in light of the foregoing, that the Commission should not include BHN’s subscribers in Comcast’s totals when analyzing the transactions, we set out below information regarding BHN’s video, broadband, and voice customers and its total homes passed.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109220</wp:posOffset>
            </wp:positionV>
            <wp:extent cx="2512695" cy="334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12695" cy="334010"/>
                    </a:xfrm>
                    <a:prstGeom prst="rect">
                      <a:avLst/>
                    </a:prstGeom>
                    <a:noFill/>
                  </pic:spPr>
                </pic:pic>
              </a:graphicData>
            </a:graphic>
          </wp:anchor>
        </w:drawing>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100" w:type="dxa"/>
            <w:vAlign w:val="bottom"/>
            <w:tcBorders>
              <w:top w:val="single" w:sz="8" w:color="auto"/>
              <w:left w:val="single" w:sz="8" w:color="auto"/>
            </w:tcBorders>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0"/>
              </w:rPr>
              <w:t>Bright House Networks</w:t>
            </w:r>
          </w:p>
        </w:tc>
      </w:tr>
      <w:tr>
        <w:trPr>
          <w:trHeight w:val="234"/>
        </w:trPr>
        <w:tc>
          <w:tcPr>
            <w:tcW w:w="4100" w:type="dxa"/>
            <w:vAlign w:val="bottom"/>
            <w:tcBorders>
              <w:left w:val="single" w:sz="8" w:color="auto"/>
              <w:bottom w:val="single" w:sz="8" w:color="auto"/>
            </w:tcBorders>
          </w:tcPr>
          <w:p>
            <w:pPr>
              <w:spacing w:after="0"/>
              <w:rPr>
                <w:sz w:val="20"/>
                <w:szCs w:val="20"/>
                <w:color w:val="auto"/>
              </w:rPr>
            </w:pPr>
          </w:p>
        </w:tc>
        <w:tc>
          <w:tcPr>
            <w:tcW w:w="3880" w:type="dxa"/>
            <w:vAlign w:val="bottom"/>
          </w:tcPr>
          <w:p>
            <w:pPr>
              <w:jc w:val="center"/>
              <w:spacing w:after="0" w:line="234" w:lineRule="exact"/>
              <w:rPr>
                <w:sz w:val="20"/>
                <w:szCs w:val="20"/>
                <w:color w:val="auto"/>
              </w:rPr>
            </w:pPr>
            <w:r>
              <w:rPr>
                <w:rFonts w:ascii="Arial" w:cs="Arial" w:eastAsia="Arial" w:hAnsi="Arial"/>
                <w:sz w:val="18"/>
                <w:szCs w:val="18"/>
                <w:b w:val="1"/>
                <w:bCs w:val="1"/>
                <w:color w:val="auto"/>
                <w:w w:val="87"/>
              </w:rPr>
              <w:t>Post-Divestiture Transactions</w:t>
            </w:r>
            <w:r>
              <w:rPr>
                <w:rFonts w:ascii="Arial" w:cs="Arial" w:eastAsia="Arial" w:hAnsi="Arial"/>
                <w:sz w:val="25"/>
                <w:szCs w:val="25"/>
                <w:color w:val="auto"/>
                <w:w w:val="87"/>
                <w:vertAlign w:val="superscript"/>
              </w:rPr>
              <w:t>30</w:t>
            </w:r>
          </w:p>
        </w:tc>
      </w:tr>
      <w:tr>
        <w:trPr>
          <w:trHeight w:val="210"/>
        </w:trPr>
        <w:tc>
          <w:tcPr>
            <w:tcW w:w="41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Video Customers</w:t>
            </w:r>
          </w:p>
        </w:tc>
        <w:tc>
          <w:tcPr>
            <w:tcW w:w="38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8"/>
              </w:rPr>
              <w:t>2.1 million</w:t>
            </w:r>
          </w:p>
        </w:tc>
      </w:tr>
      <w:tr>
        <w:trPr>
          <w:trHeight w:val="210"/>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Fixed Broadband Customers</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1.9 million</w:t>
            </w:r>
          </w:p>
        </w:tc>
      </w:tr>
      <w:tr>
        <w:trPr>
          <w:trHeight w:val="210"/>
        </w:trPr>
        <w:tc>
          <w:tcPr>
            <w:tcW w:w="41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Voice Customers</w:t>
            </w:r>
          </w:p>
        </w:tc>
        <w:tc>
          <w:tcPr>
            <w:tcW w:w="38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8"/>
              </w:rPr>
              <w:t>1.1 million</w:t>
            </w:r>
          </w:p>
        </w:tc>
      </w:tr>
      <w:tr>
        <w:trPr>
          <w:trHeight w:val="230"/>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Homes Passed</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4.3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58825"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60" w:firstLine="8"/>
        <w:spacing w:after="0" w:line="271" w:lineRule="auto"/>
        <w:tabs>
          <w:tab w:leader="none" w:pos="171"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Moreover, if the attribution of BHN’s subscribers to Comcast – and the imposition of a 30 percent cap that includes those subscribers – result in the termination of the services or other agreements that currently support BHN, BHN would be at risk of losing the material benefits such agreements provide, including possibly raising costs for its customers and hampering its ability to compete effectively – a result that would certainly not be in the public interest.</w:t>
      </w:r>
    </w:p>
    <w:p>
      <w:pPr>
        <w:ind w:left="200" w:hanging="192"/>
        <w:spacing w:after="0"/>
        <w:tabs>
          <w:tab w:leader="none" w:pos="200" w:val="left"/>
        </w:tabs>
        <w:numPr>
          <w:ilvl w:val="0"/>
          <w:numId w:val="16"/>
        </w:numPr>
        <w:rPr>
          <w:rFonts w:ascii="Arial" w:cs="Arial" w:eastAsia="Arial" w:hAnsi="Arial"/>
          <w:sz w:val="12"/>
          <w:szCs w:val="12"/>
          <w:color w:val="auto"/>
        </w:rPr>
      </w:pPr>
      <w:r>
        <w:rPr>
          <w:rFonts w:ascii="Arial" w:cs="Arial" w:eastAsia="Arial" w:hAnsi="Arial"/>
          <w:sz w:val="19"/>
          <w:szCs w:val="19"/>
          <w:color w:val="auto"/>
        </w:rPr>
        <w:t>Comcast also notes that it holds a 50 percent interest in Midcontinent Communications, a partnership holding cable systems in</w:t>
      </w:r>
    </w:p>
    <w:p>
      <w:pPr>
        <w:spacing w:after="0" w:line="48" w:lineRule="exact"/>
        <w:rPr>
          <w:sz w:val="20"/>
          <w:szCs w:val="20"/>
          <w:color w:val="auto"/>
        </w:rPr>
      </w:pPr>
    </w:p>
    <w:p>
      <w:pPr>
        <w:ind w:right="660"/>
        <w:spacing w:after="0" w:line="315" w:lineRule="auto"/>
        <w:rPr>
          <w:sz w:val="20"/>
          <w:szCs w:val="20"/>
          <w:color w:val="auto"/>
        </w:rPr>
      </w:pPr>
      <w:r>
        <w:rPr>
          <w:rFonts w:ascii="Arial" w:cs="Arial" w:eastAsia="Arial" w:hAnsi="Arial"/>
          <w:sz w:val="19"/>
          <w:szCs w:val="19"/>
          <w:color w:val="auto"/>
        </w:rPr>
        <w:t>Minnesota, North Dakota, South Dakota, and Wisconsin serving approximately 212,000 residential subscribers. While Midcontinent has the right to purchase third-party programming under (and subject to the terms of) Comcast’s programming agreements, Comcast does not manage or control the Midcontinent systems; rather, they are controlled and managed by Midcontinent Communications Investor, LLC, which is a subsidiary of Midcontinent Media,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14"/>
          <w:szCs w:val="14"/>
          <w:b w:val="1"/>
          <w:bCs w:val="1"/>
          <w:color w:val="auto"/>
        </w:rPr>
        <w:t>REDACTED – FOR PUBLIC INSPECTION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June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with Comcast, Charter, and SpinCo, BHN also competes with several broadband providers throughout its footprint. The table below shows the percentage of BHN’s footprint overlapped by competing broadband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104775</wp:posOffset>
            </wp:positionV>
            <wp:extent cx="4373245" cy="32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73245" cy="325755"/>
                    </a:xfrm>
                    <a:prstGeom prst="rect">
                      <a:avLst/>
                    </a:prstGeom>
                    <a:noFill/>
                  </pic:spPr>
                </pic:pic>
              </a:graphicData>
            </a:graphic>
          </wp:anchor>
        </w:drawing>
      </w:r>
    </w:p>
    <w:p>
      <w:pPr>
        <w:spacing w:after="0" w:line="187" w:lineRule="exact"/>
        <w:rPr>
          <w:sz w:val="20"/>
          <w:szCs w:val="20"/>
          <w:color w:val="auto"/>
        </w:rPr>
      </w:pPr>
    </w:p>
    <w:tbl>
      <w:tblPr>
        <w:tblLayout w:type="fixed"/>
        <w:tblInd w:w="2310" w:type="dxa"/>
        <w:tblCellMar>
          <w:top w:w="0" w:type="dxa"/>
          <w:left w:w="0" w:type="dxa"/>
          <w:bottom w:w="0" w:type="dxa"/>
          <w:right w:w="0" w:type="dxa"/>
        </w:tblCellMar>
      </w:tblPr>
      <w:tr>
        <w:trPr>
          <w:trHeight w:val="216"/>
        </w:trPr>
        <w:tc>
          <w:tcPr>
            <w:tcW w:w="6840" w:type="dxa"/>
            <w:vAlign w:val="bottom"/>
            <w:gridSpan w:val="4"/>
          </w:tcPr>
          <w:p>
            <w:pPr>
              <w:jc w:val="center"/>
              <w:spacing w:after="0"/>
              <w:rPr>
                <w:sz w:val="20"/>
                <w:szCs w:val="20"/>
                <w:color w:val="auto"/>
              </w:rPr>
            </w:pPr>
            <w:r>
              <w:rPr>
                <w:rFonts w:ascii="Arial" w:cs="Arial" w:eastAsia="Arial" w:hAnsi="Arial"/>
                <w:sz w:val="18"/>
                <w:szCs w:val="18"/>
                <w:b w:val="1"/>
                <w:bCs w:val="1"/>
                <w:color w:val="auto"/>
              </w:rPr>
              <w:t>BRIGHT HOUSE NETWORKS:</w:t>
            </w:r>
          </w:p>
        </w:tc>
      </w:tr>
      <w:tr>
        <w:trPr>
          <w:trHeight w:val="234"/>
        </w:trPr>
        <w:tc>
          <w:tcPr>
            <w:tcW w:w="6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Fixed Broadband Competitor Overlaps</w:t>
            </w:r>
          </w:p>
        </w:tc>
      </w:tr>
      <w:tr>
        <w:trPr>
          <w:trHeight w:val="203"/>
        </w:trPr>
        <w:tc>
          <w:tcPr>
            <w:tcW w:w="2820" w:type="dxa"/>
            <w:vAlign w:val="bottom"/>
            <w:tcBorders>
              <w:left w:val="single" w:sz="8" w:color="auto"/>
              <w:bottom w:val="single" w:sz="8" w:color="auto"/>
            </w:tcBorders>
            <w:shd w:val="clear" w:color="auto" w:fill="D9D9D9"/>
          </w:tcPr>
          <w:p>
            <w:pPr>
              <w:ind w:left="40"/>
              <w:spacing w:after="0" w:line="202" w:lineRule="exact"/>
              <w:rPr>
                <w:sz w:val="20"/>
                <w:szCs w:val="20"/>
                <w:color w:val="auto"/>
              </w:rPr>
            </w:pPr>
            <w:r>
              <w:rPr>
                <w:rFonts w:ascii="Arial" w:cs="Arial" w:eastAsia="Arial" w:hAnsi="Arial"/>
                <w:sz w:val="18"/>
                <w:szCs w:val="18"/>
                <w:b w:val="1"/>
                <w:bCs w:val="1"/>
                <w:color w:val="auto"/>
              </w:rPr>
              <w:t>AT&amp;T (Total)</w:t>
            </w:r>
          </w:p>
        </w:tc>
        <w:tc>
          <w:tcPr>
            <w:tcW w:w="600" w:type="dxa"/>
            <w:vAlign w:val="bottom"/>
            <w:tcBorders>
              <w:bottom w:val="single" w:sz="8" w:color="auto"/>
              <w:right w:val="single" w:sz="8" w:color="auto"/>
            </w:tcBorders>
            <w:shd w:val="clear" w:color="auto" w:fill="D9D9D9"/>
          </w:tcPr>
          <w:p>
            <w:pPr>
              <w:spacing w:after="0"/>
              <w:rPr>
                <w:sz w:val="17"/>
                <w:szCs w:val="17"/>
                <w:color w:val="auto"/>
              </w:rPr>
            </w:pPr>
          </w:p>
        </w:tc>
        <w:tc>
          <w:tcPr>
            <w:tcW w:w="580" w:type="dxa"/>
            <w:vAlign w:val="bottom"/>
            <w:tcBorders>
              <w:bottom w:val="single" w:sz="8" w:color="auto"/>
            </w:tcBorders>
            <w:shd w:val="clear" w:color="auto" w:fill="D9D9D9"/>
          </w:tcPr>
          <w:p>
            <w:pPr>
              <w:spacing w:after="0"/>
              <w:rPr>
                <w:sz w:val="17"/>
                <w:szCs w:val="17"/>
                <w:color w:val="auto"/>
              </w:rPr>
            </w:pPr>
          </w:p>
        </w:tc>
        <w:tc>
          <w:tcPr>
            <w:tcW w:w="2840" w:type="dxa"/>
            <w:vAlign w:val="bottom"/>
            <w:tcBorders>
              <w:bottom w:val="single" w:sz="8" w:color="auto"/>
              <w:right w:val="single" w:sz="8" w:color="auto"/>
            </w:tcBorders>
            <w:shd w:val="clear" w:color="auto" w:fill="D9D9D9"/>
          </w:tcPr>
          <w:p>
            <w:pPr>
              <w:jc w:val="right"/>
              <w:ind w:right="1430"/>
              <w:spacing w:after="0" w:line="202" w:lineRule="exact"/>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r>
      <w:tr>
        <w:trPr>
          <w:trHeight w:val="196"/>
        </w:trPr>
        <w:tc>
          <w:tcPr>
            <w:tcW w:w="2820" w:type="dxa"/>
            <w:vAlign w:val="bottom"/>
            <w:tcBorders>
              <w:left w:val="single" w:sz="8" w:color="auto"/>
              <w:bottom w:val="single" w:sz="8" w:color="auto"/>
            </w:tcBorders>
          </w:tcPr>
          <w:p>
            <w:pPr>
              <w:ind w:left="360"/>
              <w:spacing w:after="0" w:line="196" w:lineRule="exact"/>
              <w:rPr>
                <w:sz w:val="20"/>
                <w:szCs w:val="20"/>
                <w:color w:val="auto"/>
              </w:rPr>
            </w:pPr>
            <w:r>
              <w:rPr>
                <w:rFonts w:ascii="Arial" w:cs="Arial" w:eastAsia="Arial" w:hAnsi="Arial"/>
                <w:sz w:val="18"/>
                <w:szCs w:val="18"/>
                <w:i w:val="1"/>
                <w:iCs w:val="1"/>
                <w:color w:val="auto"/>
              </w:rPr>
              <w:t>AT&amp;T U-Verse</w:t>
            </w:r>
          </w:p>
        </w:tc>
        <w:tc>
          <w:tcPr>
            <w:tcW w:w="6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jc w:val="right"/>
              <w:ind w:right="1430"/>
              <w:spacing w:after="0" w:line="196" w:lineRule="exact"/>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r>
      <w:tr>
        <w:trPr>
          <w:trHeight w:val="196"/>
        </w:trPr>
        <w:tc>
          <w:tcPr>
            <w:tcW w:w="2820" w:type="dxa"/>
            <w:vAlign w:val="bottom"/>
            <w:tcBorders>
              <w:left w:val="single" w:sz="8" w:color="auto"/>
              <w:bottom w:val="single" w:sz="8" w:color="auto"/>
            </w:tcBorders>
            <w:shd w:val="clear" w:color="auto" w:fill="D9D9D9"/>
          </w:tcPr>
          <w:p>
            <w:pPr>
              <w:ind w:left="360"/>
              <w:spacing w:after="0" w:line="196" w:lineRule="exact"/>
              <w:rPr>
                <w:sz w:val="20"/>
                <w:szCs w:val="20"/>
                <w:color w:val="auto"/>
              </w:rPr>
            </w:pPr>
            <w:r>
              <w:rPr>
                <w:rFonts w:ascii="Arial" w:cs="Arial" w:eastAsia="Arial" w:hAnsi="Arial"/>
                <w:sz w:val="18"/>
                <w:szCs w:val="18"/>
                <w:i w:val="1"/>
                <w:iCs w:val="1"/>
                <w:color w:val="auto"/>
              </w:rPr>
              <w:t>AT&amp;T DSL</w:t>
            </w:r>
          </w:p>
        </w:tc>
        <w:tc>
          <w:tcPr>
            <w:tcW w:w="600" w:type="dxa"/>
            <w:vAlign w:val="bottom"/>
            <w:tcBorders>
              <w:bottom w:val="single" w:sz="8" w:color="auto"/>
              <w:right w:val="single" w:sz="8" w:color="auto"/>
            </w:tcBorders>
            <w:shd w:val="clear" w:color="auto" w:fill="D9D9D9"/>
          </w:tcPr>
          <w:p>
            <w:pPr>
              <w:spacing w:after="0"/>
              <w:rPr>
                <w:sz w:val="17"/>
                <w:szCs w:val="17"/>
                <w:color w:val="auto"/>
              </w:rPr>
            </w:pPr>
          </w:p>
        </w:tc>
        <w:tc>
          <w:tcPr>
            <w:tcW w:w="580" w:type="dxa"/>
            <w:vAlign w:val="bottom"/>
            <w:tcBorders>
              <w:bottom w:val="single" w:sz="8" w:color="auto"/>
            </w:tcBorders>
            <w:shd w:val="clear" w:color="auto" w:fill="D9D9D9"/>
          </w:tcPr>
          <w:p>
            <w:pPr>
              <w:spacing w:after="0"/>
              <w:rPr>
                <w:sz w:val="17"/>
                <w:szCs w:val="17"/>
                <w:color w:val="auto"/>
              </w:rPr>
            </w:pPr>
          </w:p>
        </w:tc>
        <w:tc>
          <w:tcPr>
            <w:tcW w:w="2840" w:type="dxa"/>
            <w:vAlign w:val="bottom"/>
            <w:tcBorders>
              <w:bottom w:val="single" w:sz="8" w:color="auto"/>
              <w:right w:val="single" w:sz="8" w:color="auto"/>
            </w:tcBorders>
            <w:shd w:val="clear" w:color="auto" w:fill="D9D9D9"/>
          </w:tcPr>
          <w:p>
            <w:pPr>
              <w:jc w:val="right"/>
              <w:ind w:right="1430"/>
              <w:spacing w:after="0" w:line="196" w:lineRule="exact"/>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r>
      <w:tr>
        <w:trPr>
          <w:trHeight w:val="196"/>
        </w:trPr>
        <w:tc>
          <w:tcPr>
            <w:tcW w:w="2820" w:type="dxa"/>
            <w:vAlign w:val="bottom"/>
            <w:tcBorders>
              <w:left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Verizon (Total)</w:t>
            </w:r>
          </w:p>
        </w:tc>
        <w:tc>
          <w:tcPr>
            <w:tcW w:w="6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jc w:val="right"/>
              <w:ind w:right="1430"/>
              <w:spacing w:after="0" w:line="196" w:lineRule="exact"/>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r>
      <w:tr>
        <w:trPr>
          <w:trHeight w:val="196"/>
        </w:trPr>
        <w:tc>
          <w:tcPr>
            <w:tcW w:w="2820" w:type="dxa"/>
            <w:vAlign w:val="bottom"/>
            <w:tcBorders>
              <w:left w:val="single" w:sz="8" w:color="auto"/>
              <w:bottom w:val="single" w:sz="8" w:color="auto"/>
            </w:tcBorders>
            <w:shd w:val="clear" w:color="auto" w:fill="D9D9D9"/>
          </w:tcPr>
          <w:p>
            <w:pPr>
              <w:ind w:left="360"/>
              <w:spacing w:after="0" w:line="196" w:lineRule="exact"/>
              <w:rPr>
                <w:sz w:val="20"/>
                <w:szCs w:val="20"/>
                <w:color w:val="auto"/>
              </w:rPr>
            </w:pPr>
            <w:r>
              <w:rPr>
                <w:rFonts w:ascii="Arial" w:cs="Arial" w:eastAsia="Arial" w:hAnsi="Arial"/>
                <w:sz w:val="18"/>
                <w:szCs w:val="18"/>
                <w:i w:val="1"/>
                <w:iCs w:val="1"/>
                <w:color w:val="auto"/>
              </w:rPr>
              <w:t>Verizon FiOS</w:t>
            </w:r>
          </w:p>
        </w:tc>
        <w:tc>
          <w:tcPr>
            <w:tcW w:w="600" w:type="dxa"/>
            <w:vAlign w:val="bottom"/>
            <w:tcBorders>
              <w:bottom w:val="single" w:sz="8" w:color="auto"/>
              <w:right w:val="single" w:sz="8" w:color="auto"/>
            </w:tcBorders>
            <w:shd w:val="clear" w:color="auto" w:fill="D9D9D9"/>
          </w:tcPr>
          <w:p>
            <w:pPr>
              <w:spacing w:after="0"/>
              <w:rPr>
                <w:sz w:val="17"/>
                <w:szCs w:val="17"/>
                <w:color w:val="auto"/>
              </w:rPr>
            </w:pPr>
          </w:p>
        </w:tc>
        <w:tc>
          <w:tcPr>
            <w:tcW w:w="580" w:type="dxa"/>
            <w:vAlign w:val="bottom"/>
            <w:tcBorders>
              <w:bottom w:val="single" w:sz="8" w:color="auto"/>
            </w:tcBorders>
            <w:shd w:val="clear" w:color="auto" w:fill="D9D9D9"/>
          </w:tcPr>
          <w:p>
            <w:pPr>
              <w:spacing w:after="0"/>
              <w:rPr>
                <w:sz w:val="17"/>
                <w:szCs w:val="17"/>
                <w:color w:val="auto"/>
              </w:rPr>
            </w:pPr>
          </w:p>
        </w:tc>
        <w:tc>
          <w:tcPr>
            <w:tcW w:w="2840" w:type="dxa"/>
            <w:vAlign w:val="bottom"/>
            <w:tcBorders>
              <w:bottom w:val="single" w:sz="8" w:color="auto"/>
              <w:right w:val="single" w:sz="8" w:color="auto"/>
            </w:tcBorders>
            <w:shd w:val="clear" w:color="auto" w:fill="D9D9D9"/>
          </w:tcPr>
          <w:p>
            <w:pPr>
              <w:jc w:val="right"/>
              <w:ind w:right="1430"/>
              <w:spacing w:after="0" w:line="196" w:lineRule="exact"/>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r>
      <w:tr>
        <w:trPr>
          <w:trHeight w:val="196"/>
        </w:trPr>
        <w:tc>
          <w:tcPr>
            <w:tcW w:w="2820" w:type="dxa"/>
            <w:vAlign w:val="bottom"/>
            <w:tcBorders>
              <w:left w:val="single" w:sz="8" w:color="auto"/>
              <w:bottom w:val="single" w:sz="8" w:color="auto"/>
            </w:tcBorders>
          </w:tcPr>
          <w:p>
            <w:pPr>
              <w:ind w:left="360"/>
              <w:spacing w:after="0" w:line="196" w:lineRule="exact"/>
              <w:rPr>
                <w:sz w:val="20"/>
                <w:szCs w:val="20"/>
                <w:color w:val="auto"/>
              </w:rPr>
            </w:pPr>
            <w:r>
              <w:rPr>
                <w:rFonts w:ascii="Arial" w:cs="Arial" w:eastAsia="Arial" w:hAnsi="Arial"/>
                <w:sz w:val="18"/>
                <w:szCs w:val="18"/>
                <w:i w:val="1"/>
                <w:iCs w:val="1"/>
                <w:color w:val="auto"/>
              </w:rPr>
              <w:t>Verizon DSL</w:t>
            </w:r>
          </w:p>
        </w:tc>
        <w:tc>
          <w:tcPr>
            <w:tcW w:w="6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jc w:val="right"/>
              <w:ind w:right="1430"/>
              <w:spacing w:after="0" w:line="196" w:lineRule="exact"/>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r>
      <w:tr>
        <w:trPr>
          <w:trHeight w:val="196"/>
        </w:trPr>
        <w:tc>
          <w:tcPr>
            <w:tcW w:w="2820" w:type="dxa"/>
            <w:vAlign w:val="bottom"/>
            <w:tcBorders>
              <w:left w:val="single" w:sz="8" w:color="auto"/>
              <w:bottom w:val="single" w:sz="8" w:color="auto"/>
            </w:tcBorders>
            <w:shd w:val="clear" w:color="auto" w:fill="D9D9D9"/>
          </w:tcPr>
          <w:p>
            <w:pPr>
              <w:ind w:left="40"/>
              <w:spacing w:after="0" w:line="196" w:lineRule="exact"/>
              <w:rPr>
                <w:sz w:val="20"/>
                <w:szCs w:val="20"/>
                <w:color w:val="auto"/>
              </w:rPr>
            </w:pPr>
            <w:r>
              <w:rPr>
                <w:rFonts w:ascii="Arial" w:cs="Arial" w:eastAsia="Arial" w:hAnsi="Arial"/>
                <w:sz w:val="18"/>
                <w:szCs w:val="18"/>
                <w:b w:val="1"/>
                <w:bCs w:val="1"/>
                <w:color w:val="auto"/>
              </w:rPr>
              <w:t>Total Centurylink</w:t>
            </w:r>
          </w:p>
        </w:tc>
        <w:tc>
          <w:tcPr>
            <w:tcW w:w="600" w:type="dxa"/>
            <w:vAlign w:val="bottom"/>
            <w:tcBorders>
              <w:bottom w:val="single" w:sz="8" w:color="auto"/>
              <w:right w:val="single" w:sz="8" w:color="auto"/>
            </w:tcBorders>
            <w:shd w:val="clear" w:color="auto" w:fill="D9D9D9"/>
          </w:tcPr>
          <w:p>
            <w:pPr>
              <w:spacing w:after="0"/>
              <w:rPr>
                <w:sz w:val="17"/>
                <w:szCs w:val="17"/>
                <w:color w:val="auto"/>
              </w:rPr>
            </w:pPr>
          </w:p>
        </w:tc>
        <w:tc>
          <w:tcPr>
            <w:tcW w:w="580" w:type="dxa"/>
            <w:vAlign w:val="bottom"/>
            <w:tcBorders>
              <w:bottom w:val="single" w:sz="8" w:color="auto"/>
            </w:tcBorders>
            <w:shd w:val="clear" w:color="auto" w:fill="D9D9D9"/>
          </w:tcPr>
          <w:p>
            <w:pPr>
              <w:spacing w:after="0"/>
              <w:rPr>
                <w:sz w:val="17"/>
                <w:szCs w:val="17"/>
                <w:color w:val="auto"/>
              </w:rPr>
            </w:pPr>
          </w:p>
        </w:tc>
        <w:tc>
          <w:tcPr>
            <w:tcW w:w="2840" w:type="dxa"/>
            <w:vAlign w:val="bottom"/>
            <w:tcBorders>
              <w:bottom w:val="single" w:sz="8" w:color="auto"/>
              <w:right w:val="single" w:sz="8" w:color="auto"/>
            </w:tcBorders>
            <w:shd w:val="clear" w:color="auto" w:fill="D9D9D9"/>
          </w:tcPr>
          <w:p>
            <w:pPr>
              <w:jc w:val="right"/>
              <w:ind w:right="1430"/>
              <w:spacing w:after="0" w:line="196" w:lineRule="exact"/>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r>
      <w:tr>
        <w:trPr>
          <w:trHeight w:val="196"/>
        </w:trPr>
        <w:tc>
          <w:tcPr>
            <w:tcW w:w="2820" w:type="dxa"/>
            <w:vAlign w:val="bottom"/>
            <w:tcBorders>
              <w:left w:val="single" w:sz="8" w:color="auto"/>
              <w:bottom w:val="single" w:sz="8" w:color="auto"/>
            </w:tcBorders>
          </w:tcPr>
          <w:p>
            <w:pPr>
              <w:ind w:left="360"/>
              <w:spacing w:after="0" w:line="197" w:lineRule="exact"/>
              <w:rPr>
                <w:sz w:val="20"/>
                <w:szCs w:val="20"/>
                <w:color w:val="auto"/>
              </w:rPr>
            </w:pPr>
            <w:r>
              <w:rPr>
                <w:rFonts w:ascii="Arial" w:cs="Arial" w:eastAsia="Arial" w:hAnsi="Arial"/>
                <w:sz w:val="16"/>
                <w:szCs w:val="16"/>
                <w:i w:val="1"/>
                <w:iCs w:val="1"/>
                <w:color w:val="auto"/>
              </w:rPr>
              <w:t>CenturyLink Fiber</w:t>
            </w:r>
            <w:r>
              <w:rPr>
                <w:rFonts w:ascii="Arial" w:cs="Arial" w:eastAsia="Arial" w:hAnsi="Arial"/>
                <w:sz w:val="22"/>
                <w:szCs w:val="22"/>
                <w:color w:val="auto"/>
                <w:vertAlign w:val="superscript"/>
              </w:rPr>
              <w:t>31</w:t>
            </w:r>
          </w:p>
        </w:tc>
        <w:tc>
          <w:tcPr>
            <w:tcW w:w="6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jc w:val="right"/>
              <w:ind w:right="1430"/>
              <w:spacing w:after="0" w:line="196" w:lineRule="exact"/>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r>
      <w:tr>
        <w:trPr>
          <w:trHeight w:val="196"/>
        </w:trPr>
        <w:tc>
          <w:tcPr>
            <w:tcW w:w="2820" w:type="dxa"/>
            <w:vAlign w:val="bottom"/>
            <w:tcBorders>
              <w:left w:val="single" w:sz="8" w:color="auto"/>
              <w:bottom w:val="single" w:sz="8" w:color="auto"/>
            </w:tcBorders>
            <w:shd w:val="clear" w:color="auto" w:fill="D9D9D9"/>
          </w:tcPr>
          <w:p>
            <w:pPr>
              <w:ind w:left="360"/>
              <w:spacing w:after="0" w:line="196" w:lineRule="exact"/>
              <w:rPr>
                <w:sz w:val="20"/>
                <w:szCs w:val="20"/>
                <w:color w:val="auto"/>
              </w:rPr>
            </w:pPr>
            <w:r>
              <w:rPr>
                <w:rFonts w:ascii="Arial" w:cs="Arial" w:eastAsia="Arial" w:hAnsi="Arial"/>
                <w:sz w:val="18"/>
                <w:szCs w:val="18"/>
                <w:i w:val="1"/>
                <w:iCs w:val="1"/>
                <w:color w:val="auto"/>
              </w:rPr>
              <w:t>Centurylink DSL</w:t>
            </w:r>
          </w:p>
        </w:tc>
        <w:tc>
          <w:tcPr>
            <w:tcW w:w="600" w:type="dxa"/>
            <w:vAlign w:val="bottom"/>
            <w:tcBorders>
              <w:bottom w:val="single" w:sz="8" w:color="auto"/>
              <w:right w:val="single" w:sz="8" w:color="auto"/>
            </w:tcBorders>
            <w:shd w:val="clear" w:color="auto" w:fill="D9D9D9"/>
          </w:tcPr>
          <w:p>
            <w:pPr>
              <w:spacing w:after="0"/>
              <w:rPr>
                <w:sz w:val="17"/>
                <w:szCs w:val="17"/>
                <w:color w:val="auto"/>
              </w:rPr>
            </w:pPr>
          </w:p>
        </w:tc>
        <w:tc>
          <w:tcPr>
            <w:tcW w:w="580" w:type="dxa"/>
            <w:vAlign w:val="bottom"/>
            <w:tcBorders>
              <w:bottom w:val="single" w:sz="8" w:color="auto"/>
            </w:tcBorders>
            <w:shd w:val="clear" w:color="auto" w:fill="D9D9D9"/>
          </w:tcPr>
          <w:p>
            <w:pPr>
              <w:spacing w:after="0"/>
              <w:rPr>
                <w:sz w:val="17"/>
                <w:szCs w:val="17"/>
                <w:color w:val="auto"/>
              </w:rPr>
            </w:pPr>
          </w:p>
        </w:tc>
        <w:tc>
          <w:tcPr>
            <w:tcW w:w="2840" w:type="dxa"/>
            <w:vAlign w:val="bottom"/>
            <w:tcBorders>
              <w:bottom w:val="single" w:sz="8" w:color="auto"/>
              <w:right w:val="single" w:sz="8" w:color="auto"/>
            </w:tcBorders>
            <w:shd w:val="clear" w:color="auto" w:fill="D9D9D9"/>
          </w:tcPr>
          <w:p>
            <w:pPr>
              <w:jc w:val="right"/>
              <w:ind w:right="1430"/>
              <w:spacing w:after="0" w:line="196" w:lineRule="exact"/>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r>
      <w:tr>
        <w:trPr>
          <w:trHeight w:val="196"/>
        </w:trPr>
        <w:tc>
          <w:tcPr>
            <w:tcW w:w="2820" w:type="dxa"/>
            <w:vAlign w:val="bottom"/>
            <w:tcBorders>
              <w:left w:val="single" w:sz="8" w:color="auto"/>
              <w:bottom w:val="single" w:sz="8" w:color="auto"/>
            </w:tcBorders>
          </w:tcPr>
          <w:p>
            <w:pPr>
              <w:ind w:left="40"/>
              <w:spacing w:after="0" w:line="197" w:lineRule="exact"/>
              <w:rPr>
                <w:sz w:val="20"/>
                <w:szCs w:val="20"/>
                <w:color w:val="auto"/>
              </w:rPr>
            </w:pPr>
            <w:r>
              <w:rPr>
                <w:rFonts w:ascii="Arial" w:cs="Arial" w:eastAsia="Arial" w:hAnsi="Arial"/>
                <w:sz w:val="16"/>
                <w:szCs w:val="16"/>
                <w:b w:val="1"/>
                <w:bCs w:val="1"/>
                <w:color w:val="auto"/>
              </w:rPr>
              <w:t>Comcast</w:t>
            </w:r>
            <w:r>
              <w:rPr>
                <w:rFonts w:ascii="Arial" w:cs="Arial" w:eastAsia="Arial" w:hAnsi="Arial"/>
                <w:sz w:val="22"/>
                <w:szCs w:val="22"/>
                <w:color w:val="auto"/>
                <w:vertAlign w:val="superscript"/>
              </w:rPr>
              <w:t>32</w:t>
            </w:r>
          </w:p>
        </w:tc>
        <w:tc>
          <w:tcPr>
            <w:tcW w:w="6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jc w:val="right"/>
              <w:ind w:right="1430"/>
              <w:spacing w:after="0" w:line="196" w:lineRule="exact"/>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r>
      <w:tr>
        <w:trPr>
          <w:trHeight w:val="196"/>
        </w:trPr>
        <w:tc>
          <w:tcPr>
            <w:tcW w:w="2820" w:type="dxa"/>
            <w:vAlign w:val="bottom"/>
            <w:tcBorders>
              <w:left w:val="single" w:sz="8" w:color="auto"/>
              <w:bottom w:val="single" w:sz="8" w:color="auto"/>
            </w:tcBorders>
            <w:shd w:val="clear" w:color="auto" w:fill="D9D9D9"/>
          </w:tcPr>
          <w:p>
            <w:pPr>
              <w:ind w:left="40"/>
              <w:spacing w:after="0" w:line="196" w:lineRule="exact"/>
              <w:rPr>
                <w:sz w:val="20"/>
                <w:szCs w:val="20"/>
                <w:color w:val="auto"/>
              </w:rPr>
            </w:pPr>
            <w:r>
              <w:rPr>
                <w:rFonts w:ascii="Arial" w:cs="Arial" w:eastAsia="Arial" w:hAnsi="Arial"/>
                <w:sz w:val="18"/>
                <w:szCs w:val="18"/>
                <w:b w:val="1"/>
                <w:bCs w:val="1"/>
                <w:color w:val="auto"/>
              </w:rPr>
              <w:t>Frontier (DSL)</w:t>
            </w:r>
          </w:p>
        </w:tc>
        <w:tc>
          <w:tcPr>
            <w:tcW w:w="600" w:type="dxa"/>
            <w:vAlign w:val="bottom"/>
            <w:tcBorders>
              <w:bottom w:val="single" w:sz="8" w:color="auto"/>
              <w:right w:val="single" w:sz="8" w:color="auto"/>
            </w:tcBorders>
            <w:shd w:val="clear" w:color="auto" w:fill="D9D9D9"/>
          </w:tcPr>
          <w:p>
            <w:pPr>
              <w:spacing w:after="0"/>
              <w:rPr>
                <w:sz w:val="17"/>
                <w:szCs w:val="17"/>
                <w:color w:val="auto"/>
              </w:rPr>
            </w:pPr>
          </w:p>
        </w:tc>
        <w:tc>
          <w:tcPr>
            <w:tcW w:w="580" w:type="dxa"/>
            <w:vAlign w:val="bottom"/>
            <w:tcBorders>
              <w:bottom w:val="single" w:sz="8" w:color="auto"/>
            </w:tcBorders>
            <w:shd w:val="clear" w:color="auto" w:fill="D9D9D9"/>
          </w:tcPr>
          <w:p>
            <w:pPr>
              <w:spacing w:after="0"/>
              <w:rPr>
                <w:sz w:val="17"/>
                <w:szCs w:val="17"/>
                <w:color w:val="auto"/>
              </w:rPr>
            </w:pPr>
          </w:p>
        </w:tc>
        <w:tc>
          <w:tcPr>
            <w:tcW w:w="2840" w:type="dxa"/>
            <w:vAlign w:val="bottom"/>
            <w:tcBorders>
              <w:bottom w:val="single" w:sz="8" w:color="auto"/>
              <w:right w:val="single" w:sz="8" w:color="auto"/>
            </w:tcBorders>
            <w:shd w:val="clear" w:color="auto" w:fill="D9D9D9"/>
          </w:tcPr>
          <w:p>
            <w:pPr>
              <w:jc w:val="right"/>
              <w:ind w:right="1430"/>
              <w:spacing w:after="0" w:line="196" w:lineRule="exact"/>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r>
      <w:tr>
        <w:trPr>
          <w:trHeight w:val="210"/>
        </w:trPr>
        <w:tc>
          <w:tcPr>
            <w:tcW w:w="28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Fairpoint (DSL)</w:t>
            </w:r>
          </w:p>
        </w:tc>
        <w:tc>
          <w:tcPr>
            <w:tcW w:w="6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D9D9D9"/>
            </w:tcBorders>
          </w:tcPr>
          <w:p>
            <w:pPr>
              <w:spacing w:after="0"/>
              <w:rPr>
                <w:sz w:val="18"/>
                <w:szCs w:val="18"/>
                <w:color w:val="auto"/>
              </w:rPr>
            </w:pPr>
          </w:p>
        </w:tc>
        <w:tc>
          <w:tcPr>
            <w:tcW w:w="2840" w:type="dxa"/>
            <w:vAlign w:val="bottom"/>
            <w:tcBorders>
              <w:bottom w:val="single" w:sz="8" w:color="D9D9D9"/>
              <w:right w:val="single" w:sz="8" w:color="auto"/>
            </w:tcBorders>
          </w:tcPr>
          <w:p>
            <w:pPr>
              <w:jc w:val="right"/>
              <w:ind w:right="1430"/>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r>
      <w:tr>
        <w:trPr>
          <w:trHeight w:val="210"/>
        </w:trPr>
        <w:tc>
          <w:tcPr>
            <w:tcW w:w="2820" w:type="dxa"/>
            <w:vAlign w:val="bottom"/>
            <w:tcBorders>
              <w:left w:val="single" w:sz="8" w:color="auto"/>
              <w:bottom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Windstream (DSL)</w:t>
            </w:r>
          </w:p>
        </w:tc>
        <w:tc>
          <w:tcPr>
            <w:tcW w:w="600" w:type="dxa"/>
            <w:vAlign w:val="bottom"/>
            <w:tcBorders>
              <w:bottom w:val="single" w:sz="8" w:color="auto"/>
              <w:right w:val="single" w:sz="8" w:color="D9D9D9"/>
            </w:tcBorders>
            <w:shd w:val="clear" w:color="auto" w:fill="D9D9D9"/>
          </w:tcPr>
          <w:p>
            <w:pPr>
              <w:spacing w:after="0"/>
              <w:rPr>
                <w:sz w:val="18"/>
                <w:szCs w:val="18"/>
                <w:color w:val="auto"/>
              </w:rPr>
            </w:pPr>
          </w:p>
        </w:tc>
        <w:tc>
          <w:tcPr>
            <w:tcW w:w="580" w:type="dxa"/>
            <w:vAlign w:val="bottom"/>
            <w:tcBorders>
              <w:bottom w:val="single" w:sz="8" w:color="D9D9D9"/>
            </w:tcBorders>
            <w:shd w:val="clear" w:color="auto" w:fill="D9D9D9"/>
          </w:tcPr>
          <w:p>
            <w:pPr>
              <w:spacing w:after="0"/>
              <w:rPr>
                <w:sz w:val="18"/>
                <w:szCs w:val="18"/>
                <w:color w:val="auto"/>
              </w:rPr>
            </w:pPr>
          </w:p>
        </w:tc>
        <w:tc>
          <w:tcPr>
            <w:tcW w:w="2840" w:type="dxa"/>
            <w:vAlign w:val="bottom"/>
            <w:tcBorders>
              <w:bottom w:val="single" w:sz="8" w:color="D9D9D9"/>
              <w:right w:val="single" w:sz="8" w:color="D9D9D9"/>
            </w:tcBorders>
            <w:shd w:val="clear" w:color="auto" w:fill="D9D9D9"/>
          </w:tcPr>
          <w:p>
            <w:pPr>
              <w:jc w:val="right"/>
              <w:ind w:right="1430"/>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r>
      <w:tr>
        <w:trPr>
          <w:trHeight w:val="196"/>
        </w:trPr>
        <w:tc>
          <w:tcPr>
            <w:tcW w:w="2820" w:type="dxa"/>
            <w:vAlign w:val="bottom"/>
            <w:tcBorders>
              <w:left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WOW!</w:t>
            </w:r>
          </w:p>
        </w:tc>
        <w:tc>
          <w:tcPr>
            <w:tcW w:w="6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jc w:val="right"/>
              <w:ind w:right="1430"/>
              <w:spacing w:after="0" w:line="196" w:lineRule="exact"/>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r>
      <w:tr>
        <w:trPr>
          <w:trHeight w:val="196"/>
        </w:trPr>
        <w:tc>
          <w:tcPr>
            <w:tcW w:w="2820" w:type="dxa"/>
            <w:vAlign w:val="bottom"/>
            <w:tcBorders>
              <w:left w:val="single" w:sz="8" w:color="auto"/>
              <w:bottom w:val="single" w:sz="8" w:color="auto"/>
            </w:tcBorders>
            <w:shd w:val="clear" w:color="auto" w:fill="D9D9D9"/>
          </w:tcPr>
          <w:p>
            <w:pPr>
              <w:ind w:left="40"/>
              <w:spacing w:after="0" w:line="197" w:lineRule="exact"/>
              <w:rPr>
                <w:sz w:val="20"/>
                <w:szCs w:val="20"/>
                <w:color w:val="auto"/>
              </w:rPr>
            </w:pPr>
            <w:r>
              <w:rPr>
                <w:rFonts w:ascii="Arial" w:cs="Arial" w:eastAsia="Arial" w:hAnsi="Arial"/>
                <w:sz w:val="16"/>
                <w:szCs w:val="16"/>
                <w:b w:val="1"/>
                <w:bCs w:val="1"/>
                <w:color w:val="auto"/>
              </w:rPr>
              <w:t>Other Telco Fiber</w:t>
            </w:r>
            <w:r>
              <w:rPr>
                <w:rFonts w:ascii="Arial" w:cs="Arial" w:eastAsia="Arial" w:hAnsi="Arial"/>
                <w:sz w:val="22"/>
                <w:szCs w:val="22"/>
                <w:color w:val="auto"/>
                <w:vertAlign w:val="superscript"/>
              </w:rPr>
              <w:t>33</w:t>
            </w:r>
          </w:p>
        </w:tc>
        <w:tc>
          <w:tcPr>
            <w:tcW w:w="600" w:type="dxa"/>
            <w:vAlign w:val="bottom"/>
            <w:tcBorders>
              <w:bottom w:val="single" w:sz="8" w:color="auto"/>
              <w:right w:val="single" w:sz="8" w:color="auto"/>
            </w:tcBorders>
            <w:shd w:val="clear" w:color="auto" w:fill="D9D9D9"/>
          </w:tcPr>
          <w:p>
            <w:pPr>
              <w:spacing w:after="0"/>
              <w:rPr>
                <w:sz w:val="17"/>
                <w:szCs w:val="17"/>
                <w:color w:val="auto"/>
              </w:rPr>
            </w:pPr>
          </w:p>
        </w:tc>
        <w:tc>
          <w:tcPr>
            <w:tcW w:w="580" w:type="dxa"/>
            <w:vAlign w:val="bottom"/>
            <w:tcBorders>
              <w:bottom w:val="single" w:sz="8" w:color="auto"/>
            </w:tcBorders>
            <w:shd w:val="clear" w:color="auto" w:fill="D9D9D9"/>
          </w:tcPr>
          <w:p>
            <w:pPr>
              <w:spacing w:after="0"/>
              <w:rPr>
                <w:sz w:val="17"/>
                <w:szCs w:val="17"/>
                <w:color w:val="auto"/>
              </w:rPr>
            </w:pPr>
          </w:p>
        </w:tc>
        <w:tc>
          <w:tcPr>
            <w:tcW w:w="2840" w:type="dxa"/>
            <w:vAlign w:val="bottom"/>
            <w:tcBorders>
              <w:bottom w:val="single" w:sz="8" w:color="auto"/>
              <w:right w:val="single" w:sz="8" w:color="auto"/>
            </w:tcBorders>
            <w:shd w:val="clear" w:color="auto" w:fill="D9D9D9"/>
          </w:tcPr>
          <w:p>
            <w:pPr>
              <w:jc w:val="right"/>
              <w:ind w:right="1430"/>
              <w:spacing w:after="0" w:line="196" w:lineRule="exact"/>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r>
      <w:tr>
        <w:trPr>
          <w:trHeight w:val="230"/>
        </w:trPr>
        <w:tc>
          <w:tcPr>
            <w:tcW w:w="2820" w:type="dxa"/>
            <w:vAlign w:val="bottom"/>
            <w:tcBorders>
              <w:left w:val="single" w:sz="8" w:color="auto"/>
              <w:bottom w:val="single" w:sz="8" w:color="auto"/>
            </w:tcBorders>
          </w:tcPr>
          <w:p>
            <w:pPr>
              <w:ind w:left="40"/>
              <w:spacing w:after="0" w:line="210" w:lineRule="exact"/>
              <w:rPr>
                <w:sz w:val="20"/>
                <w:szCs w:val="20"/>
                <w:color w:val="auto"/>
              </w:rPr>
            </w:pPr>
            <w:r>
              <w:rPr>
                <w:rFonts w:ascii="Arial" w:cs="Arial" w:eastAsia="Arial" w:hAnsi="Arial"/>
                <w:sz w:val="17"/>
                <w:szCs w:val="17"/>
                <w:b w:val="1"/>
                <w:bCs w:val="1"/>
                <w:color w:val="auto"/>
              </w:rPr>
              <w:t>Other Cable Overbuilders</w:t>
            </w:r>
            <w:r>
              <w:rPr>
                <w:rFonts w:ascii="Arial" w:cs="Arial" w:eastAsia="Arial" w:hAnsi="Arial"/>
                <w:sz w:val="24"/>
                <w:szCs w:val="24"/>
                <w:color w:val="auto"/>
                <w:vertAlign w:val="superscript"/>
              </w:rPr>
              <w:t>34</w:t>
            </w: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jc w:val="right"/>
              <w:ind w:right="1430"/>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p>
        </w:tc>
      </w:tr>
      <w:tr>
        <w:trPr>
          <w:trHeight w:val="648"/>
        </w:trPr>
        <w:tc>
          <w:tcPr>
            <w:tcW w:w="2820" w:type="dxa"/>
            <w:vAlign w:val="bottom"/>
          </w:tcPr>
          <w:p>
            <w:pPr>
              <w:ind w:left="2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4"/>
              </w:rPr>
              <w:t>*</w:t>
            </w:r>
          </w:p>
        </w:tc>
        <w:tc>
          <w:tcPr>
            <w:tcW w:w="2840" w:type="dxa"/>
            <w:vAlign w:val="bottom"/>
          </w:tcPr>
          <w:p>
            <w:pPr>
              <w:jc w:val="right"/>
              <w:ind w:right="21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-1015365</wp:posOffset>
            </wp:positionV>
            <wp:extent cx="220345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0345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461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20"/>
          <w:szCs w:val="20"/>
          <w:color w:val="auto"/>
          <w:vertAlign w:val="superscript"/>
        </w:rPr>
      </w:pPr>
      <w:r>
        <w:rPr>
          <w:rFonts w:ascii="Arial" w:cs="Arial" w:eastAsia="Arial" w:hAnsi="Arial"/>
          <w:sz w:val="15"/>
          <w:szCs w:val="15"/>
          <w:color w:val="auto"/>
        </w:rPr>
        <w:t>Includes legacy Qwest.</w:t>
      </w:r>
    </w:p>
    <w:p>
      <w:pPr>
        <w:spacing w:after="0" w:line="2" w:lineRule="exact"/>
        <w:rPr>
          <w:rFonts w:ascii="Arial" w:cs="Arial" w:eastAsia="Arial" w:hAnsi="Arial"/>
          <w:sz w:val="20"/>
          <w:szCs w:val="20"/>
          <w:color w:val="auto"/>
          <w:vertAlign w:val="superscript"/>
        </w:rPr>
      </w:pPr>
    </w:p>
    <w:p>
      <w:pPr>
        <w:ind w:right="100" w:firstLine="8"/>
        <w:spacing w:after="0" w:line="360" w:lineRule="auto"/>
        <w:tabs>
          <w:tab w:leader="none" w:pos="157" w:val="left"/>
        </w:tabs>
        <w:numPr>
          <w:ilvl w:val="0"/>
          <w:numId w:val="17"/>
        </w:numPr>
        <w:rPr>
          <w:rFonts w:ascii="Arial" w:cs="Arial" w:eastAsia="Arial" w:hAnsi="Arial"/>
          <w:sz w:val="20"/>
          <w:szCs w:val="20"/>
          <w:color w:val="auto"/>
          <w:vertAlign w:val="superscript"/>
        </w:rPr>
      </w:pPr>
      <w:r>
        <w:rPr>
          <w:rFonts w:ascii="Arial" w:cs="Arial" w:eastAsia="Arial" w:hAnsi="Arial"/>
          <w:sz w:val="15"/>
          <w:szCs w:val="15"/>
          <w:color w:val="auto"/>
        </w:rPr>
        <w:t>Comcast and BHN have systems that modestly overlap in certain areas, mostly in Florida. In these modest overlapping areas, Comcast and BHN compete vigorously today for subscribers and will continue to compete after the transactions are consummated. As noted above, BHN manages the day-to-day operations of its systems and will continue to be solely responsible for pricing and marketing of its services to consumers. Comcast, of course, will do the same with respect to its own services.</w:t>
      </w:r>
    </w:p>
    <w:p>
      <w:pPr>
        <w:ind w:left="160" w:hanging="152"/>
        <w:spacing w:after="0" w:line="225" w:lineRule="auto"/>
        <w:tabs>
          <w:tab w:leader="none" w:pos="160" w:val="left"/>
        </w:tabs>
        <w:numPr>
          <w:ilvl w:val="0"/>
          <w:numId w:val="17"/>
        </w:numPr>
        <w:rPr>
          <w:rFonts w:ascii="Arial" w:cs="Arial" w:eastAsia="Arial" w:hAnsi="Arial"/>
          <w:sz w:val="20"/>
          <w:szCs w:val="20"/>
          <w:color w:val="auto"/>
          <w:vertAlign w:val="superscript"/>
        </w:rPr>
      </w:pPr>
      <w:r>
        <w:rPr>
          <w:rFonts w:ascii="Arial" w:cs="Arial" w:eastAsia="Arial" w:hAnsi="Arial"/>
          <w:sz w:val="15"/>
          <w:szCs w:val="15"/>
          <w:color w:val="auto"/>
        </w:rPr>
        <w:t>All data is FTTP.</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17"/>
        </w:numPr>
        <w:rPr>
          <w:rFonts w:ascii="Arial" w:cs="Arial" w:eastAsia="Arial" w:hAnsi="Arial"/>
          <w:sz w:val="20"/>
          <w:szCs w:val="20"/>
          <w:color w:val="auto"/>
          <w:vertAlign w:val="superscript"/>
        </w:rPr>
      </w:pPr>
      <w:r>
        <w:rPr>
          <w:rFonts w:ascii="Arial" w:cs="Arial" w:eastAsia="Arial" w:hAnsi="Arial"/>
          <w:sz w:val="15"/>
          <w:szCs w:val="15"/>
          <w:color w:val="auto"/>
        </w:rPr>
        <w:t>Includes all competitive providers that provide data via cable modem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547370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00" w:right="3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4"/>
          <w:szCs w:val="14"/>
          <w:b w:val="1"/>
          <w:bCs w:val="1"/>
          <w:color w:val="auto"/>
        </w:rPr>
        <w:t>REDACTED – FOR PUBLIC INSPECTION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June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21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parties appreciate the opportunity to provide this additional information to the Commission.</w:t>
      </w:r>
      <w:r>
        <w:rPr>
          <w:rFonts w:ascii="Arial" w:cs="Arial" w:eastAsia="Arial" w:hAnsi="Arial"/>
          <w:sz w:val="25"/>
          <w:szCs w:val="25"/>
          <w:color w:val="auto"/>
          <w:vertAlign w:val="superscript"/>
        </w:rPr>
        <w:t>35</w:t>
      </w:r>
      <w:r>
        <w:rPr>
          <w:rFonts w:ascii="Arial" w:cs="Arial" w:eastAsia="Arial" w:hAnsi="Arial"/>
          <w:sz w:val="18"/>
          <w:szCs w:val="18"/>
          <w:color w:val="auto"/>
        </w:rPr>
        <w:t xml:space="preserve"> As previously demonstrated, the Comcast-TWC transaction and the Divestiture Transactions are pro-consumer, pro-competitive, and strongly in the public interest, and the parties respectfully request that the Commission promptly approve them.</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Respectfully submitted,</w:t>
            </w:r>
          </w:p>
        </w:tc>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824"/>
        </w:trPr>
        <w:tc>
          <w:tcPr>
            <w:tcW w:w="1660" w:type="dxa"/>
            <w:vAlign w:val="bottom"/>
          </w:tcPr>
          <w:p>
            <w:pPr>
              <w:spacing w:after="0"/>
              <w:rPr>
                <w:sz w:val="20"/>
                <w:szCs w:val="20"/>
                <w:color w:val="auto"/>
              </w:rPr>
            </w:pPr>
            <w:r>
              <w:rPr>
                <w:rFonts w:ascii="Arial" w:cs="Arial" w:eastAsia="Arial" w:hAnsi="Arial"/>
                <w:sz w:val="18"/>
                <w:szCs w:val="18"/>
                <w:color w:val="auto"/>
                <w:w w:val="92"/>
              </w:rPr>
              <w:t>/s/ Kathryn A. Zachem</w:t>
            </w: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/s/ Catherine Bohigian</w:t>
            </w:r>
          </w:p>
        </w:tc>
        <w:tc>
          <w:tcPr>
            <w:tcW w:w="2540" w:type="dxa"/>
            <w:vAlign w:val="bottom"/>
            <w:gridSpan w:val="3"/>
          </w:tcPr>
          <w:p>
            <w:pPr>
              <w:ind w:left="820"/>
              <w:spacing w:after="0"/>
              <w:rPr>
                <w:sz w:val="20"/>
                <w:szCs w:val="20"/>
                <w:color w:val="auto"/>
              </w:rPr>
            </w:pPr>
            <w:r>
              <w:rPr>
                <w:rFonts w:ascii="Arial" w:cs="Arial" w:eastAsia="Arial" w:hAnsi="Arial"/>
                <w:sz w:val="18"/>
                <w:szCs w:val="18"/>
                <w:color w:val="auto"/>
              </w:rPr>
              <w:t>/s/ Steven Teplitz</w:t>
            </w:r>
          </w:p>
        </w:tc>
      </w:tr>
      <w:tr>
        <w:trPr>
          <w:trHeight w:val="20"/>
        </w:trPr>
        <w:tc>
          <w:tcPr>
            <w:tcW w:w="16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w w:val="92"/>
              </w:rPr>
              <w:t>Senior Vice President,</w:t>
            </w:r>
          </w:p>
        </w:tc>
        <w:tc>
          <w:tcPr>
            <w:tcW w:w="1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2540" w:type="dxa"/>
            <w:vAlign w:val="bottom"/>
            <w:gridSpan w:val="3"/>
          </w:tcPr>
          <w:p>
            <w:pPr>
              <w:ind w:left="820"/>
              <w:spacing w:after="0"/>
              <w:rPr>
                <w:sz w:val="20"/>
                <w:szCs w:val="20"/>
                <w:color w:val="auto"/>
              </w:rPr>
            </w:pPr>
            <w:r>
              <w:rPr>
                <w:rFonts w:ascii="Arial" w:cs="Arial" w:eastAsia="Arial" w:hAnsi="Arial"/>
                <w:sz w:val="18"/>
                <w:szCs w:val="18"/>
                <w:color w:val="auto"/>
                <w:w w:val="95"/>
              </w:rPr>
              <w:t>Senior Vice President,</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Regulatory and State Legislative Affairs</w:t>
            </w:r>
          </w:p>
        </w:tc>
        <w:tc>
          <w:tcPr>
            <w:tcW w:w="3440" w:type="dxa"/>
            <w:vAlign w:val="bottom"/>
            <w:gridSpan w:val="3"/>
          </w:tcPr>
          <w:p>
            <w:pPr>
              <w:ind w:left="440"/>
              <w:spacing w:after="0"/>
              <w:rPr>
                <w:sz w:val="20"/>
                <w:szCs w:val="20"/>
                <w:color w:val="auto"/>
              </w:rPr>
            </w:pPr>
            <w:r>
              <w:rPr>
                <w:rFonts w:ascii="Arial" w:cs="Arial" w:eastAsia="Arial" w:hAnsi="Arial"/>
                <w:sz w:val="18"/>
                <w:szCs w:val="18"/>
                <w:color w:val="auto"/>
              </w:rPr>
              <w:t>Government Affairs</w:t>
            </w:r>
          </w:p>
        </w:tc>
        <w:tc>
          <w:tcPr>
            <w:tcW w:w="2540" w:type="dxa"/>
            <w:vAlign w:val="bottom"/>
            <w:gridSpan w:val="3"/>
          </w:tcPr>
          <w:p>
            <w:pPr>
              <w:ind w:left="820"/>
              <w:spacing w:after="0"/>
              <w:rPr>
                <w:sz w:val="20"/>
                <w:szCs w:val="20"/>
                <w:color w:val="auto"/>
              </w:rPr>
            </w:pPr>
            <w:r>
              <w:rPr>
                <w:rFonts w:ascii="Arial" w:cs="Arial" w:eastAsia="Arial" w:hAnsi="Arial"/>
                <w:sz w:val="18"/>
                <w:szCs w:val="18"/>
                <w:color w:val="auto"/>
                <w:w w:val="94"/>
              </w:rPr>
              <w:t>Government Relations</w:t>
            </w: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Comcast Corporation</w:t>
            </w:r>
          </w:p>
        </w:tc>
        <w:tc>
          <w:tcPr>
            <w:tcW w:w="3440" w:type="dxa"/>
            <w:vAlign w:val="bottom"/>
            <w:gridSpan w:val="3"/>
          </w:tcPr>
          <w:p>
            <w:pPr>
              <w:ind w:left="440"/>
              <w:spacing w:after="0"/>
              <w:rPr>
                <w:sz w:val="20"/>
                <w:szCs w:val="20"/>
                <w:color w:val="auto"/>
              </w:rPr>
            </w:pPr>
            <w:r>
              <w:rPr>
                <w:rFonts w:ascii="Arial" w:cs="Arial" w:eastAsia="Arial" w:hAnsi="Arial"/>
                <w:sz w:val="18"/>
                <w:szCs w:val="18"/>
                <w:color w:val="auto"/>
              </w:rPr>
              <w:t>Charter Communications, Inc.</w:t>
            </w:r>
          </w:p>
        </w:tc>
        <w:tc>
          <w:tcPr>
            <w:tcW w:w="2540" w:type="dxa"/>
            <w:vAlign w:val="bottom"/>
            <w:gridSpan w:val="3"/>
          </w:tcPr>
          <w:p>
            <w:pPr>
              <w:ind w:left="820"/>
              <w:spacing w:after="0"/>
              <w:rPr>
                <w:sz w:val="20"/>
                <w:szCs w:val="20"/>
                <w:color w:val="auto"/>
              </w:rPr>
            </w:pPr>
            <w:r>
              <w:rPr>
                <w:rFonts w:ascii="Arial" w:cs="Arial" w:eastAsia="Arial" w:hAnsi="Arial"/>
                <w:sz w:val="18"/>
                <w:szCs w:val="18"/>
                <w:color w:val="auto"/>
                <w:w w:val="89"/>
              </w:rPr>
              <w:t>Time Warner Cable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58825"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firstLine="8"/>
        <w:spacing w:after="0" w:line="278" w:lineRule="auto"/>
        <w:tabs>
          <w:tab w:leader="none" w:pos="171"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As Applicants in the proceedings in the above-captioned docket, the parties are providing the data and information above in the form of this joint letter for the sake of efficiency. Data and information specific to a party – for example, the discussion of the TWC-BHN service arrangements – is sourced from the relevant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15" w:name="page16"/>
    <w:bookmarkEnd w:id="15"/>
    <w:p>
      <w:pPr>
        <w:ind w:right="40"/>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389255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6" w:name="page17"/>
    <w:bookmarkEnd w:id="16"/>
    <w:p>
      <w:pPr>
        <w:spacing w:after="0" w:line="254" w:lineRule="auto"/>
        <w:rPr>
          <w:sz w:val="20"/>
          <w:szCs w:val="20"/>
          <w:color w:val="auto"/>
        </w:rPr>
      </w:pPr>
      <w:r>
        <w:rPr>
          <w:rFonts w:ascii="Arial" w:cs="Arial" w:eastAsia="Arial" w:hAnsi="Arial"/>
          <w:sz w:val="18"/>
          <w:szCs w:val="18"/>
          <w:color w:val="auto"/>
        </w:rPr>
        <w:t>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140"/>
      </w:cols>
      <w:pgMar w:left="240" w:top="50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3"/>
      <w:numFmt w:val="bullet"/>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7"/>
      <w:numFmt w:val="bullet"/>
      <w:start w:val="1"/>
    </w:lvl>
  </w:abstractNum>
  <w:abstractNum w:abstractNumId="5">
    <w:nsid w:val="66EF438D"/>
    <w:multiLevelType w:val="hybridMultilevel"/>
    <w:lvl w:ilvl="0">
      <w:lvlJc w:val="left"/>
      <w:lvlText w:val="9"/>
      <w:numFmt w:val="bullet"/>
      <w:start w:val="1"/>
    </w:lvl>
  </w:abstractNum>
  <w:abstractNum w:abstractNumId="6">
    <w:nsid w:val="140E0F76"/>
    <w:multiLevelType w:val="hybridMultilevel"/>
    <w:lvl w:ilvl="0">
      <w:lvlJc w:val="left"/>
      <w:lvlText w:val="%1"/>
      <w:numFmt w:val="decimal"/>
      <w:start w:val="11"/>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decimal"/>
      <w:start w:val="18"/>
    </w:lvl>
  </w:abstractNum>
  <w:abstractNum w:abstractNumId="9">
    <w:nsid w:val="DED7263"/>
    <w:multiLevelType w:val="hybridMultilevel"/>
    <w:lvl w:ilvl="0">
      <w:lvlJc w:val="left"/>
      <w:lvlText w:val="%1"/>
      <w:numFmt w:val="decimal"/>
      <w:start w:val="19"/>
    </w:lvl>
  </w:abstractNum>
  <w:abstractNum w:abstractNumId="10">
    <w:nsid w:val="7FDCC233"/>
    <w:multiLevelType w:val="hybridMultilevel"/>
    <w:lvl w:ilvl="0">
      <w:lvlJc w:val="left"/>
      <w:lvlText w:val="%1."/>
      <w:numFmt w:val="decimal"/>
      <w:start w:val="4"/>
    </w:lvl>
  </w:abstractNum>
  <w:abstractNum w:abstractNumId="11">
    <w:nsid w:val="1BEFD79F"/>
    <w:multiLevelType w:val="hybridMultilevel"/>
    <w:lvl w:ilvl="0">
      <w:lvlJc w:val="left"/>
      <w:lvlText w:val="%1"/>
      <w:numFmt w:val="decimal"/>
      <w:start w:val="22"/>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1"/>
      <w:numFmt w:val="decimal"/>
      <w:start w:val="24"/>
    </w:lvl>
  </w:abstractNum>
  <w:abstractNum w:abstractNumId="14">
    <w:nsid w:val="4E6AFB66"/>
    <w:multiLevelType w:val="hybridMultilevel"/>
    <w:lvl w:ilvl="0">
      <w:lvlJc w:val="left"/>
      <w:lvlText w:val="%1"/>
      <w:numFmt w:val="decimal"/>
      <w:start w:val="26"/>
    </w:lvl>
  </w:abstractNum>
  <w:abstractNum w:abstractNumId="15">
    <w:nsid w:val="25E45D32"/>
    <w:multiLevelType w:val="hybridMultilevel"/>
    <w:lvl w:ilvl="0">
      <w:lvlJc w:val="left"/>
      <w:lvlText w:val="%1"/>
      <w:numFmt w:val="decimal"/>
      <w:start w:val="29"/>
    </w:lvl>
  </w:abstractNum>
  <w:abstractNum w:abstractNumId="16">
    <w:nsid w:val="519B500D"/>
    <w:multiLevelType w:val="hybridMultilevel"/>
    <w:lvl w:ilvl="0">
      <w:lvlJc w:val="left"/>
      <w:lvlText w:val="%1"/>
      <w:numFmt w:val="decimal"/>
      <w:start w:val="31"/>
    </w:lvl>
  </w:abstractNum>
  <w:abstractNum w:abstractNumId="17">
    <w:nsid w:val="431BD7B7"/>
    <w:multiLevelType w:val="hybridMultilevel"/>
    <w:lvl w:ilvl="0">
      <w:lvlJc w:val="left"/>
      <w:lvlText w:val="%1"/>
      <w:numFmt w:val="decimal"/>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2019-12-16T12:07:39Z</dcterms:created>
  <dcterms:modified xsi:type="dcterms:W3CDTF">2019-12-16T12:07:39Z</dcterms:modified>
</cp:coreProperties>
</file>