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474,122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474,122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34.13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294,557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had previously elected to defer receipt of shares and to notionally reinvest the deferred compensation in another investment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were fully vested on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3948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3374</Characters>
  <CharactersWithSpaces>3931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