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November 2, 1999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rPr>
              <w:t>Pennsylvania</w:t>
            </w:r>
          </w:p>
        </w:tc>
        <w:tc>
          <w:tcPr>
            <w:tcW w:w="34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0-6983</w:t>
            </w:r>
          </w:p>
        </w:tc>
        <w:tc>
          <w:tcPr>
            <w:tcW w:w="2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23-1709202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(Commission file</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48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number)</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identification</w:t>
            </w:r>
          </w:p>
        </w:tc>
      </w:tr>
    </w:tbl>
    <w:p>
      <w:pPr>
        <w:spacing w:after="0" w:line="4" w:lineRule="exact"/>
        <w:rPr>
          <w:sz w:val="24"/>
          <w:szCs w:val="24"/>
          <w:color w:val="auto"/>
        </w:rPr>
      </w:pPr>
    </w:p>
    <w:p>
      <w:pPr>
        <w:sectPr>
          <w:pgSz w:w="11900" w:h="16838" w:orient="portrait"/>
          <w:cols w:equalWidth="0" w:num="1">
            <w:col w:w="10219"/>
          </w:cols>
          <w:pgMar w:left="240" w:top="244"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38" w:orient="portrait"/>
          <w:cols w:equalWidth="0" w:num="2">
            <w:col w:w="6660" w:space="720"/>
            <w:col w:w="2839"/>
          </w:cols>
          <w:pgMar w:left="240" w:top="244" w:right="1440" w:bottom="1440" w:gutter="0" w:footer="0" w:header="0"/>
          <w:type w:val="continuous"/>
        </w:sectPr>
      </w:pPr>
    </w:p>
    <w:p>
      <w:pPr>
        <w:spacing w:after="0" w:line="24" w:lineRule="exact"/>
        <w:rPr>
          <w:sz w:val="24"/>
          <w:szCs w:val="24"/>
          <w:color w:val="auto"/>
        </w:rPr>
      </w:pPr>
    </w:p>
    <w:p>
      <w:pPr>
        <w:jc w:val="center"/>
        <w:ind w:left="860" w:right="2619"/>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Exhibits are filed herewith in connection with the Registration Statement on Form S-3 (File No. 333-81391) originally filed on June 23, 1999 by Comcast Corporation (the "Company").</w:t>
      </w:r>
    </w:p>
    <w:p>
      <w:pPr>
        <w:spacing w:after="0" w:line="209" w:lineRule="exact"/>
        <w:rPr>
          <w:sz w:val="24"/>
          <w:szCs w:val="24"/>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November 2, 1999, the Company, Salomon Smith Barney Inc. and Merrill Lynch, Pierce, Fenner &amp; Smith Incorporated (the "Underwriters") entered into an underwriting agreement (the "Underwriting Agreement") pursuant to which the Underwriters agreed to purchase 7,000,000 of the Company's 2.0% Exchangeable Subordinated Debentures due November 2029 (the "Debentures"). The Underwriting Agreement is filed as an exhibit hereto, as well as a Form of Debenture.</w:t>
      </w:r>
    </w:p>
    <w:p>
      <w:pPr>
        <w:spacing w:after="0" w:line="186"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3, 1999, the Company filed a prospectus supplement (the "Prospectus Supplement") pursuant to Rule 424(b) of the Securities Act of 1933, as amended, relating to the Debentures.</w:t>
      </w: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1060" w:right="199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dated as of November 2, 1999 between the Company, Salomon Smith Barney Inc. and Merrill Lynch, Pierce, Fenner &amp; Smith Incorporated.</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Form of Debenture.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3, 1999</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William E. Dordelman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Dordelman</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122"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3259" w:hanging="1045"/>
        <w:spacing w:after="0" w:line="279" w:lineRule="auto"/>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Agreement dated as of November 2, 1999 between the Company, Salomon Smith Barney Inc. and Merrill Lynch, Pierce, Fenner &amp; Smith Incorporated.</w:t>
      </w:r>
    </w:p>
    <w:p>
      <w:pPr>
        <w:spacing w:after="0" w:line="173" w:lineRule="exact"/>
        <w:rPr>
          <w:sz w:val="20"/>
          <w:szCs w:val="20"/>
          <w:color w:val="auto"/>
        </w:rPr>
      </w:pPr>
    </w:p>
    <w:p>
      <w:pPr>
        <w:ind w:left="1580" w:hanging="1045"/>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Debenture.</w:t>
      </w:r>
    </w:p>
    <w:p>
      <w:pPr>
        <w:sectPr>
          <w:pgSz w:w="11900" w:h="16838" w:orient="portrait"/>
          <w:cols w:equalWidth="0" w:num="1">
            <w:col w:w="10219"/>
          </w:cols>
          <w:pgMar w:left="240" w:top="1122" w:right="1440" w:bottom="1440" w:gutter="0" w:footer="0" w:header="0"/>
        </w:sectPr>
      </w:pPr>
    </w:p>
    <w:bookmarkStart w:id="4" w:name="page5"/>
    <w:bookmarkEnd w:id="4"/>
    <w:p>
      <w:pPr>
        <w:ind w:left="738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November 2,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(the "Underwriter") understand that Comcast Corporation, a Pennsylvania corporation (the "Company"), proposes to issue and sell $571,427,500 aggregate principal amount of 2.0% Exchangeable Subordinated Debentures due November 2029 (the "Offered Securities"). The Offered Securities are to be issued pursuant to the provisions of the Indenture (the "Indenture") by and between the Company and Bankers Trust Company (the "Trustee").</w:t>
      </w:r>
    </w:p>
    <w:p>
      <w:pPr>
        <w:spacing w:after="0" w:line="18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Subject to the terms and conditions set forth or incorporated by reference herein, the Company hereby agrees to sell and the Underwriter agrees to purchase 7,000,000 Offered Securities set forth below at a purchase price of $80.00 per ZONES (as hereinafter defined), plus accrued interest, if any, from November 5, 1999 to the date of payment and delivery (the "Purchase Price").</w:t>
      </w:r>
    </w:p>
    <w:p>
      <w:pPr>
        <w:spacing w:after="0" w:line="18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Underwriter will pay for the Offered Securities upon delivery thereof at the offices of Davis Polk &amp; Wardwell, 450 Lexington Avenue, New York, New York at 10:00 a.m. (New York time) on November 5, 1999, or at such other time, not later than 5:00 p.m. (New York time) on November 10, 1999 as shall be designated in writing by the Underwriter and the Company. The time and date of such payment and delivery are hereinafter referred to as the Closing Date.</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Offered Securities shall have the terms set forth in the Prospectus dated September 15, 1999, and the Prospectus Supplement dated November 2, 1999 (together, the "Prospectus"), including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Offered Securities</w:t>
      </w:r>
    </w:p>
    <w:p>
      <w:pPr>
        <w:spacing w:after="0" w:line="207"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Securities: 2.0% Exchangeable Subordinated Debentures due November 2029 (each, a "ZONES").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November 15,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Interest Rate: Interest will be paid quarterly in an amount equal to $0.4082 per ZONES, or 2.0% per year of the original principal amount, plus the amount of any cash dividend paid on the reference shares attributable to each ZONES.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Redemption Provisions: Company may redeem at any time all but not some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of the ZONES as a redemption price equal to the sum of (a) the higher</w:t>
      </w:r>
    </w:p>
    <w:p>
      <w:pPr>
        <w:ind w:left="960"/>
        <w:spacing w:after="0" w:line="238" w:lineRule="auto"/>
        <w:rPr>
          <w:sz w:val="20"/>
          <w:szCs w:val="20"/>
          <w:color w:val="auto"/>
        </w:rPr>
      </w:pPr>
      <w:r>
        <w:rPr>
          <w:rFonts w:ascii="Courier New" w:cs="Courier New" w:eastAsia="Courier New" w:hAnsi="Courier New"/>
          <w:sz w:val="18"/>
          <w:szCs w:val="18"/>
          <w:color w:val="auto"/>
        </w:rPr>
        <w:t>of the Contingent Principal Amount of the ZONES or the sum of the</w:t>
      </w:r>
    </w:p>
    <w:p>
      <w:pPr>
        <w:ind w:left="960"/>
        <w:spacing w:after="0"/>
        <w:rPr>
          <w:sz w:val="20"/>
          <w:szCs w:val="20"/>
          <w:color w:val="auto"/>
        </w:rPr>
      </w:pPr>
      <w:r>
        <w:rPr>
          <w:rFonts w:ascii="Courier New" w:cs="Courier New" w:eastAsia="Courier New" w:hAnsi="Courier New"/>
          <w:sz w:val="18"/>
          <w:szCs w:val="18"/>
          <w:color w:val="auto"/>
        </w:rPr>
        <w:t>Current Market Value of the Reference Shares plus any deferred</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quarterly payments of interest, plus, in either case, the Final Period</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Distribution, and (b) $3.6735 per ZONES if redeemed prior to November</w:t>
      </w:r>
    </w:p>
    <w:p>
      <w:pPr>
        <w:ind w:left="960"/>
        <w:spacing w:after="0" w:line="238" w:lineRule="auto"/>
        <w:rPr>
          <w:sz w:val="20"/>
          <w:szCs w:val="20"/>
          <w:color w:val="auto"/>
        </w:rPr>
      </w:pPr>
      <w:r>
        <w:rPr>
          <w:rFonts w:ascii="Courier New" w:cs="Courier New" w:eastAsia="Courier New" w:hAnsi="Courier New"/>
          <w:sz w:val="18"/>
          <w:szCs w:val="18"/>
          <w:color w:val="auto"/>
        </w:rPr>
        <w:t>15, 2000, $2.4490 per ZONES if redeemed prior to November 15, 2001,</w:t>
      </w:r>
    </w:p>
    <w:p>
      <w:pPr>
        <w:ind w:left="960"/>
        <w:spacing w:after="0"/>
        <w:rPr>
          <w:sz w:val="20"/>
          <w:szCs w:val="20"/>
          <w:color w:val="auto"/>
        </w:rPr>
      </w:pPr>
      <w:r>
        <w:rPr>
          <w:rFonts w:ascii="Courier New" w:cs="Courier New" w:eastAsia="Courier New" w:hAnsi="Courier New"/>
          <w:sz w:val="18"/>
          <w:szCs w:val="18"/>
          <w:color w:val="auto"/>
        </w:rPr>
        <w:t>$1.2245 per ZONES if redeemed prior to November 15, 2002, or zero per</w:t>
      </w:r>
    </w:p>
    <w:p>
      <w:pPr>
        <w:ind w:left="960"/>
        <w:spacing w:after="0" w:line="237" w:lineRule="auto"/>
        <w:rPr>
          <w:sz w:val="20"/>
          <w:szCs w:val="20"/>
          <w:color w:val="auto"/>
        </w:rPr>
      </w:pPr>
      <w:r>
        <w:rPr>
          <w:rFonts w:ascii="Courier New" w:cs="Courier New" w:eastAsia="Courier New" w:hAnsi="Courier New"/>
          <w:sz w:val="18"/>
          <w:szCs w:val="18"/>
          <w:color w:val="auto"/>
        </w:rPr>
        <w:t>ZONES if redeemed any time on or after November 15, 2002.</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If, at any time on or prior to January 30, 2000, a "tax event" shall occur and be continuing, the Company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 day averaging period), plus any deferred quarterly payments of interest.</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 "tax event" means that the Trustee shall have received an opinion of</w:t>
      </w:r>
    </w:p>
    <w:p>
      <w:pPr>
        <w:sectPr>
          <w:pgSz w:w="11900" w:h="16838" w:orient="portrait"/>
          <w:cols w:equalWidth="0" w:num="1">
            <w:col w:w="10219"/>
          </w:cols>
          <w:pgMar w:left="240" w:top="339" w:right="1440" w:bottom="0" w:gutter="0" w:footer="0" w:header="0"/>
        </w:sectPr>
      </w:pPr>
    </w:p>
    <w:bookmarkStart w:id="5" w:name="page6"/>
    <w:bookmarkEnd w:id="5"/>
    <w:p>
      <w:pPr>
        <w:ind w:right="2099"/>
        <w:spacing w:after="0" w:line="270" w:lineRule="auto"/>
        <w:rPr>
          <w:sz w:val="20"/>
          <w:szCs w:val="20"/>
          <w:color w:val="auto"/>
        </w:rPr>
      </w:pPr>
      <w:r>
        <w:rPr>
          <w:rFonts w:ascii="Courier New" w:cs="Courier New" w:eastAsia="Courier New" w:hAnsi="Courier New"/>
          <w:sz w:val="16"/>
          <w:szCs w:val="16"/>
          <w:color w:val="auto"/>
        </w:rPr>
        <w:t>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 "change in tax law"), there is the creation by such change in tax law of a substantial risk that, as a result of entrance into the ZONES, the Company will be treated for purposes of Section 1259 of the Internal Revenue Code as having constructively sold some or all of its Sprint Corporation PCS Stock.</w:t>
      </w:r>
    </w:p>
    <w:p>
      <w:pPr>
        <w:spacing w:after="0" w:line="38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Interest Payment Dates: February 15, May 15, August 15, and November 15 commencing February 15, 2000.</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Form and Denomination: One Global ZONES will be deposited with The Depository Trust Company and the ZONES will be transferrable by book-entry only.</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142" w:right="1440" w:bottom="144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Ranking: Unsecured and subordinated obligations of the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Conversion Provisions: Not applicable.</w:t>
      </w:r>
    </w:p>
    <w:p>
      <w:pPr>
        <w:spacing w:after="0" w:line="207" w:lineRule="exact"/>
        <w:rPr>
          <w:sz w:val="20"/>
          <w:szCs w:val="20"/>
          <w:color w:val="auto"/>
        </w:rPr>
      </w:pPr>
    </w:p>
    <w:p>
      <w:pPr>
        <w:ind w:left="960" w:right="2099"/>
        <w:spacing w:after="0" w:line="273" w:lineRule="auto"/>
        <w:rPr>
          <w:sz w:val="20"/>
          <w:szCs w:val="20"/>
          <w:color w:val="auto"/>
        </w:rPr>
      </w:pPr>
      <w:r>
        <w:rPr>
          <w:rFonts w:ascii="Courier New" w:cs="Courier New" w:eastAsia="Courier New" w:hAnsi="Courier New"/>
          <w:sz w:val="16"/>
          <w:szCs w:val="16"/>
          <w:color w:val="auto"/>
        </w:rPr>
        <w:t>Exchange Provisions: Exchangeable, at holder's option, for an amount of cash equal to 95% (subject to adjustment as described in the Prospectus) of the market value of a share of Sprint Corporation PCS stock and any other publicly traded equity securities that may be distributed on or in respect of the Sprint PCS Stock.</w:t>
      </w:r>
    </w:p>
    <w:p>
      <w:pPr>
        <w:spacing w:after="0" w:line="185"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Lock Up: Company will not, during the period ending 45 days after the date of the Prospectus Supplement, directly or indirectly offer, sell, offer to sell, grant any option for the sale of or otherwise dispose of any ZONES, any securities convertible into or exchangeable for the ZONES or any equity securities substantially similar to the ZONES without the prior written consent of Salomon Smith Barney, Inc.</w:t>
      </w:r>
    </w:p>
    <w:p>
      <w:pPr>
        <w:spacing w:after="0" w:line="186"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Over-allotment Option: The Underwriter will have the option to purchase up to 1,050,000 additional ZONES at the Purchase Price to cover over-allotments. The Underwriter can exercise this option for a period of 30 days after the date hereof.</w:t>
      </w:r>
    </w:p>
    <w:p>
      <w:pPr>
        <w:spacing w:after="0" w:line="207" w:lineRule="exact"/>
        <w:rPr>
          <w:sz w:val="20"/>
          <w:szCs w:val="20"/>
          <w:color w:val="auto"/>
        </w:rPr>
      </w:pPr>
    </w:p>
    <w:p>
      <w:pPr>
        <w:ind w:left="960" w:right="1879"/>
        <w:spacing w:after="0" w:line="271" w:lineRule="auto"/>
        <w:rPr>
          <w:sz w:val="20"/>
          <w:szCs w:val="20"/>
          <w:color w:val="auto"/>
        </w:rPr>
      </w:pPr>
      <w:r>
        <w:rPr>
          <w:rFonts w:ascii="Courier New" w:cs="Courier New" w:eastAsia="Courier New" w:hAnsi="Courier New"/>
          <w:sz w:val="16"/>
          <w:szCs w:val="16"/>
          <w:color w:val="auto"/>
        </w:rPr>
        <w:t>Other Terms: This Agreement may be terminated in the absolute discretion of the Underwriter by notice given to the Company, if between 12:01am and 6:00pm, New York City time, on November 2, 1999, there shall have occurred any development relating to or affecting the proposed merger between Sprint Corporation and MCI WorldCom Inc. which would, in the judgment of the Underwriter, make it impracticable or inadvisable to consummate the offering of the ZONES.</w:t>
      </w:r>
    </w:p>
    <w:p>
      <w:pPr>
        <w:spacing w:after="0" w:line="18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Capitalized terms used above and not defined herein shall have the meanings set forth in the Prospectus referred to above.</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Except as set forth below, all provisions contained in the document entitled Comcast Corporation Underwriting Agreement Standard Provisions (Debt Securities, Warrants, Purchase Contracts and Units) dated September 20,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7" w:name="page8"/>
    <w:bookmarkEnd w:id="7"/>
    <w:p>
      <w:pPr>
        <w:ind w:right="2199"/>
        <w:spacing w:after="0" w:line="235" w:lineRule="auto"/>
        <w:rPr>
          <w:sz w:val="20"/>
          <w:szCs w:val="20"/>
          <w:color w:val="auto"/>
        </w:rPr>
      </w:pPr>
      <w:r>
        <w:rPr>
          <w:rFonts w:ascii="Courier New" w:cs="Courier New" w:eastAsia="Courier New" w:hAnsi="Courier New"/>
          <w:sz w:val="18"/>
          <w:szCs w:val="18"/>
          <w:color w:val="auto"/>
        </w:rPr>
        <w:t>Please confirm your agreement by having an authorized officer sign a copy of this Agreement in the space set forth below.</w:t>
      </w: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SALOMON SMITH BARNEY INC.</w:t>
      </w:r>
    </w:p>
    <w:p>
      <w:pPr>
        <w:ind w:left="4020"/>
        <w:spacing w:after="0" w:line="238" w:lineRule="auto"/>
        <w:rPr>
          <w:sz w:val="20"/>
          <w:szCs w:val="20"/>
          <w:color w:val="auto"/>
        </w:rPr>
      </w:pPr>
      <w:r>
        <w:rPr>
          <w:rFonts w:ascii="Courier New" w:cs="Courier New" w:eastAsia="Courier New" w:hAnsi="Courier New"/>
          <w:sz w:val="18"/>
          <w:szCs w:val="18"/>
          <w:color w:val="auto"/>
        </w:rPr>
        <w:t>MERRILL LYNCH, PIERCE, FENNER &amp;</w:t>
      </w:r>
    </w:p>
    <w:p>
      <w:pPr>
        <w:ind w:left="4020"/>
        <w:spacing w:after="0"/>
        <w:rPr>
          <w:sz w:val="20"/>
          <w:szCs w:val="20"/>
          <w:color w:val="auto"/>
        </w:rPr>
      </w:pPr>
      <w:r>
        <w:rPr>
          <w:rFonts w:ascii="Courier New" w:cs="Courier New" w:eastAsia="Courier New" w:hAnsi="Courier New"/>
          <w:sz w:val="18"/>
          <w:szCs w:val="18"/>
          <w:color w:val="auto"/>
        </w:rPr>
        <w:t>SMITH INCORPORATED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Acting severally on behalf of themselves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and the several Underwriters named herein</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SALOMON SMITH BARNEY INC.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Alan M. Rifkin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Alan M. Rifkin</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E. Dordelman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Dordelman</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 - Finance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STANDARD PROVISIONS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(DEBT SECURITIES, WARRANTS, PURCHASE CONTRACTS AND UNITS)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20, 1999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From time to time, Comcast Corporation, a Pennsylvania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proposes to issue from time to time (a) its debt securities ("Debt Securities"), (b) warrants ("Warrants") and (c)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has filed with the Securities and Exchange Commission (the "Commission") a registration statement including a prospectus relating to the Debt Securities, Warrants, Purchase Contracts and Units (collectively, the "Securities") and has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w:t>
      </w:r>
    </w:p>
    <w:p>
      <w:pPr>
        <w:sectPr>
          <w:pgSz w:w="11900" w:h="16838" w:orient="portrait"/>
          <w:cols w:equalWidth="0" w:num="1">
            <w:col w:w="10219"/>
          </w:cols>
          <w:pgMar w:left="240" w:top="1122" w:right="1440" w:bottom="1440" w:gutter="0" w:footer="0" w:header="0"/>
        </w:sectPr>
      </w:pPr>
    </w:p>
    <w:bookmarkStart w:id="9" w:name="page10"/>
    <w:bookmarkEnd w:id="9"/>
    <w:p>
      <w:pPr>
        <w:ind w:right="1879"/>
        <w:spacing w:after="0" w:line="238" w:lineRule="auto"/>
        <w:rPr>
          <w:sz w:val="20"/>
          <w:szCs w:val="20"/>
          <w:color w:val="auto"/>
        </w:rPr>
      </w:pPr>
      <w:r>
        <w:rPr>
          <w:rFonts w:ascii="Courier New" w:cs="Courier New" w:eastAsia="Courier New" w:hAnsi="Courier New"/>
          <w:sz w:val="18"/>
          <w:szCs w:val="18"/>
          <w:color w:val="auto"/>
        </w:rPr>
        <w:t>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 If the Company has filed an abbreviated registration statement to register additional Debt Securities and Warrants pursuant to Rule 462(b) under the Securities Act (the "Rule 462 Registration Statement"), then any reference herein to the term "Registration Statement" shall be deemed to include such Rule 462 Registration Statement.</w:t>
      </w:r>
    </w:p>
    <w:p>
      <w:pPr>
        <w:spacing w:after="0" w:line="207" w:lineRule="exact"/>
        <w:rPr>
          <w:sz w:val="20"/>
          <w:szCs w:val="20"/>
          <w:color w:val="auto"/>
        </w:rPr>
      </w:pPr>
    </w:p>
    <w:p>
      <w:pPr>
        <w:ind w:right="1879" w:firstLine="535"/>
        <w:spacing w:after="0" w:line="269"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and (b) statements or omissions in the Registration Statement or the Prospectus or any amendment or supplement thereto based upon information furnished to the Company in writing by any Underwriter through the Manager expressly for use therein.</w:t>
      </w:r>
    </w:p>
    <w:p>
      <w:pPr>
        <w:spacing w:after="0" w:line="396" w:lineRule="exact"/>
        <w:rPr>
          <w:rFonts w:ascii="Courier New" w:cs="Courier New" w:eastAsia="Courier New" w:hAnsi="Courier New"/>
          <w:sz w:val="16"/>
          <w:szCs w:val="16"/>
          <w:color w:val="auto"/>
        </w:rPr>
      </w:pPr>
    </w:p>
    <w:p>
      <w:pPr>
        <w:ind w:right="1879" w:firstLine="535"/>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registered in such names and in such denominations as the Manager shall request in writing not less than one full business day prior to the date of delivery, with any transfer taxes payable in connection with the transfer of the Offered Securities to the Underwriters duly paid.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1440" w:gutter="0" w:footer="0" w:header="0"/>
        </w:sectPr>
      </w:pPr>
    </w:p>
    <w:bookmarkStart w:id="10" w:name="page11"/>
    <w:bookmarkEnd w:id="10"/>
    <w:p>
      <w:pPr>
        <w:ind w:left="-535" w:right="2419" w:firstLine="535"/>
        <w:spacing w:after="0" w:line="235" w:lineRule="auto"/>
        <w:tabs>
          <w:tab w:leader="none" w:pos="30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several obligations of the Underwriters hereunder are subject to the following conditions:</w:t>
      </w:r>
    </w:p>
    <w:p>
      <w:pPr>
        <w:spacing w:after="0" w:line="208" w:lineRule="exact"/>
        <w:rPr>
          <w:rFonts w:ascii="Courier New" w:cs="Courier New" w:eastAsia="Courier New" w:hAnsi="Courier New"/>
          <w:sz w:val="18"/>
          <w:szCs w:val="18"/>
          <w:color w:val="auto"/>
        </w:rPr>
      </w:pPr>
    </w:p>
    <w:p>
      <w:pPr>
        <w:ind w:left="5" w:right="1879" w:firstLine="521"/>
        <w:spacing w:after="0" w:line="238" w:lineRule="auto"/>
        <w:tabs>
          <w:tab w:leader="none" w:pos="9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207" w:lineRule="exact"/>
        <w:rPr>
          <w:rFonts w:ascii="Courier New" w:cs="Courier New" w:eastAsia="Courier New" w:hAnsi="Courier New"/>
          <w:sz w:val="18"/>
          <w:szCs w:val="18"/>
          <w:color w:val="auto"/>
        </w:rPr>
      </w:pPr>
    </w:p>
    <w:p>
      <w:pPr>
        <w:ind w:left="5" w:right="1879" w:firstLine="521"/>
        <w:spacing w:after="0" w:line="236" w:lineRule="auto"/>
        <w:tabs>
          <w:tab w:leader="none" w:pos="9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Arthur R. Block, Esquire, Senior Deputy General Counsel of the Company, dated the Closing Date, to the effect that:</w:t>
      </w:r>
    </w:p>
    <w:p>
      <w:pPr>
        <w:spacing w:after="0" w:line="208" w:lineRule="exact"/>
        <w:rPr>
          <w:rFonts w:ascii="Courier New" w:cs="Courier New" w:eastAsia="Courier New" w:hAnsi="Courier New"/>
          <w:sz w:val="18"/>
          <w:szCs w:val="18"/>
          <w:color w:val="auto"/>
        </w:rPr>
      </w:pPr>
    </w:p>
    <w:p>
      <w:pPr>
        <w:ind w:left="525" w:right="1879" w:firstLine="528"/>
        <w:spacing w:after="0" w:line="272" w:lineRule="auto"/>
        <w:tabs>
          <w:tab w:leader="none" w:pos="1473"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385" w:lineRule="exact"/>
        <w:rPr>
          <w:rFonts w:ascii="Courier New" w:cs="Courier New" w:eastAsia="Courier New" w:hAnsi="Courier New"/>
          <w:sz w:val="16"/>
          <w:szCs w:val="16"/>
          <w:color w:val="auto"/>
        </w:rPr>
      </w:pPr>
    </w:p>
    <w:p>
      <w:pPr>
        <w:ind w:left="525" w:right="1879" w:firstLine="528"/>
        <w:spacing w:after="0" w:line="237" w:lineRule="auto"/>
        <w:tabs>
          <w:tab w:leader="none" w:pos="1579"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Comcast Cable Communications, Inc. and QVC, Inc. (such corporations are together the "specified subsidiaries" of the Company and each is a "specified subsidiary" of the Company) has been duly incorporated, is validly existing as a corporation in good standing under the laws of the jurisdiction of its incorporation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15" w:lineRule="exact"/>
        <w:rPr>
          <w:rFonts w:ascii="Courier New" w:cs="Courier New" w:eastAsia="Courier New" w:hAnsi="Courier New"/>
          <w:sz w:val="18"/>
          <w:szCs w:val="18"/>
          <w:color w:val="auto"/>
        </w:rPr>
      </w:pPr>
    </w:p>
    <w:p>
      <w:pPr>
        <w:jc w:val="both"/>
        <w:ind w:left="525" w:right="1879" w:firstLine="528"/>
        <w:spacing w:after="0" w:line="275" w:lineRule="auto"/>
        <w:tabs>
          <w:tab w:leader="none" w:pos="1684"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dated as of June 15, 1999 (the "Senior Indenture") between the Company and Bank of Montreal Trust Company, as trustee, and the Subordinated Indenture dated as of June 15, 1999 (the "Subordinated Indenture") between the Company and</w:t>
      </w:r>
    </w:p>
    <w:p>
      <w:pPr>
        <w:spacing w:after="0" w:line="17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1128" w:right="1440" w:bottom="1440" w:gutter="0" w:footer="0" w:header="0"/>
        </w:sectPr>
      </w:pPr>
    </w:p>
    <w:bookmarkStart w:id="11" w:name="page12"/>
    <w:bookmarkEnd w:id="11"/>
    <w:p>
      <w:pPr>
        <w:ind w:right="1999"/>
        <w:spacing w:after="0" w:line="235" w:lineRule="auto"/>
        <w:rPr>
          <w:sz w:val="20"/>
          <w:szCs w:val="20"/>
          <w:color w:val="auto"/>
        </w:rPr>
      </w:pPr>
      <w:r>
        <w:rPr>
          <w:rFonts w:ascii="Courier New" w:cs="Courier New" w:eastAsia="Courier New" w:hAnsi="Courier New"/>
          <w:sz w:val="18"/>
          <w:szCs w:val="18"/>
          <w:color w:val="auto"/>
        </w:rPr>
        <w:t>Bankers Trust Company, as trustee has been duly authorized, executed and delivered by the Company,</w:t>
      </w:r>
    </w:p>
    <w:p>
      <w:pPr>
        <w:spacing w:after="0" w:line="208" w:lineRule="exact"/>
        <w:rPr>
          <w:sz w:val="20"/>
          <w:szCs w:val="20"/>
          <w:color w:val="auto"/>
        </w:rPr>
      </w:pPr>
    </w:p>
    <w:p>
      <w:pPr>
        <w:ind w:right="2199" w:firstLine="528"/>
        <w:spacing w:after="0" w:line="23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right="2619" w:firstLine="528"/>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 Agreement, if any, has been duly authorized, executed and delivered by the Company,</w:t>
      </w:r>
    </w:p>
    <w:p>
      <w:pPr>
        <w:spacing w:after="0" w:line="202" w:lineRule="exact"/>
        <w:rPr>
          <w:rFonts w:ascii="Courier New" w:cs="Courier New" w:eastAsia="Courier New" w:hAnsi="Courier New"/>
          <w:sz w:val="18"/>
          <w:szCs w:val="18"/>
          <w:color w:val="auto"/>
        </w:rPr>
      </w:pPr>
    </w:p>
    <w:p>
      <w:pPr>
        <w:ind w:left="1060" w:hanging="53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have been duly authorized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2419" w:firstLine="528"/>
        <w:spacing w:after="0" w:line="235"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right="1879" w:firstLine="528"/>
        <w:spacing w:after="0" w:line="269"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the Company of its obligations under this Agreement, the Senior Indenture, the Subordinated Indenture,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1128" w:right="1440" w:bottom="1440" w:gutter="0" w:footer="0" w:header="0"/>
        </w:sectPr>
      </w:pPr>
    </w:p>
    <w:bookmarkStart w:id="12" w:name="page13"/>
    <w:bookmarkEnd w:id="12"/>
    <w:p>
      <w:pPr>
        <w:ind w:right="1999"/>
        <w:spacing w:after="0" w:line="235" w:lineRule="auto"/>
        <w:rPr>
          <w:sz w:val="20"/>
          <w:szCs w:val="20"/>
          <w:color w:val="auto"/>
        </w:rPr>
      </w:pPr>
      <w:r>
        <w:rPr>
          <w:rFonts w:ascii="Courier New" w:cs="Courier New" w:eastAsia="Courier New" w:hAnsi="Courier New"/>
          <w:sz w:val="18"/>
          <w:szCs w:val="18"/>
          <w:color w:val="auto"/>
        </w:rPr>
        <w:t>Offered Securities, the Warrant Agreement and the Unit Agreement, if any,</w:t>
      </w:r>
    </w:p>
    <w:p>
      <w:pPr>
        <w:spacing w:after="0" w:line="208" w:lineRule="exact"/>
        <w:rPr>
          <w:sz w:val="20"/>
          <w:szCs w:val="20"/>
          <w:color w:val="auto"/>
        </w:rPr>
      </w:pPr>
    </w:p>
    <w:p>
      <w:pPr>
        <w:ind w:right="1879" w:firstLine="528"/>
        <w:spacing w:after="0" w:line="238"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208" w:lineRule="exact"/>
        <w:rPr>
          <w:rFonts w:ascii="Courier New" w:cs="Courier New" w:eastAsia="Courier New" w:hAnsi="Courier New"/>
          <w:sz w:val="18"/>
          <w:szCs w:val="18"/>
          <w:color w:val="auto"/>
        </w:rPr>
      </w:pPr>
    </w:p>
    <w:p>
      <w:pPr>
        <w:ind w:right="2099" w:firstLine="528"/>
        <w:spacing w:after="0" w:line="271" w:lineRule="auto"/>
        <w:tabs>
          <w:tab w:leader="none" w:pos="9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183" w:lineRule="exact"/>
        <w:rPr>
          <w:rFonts w:ascii="Courier New" w:cs="Courier New" w:eastAsia="Courier New" w:hAnsi="Courier New"/>
          <w:sz w:val="16"/>
          <w:szCs w:val="16"/>
          <w:color w:val="auto"/>
        </w:rPr>
      </w:pPr>
    </w:p>
    <w:p>
      <w:pPr>
        <w:ind w:right="1879" w:firstLine="528"/>
        <w:spacing w:after="0" w:line="237"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213" w:lineRule="exact"/>
        <w:rPr>
          <w:rFonts w:ascii="Courier New" w:cs="Courier New" w:eastAsia="Courier New" w:hAnsi="Courier New"/>
          <w:sz w:val="18"/>
          <w:szCs w:val="18"/>
          <w:color w:val="auto"/>
        </w:rPr>
      </w:pPr>
    </w:p>
    <w:p>
      <w:pPr>
        <w:ind w:right="2099" w:firstLine="528"/>
        <w:spacing w:after="0" w:line="237"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into which the Offered Securities are convertible, initially reserved for issuance upon conversion of the Offered Securities (the "Underlying Securities") have been duly authorized and reserved for issuance, and</w:t>
      </w:r>
    </w:p>
    <w:p>
      <w:pPr>
        <w:spacing w:after="0" w:line="207" w:lineRule="exact"/>
        <w:rPr>
          <w:rFonts w:ascii="Courier New" w:cs="Courier New" w:eastAsia="Courier New" w:hAnsi="Courier New"/>
          <w:sz w:val="18"/>
          <w:szCs w:val="18"/>
          <w:color w:val="auto"/>
        </w:rPr>
      </w:pPr>
    </w:p>
    <w:p>
      <w:pPr>
        <w:jc w:val="both"/>
        <w:ind w:right="1879" w:firstLine="528"/>
        <w:spacing w:after="0" w:line="290"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Underlying Securities are issued upon conversion of the Offered Securities in accordance with the terms of the Offered</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1128" w:right="1440" w:bottom="1440" w:gutter="0" w:footer="0" w:header="0"/>
        </w:sectPr>
      </w:pPr>
    </w:p>
    <w:bookmarkStart w:id="13" w:name="page14"/>
    <w:bookmarkEnd w:id="13"/>
    <w:p>
      <w:pPr>
        <w:jc w:val="both"/>
        <w:ind w:left="1060" w:right="1999"/>
        <w:spacing w:after="0" w:line="279" w:lineRule="auto"/>
        <w:rPr>
          <w:sz w:val="20"/>
          <w:szCs w:val="20"/>
          <w:color w:val="auto"/>
        </w:rPr>
      </w:pPr>
      <w:r>
        <w:rPr>
          <w:rFonts w:ascii="Courier New" w:cs="Courier New" w:eastAsia="Courier New" w:hAnsi="Courier New"/>
          <w:sz w:val="16"/>
          <w:szCs w:val="16"/>
          <w:color w:val="auto"/>
        </w:rPr>
        <w:t>Securities, such Underlying Securities will be validly issued, fully paid and non-assessable and will not be subject to any preemptive or other right to subscribe for or purchase such Underlying Securities.</w:t>
      </w:r>
    </w:p>
    <w:p>
      <w:pPr>
        <w:spacing w:after="0" w:line="17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00" w:lineRule="exact"/>
        <w:rPr>
          <w:sz w:val="20"/>
          <w:szCs w:val="20"/>
          <w:color w:val="auto"/>
        </w:rPr>
      </w:pPr>
    </w:p>
    <w:p>
      <w:pPr>
        <w:spacing w:after="0" w:line="39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10" w:lineRule="exact"/>
        <w:rPr>
          <w:sz w:val="20"/>
          <w:szCs w:val="20"/>
          <w:color w:val="auto"/>
        </w:rPr>
      </w:pPr>
    </w:p>
    <w:p>
      <w:pPr>
        <w:ind w:left="540" w:right="1879" w:firstLine="521"/>
        <w:spacing w:after="0" w:line="236"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Davis Polk &amp; Wardwell, special counsel for the Company, dated the Closing Date, to the effect that:</w:t>
      </w:r>
    </w:p>
    <w:p>
      <w:pPr>
        <w:spacing w:after="0" w:line="208" w:lineRule="exact"/>
        <w:rPr>
          <w:rFonts w:ascii="Courier New" w:cs="Courier New" w:eastAsia="Courier New" w:hAnsi="Courier New"/>
          <w:sz w:val="18"/>
          <w:szCs w:val="18"/>
          <w:color w:val="auto"/>
        </w:rPr>
      </w:pPr>
    </w:p>
    <w:p>
      <w:pPr>
        <w:ind w:left="1060" w:right="2099" w:firstLine="528"/>
        <w:spacing w:after="0" w:line="290" w:lineRule="auto"/>
        <w:tabs>
          <w:tab w:leader="none" w:pos="200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each of the Senior Indenture and the Subordinated Indenture have been duly authorized, executed and delivered by the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Company and duly executed and delivered by the respective trustee thereto, each of the Senior Indenture and the Subordinated Indenture is a valid and binding agreement of the Company, enforceable against the Company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2" w:lineRule="exact"/>
        <w:rPr>
          <w:sz w:val="20"/>
          <w:szCs w:val="20"/>
          <w:color w:val="auto"/>
        </w:rPr>
      </w:pPr>
    </w:p>
    <w:p>
      <w:pPr>
        <w:ind w:right="1879" w:firstLine="528"/>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2" w:lineRule="exact"/>
        <w:rPr>
          <w:rFonts w:ascii="Courier New" w:cs="Courier New" w:eastAsia="Courier New" w:hAnsi="Courier New"/>
          <w:sz w:val="18"/>
          <w:szCs w:val="18"/>
          <w:color w:val="auto"/>
        </w:rPr>
      </w:pPr>
    </w:p>
    <w:p>
      <w:pPr>
        <w:ind w:right="1999" w:firstLine="528"/>
        <w:spacing w:after="0" w:line="237"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2" w:lineRule="exact"/>
        <w:rPr>
          <w:rFonts w:ascii="Courier New" w:cs="Courier New" w:eastAsia="Courier New" w:hAnsi="Courier New"/>
          <w:sz w:val="18"/>
          <w:szCs w:val="18"/>
          <w:color w:val="auto"/>
        </w:rPr>
      </w:pPr>
    </w:p>
    <w:p>
      <w:pPr>
        <w:ind w:right="1879" w:firstLine="528"/>
        <w:spacing w:after="0" w:line="269"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Offered Securities have been authorized by the Company, the Offered Securities, when executed and authenticated in accordance with the provisions of the relevant Senior Indenture, Subordinated Indenture, the Warrant Agreement and the Unit Agreement, as the case may be, and delivered to and paid for (A) by the Underwriters in accordance with the terms of this Agreement, and (B) upon exercise of the Warrants pursuant to the Warrant Agreement, in the case of Warrant Securities, will be valid and binding obligations of the Company, enforceable against the Company in accordance with their terms (subject, as to enforcement of remedies, to applicable bankruptcy, reorganization, insolvency, moratorium or other similar laws affecting creditors' rights generally from time to time in effect and to general equity principles), and will be entitled to the benefits of the relevant Senior Indenture, Subordinated Indenture, the Warrant Agreement and the Unit Agreement, as the case may be,</w:t>
      </w:r>
    </w:p>
    <w:p>
      <w:pPr>
        <w:spacing w:after="0" w:line="193" w:lineRule="exact"/>
        <w:rPr>
          <w:rFonts w:ascii="Courier New" w:cs="Courier New" w:eastAsia="Courier New" w:hAnsi="Courier New"/>
          <w:sz w:val="16"/>
          <w:szCs w:val="16"/>
          <w:color w:val="auto"/>
        </w:rPr>
      </w:pPr>
    </w:p>
    <w:p>
      <w:pPr>
        <w:ind w:right="1999" w:firstLine="528"/>
        <w:spacing w:after="0" w:line="235"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Senior Indenture and the Subordinated Indenture has been duly qualified under the Trust Indenture Act,</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1128" w:right="1440" w:bottom="1440" w:gutter="0" w:footer="0" w:header="0"/>
        </w:sectPr>
      </w:pPr>
    </w:p>
    <w:bookmarkStart w:id="15" w:name="page16"/>
    <w:bookmarkEnd w:id="15"/>
    <w:p>
      <w:pPr>
        <w:ind w:left="1060" w:right="1879" w:firstLine="528"/>
        <w:spacing w:after="0" w:line="269" w:lineRule="auto"/>
        <w:tabs>
          <w:tab w:leader="none" w:pos="211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the Company of its obligations under this Agreement, the Senior Indenture, the Subordinated Indenture, the Offered Securities, the Warrant Agreement and the Unit Agreement, if any, and</w:t>
      </w:r>
    </w:p>
    <w:p>
      <w:pPr>
        <w:spacing w:after="0" w:line="392" w:lineRule="exact"/>
        <w:rPr>
          <w:rFonts w:ascii="Courier New" w:cs="Courier New" w:eastAsia="Courier New" w:hAnsi="Courier New"/>
          <w:sz w:val="16"/>
          <w:szCs w:val="16"/>
          <w:color w:val="auto"/>
        </w:rPr>
      </w:pPr>
    </w:p>
    <w:p>
      <w:pPr>
        <w:ind w:left="1060" w:right="1879" w:firstLine="528"/>
        <w:spacing w:after="0" w:line="237" w:lineRule="auto"/>
        <w:tabs>
          <w:tab w:leader="none" w:pos="221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Prospectus Supplement under "Description of [the Offered Securities]", "Certain U.S. Tax Considerations" and "Underwriting" and in the Basic Prospectus under "Description of [the Offered Securities]", "United States Taxation" and "Plan of Distribution", insofar as such statements constitute a summary of the legal matters or documents referred to therein, fairly present the information called for with respect to such legal matters and documents.</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16" w:name="page17"/>
    <w:bookmarkEnd w:id="16"/>
    <w:p>
      <w:pPr>
        <w:ind w:right="1999"/>
        <w:spacing w:after="0" w:line="271" w:lineRule="auto"/>
        <w:rPr>
          <w:sz w:val="20"/>
          <w:szCs w:val="20"/>
          <w:color w:val="auto"/>
        </w:rPr>
      </w:pPr>
      <w:r>
        <w:rPr>
          <w:rFonts w:ascii="Courier New" w:cs="Courier New" w:eastAsia="Courier New" w:hAnsi="Courier New"/>
          <w:sz w:val="16"/>
          <w:szCs w:val="16"/>
          <w:color w:val="auto"/>
        </w:rPr>
        <w:t>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211" w:lineRule="exact"/>
        <w:rPr>
          <w:sz w:val="20"/>
          <w:szCs w:val="20"/>
          <w:color w:val="auto"/>
        </w:rPr>
      </w:pPr>
    </w:p>
    <w:p>
      <w:pPr>
        <w:jc w:val="both"/>
        <w:ind w:left="540" w:right="1879" w:firstLine="521"/>
        <w:spacing w:after="0" w:line="236"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Dow, Lohnes and Albertson, PLLC special counsel for the Company, dated the Closing Date, to the effect that:</w:t>
      </w:r>
    </w:p>
    <w:p>
      <w:pPr>
        <w:spacing w:after="0" w:line="208" w:lineRule="exact"/>
        <w:rPr>
          <w:rFonts w:ascii="Courier New" w:cs="Courier New" w:eastAsia="Courier New" w:hAnsi="Courier New"/>
          <w:sz w:val="18"/>
          <w:szCs w:val="18"/>
          <w:color w:val="auto"/>
        </w:rPr>
      </w:pPr>
    </w:p>
    <w:p>
      <w:pPr>
        <w:jc w:val="both"/>
        <w:ind w:left="1060" w:right="2199" w:firstLine="528"/>
        <w:spacing w:after="0" w:line="236" w:lineRule="auto"/>
        <w:tabs>
          <w:tab w:leader="none" w:pos="200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of the Federal Communications Commission (the "FCC") is required in connection with the issuance and sale of the Offered Securities,</w:t>
      </w:r>
    </w:p>
    <w:p>
      <w:pPr>
        <w:spacing w:after="0" w:line="208" w:lineRule="exact"/>
        <w:rPr>
          <w:rFonts w:ascii="Courier New" w:cs="Courier New" w:eastAsia="Courier New" w:hAnsi="Courier New"/>
          <w:sz w:val="18"/>
          <w:szCs w:val="18"/>
          <w:color w:val="auto"/>
        </w:rPr>
      </w:pPr>
    </w:p>
    <w:p>
      <w:pPr>
        <w:ind w:left="1060" w:right="1879" w:firstLine="528"/>
        <w:spacing w:after="0" w:line="270" w:lineRule="auto"/>
        <w:tabs>
          <w:tab w:leader="none" w:pos="211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the Senior Indenture, the Subordinated Indenture, the Warrant Agreement and the Unit Agreement, if any, by the Company, the fulfillment of the terms set forth herein and therein by the Company and the consummation of the transactions contemplated hereby and thereby by the Company do not violate any statute, regulation or other law of the United States relating specifically to the cable communications industry (except as otherwise explicitly set forth in the Prospectus) or, to the knowledge of such counsel, any order, 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387" w:lineRule="exact"/>
        <w:rPr>
          <w:rFonts w:ascii="Courier New" w:cs="Courier New" w:eastAsia="Courier New" w:hAnsi="Courier New"/>
          <w:sz w:val="16"/>
          <w:szCs w:val="16"/>
          <w:color w:val="auto"/>
        </w:rPr>
      </w:pPr>
    </w:p>
    <w:p>
      <w:pPr>
        <w:ind w:left="1060" w:right="1879" w:firstLine="528"/>
        <w:spacing w:after="0" w:line="237" w:lineRule="auto"/>
        <w:tabs>
          <w:tab w:leader="none" w:pos="221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17" w:name="page18"/>
    <w:bookmarkEnd w:id="17"/>
    <w:p>
      <w:pPr>
        <w:ind w:left="525" w:right="1999"/>
        <w:spacing w:after="0" w:line="279" w:lineRule="auto"/>
        <w:rPr>
          <w:sz w:val="20"/>
          <w:szCs w:val="20"/>
          <w:color w:val="auto"/>
        </w:rPr>
      </w:pPr>
      <w:r>
        <w:rPr>
          <w:rFonts w:ascii="Courier New" w:cs="Courier New" w:eastAsia="Courier New" w:hAnsi="Courier New"/>
          <w:sz w:val="16"/>
          <w:szCs w:val="16"/>
          <w:color w:val="auto"/>
        </w:rPr>
        <w:t>or legal conclusions, have been reviewed by such counsel and present in all material respects the information called for with respect to such statements of federal law or legal conclusions, and</w:t>
      </w:r>
    </w:p>
    <w:p>
      <w:pPr>
        <w:spacing w:after="0" w:line="178" w:lineRule="exact"/>
        <w:rPr>
          <w:sz w:val="20"/>
          <w:szCs w:val="20"/>
          <w:color w:val="auto"/>
        </w:rPr>
      </w:pPr>
    </w:p>
    <w:p>
      <w:pPr>
        <w:ind w:left="525" w:right="1879" w:firstLine="528"/>
        <w:spacing w:after="0" w:line="237" w:lineRule="auto"/>
        <w:tabs>
          <w:tab w:leader="none" w:pos="1579"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212"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Cahill Gordon &amp; Reindel (a partnership including a professional organization), counsel for the Underwriters, dated the Closing Date, covering the matters requested by and in form and substance reasonably satisfactory to the Manager.</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212" w:lineRule="exact"/>
        <w:rPr>
          <w:rFonts w:ascii="Courier New" w:cs="Courier New" w:eastAsia="Courier New" w:hAnsi="Courier New"/>
          <w:sz w:val="18"/>
          <w:szCs w:val="18"/>
          <w:color w:val="auto"/>
        </w:rPr>
      </w:pPr>
    </w:p>
    <w:p>
      <w:pPr>
        <w:jc w:val="both"/>
        <w:ind w:left="5" w:right="1999" w:firstLine="521"/>
        <w:spacing w:after="0" w:line="237" w:lineRule="auto"/>
        <w:tabs>
          <w:tab w:leader="none" w:pos="95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207" w:lineRule="exact"/>
        <w:rPr>
          <w:rFonts w:ascii="Courier New" w:cs="Courier New" w:eastAsia="Courier New" w:hAnsi="Courier New"/>
          <w:sz w:val="18"/>
          <w:szCs w:val="18"/>
          <w:color w:val="auto"/>
        </w:rPr>
      </w:pPr>
    </w:p>
    <w:p>
      <w:pPr>
        <w:ind w:left="-535" w:right="1879" w:firstLine="535"/>
        <w:spacing w:after="0" w:line="235" w:lineRule="auto"/>
        <w:tabs>
          <w:tab w:leader="none" w:pos="30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In further consideration of the agreements of the Underwriters herein contained, the Company covenants as follows:</w:t>
      </w:r>
    </w:p>
    <w:p>
      <w:pPr>
        <w:spacing w:after="0" w:line="208" w:lineRule="exact"/>
        <w:rPr>
          <w:rFonts w:ascii="Courier New" w:cs="Courier New" w:eastAsia="Courier New" w:hAnsi="Courier New"/>
          <w:sz w:val="18"/>
          <w:szCs w:val="18"/>
          <w:color w:val="auto"/>
        </w:rPr>
      </w:pPr>
    </w:p>
    <w:p>
      <w:pPr>
        <w:ind w:left="5" w:right="2199" w:firstLine="521"/>
        <w:spacing w:after="0" w:line="237" w:lineRule="auto"/>
        <w:tabs>
          <w:tab w:leader="none" w:pos="95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200" w:lineRule="exact"/>
        <w:rPr>
          <w:sz w:val="20"/>
          <w:szCs w:val="20"/>
          <w:color w:val="auto"/>
        </w:rPr>
      </w:pPr>
    </w:p>
    <w:p>
      <w:pPr>
        <w:spacing w:after="0" w:line="20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1128" w:right="1440" w:bottom="1440" w:gutter="0" w:footer="0" w:header="0"/>
        </w:sectPr>
      </w:pPr>
    </w:p>
    <w:bookmarkStart w:id="18" w:name="page19"/>
    <w:bookmarkEnd w:id="18"/>
    <w:p>
      <w:pPr>
        <w:ind w:left="5" w:right="2199" w:firstLine="521"/>
        <w:spacing w:after="0" w:line="236"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amending or supplementing the Registration Statement or the Prospectus, to furnish the Manager a copy of each such proposed amendment or supplement.</w:t>
      </w:r>
    </w:p>
    <w:p>
      <w:pPr>
        <w:spacing w:after="0" w:line="208" w:lineRule="exact"/>
        <w:rPr>
          <w:rFonts w:ascii="Courier New" w:cs="Courier New" w:eastAsia="Courier New" w:hAnsi="Courier New"/>
          <w:sz w:val="18"/>
          <w:szCs w:val="18"/>
          <w:color w:val="auto"/>
        </w:rPr>
      </w:pPr>
    </w:p>
    <w:p>
      <w:pPr>
        <w:ind w:left="5" w:right="1879" w:firstLine="521"/>
        <w:spacing w:after="0" w:line="238"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207" w:lineRule="exact"/>
        <w:rPr>
          <w:rFonts w:ascii="Courier New" w:cs="Courier New" w:eastAsia="Courier New" w:hAnsi="Courier New"/>
          <w:sz w:val="18"/>
          <w:szCs w:val="18"/>
          <w:color w:val="auto"/>
        </w:rPr>
      </w:pPr>
    </w:p>
    <w:p>
      <w:pPr>
        <w:ind w:left="5" w:right="1999" w:firstLine="521"/>
        <w:spacing w:after="0" w:line="236"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endeavor to qualify the Offered Securities for offer and sale under the securities or Blue Sky laws of such U.S. jurisdictions as the Manager shall reasonably request.</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212" w:lineRule="exact"/>
        <w:rPr>
          <w:rFonts w:ascii="Courier New" w:cs="Courier New" w:eastAsia="Courier New" w:hAnsi="Courier New"/>
          <w:sz w:val="18"/>
          <w:szCs w:val="18"/>
          <w:color w:val="auto"/>
        </w:rPr>
      </w:pPr>
    </w:p>
    <w:p>
      <w:pPr>
        <w:ind w:left="5" w:right="1879" w:firstLine="521"/>
        <w:spacing w:after="0" w:line="236"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all provisions of Section 517.075, Florida Statutes (Chapter 92-198, Laws of Florida) relating to doing business with Cuba.</w:t>
      </w:r>
    </w:p>
    <w:p>
      <w:pPr>
        <w:spacing w:after="0" w:line="208" w:lineRule="exact"/>
        <w:rPr>
          <w:rFonts w:ascii="Courier New" w:cs="Courier New" w:eastAsia="Courier New" w:hAnsi="Courier New"/>
          <w:sz w:val="18"/>
          <w:szCs w:val="18"/>
          <w:color w:val="auto"/>
        </w:rPr>
      </w:pPr>
    </w:p>
    <w:p>
      <w:pPr>
        <w:ind w:left="-535" w:right="1879" w:firstLine="535"/>
        <w:spacing w:after="0" w:line="238" w:lineRule="auto"/>
        <w:tabs>
          <w:tab w:leader="none" w:pos="30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84"/>
          </w:cols>
          <w:pgMar w:left="775" w:top="1128"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the Prospectus, any amendment or supplement thereto, or any preliminary prospectus.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Company, its officers or directors or any other person controlling the Company and (iii) acceptance of and payment for any of the Offered Securities.</w:t>
      </w:r>
    </w:p>
    <w:p>
      <w:pPr>
        <w:spacing w:after="0" w:line="188" w:lineRule="exact"/>
        <w:rPr>
          <w:sz w:val="20"/>
          <w:szCs w:val="20"/>
          <w:color w:val="auto"/>
        </w:rPr>
      </w:pPr>
    </w:p>
    <w:p>
      <w:pPr>
        <w:ind w:right="1879" w:firstLine="535"/>
        <w:spacing w:after="0" w:line="269" w:lineRule="auto"/>
        <w:tabs>
          <w:tab w:leader="none" w:pos="8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Manager by notice given by the Manager to the Company, if (a) after the execution and delivery of the Underwriting Agreement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the Senior Indenture, the Subordinated Indenture, the Warrant Agreement and the Unit Agreement, if any, and Blue Sky Memorandum, (c) the delivery of the Offered Securities to the Underwriters, (d) the reasonable fees and disbursements of the Company's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Inc. in connection with the review, if any, of the offering of the Securities,</w:t>
      </w:r>
    </w:p>
    <w:p>
      <w:pPr>
        <w:spacing w:after="0" w:line="16"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fees charged by rating agencies for rating the Offered Securities and</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14" w:lineRule="exact"/>
        <w:rPr>
          <w:sz w:val="20"/>
          <w:szCs w:val="20"/>
          <w:color w:val="auto"/>
        </w:rPr>
      </w:pPr>
    </w:p>
    <w:p>
      <w:pPr>
        <w:ind w:right="1879" w:firstLine="535"/>
        <w:spacing w:after="0" w:line="269" w:lineRule="auto"/>
        <w:tabs>
          <w:tab w:leader="none" w:pos="8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8" w:right="1440" w:bottom="1440" w:gutter="0" w:footer="0" w:header="0"/>
        </w:sectPr>
      </w:pPr>
    </w:p>
    <w:bookmarkStart w:id="23" w:name="page24"/>
    <w:bookmarkEnd w:id="23"/>
    <w:p>
      <w:pPr>
        <w:ind w:left="-535" w:right="1879" w:firstLine="535"/>
        <w:spacing w:after="0" w:line="236" w:lineRule="auto"/>
        <w:tabs>
          <w:tab w:leader="none" w:pos="30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208" w:lineRule="exact"/>
        <w:rPr>
          <w:rFonts w:ascii="Courier New" w:cs="Courier New" w:eastAsia="Courier New" w:hAnsi="Courier New"/>
          <w:sz w:val="18"/>
          <w:szCs w:val="18"/>
          <w:color w:val="auto"/>
        </w:rPr>
      </w:pPr>
    </w:p>
    <w:p>
      <w:pPr>
        <w:ind w:left="-535" w:right="2099" w:firstLine="535"/>
        <w:spacing w:after="0" w:line="235"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internal laws of the State of New York.</w:t>
      </w:r>
    </w:p>
    <w:p>
      <w:pPr>
        <w:spacing w:after="0" w:line="208" w:lineRule="exact"/>
        <w:rPr>
          <w:rFonts w:ascii="Courier New" w:cs="Courier New" w:eastAsia="Courier New" w:hAnsi="Courier New"/>
          <w:sz w:val="18"/>
          <w:szCs w:val="18"/>
          <w:color w:val="auto"/>
        </w:rPr>
      </w:pPr>
    </w:p>
    <w:p>
      <w:pPr>
        <w:ind w:left="-535" w:right="2199" w:firstLine="535"/>
        <w:spacing w:after="0" w:line="236"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1128" w:right="1440" w:bottom="1440" w:gutter="0" w:footer="0" w:header="0"/>
        </w:sectPr>
      </w:pPr>
    </w:p>
    <w:bookmarkStart w:id="24" w:name="page25"/>
    <w:bookmarkEnd w:id="24"/>
    <w:p>
      <w:pPr>
        <w:jc w:val="right"/>
        <w:ind w:right="18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Number R-_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ZONES represented hereby: ____________</w:t>
      </w:r>
    </w:p>
    <w:p>
      <w:pPr>
        <w:spacing w:after="0" w:line="238" w:lineRule="auto"/>
        <w:rPr>
          <w:sz w:val="20"/>
          <w:szCs w:val="20"/>
          <w:color w:val="auto"/>
        </w:rPr>
      </w:pPr>
      <w:r>
        <w:rPr>
          <w:rFonts w:ascii="Courier New" w:cs="Courier New" w:eastAsia="Courier New" w:hAnsi="Courier New"/>
          <w:sz w:val="18"/>
          <w:szCs w:val="18"/>
          <w:color w:val="auto"/>
        </w:rPr>
        <w:t>(representing $___________ in aggregate original principal amount)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(55 Water Street, New York, New York)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Depository or a nominee of such successor Depository.</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2.0% EXCHANGEABLE</w:t>
      </w:r>
    </w:p>
    <w:p>
      <w:pPr>
        <w:jc w:val="center"/>
        <w:ind w:right="1759"/>
        <w:spacing w:after="0" w:line="238" w:lineRule="auto"/>
        <w:rPr>
          <w:sz w:val="20"/>
          <w:szCs w:val="20"/>
          <w:color w:val="auto"/>
        </w:rPr>
      </w:pPr>
      <w:r>
        <w:rPr>
          <w:rFonts w:ascii="Courier New" w:cs="Courier New" w:eastAsia="Courier New" w:hAnsi="Courier New"/>
          <w:sz w:val="18"/>
          <w:szCs w:val="18"/>
          <w:color w:val="auto"/>
        </w:rPr>
        <w:t>SUBORDINATED DEBENTURE DUE NOVEMBER 2029</w:t>
      </w:r>
    </w:p>
    <w:p>
      <w:pPr>
        <w:jc w:val="center"/>
        <w:ind w:right="1759"/>
        <w:spacing w:after="0"/>
        <w:rPr>
          <w:sz w:val="20"/>
          <w:szCs w:val="20"/>
          <w:color w:val="auto"/>
        </w:rPr>
      </w:pPr>
      <w:r>
        <w:rPr>
          <w:rFonts w:ascii="Courier New" w:cs="Courier New" w:eastAsia="Courier New" w:hAnsi="Courier New"/>
          <w:sz w:val="18"/>
          <w:szCs w:val="18"/>
          <w:color w:val="auto"/>
        </w:rPr>
        <w:t>(each a "ZONES")</w:t>
      </w:r>
    </w:p>
    <w:p>
      <w:pPr>
        <w:spacing w:after="0" w:line="200"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CUSIP 200300606</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COMCAST CORPORATION, a corporation duly organized and existing under the laws of the Commonwealth of Pennsylvania (herein called the "Company", which term includes any successor corporation under the Indenture hereinafter referred to), for value received, hereby promises to pay to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Cede &amp; Co. or its registered assigns,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Maturity Amount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any coin or currency of the United States of America which, at the time of payment is legal tender for public and private debts, upon presentation and surrender of this Debenture, on the 15th day of November, 2029, at the office or agency of the Company in New York, New York, and to pay interest on the original principal amount at the Interest Rate, in like coin or currency, from the original date of issuance of this Debenture or from the most recent February 15, May 15, August 15 or November 15 to which interest has been paid or duly provided for, quarterly in arrears on the 15th day of February, May, August and November of each year, commencing February 15, 2000, until payment of said Maturity Amount, or if earlier redeemed, the Redemption Amount, has been in either case made or duly provided for. For purposes of this Debenture, the "Interest Rate" means a rate of 2.0% per annum plus the amount of the Reference Shares Dividend Amount. Additional Interest will be distributed as specified on the reverse hereof. Changes in the Contingent Principal Amount will not affect the Interest Rate. Interest may be deferred, at the election of the Company as specified on the reverse hereof. Any such interest payable on any February 15, May 15, August 15 or November 15 shall (subject to exceptions provided in the Indenture referred to on the reverse hereof) be paid to the person in whose name this Debenture or the Debentures in exchange or substitution for which this Debenture shall have been issued, shall have been registered at the close of business on February 1, May 1, August 1 or November 1,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case may be next preceding such February 15, May 15, August 15 or November 15 whether or not such February 1, May 1, August 1 or November 1 is a Business Day. Capitalized terms used on the face hereof without definition have the meaning specified on the reverse hereof.</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PROVISIONS OF THIS DEBENTURE ARE CONTINUED ON THE REVERSE HEREOF AND SUCH CONTINUED PROVISIONS SHALL FOR ALL PURPOSES HAVE THE SAME EFFECT AS THOUGH FULLY SET FORTH AT THIS PLACE.</w:t>
      </w:r>
    </w:p>
    <w:p>
      <w:pPr>
        <w:sectPr>
          <w:pgSz w:w="11900" w:h="16838" w:orient="portrait"/>
          <w:cols w:equalWidth="0" w:num="1">
            <w:col w:w="10219"/>
          </w:cols>
          <w:pgMar w:left="240" w:top="339" w:right="1440" w:bottom="0" w:gutter="0" w:footer="0" w:header="0"/>
        </w:sectPr>
      </w:pPr>
    </w:p>
    <w:bookmarkStart w:id="25" w:name="page26"/>
    <w:bookmarkEnd w:id="25"/>
    <w:p>
      <w:pPr>
        <w:ind w:right="2199" w:firstLine="527"/>
        <w:spacing w:after="0" w:line="237" w:lineRule="auto"/>
        <w:rPr>
          <w:sz w:val="20"/>
          <w:szCs w:val="20"/>
          <w:color w:val="auto"/>
        </w:rPr>
      </w:pPr>
      <w:r>
        <w:rPr>
          <w:rFonts w:ascii="Courier New" w:cs="Courier New" w:eastAsia="Courier New" w:hAnsi="Courier New"/>
          <w:sz w:val="18"/>
          <w:szCs w:val="18"/>
          <w:color w:val="auto"/>
        </w:rPr>
        <w:t>This Debenture shall not be entitled to any benefit under the Indenture referred to on the reverse hereof or any indenture supplemental thereto, or become valid or obligatory for any purpose until the Trustee under said Indenture, or a successor trustee thereunder, shall have signed the form of certificate of authentication appearing hereon.</w:t>
      </w: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780" w:val="left"/>
          <w:tab w:leader="none" w:pos="4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1440" w:gutter="0" w:footer="0" w:header="0"/>
        </w:sectPr>
      </w:pPr>
    </w:p>
    <w:bookmarkStart w:id="26" w:name="page27"/>
    <w:bookmarkEnd w:id="26"/>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COMCAST CORPORATION has caused this instrument to be duly executed under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Debentures of the series referred to on the reverse hereof.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Attest: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128"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[Reverse of Debentures]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2.0% EXCHANGEABLE</w:t>
      </w:r>
    </w:p>
    <w:p>
      <w:pPr>
        <w:jc w:val="center"/>
        <w:ind w:right="1759"/>
        <w:spacing w:after="0" w:line="238" w:lineRule="auto"/>
        <w:rPr>
          <w:sz w:val="20"/>
          <w:szCs w:val="20"/>
          <w:color w:val="auto"/>
        </w:rPr>
      </w:pPr>
      <w:r>
        <w:rPr>
          <w:rFonts w:ascii="Courier New" w:cs="Courier New" w:eastAsia="Courier New" w:hAnsi="Courier New"/>
          <w:sz w:val="18"/>
          <w:szCs w:val="18"/>
          <w:color w:val="auto"/>
        </w:rPr>
        <w:t>SUBORDINATED DEBENTURE DUE NOVEMBER 2029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Debenture is one of a duly authorized issue of debentures, notes, bonds or other evidences of indebtedness of the Company (herein called the "Securities") of the series hereinafter specified, all issued or to be issued under an indenture dated as of June 15, 1999 (herein called the "Indenture") executed between the Company and Bankers Trust Company, a New York banking corporation with its principal offices in New York, New York (hereinafter called the "Trustee"), to which indenture and all supplemental indentures reference is hereby made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The terms of the Indenture are hereby incorporated by reference herein. The Securities may be issued in one or more series, which different series may be issued in various aggregate principal amounts, may mature at different times, may bear interest (if any) at different rates, may be subject to different redemption or repayment provisions (if any), may be subject to different sinking, purchase or analogous funds (if any) and may otherwise vary as provided in the Indenture. This Debenture is one of a series designated as 2.0% Exchangeable Subordinated Debentures due November 2029 (hereinafter called the "ZONES") of the Company, each ZONES representing</w:t>
      </w:r>
    </w:p>
    <w:p>
      <w:pPr>
        <w:spacing w:after="0" w:line="1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$81.6325 in original principal amount, limited in aggregate number to 7,000,000 (or $571,427,500 in aggregate original principal amount) or 8,050,000 (or $657,141,625 in aggregate original principal amount if the underwriter's over-allotment option is exercised in full).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Debentures will be unsecured, subordinated obligations of the Company. The indebtedness evidenced by the Debentures is, to the extent provided in the Indenture, subordinate and subject in right and payment to the prior payment in full of all Senior Indebtedness as defined in the Indenture, and each holder of this Debenture, by accepting the same, agrees to and shall be bound by the provisions of the Indenture.</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Maturity Amount, the Redemption Amount, Additional Interest, if any, and interest on the ZONES will be payable at the office or agency the Company maintains for such purpose within The City and State of New York or, at the Company's option, payment of cash interest may be made by check mailed to the holders of the ZONES at their respective addresses set forth in the register of holders of ZONES; provided that all cash payments with respect to ZONES to a holder of a minimum of 100,000 ZONES who has given written wire transfer instructions, on or prior to the relevant record date, to the paying agent, will be made by wire transfer of immediately available funds to the accounts specified by such holders. Until otherwise designated by the Company, the Company's office or agency in New York will be the office of the Trustee maintained for such purpose. The ZONES will be issued in denominations of one ZONES and integral multiples thereof.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and Additional Interest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shall pay interest to the holder of this Debenture in such amounts and at such times as specified on the face of this Debenture. At least five (5) Business Days prior to each Interest Payment Date the Company shall deliver an Officers' Certificate to the Trustee setting forth: (i) the amount of interest per ZONES due for that interest period, (ii) the applicable Reference Shares Dividend Amount and (iii) the total payment due for that period on all ZONES outstanding. "Reference Shares Dividend Amount" means, in respect of any quarterly interest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w:t>
      </w:r>
    </w:p>
    <w:p>
      <w:pPr>
        <w:sectPr>
          <w:pgSz w:w="11900" w:h="16838" w:orient="portrait"/>
          <w:cols w:equalWidth="0" w:num="1">
            <w:col w:w="10219"/>
          </w:cols>
          <w:pgMar w:left="240" w:top="1122" w:right="1440" w:bottom="1440" w:gutter="0" w:footer="0" w:header="0"/>
        </w:sectPr>
      </w:pPr>
    </w:p>
    <w:bookmarkStart w:id="28" w:name="page29"/>
    <w:bookmarkEnd w:id="28"/>
    <w:p>
      <w:pPr>
        <w:ind w:right="1879"/>
        <w:spacing w:after="0" w:line="235" w:lineRule="auto"/>
        <w:rPr>
          <w:sz w:val="20"/>
          <w:szCs w:val="20"/>
          <w:color w:val="auto"/>
        </w:rPr>
      </w:pPr>
      <w:r>
        <w:rPr>
          <w:rFonts w:ascii="Courier New" w:cs="Courier New" w:eastAsia="Courier New" w:hAnsi="Courier New"/>
          <w:sz w:val="18"/>
          <w:szCs w:val="18"/>
          <w:color w:val="auto"/>
        </w:rPr>
        <w:t>period, an amount per ZONES equal to the amount of all quarterly cash dividends paid on the Reference Shares attributable to a ZONES.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addition, the Company shall also distribute, as additional interest on each ZONES ("Additional Interest"), a proportionate amount of any property, including cash (other than the Reference Shares Dividend Amount), distributed on or with respect to the Reference Shares attributable to each ZONES (other than publicly traded equity securities). If any property that is not publicly traded is distributed on the Reference Shares, the Company will pay each holder of ZONES the proportionate amount the fair market value of that property as determined in good faith by the Board of Directors of the Company (as defined in the Indenture). The Company will distribute Additional Interest on the 20th Business Day after such property is distributed on the Reference Shares to holders of the ZONES on the tenth Business Day after the date of distribution. Each ZONES shall initially be entitled to dividends and distributions on or with respect to one Reference Share as of the original date of issuance of the ZONES, subject to adjustment as provided herein.</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 least five (5) Business Days prior to any distribution of Additional Interest on the ZONES, the Company shall deliver an Officers Certificate to the Trustee setting forth: (i) the exact amount of property to be distributed on or with respect to the Reference Shares per ZONES and (ii) the total amount of property to be distributed on or with respect to the Reference Shares for all outstanding ZONES at the date of such distribution. If any distribution is made of any property that is not publicly traded, then at least five (5) Business Days prior to such distribution, the Company shall deliver to the Trustee: (i) a certified copy of the resolution of the Board of Directors establishing the fair market value of the property and setting a special record date for such distribution, (ii) an Officers' Certificate setting forth the exact amount of property to be distributed on the Reference Shares per ZONES and (iii) the total amount of property that is not publicly traded to be distributed on the Reference Shares for all outstanding ZONES. In each case described above, the Company will state whether it will distribute such Additional Interest in property or cash. The Trustee is only responsible for distributing property in the form of global book entry securities which are DTC eligible. The Company is responsible for acting as its own paying agent to make all other distributions of property. The Company will prepare a press release relating to any such distribution to be provided to DTC for dissemination through the DTC broadcast facility.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interest is payable on a date that is not a Business Day (as defined at the end of this paragraph), payment will be made on the next Business Day (and without any interest or other payment in respect of such delay).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will be computed on the basis of a 360-day year consisting of twelve 30-day months. The Company will pay interest on any overdue Maturity Amount at 10.25% per annum, compounded quarterly, and it shall pay interest on overdue installments of interest and the fair market value of Additional Interest (without regard to any applicable grace period) at the same rate compounded quarterly.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R-2</w:t>
      </w:r>
    </w:p>
    <w:p>
      <w:pPr>
        <w:sectPr>
          <w:pgSz w:w="11900" w:h="16838" w:orient="portrait"/>
          <w:cols w:equalWidth="0" w:num="1">
            <w:col w:w="10219"/>
          </w:cols>
          <w:pgMar w:left="240" w:top="1128" w:right="1440" w:bottom="1440" w:gutter="0" w:footer="0" w:header="0"/>
        </w:sectPr>
      </w:pPr>
    </w:p>
    <w:bookmarkStart w:id="29" w:name="page30"/>
    <w:bookmarkEnd w:id="29"/>
    <w:p>
      <w:pPr>
        <w:ind w:left="540"/>
        <w:spacing w:after="0"/>
        <w:rPr>
          <w:sz w:val="20"/>
          <w:szCs w:val="20"/>
          <w:color w:val="auto"/>
        </w:rPr>
      </w:pPr>
      <w:r>
        <w:rPr>
          <w:rFonts w:ascii="Courier New" w:cs="Courier New" w:eastAsia="Courier New" w:hAnsi="Courier New"/>
          <w:sz w:val="18"/>
          <w:szCs w:val="18"/>
          <w:color w:val="auto"/>
        </w:rPr>
        <w:t>Deferral of Interest Payments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If no Event of Default (as defined in the Indenture) has occurred and is continuing under the ZONES, the Company may, at any time and from time to time, defer quarterly interest payments on the Debentures for up to 20 consecutive quarterly periods; provided that a deferral of interest payments may not extend beyond the maturity date of the ZONES. The Company may not defer distributions of Additional Interest. If the Company defers quarterly payments of interest, the Contingent Principal Amount (as defined below) of the ZONES shall be increased by the amount of the deferral and the Early Exchange Ratio (as defined below) will increase to 100% from the date of the deferral. After the Company makes all accrued interest payments on the ZONES, with accrued interest at an annual rate of 2.0% compounded quarterly, the Contingent Principal Amount shall be reduced by the amount of the deferral, the Early Exchange Ratio shall decrease to 95%, and the Company may thereafter again postpone interest payments as described above. During any deferral period, so long as the Current Market Value of the Reference Shares attributable to the ZONES exceeds the original principal amount of the ZONES, the Company may at its option, but is not obligated to, increase the amount of Reference Shares attributable to each ZONES by an annual rate of 2.0% compounded quarterly. If the Company elects to make this increase in an interest payment period, the holder shall have no right to claim accrued interest in that period and the Company shall be deemed current on that quarterly payment of interest and shall not increase the Contingent Principal Amount, provided that the Early Exchange Ratio shall remain at 100% only for the five Business Days immediately following the scheduled quarterly Interest Payment Date related to the deferral. After that five day period, the Early Exchange Ratio shall decrease to 95%. The Company shall give the Trustee notice if the Company decides to defer interest payments on the ZONES as described below and will prepare a press release to be provided to DTC for dissemination through the DTC broadcast facility. The Company shall give that notice one Business Day before the earlier of (i) the record date for the next date interest on the ZONES is payable; or (ii) the date the Company is required to give notice to the NYSE (or any other applicable self-regulatory organization) or to holders of the ZONES of the record date or the date any distribution is payable.</w:t>
      </w:r>
    </w:p>
    <w:p>
      <w:pPr>
        <w:spacing w:after="0" w:line="200" w:lineRule="exact"/>
        <w:rPr>
          <w:sz w:val="20"/>
          <w:szCs w:val="20"/>
          <w:color w:val="auto"/>
        </w:rPr>
      </w:pPr>
    </w:p>
    <w:p>
      <w:pPr>
        <w:spacing w:after="0" w:line="39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notice described above shall be in the form of an Officers' Certificate to the Trustee setting forth: (i) the period with respect to which it is electing to defer payment of interest, (ii) the exact amount of increase of Contingent Principal Amount per ZONES, (iii) the total amount of increase of Contingent Principal Amount for all outstanding ZONES, (iv) a statement that the Early Exchange Ratio will increase to 100% prospectively from that date and</w:t>
      </w:r>
    </w:p>
    <w:p>
      <w:pPr>
        <w:spacing w:after="0" w:line="1" w:lineRule="exact"/>
        <w:rPr>
          <w:sz w:val="20"/>
          <w:szCs w:val="20"/>
          <w:color w:val="auto"/>
        </w:rPr>
      </w:pPr>
    </w:p>
    <w:p>
      <w:pPr>
        <w:ind w:right="199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 Event of Default (as defined in the Indenture) has occurred and is continuing under the ZONES. The Company is required to deliver such an Officers' Certificate for each interest payment deferred.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and when the Company pays all of its deferred interest and accrued interest, it must deliver to the Trustee an Officers' Certificate setting forth the calculation of accrued interest owed per ZONES and the total amount owed on all outstanding ZONES.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Company elects to increase the amount of Reference Shares payable for each ZONES as provided for above in lieu of paying accrued interest for that quarter, it shall deliver an Officers' Certificate to the Trustee setting forth: (i) the amount of such increase and the total amount, after such increase, of Reference Shares applicable to each ZONES and (ii) the total amount of Reference Shares applicable to all outstanding ZONES.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R-3</w:t>
      </w:r>
    </w:p>
    <w:p>
      <w:pPr>
        <w:sectPr>
          <w:pgSz w:w="11900" w:h="16838" w:orient="portrait"/>
          <w:cols w:equalWidth="0" w:num="1">
            <w:col w:w="10219"/>
          </w:cols>
          <w:pgMar w:left="240" w:top="1122" w:right="1440" w:bottom="1440" w:gutter="0" w:footer="0" w:header="0"/>
        </w:sectPr>
      </w:pPr>
    </w:p>
    <w:bookmarkStart w:id="30" w:name="page31"/>
    <w:bookmarkEnd w:id="30"/>
    <w:p>
      <w:pPr>
        <w:ind w:left="540"/>
        <w:spacing w:after="0"/>
        <w:rPr>
          <w:sz w:val="20"/>
          <w:szCs w:val="20"/>
          <w:color w:val="auto"/>
        </w:rPr>
      </w:pPr>
      <w:r>
        <w:rPr>
          <w:rFonts w:ascii="Courier New" w:cs="Courier New" w:eastAsia="Courier New" w:hAnsi="Courier New"/>
          <w:sz w:val="18"/>
          <w:szCs w:val="18"/>
          <w:color w:val="auto"/>
        </w:rPr>
        <w:t>Principal Amount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original principal amount per ZONES is equal to $81.6325. The minimum amount payable upon redemption or maturity of a ZONES (the "Contingent Principal Amount") shall initially be equal to the original principal amount. If an Extraordinary Dividend (as defined below) is paid on the Reference Shares, the Contingent Principal Amount for a ZONES shall be reduced on a quarterly basis to the extent necessary so that the yield to the date of computation (including all quarterly interest payments other than those attributable to regular periodic cash dividends) does not exceed 2.0%. In no event will the Contingent Principal Amount be less than zero.</w:t>
      </w:r>
    </w:p>
    <w:p>
      <w:pPr>
        <w:spacing w:after="0" w:line="214"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An "Extraordinary Dividend" means a dividend or distribution consisting of cash or any other property (other than additional Reference Shares), except for regular periodic cash dividends.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 maturity a holder will be entitled to receive for each ZONES the Maturity Amount. The "Maturity Amount" means the higher of (a) the Contingent Principal Amount per ZONES and (b) the sum of the Current Market Value of the Reference Shares attributable to a ZONES on the maturity date plus any unpaid quarterly payments of interest due per ZONES, plus, in either case, the Final Period Distribution attributable to one ZONES.</w:t>
      </w:r>
    </w:p>
    <w:p>
      <w:pPr>
        <w:spacing w:after="0" w:line="210"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"Final Period Distribution" means, in respect of (a) the maturity date, a distribution determined in accordance with clauses (2), (3) and (4) below and</w:t>
      </w:r>
    </w:p>
    <w:p>
      <w:pPr>
        <w:ind w:left="420" w:hanging="412"/>
        <w:spacing w:after="0" w:line="233"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redemption date, a distribution determined in accordance with clauses</w:t>
      </w:r>
    </w:p>
    <w:p>
      <w:pPr>
        <w:spacing w:after="0" w:line="4"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(2), (3) and (4) below. In the case of a redemption date in connection with a Rollover Offering, the distribution determined in accordance with clause</w:t>
      </w: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shall be all dividends and distributions on or in respect of the Reference Shares which a holder of Reference Shares on the Pricing Date would be entitled to receive.</w:t>
      </w:r>
    </w:p>
    <w:p>
      <w:pPr>
        <w:spacing w:after="0" w:line="208" w:lineRule="exact"/>
        <w:rPr>
          <w:rFonts w:ascii="Courier New" w:cs="Courier New" w:eastAsia="Courier New" w:hAnsi="Courier New"/>
          <w:sz w:val="18"/>
          <w:szCs w:val="18"/>
          <w:color w:val="auto"/>
        </w:rPr>
      </w:pPr>
    </w:p>
    <w:p>
      <w:pPr>
        <w:ind w:left="960" w:right="2099" w:hanging="425"/>
        <w:spacing w:after="0" w:line="237"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209" w:lineRule="exact"/>
        <w:rPr>
          <w:rFonts w:ascii="Courier New" w:cs="Courier New" w:eastAsia="Courier New" w:hAnsi="Courier New"/>
          <w:sz w:val="18"/>
          <w:szCs w:val="18"/>
          <w:color w:val="auto"/>
        </w:rPr>
      </w:pPr>
    </w:p>
    <w:p>
      <w:pPr>
        <w:ind w:left="960" w:right="1879" w:hanging="425"/>
        <w:spacing w:after="0" w:line="272" w:lineRule="auto"/>
        <w:tabs>
          <w:tab w:leader="none" w:pos="9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dividends and distributions on or in respect of the Reference Shares declared by the applicable Reference Company and for which the ex- date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185"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8"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 x (1 - 0.05n)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R-4</w:t>
      </w:r>
    </w:p>
    <w:p>
      <w:pPr>
        <w:sectPr>
          <w:pgSz w:w="11900" w:h="16838" w:orient="portrait"/>
          <w:cols w:equalWidth="0" w:num="1">
            <w:col w:w="10219"/>
          </w:cols>
          <w:pgMar w:left="240" w:top="1122" w:right="1440" w:bottom="1440" w:gutter="0" w:footer="0" w:header="0"/>
        </w:sectPr>
      </w:pPr>
    </w:p>
    <w:bookmarkStart w:id="31" w:name="page32"/>
    <w:bookmarkEnd w:id="31"/>
    <w:p>
      <w:pPr>
        <w:ind w:left="2860" w:right="1999" w:hanging="947"/>
        <w:spacing w:after="0" w:line="237" w:lineRule="auto"/>
        <w:tabs>
          <w:tab w:leader="none" w:pos="284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8"/>
          <w:szCs w:val="18"/>
          <w:color w:val="auto"/>
        </w:rPr>
        <w:t>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next preceding scheduled Trading Day; and</w:t>
      </w:r>
    </w:p>
    <w:p>
      <w:pPr>
        <w:spacing w:after="0" w:line="211" w:lineRule="exact"/>
        <w:rPr>
          <w:sz w:val="20"/>
          <w:szCs w:val="20"/>
          <w:color w:val="auto"/>
        </w:rPr>
      </w:pPr>
    </w:p>
    <w:p>
      <w:pPr>
        <w:ind w:left="2860" w:right="1879" w:hanging="947"/>
        <w:spacing w:after="0" w:line="237" w:lineRule="auto"/>
        <w:tabs>
          <w:tab w:leader="none" w:pos="2840" w:val="left"/>
        </w:tabs>
        <w:rPr>
          <w:sz w:val="20"/>
          <w:szCs w:val="20"/>
          <w:color w:val="auto"/>
        </w:rPr>
      </w:pPr>
      <w:r>
        <w:rPr>
          <w:rFonts w:ascii="Courier New" w:cs="Courier New" w:eastAsia="Courier New" w:hAnsi="Courier New"/>
          <w:sz w:val="18"/>
          <w:szCs w:val="18"/>
          <w:color w:val="auto"/>
        </w:rPr>
        <w:t>n =</w:t>
      </w:r>
      <w:r>
        <w:rPr>
          <w:sz w:val="20"/>
          <w:szCs w:val="20"/>
          <w:color w:val="auto"/>
        </w:rPr>
        <w:tab/>
      </w:r>
      <w:r>
        <w:rPr>
          <w:rFonts w:ascii="Courier New" w:cs="Courier New" w:eastAsia="Courier New" w:hAnsi="Courier New"/>
          <w:sz w:val="18"/>
          <w:szCs w:val="18"/>
          <w:color w:val="auto"/>
        </w:rPr>
        <w:t>the number of scheduled trading days that have elapsed in the Averaging Period with the first Trading Day of the Averaging Period being counted as zero,</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 holder of ZONES is only entitled to receive distributions determined in accordance with clauses (2), (3) or (4) to the extent actually distributed by the Reference Company. Cash amounts paid by a Reference Company on Reference Shares as described in clauses (2), (3) or (4) before the redemption date or the maturity date, as the case may be, shall be paid on the redemption date or the maturity date, as the case may be. All other property distributed, or the cash value of the property, shall be distributed within 20 business days after it is distributed on the Reference Shares.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Upon maturity of the ZONES the Company shall deliver to the Trustee an Officers' Certificate informing the Trustee of the applicable Maturity Amount per ZONES and in the aggregate for all outstanding ZONES and its calculation thereof and directing the Trustee to adjust its records and to request DTC to adjust its records.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Option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the ZONES may at any time exchange a ZONES for an amount of cash equal to 95% (the "Early Exchange Ratio") of the Exchange Market Value of the Reference Shares attributable to one ZONES. The Company will pay a holder the amount due upon exchange as soon as reasonably practicable after a holder delivers an exchange notice to the Trustee, but in no event earlier than three Trading Days after the date of such notice or later than ten Trading Days after the date of such notice.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"Exchange Market Value" means the Closing Price on the Trading Day following the date a holder of ZONES delivers an exchange notice to the Trustee, unless more than 500,000 ZONES have been delivered for exchange on such date. If more than 500,000 ZONES have been delivered for exchange, then the Exchange Market Value shall be the average Closing Price on the five Trading Days following such date. If more than 500,000 ZONES are delivered for exchange on any one day, the Company shall give notice of that fact by issuing a press release prior to 9:00 a.m. New York City time on the next Trading Day, by providing notice to DTC for dissemination through the DTC broadcast facility and by providing notice to the Trustee. The Company's failure to provide these notices, however, will not affect the determination of Exchange Market Value as described above.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If the ZONES are held through DTC, a holder of ZONES may exercise such right through the relevant direct participant in DTC through the DTC ATOP system by delivering an agent's message and delivering the holder's ZONES to the Trustee's DTC participant account. If the ZONES are held in certificated form, a holder may exercise such right of exchange as follows: the holder shall</w:t>
      </w:r>
    </w:p>
    <w:p>
      <w:pPr>
        <w:spacing w:after="0" w:line="1" w:lineRule="exact"/>
        <w:rPr>
          <w:sz w:val="20"/>
          <w:szCs w:val="20"/>
          <w:color w:val="auto"/>
        </w:rPr>
      </w:pPr>
    </w:p>
    <w:p>
      <w:pPr>
        <w:ind w:right="1999" w:firstLine="8"/>
        <w:spacing w:after="0" w:line="268"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manually sign an exchange notice in the form available from the Trustee and deliver such notice to the Trustee at the office maintained by the Trustee for such purpose, (ii) surrender the Debentures to the Trustee,</w:t>
      </w:r>
    </w:p>
    <w:p>
      <w:pPr>
        <w:ind w:left="640" w:hanging="632"/>
        <w:spacing w:after="0"/>
        <w:tabs>
          <w:tab w:leader="none" w:pos="6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furnish appropriate endorsements and transfer documents, and</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R-5</w:t>
      </w:r>
    </w:p>
    <w:p>
      <w:pPr>
        <w:sectPr>
          <w:pgSz w:w="11900" w:h="16838" w:orient="portrait"/>
          <w:cols w:equalWidth="0" w:num="1">
            <w:col w:w="10219"/>
          </w:cols>
          <w:pgMar w:left="240" w:top="1128" w:right="1440" w:bottom="1440" w:gutter="0" w:footer="0" w:header="0"/>
        </w:sectPr>
      </w:pPr>
    </w:p>
    <w:bookmarkStart w:id="32" w:name="page33"/>
    <w:bookmarkEnd w:id="32"/>
    <w:p>
      <w:pPr>
        <w:ind w:right="1879" w:firstLine="527"/>
        <w:spacing w:after="0" w:line="238" w:lineRule="auto"/>
        <w:rPr>
          <w:sz w:val="20"/>
          <w:szCs w:val="20"/>
          <w:color w:val="auto"/>
        </w:rPr>
      </w:pPr>
      <w:r>
        <w:rPr>
          <w:rFonts w:ascii="Courier New" w:cs="Courier New" w:eastAsia="Courier New" w:hAnsi="Courier New"/>
          <w:sz w:val="18"/>
          <w:szCs w:val="18"/>
          <w:color w:val="auto"/>
        </w:rPr>
        <w:t>By 12:00 noon New York City time on each Business Day following receipt by the Trustee of notification from DTC that they have received an agent's message from a DTC participant electing to exercise their Exchange Option with respect to their ZONES and delivery of such ZONES into the Trustee's DTC participant account or following receipt of a complete manually signed exchange notice and receipt of Debentures from a holder, the Trustee shall notify the Company of the amount of ZONES which were tendered. The Company shall deliver an Officers' Certificate to the Trustee setting forth the exact amount to be paid to the tendering holder and shall deposit such amount with the Trustee. Upon receipt of such payment from the Company, the Trustee shall pay DTC, as soon as practicable or in the case of ZONES that are held in certificated form, as directed by the tendering holder.</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Indenture, the date on which all of the foregoing requirements have been satisfied is the redemption date with respect to the Debentures delivered for exchange.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may redeem the Debentures in whole but not in part at a redemption price per ZONES (the "Redemption Amount") equal to the sum of (a) the higher of the Contingent Principal Amount per ZONES or the sum of the Current Market Value of the Reference Shares attributable to a ZONES plus any deferred quarterly payments of interest, plus, in either case, the Final Period Distribution and (b) $3.6735 if the Company redeems the ZONES prior to November 15, 2000, $2.4490 if the Company redeems the ZONES prior to November 15, 2001, $1.2245 if the Company redeems the ZONES prior to November 15, 2002, or zero if the Company redeems the ZONES any time on or after November 15, 2002.</w:t>
      </w:r>
    </w:p>
    <w:p>
      <w:pPr>
        <w:spacing w:after="0" w:line="184"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"Current Market Value" (other than in the case of a Rollover Offering, as defined below) is defined as the average Closing Price per Reference Share on the twenty Trading Days (the "Averaging Period") immediately prior to (but not including) the fifth Business Day preceding the redemption date; provided, however, that for purposes of determining the payment required upon a redemption in connection with a Rollover Offering, "Current Market Value" means the Closing Price per Reference Share on the Trading Day immediately preceding the date that the Rollover Offering is priced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the Company. "Rollover Offering" means an offering or refinancing of the ZONES or sale of the Reference Shares effected not earlier than November 15, 2002 by means of a completed public offering or offerings (which may include one or more exchange offers) by the Company. The Trustee will notify holders of any election to redeem such holder's ZONES in connection with a Rollover Offering not less than 30 Business Days nor more than 60 Business Days prior to the redemption date.</w:t>
      </w:r>
    </w:p>
    <w:p>
      <w:pPr>
        <w:spacing w:after="0" w:line="39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 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In the event that no such quotation is available for any day, the Board of Directors shall be entitled to determine the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R-6</w:t>
      </w:r>
    </w:p>
    <w:p>
      <w:pPr>
        <w:sectPr>
          <w:pgSz w:w="11900" w:h="16838" w:orient="portrait"/>
          <w:cols w:equalWidth="0" w:num="1">
            <w:col w:w="10219"/>
          </w:cols>
          <w:pgMar w:left="240" w:top="1128" w:right="1440" w:bottom="1440" w:gutter="0" w:footer="0" w:header="0"/>
        </w:sectPr>
      </w:pPr>
    </w:p>
    <w:bookmarkStart w:id="33" w:name="page34"/>
    <w:bookmarkEnd w:id="33"/>
    <w:p>
      <w:pPr>
        <w:ind w:right="1879"/>
        <w:spacing w:after="0" w:line="237" w:lineRule="auto"/>
        <w:rPr>
          <w:sz w:val="20"/>
          <w:szCs w:val="20"/>
          <w:color w:val="auto"/>
        </w:rPr>
      </w:pPr>
      <w:r>
        <w:rPr>
          <w:rFonts w:ascii="Courier New" w:cs="Courier New" w:eastAsia="Courier New" w:hAnsi="Courier New"/>
          <w:sz w:val="18"/>
          <w:szCs w:val="18"/>
          <w:color w:val="auto"/>
        </w:rPr>
        <w:t>Closing Price on the basis of such quotations as it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214"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18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addition, if at any time on or prior to January 30, 2000, a "Tax Event" (as defined below) shall occur and be continuing, the Company shall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 For purposes of the definition of "Final Period Distribution", the formula in clause (4) thereof shall be as follows: E x (1 - 0.2n).</w:t>
      </w:r>
    </w:p>
    <w:p>
      <w:pPr>
        <w:spacing w:after="0" w:line="39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 "Tax Event"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 "Change in Tax Law"), there is the creation by such Change in Tax Law of a substantial risk that, as a result of entrance into the ZONES, the Company will be treated for purposes of Section 1259 of the Internal Revenue Code as having constructively sold some or all of its Sprint Corporation PCS common stock.</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case of any redemption, the Company shall give 33 Business Days notice to the Trustee (other than in the case of a redemption pursuant to a Tax Event) (unless such shorter period shall be satisfactory to the Trustee) together with an Officers' Certificate setting forth on a per ZONES and an aggregate basis, the Redemption Amount, and the Contingent Principal Amount, Current Market Value of the Reference Shares, deferred quarterly interest payments and the Final Period Distribution. The Company shall give holders 30 Business Days notice before any redemption of ZONES (in the case of redemption not pursuant to a "tax event") and will irrevocably deposit with the Trustee sufficient funds to pay the Redemption Amount for the ZONES. Distributions to be paid on or before the redemption date for the ZONES will be payable to the holders on the record dates for the related dates of distribution, except to the extent such distributions are payable as part of the Final Period Distribution.</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notice of redemption is given and funds are irrevocably deposited, interest on the ZONES will cease to accrue on and after the date of redemption and all rights of the holders of the ZONES called for redemption will cease, except for the right of holders to receive the Redemption Amount (but without interest on such Redemption Amount), including, if applicable, the Final Period Distribution.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R-7</w:t>
      </w:r>
    </w:p>
    <w:p>
      <w:pPr>
        <w:sectPr>
          <w:pgSz w:w="11900" w:h="16838" w:orient="portrait"/>
          <w:cols w:equalWidth="0" w:num="1">
            <w:col w:w="10219"/>
          </w:cols>
          <w:pgMar w:left="240" w:top="1128" w:right="1440" w:bottom="1440" w:gutter="0" w:footer="0" w:header="0"/>
        </w:sectPr>
      </w:pPr>
    </w:p>
    <w:bookmarkStart w:id="34" w:name="page35"/>
    <w:bookmarkEnd w:id="34"/>
    <w:p>
      <w:pPr>
        <w:ind w:right="1879" w:firstLine="527"/>
        <w:spacing w:after="0" w:line="270" w:lineRule="auto"/>
        <w:rPr>
          <w:sz w:val="20"/>
          <w:szCs w:val="20"/>
          <w:color w:val="auto"/>
        </w:rPr>
      </w:pPr>
      <w:r>
        <w:rPr>
          <w:rFonts w:ascii="Courier New" w:cs="Courier New" w:eastAsia="Courier New" w:hAnsi="Courier New"/>
          <w:sz w:val="16"/>
          <w:szCs w:val="16"/>
          <w:color w:val="auto"/>
        </w:rPr>
        <w:t>If any redemption date is not a Business Day, then the Redemption Amount will be payable on the next Business Day (and without any interest or other payment in respect of any such delay). However, if the next Business Day is in the next calendar year, the Redemption Amount will be payable on the preceding Business Day. If payment of the Redemption Amount for any ZONES called for redemption is improperly withheld or refused and not paid by the Company, interest on the ZONES will continue to accrue at an annual rate of 2.0% from the original redemption date scheduled to the actual date of payment. In such a case, the actual payment date will be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Reference Share Adjustments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For purposes hereof "Reference Company" means Sprint Corporation, a Kansas corporation, and any other issuer of a Reference Share. A "Reference Share" means, collectively (a) one share of Sprint Corporation PCS common stock and</w:t>
      </w:r>
    </w:p>
    <w:p>
      <w:pPr>
        <w:spacing w:after="0" w:line="1" w:lineRule="exact"/>
        <w:rPr>
          <w:sz w:val="20"/>
          <w:szCs w:val="20"/>
          <w:color w:val="auto"/>
        </w:rPr>
      </w:pPr>
    </w:p>
    <w:p>
      <w:pPr>
        <w:ind w:right="1879" w:firstLine="8"/>
        <w:spacing w:after="0" w:line="238"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publicly traded equity securities received by a holder of a Reference Share in respect of such share of the Sprint Corporation PCS common stock or other Reference Shares (either directly or as the result of successive applications of this paragraph) upon the following events: (i) the distribution on or in respect of a Reference Share in Reference Shares, (ii) the combination of Reference Shares into a smaller number of shares or other units, (iii) the subdivision of outstanding shares or other units of Reference Shares, (iv) the conversion or reclassification of Reference Shares by issuance or exchange of other securities, (v) any consolidation or merger of a Reference Company, or any surviving entity or subsequent surviving entity of a Reference Company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 (vi) 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 (vii) any liquidation, dissolution or winding up of the Reference Company or any Reference Company Successor.</w:t>
      </w: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For purposes of the foregoing: (a) a conversion or redemption by Sprint Corporation of all shares of Sprint Corporation PCS common stock pursuant to Article Sixth, Section 7.1 of its Articles of Incorporation shall be deemed a consolidation or merger, with the Sprint PCS Group deemed to be the Reference Company, with Sprint Corporation deemed to be the Reference Company Successor if Sprint Corporation FON common stock or any other common stock of Sprint Corporation is issued in exchange for the Sprint Corporation PCS common stock or with the relevant acquiror of the Sprint PCS Group assets deemed to be the Reference Company Successor if common stock other than Sprint Corporation FON common stock is issued in exchange for the Sprint Corporation PCS common stock and (b) a redemption by Sprint Corporation pursuant to Article Sixth, Section</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7.2 of its Articles of Incorporation of all of the outstanding shares of Sprint Corporation PCS common stock in exchange for common stock of one or more wholly-owned subsidiaries that collectively hold all of the assets and liabilities attributed to its PCS Group shall be deemed an exchange of shares of Sprint Corporation PCS common stock for shares of common stock of the relevant subsidiary or subsidiaries.</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described above under "Interest and Additional Interest," the Company shall pay as Additional Interest to holders of the Debentures any property received in distribution on or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R-8</w:t>
      </w:r>
    </w:p>
    <w:p>
      <w:pPr>
        <w:sectPr>
          <w:pgSz w:w="11900" w:h="16838" w:orient="portrait"/>
          <w:cols w:equalWidth="0" w:num="1">
            <w:col w:w="10219"/>
          </w:cols>
          <w:pgMar w:left="240" w:top="1128"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rPr>
        <w:t>respect of a Reference Share, unless it is also a Reference Share, in which case it shall become part of a Reference Share. Upon any distribution of fractional shares or units of securities, other than fractional Reference Shares, the Company shall pay the holders cash in lieu of distribution of such fractional shares or other units.</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 "Reference Share Offer" means any tender offer or exchange offer made for all or a portion of a class of Reference Shares of a Reference Company. A "Reference Share Offer" shall include a conversion or redemption by Sprint Corporation of less than all shares of Sprint Corporation PCS common stock pursuant to Article Sixth, Section 7.1 of its Articles of Incorporation.</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a Reference Share Offer is made, the Company may, at its option, either: (a) during the pendency of the offer, increase the Early Exchange Ratio to 100%; or (b) make a Reference Share Offer Adjustment.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"Reference Share Offer Adjustment"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"Reference Share Proportionate Reduction" means a proportionate reduction in the number of Reference Shares which are the subject of the applicable Reference Share Offer and attributable to one ZONES calculated in accordance with the following formula:</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360" w:type="dxa"/>
            <w:vAlign w:val="bottom"/>
          </w:tcPr>
          <w:p>
            <w:pPr>
              <w:ind w:left="3200"/>
              <w:spacing w:after="0"/>
              <w:rPr>
                <w:sz w:val="20"/>
                <w:szCs w:val="20"/>
                <w:color w:val="auto"/>
              </w:rPr>
            </w:pPr>
            <w:r>
              <w:rPr>
                <w:rFonts w:ascii="Courier New" w:cs="Courier New" w:eastAsia="Courier New" w:hAnsi="Courier New"/>
                <w:sz w:val="18"/>
                <w:szCs w:val="18"/>
                <w:color w:val="auto"/>
              </w:rPr>
              <w:t>X</w:t>
            </w:r>
          </w:p>
        </w:tc>
        <w:tc>
          <w:tcPr>
            <w:tcW w:w="12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36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R   =   ------</w:t>
            </w:r>
          </w:p>
        </w:tc>
        <w:tc>
          <w:tcPr>
            <w:tcW w:w="12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36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N</w:t>
            </w:r>
          </w:p>
        </w:tc>
        <w:tc>
          <w:tcPr>
            <w:tcW w:w="1220" w:type="dxa"/>
            <w:vAlign w:val="bottom"/>
          </w:tcPr>
          <w:p>
            <w:pPr>
              <w:spacing w:after="0"/>
              <w:rPr>
                <w:sz w:val="17"/>
                <w:szCs w:val="17"/>
                <w:color w:val="auto"/>
              </w:rPr>
            </w:pPr>
          </w:p>
        </w:tc>
      </w:tr>
      <w:tr>
        <w:trPr>
          <w:trHeight w:val="405"/>
        </w:trPr>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where:</w:t>
            </w:r>
          </w:p>
        </w:tc>
        <w:tc>
          <w:tcPr>
            <w:tcW w:w="5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R=</w:t>
            </w:r>
          </w:p>
        </w:tc>
        <w:tc>
          <w:tcPr>
            <w:tcW w:w="658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the fraction by which the number of Reference Shares of the</w:t>
            </w:r>
          </w:p>
        </w:tc>
      </w:tr>
      <w:tr>
        <w:trPr>
          <w:trHeight w:val="203"/>
        </w:trPr>
        <w:tc>
          <w:tcPr>
            <w:tcW w:w="1000" w:type="dxa"/>
            <w:vAlign w:val="bottom"/>
          </w:tcPr>
          <w:p>
            <w:pPr>
              <w:spacing w:after="0"/>
              <w:rPr>
                <w:sz w:val="17"/>
                <w:szCs w:val="17"/>
                <w:color w:val="auto"/>
              </w:rPr>
            </w:pPr>
          </w:p>
        </w:tc>
        <w:tc>
          <w:tcPr>
            <w:tcW w:w="6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class of Reference Shares subject to the Reference Share</w:t>
            </w:r>
          </w:p>
        </w:tc>
      </w:tr>
      <w:tr>
        <w:trPr>
          <w:trHeight w:val="203"/>
        </w:trPr>
        <w:tc>
          <w:tcPr>
            <w:tcW w:w="1000" w:type="dxa"/>
            <w:vAlign w:val="bottom"/>
          </w:tcPr>
          <w:p>
            <w:pPr>
              <w:spacing w:after="0"/>
              <w:rPr>
                <w:sz w:val="17"/>
                <w:szCs w:val="17"/>
                <w:color w:val="auto"/>
              </w:rPr>
            </w:pPr>
          </w:p>
        </w:tc>
        <w:tc>
          <w:tcPr>
            <w:tcW w:w="6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Offer and attributable to one ZONES will be reduced</w:t>
            </w:r>
          </w:p>
        </w:tc>
      </w:tr>
      <w:tr>
        <w:trPr>
          <w:trHeight w:val="405"/>
        </w:trPr>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X=</w:t>
            </w:r>
          </w:p>
        </w:tc>
        <w:tc>
          <w:tcPr>
            <w:tcW w:w="5360" w:type="dxa"/>
            <w:vAlign w:val="bottom"/>
          </w:tcPr>
          <w:p>
            <w:pPr>
              <w:ind w:left="360"/>
              <w:spacing w:after="0"/>
              <w:rPr>
                <w:sz w:val="20"/>
                <w:szCs w:val="20"/>
                <w:color w:val="auto"/>
              </w:rPr>
            </w:pPr>
            <w:r>
              <w:rPr>
                <w:rFonts w:ascii="Courier New" w:cs="Courier New" w:eastAsia="Courier New" w:hAnsi="Courier New"/>
                <w:sz w:val="18"/>
                <w:szCs w:val="18"/>
                <w:color w:val="auto"/>
                <w:w w:val="98"/>
              </w:rPr>
              <w:t>the aggregate number of Reference Shares of the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class of</w:t>
            </w:r>
          </w:p>
        </w:tc>
      </w:tr>
      <w:tr>
        <w:trPr>
          <w:trHeight w:val="203"/>
        </w:trPr>
        <w:tc>
          <w:tcPr>
            <w:tcW w:w="10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Reference Shares subject to the Reference Share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w:t>
            </w:r>
          </w:p>
        </w:tc>
      </w:tr>
      <w:tr>
        <w:trPr>
          <w:trHeight w:val="203"/>
        </w:trPr>
        <w:tc>
          <w:tcPr>
            <w:tcW w:w="10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accepted in the Reference Share Offer</w:t>
            </w:r>
          </w:p>
        </w:tc>
        <w:tc>
          <w:tcPr>
            <w:tcW w:w="1220" w:type="dxa"/>
            <w:vAlign w:val="bottom"/>
          </w:tcPr>
          <w:p>
            <w:pPr>
              <w:spacing w:after="0"/>
              <w:rPr>
                <w:sz w:val="17"/>
                <w:szCs w:val="17"/>
                <w:color w:val="auto"/>
              </w:rPr>
            </w:pPr>
          </w:p>
        </w:tc>
      </w:tr>
      <w:tr>
        <w:trPr>
          <w:trHeight w:val="405"/>
        </w:trPr>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w:t>
            </w:r>
          </w:p>
        </w:tc>
        <w:tc>
          <w:tcPr>
            <w:tcW w:w="5360" w:type="dxa"/>
            <w:vAlign w:val="bottom"/>
          </w:tcPr>
          <w:p>
            <w:pPr>
              <w:ind w:left="360"/>
              <w:spacing w:after="0"/>
              <w:rPr>
                <w:sz w:val="20"/>
                <w:szCs w:val="20"/>
                <w:color w:val="auto"/>
              </w:rPr>
            </w:pPr>
            <w:r>
              <w:rPr>
                <w:rFonts w:ascii="Courier New" w:cs="Courier New" w:eastAsia="Courier New" w:hAnsi="Courier New"/>
                <w:sz w:val="18"/>
                <w:szCs w:val="18"/>
                <w:color w:val="auto"/>
                <w:w w:val="98"/>
              </w:rPr>
              <w:t>the aggregate number of Reference Shares of the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class of</w:t>
            </w:r>
          </w:p>
        </w:tc>
      </w:tr>
      <w:tr>
        <w:trPr>
          <w:trHeight w:val="203"/>
        </w:trPr>
        <w:tc>
          <w:tcPr>
            <w:tcW w:w="10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Reference Shares subject to the Reference Share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w:t>
            </w:r>
          </w:p>
        </w:tc>
      </w:tr>
      <w:tr>
        <w:trPr>
          <w:trHeight w:val="203"/>
        </w:trPr>
        <w:tc>
          <w:tcPr>
            <w:tcW w:w="10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outstanding immediately prior to the expiration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0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Reference Share Offer.</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the Company elects to make a Reference Share Offer Adjustment, it shall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R-9</w:t>
      </w:r>
    </w:p>
    <w:p>
      <w:pPr>
        <w:sectPr>
          <w:pgSz w:w="11900" w:h="16838" w:orient="portrait"/>
          <w:cols w:equalWidth="0" w:num="1">
            <w:col w:w="10219"/>
          </w:cols>
          <w:pgMar w:left="240" w:top="1128" w:right="1440" w:bottom="1440" w:gutter="0" w:footer="0" w:header="0"/>
        </w:sectPr>
      </w:pPr>
    </w:p>
    <w:bookmarkStart w:id="36" w:name="page37"/>
    <w:bookmarkEnd w:id="36"/>
    <w:p>
      <w:pPr>
        <w:ind w:right="1879" w:firstLine="527"/>
        <w:spacing w:after="0" w:line="270" w:lineRule="auto"/>
        <w:rPr>
          <w:sz w:val="20"/>
          <w:szCs w:val="20"/>
          <w:color w:val="auto"/>
        </w:rPr>
      </w:pPr>
      <w:r>
        <w:rPr>
          <w:rFonts w:ascii="Courier New" w:cs="Courier New" w:eastAsia="Courier New" w:hAnsi="Courier New"/>
          <w:sz w:val="16"/>
          <w:szCs w:val="16"/>
          <w:color w:val="auto"/>
        </w:rPr>
        <w:t>If the Company elects to make a Reference Share Offer Adjustment and, during the pendency of the Reference Share Offer another Reference Share Offer is commenced in relation to the Reference Shares the subject of the then existing Reference Share Offer, the Company may change its original election by electing to increase the Early Exchange Ratio to 100% during the pendency of the new Reference Share Offer, or it may continue to elect to make a Reference Share Offer Adjustment. The Company shall similarly be entitled to change its election for each further Reference Share Offer made during the pendency of any Reference Share Offer for the same class of Reference Shares. For the purposes of these adjustments, a material change to the terms of an existing Reference Share Offer shall be deemed to be a new Reference Share Offer.</w:t>
      </w:r>
    </w:p>
    <w:p>
      <w:pPr>
        <w:spacing w:after="0" w:line="39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the Company elects to increase the Early Exchange Ratio to 100% in connection with a Reference Share Offer, no Reference Share Offer Adjustment shall be made and the Company cannot change its election if any further Reference Share Offer is made.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case an Event of Default, as defined in the Indenture, shall occur and be continuing, the Maturity Amount of all ZONES then outstanding under the Indenture may be declared, or may become, due and payable upon the conditions and in the manner and with the effect provided in the Indenture.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Amount Payable upon Bankruptcy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dissolution, winding-up, liquidation or reorganization, whether voluntary or involuntary or in bankruptcy, insolvency, receivership or other similar proceedings in respect of the Company, holders of the ZONES should be entitled to a claim against the Company in an amount equal to the higher of (a) the Contingent Principal Amount of the ZONES or (b) the sum of the Current Market Value (without giving effect to the provisions relating to Rollover Offerings) of the Reference Shares plus any deferred quarterly payments of interest, plus, in either case, the Final Period Distribution.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Calculations in Respect of the ZONES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will be responsible for making all calculations called for under the ZONES. These calculations include, but are not limited to, determination of the Contingent Principal Amount of the ZONES; the Current Market Value of Reference Shares; the Exchange Market Value of Reference Shares; the Final Period Distribution on the ZONES; the cash value of any property distributed on the Reference Shares; the composition of a Reference Share; and the amount of accrued interest payable upon redemption or at maturity of the ZONES.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must make all these calculations in good faith and such calculations are final and binding on holders of the ZONES, absent manifest error. The Company will provide a schedule of its calculations to the Trustee and the Trustee is entitled to rely upon the accuracy of such calculations, without independent verification. The Trustee shall be entitled to conclusively rely on the accuracy of the information and calculations contained in each Officers' Certificate delivered under this Debenture and shall have no responsibility for verifying the accuracy thereof.</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Modifications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permitted by, and as provided in the Indenture, modifications or alterations of the Indenture, or of any indenture supplemental thereto, and of the rights and obligations of the Company and of the holders of the Securities, may be made by the Company with the consent of the holders of not less than a majority of the principal amount (for the purposes of the ZONES,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R-10</w:t>
      </w:r>
    </w:p>
    <w:p>
      <w:pPr>
        <w:sectPr>
          <w:pgSz w:w="11900" w:h="16838" w:orient="portrait"/>
          <w:cols w:equalWidth="0" w:num="1">
            <w:col w:w="10219"/>
          </w:cols>
          <w:pgMar w:left="240" w:top="1128" w:right="1440" w:bottom="1440" w:gutter="0" w:footer="0" w:header="0"/>
        </w:sectPr>
      </w:pPr>
    </w:p>
    <w:bookmarkStart w:id="37" w:name="page38"/>
    <w:bookmarkEnd w:id="37"/>
    <w:p>
      <w:pPr>
        <w:ind w:right="1879"/>
        <w:spacing w:after="0" w:line="269" w:lineRule="auto"/>
        <w:rPr>
          <w:sz w:val="20"/>
          <w:szCs w:val="20"/>
          <w:color w:val="auto"/>
        </w:rPr>
      </w:pPr>
      <w:r>
        <w:rPr>
          <w:rFonts w:ascii="Courier New" w:cs="Courier New" w:eastAsia="Courier New" w:hAnsi="Courier New"/>
          <w:sz w:val="16"/>
          <w:szCs w:val="16"/>
          <w:color w:val="auto"/>
        </w:rPr>
        <w:t>principal amount of the ZONES for consenting holders and all holders shall be calculated by reference to the original principal amount of such ZONES) of the Securities then Outstanding of each series affected thereby; provided, however, that no such modification or alteration shall (i) change the stated maturity of the Principal of, or any sinking fund obligation or any installment of interest on, such holder's Security; (ii) reduce the Principal thereof or the rate of interest thereon, or any premium payable with respect thereto; (iii) change any place of payment where, or the currency in which, any Security or any premium or the interest thereon is payable; (iv) change the provisions for calculating the optional redemption price, including the definitions relating thereto; (v) make any change to Section 4.07 or 4.10 (except to include other provisions subject to Section 4.10); (vi)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 (vii) alter or impair the right to convert any Security at the rate and upon the terms provided in Article 13; (viii) waive a default in the payment of Principal of or interest on any Security of such holder (except pursuant to a rescission of acceleration pursuant to Section 4.01); (ix) adversely affect the rights of such holder under any mandatory redemption or repurchase provision or any right of redemption or repurchase at the option of such holder; (x) modify any of the provisions of this Section</w:t>
      </w:r>
    </w:p>
    <w:p>
      <w:pPr>
        <w:spacing w:after="0" w:line="1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7.02, except to increase any such percentage or to provide that certain other provisions of this Indenture cannot be modified or waived without the consent of the holder of each outstanding Security affected thereby; or (xi) change or waive any provision that, pursuant to a board resolution or indenture supplemental hereto establishing the terms of one or more series of Securities, is prohibited to be so changed or waived.</w:t>
      </w:r>
    </w:p>
    <w:p>
      <w:pPr>
        <w:spacing w:after="0" w:line="210"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It is also provided in the Indenture that the holders of a majority in aggregate principal amount (the principal amount of the ZONES for consenting holders and all holders shall be calculated by reference to the original principal amount of such ZONES) of the ZONES then Outstanding may on behalf of the holders of all the ZONES under circumstances specified in the Indenture, waive a past Event of Default under the Indenture and its consequences, except a default in the payment of Principal of or interest on the ZONES.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in this Debenture.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with respect to the rights of the holders of Senior Indebtedness set forth in this Debenture and in the Indenture, no reference herein to the Indenture and no provision of this Debenture or of the Indenture shall alter or impair the obligation of the Company, which is absolute and unconditional, to pay the principal of, premium, if any, or interest on this Debenture at the place, at the respective times, at the rate, and in the coin or currency herein prescribed.</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Indenture permits both covenant defeasance and legal defeasance of the ZONES pursuant to Article 9 of the Indenture.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contains provisions setting forth certain conditions to the institution of proceedings by holders of the ZONES with respect to this Debenture and the Indenture and the enforcement of remedies under this Debenture and the Indenture, including, without limitation, the appointment of a receiver or trustee. However, no reference herein to the Indenture and no provision of this Debenture or the Indenture shall impair or affect the right of any holder of any Debenture to receive payment of the principal of, premium, if any, and interest on such Debenture on or after the respective dates expressed in this Debenture, or to institute suit for the enforcement</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R-11</w:t>
      </w:r>
    </w:p>
    <w:p>
      <w:pPr>
        <w:sectPr>
          <w:pgSz w:w="11900" w:h="16838" w:orient="portrait"/>
          <w:cols w:equalWidth="0" w:num="1">
            <w:col w:w="10219"/>
          </w:cols>
          <w:pgMar w:left="240" w:top="1128" w:right="1440" w:bottom="1440" w:gutter="0" w:footer="0" w:header="0"/>
        </w:sectPr>
      </w:pPr>
    </w:p>
    <w:bookmarkStart w:id="38" w:name="page39"/>
    <w:bookmarkEnd w:id="38"/>
    <w:p>
      <w:pPr>
        <w:ind w:right="2319"/>
        <w:spacing w:after="0" w:line="236" w:lineRule="auto"/>
        <w:rPr>
          <w:sz w:val="20"/>
          <w:szCs w:val="20"/>
          <w:color w:val="auto"/>
        </w:rPr>
      </w:pPr>
      <w:r>
        <w:rPr>
          <w:rFonts w:ascii="Courier New" w:cs="Courier New" w:eastAsia="Courier New" w:hAnsi="Courier New"/>
          <w:sz w:val="18"/>
          <w:szCs w:val="18"/>
          <w:color w:val="auto"/>
        </w:rPr>
        <w:t>of any such payment on or after such respective dates and any such right or such enforcement thereof shall not require the consent of any other such holder.</w:t>
      </w: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or Debentures of authorized denominations for the same aggregate principal amount will be issued to the transferee or transferees in exchange herefor; and this Debenture may be in like manner exchanged for one or more Debentures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Prior to due presentment of this Debenture for registration or transfer,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recourse shall be had for the payment of Principal of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Indenture and this Debenture shall be deemed to be a contract made under the laws of the State of New York, and for all purposes shall be construed in accordance with the laws of said jurisdiction, except that the rights, duties, obligations, immunities and limitations of rights of the Trustee pursuant to the Indenture and the Debenture shall be governed by and construed in accordance with the laws of the State of New York.</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All capitalized terms used in this Debenture and not otherwise defined herein shall have the meanings ascribed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R-12</w:t>
      </w:r>
    </w:p>
    <w:p>
      <w:pPr>
        <w:sectPr>
          <w:pgSz w:w="11900" w:h="16838" w:orient="portrait"/>
          <w:cols w:equalWidth="0" w:num="1">
            <w:col w:w="10219"/>
          </w:cols>
          <w:pgMar w:left="240" w:top="1128" w:right="1440" w:bottom="1440" w:gutter="0" w:footer="0" w:header="0"/>
        </w:sectPr>
      </w:pPr>
    </w:p>
    <w:bookmarkStart w:id="39" w:name="page40"/>
    <w:bookmarkEnd w:id="39"/>
    <w:p>
      <w:pPr>
        <w:ind w:right="2220" w:firstLine="527"/>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Debenture, shall be construed as though they were written out in full according to applicable laws or regulations:</w:t>
      </w:r>
    </w:p>
    <w:p>
      <w:pPr>
        <w:sectPr>
          <w:pgSz w:w="11900" w:h="16838" w:orient="portrait"/>
          <w:cols w:equalWidth="0" w:num="1">
            <w:col w:w="10340"/>
          </w:cols>
          <w:pgMar w:left="240" w:top="1128"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TEN COM - as tenants in common</w:t>
      </w:r>
    </w:p>
    <w:p>
      <w:pPr>
        <w:ind w:left="540"/>
        <w:spacing w:after="0" w:line="238" w:lineRule="auto"/>
        <w:rPr>
          <w:sz w:val="20"/>
          <w:szCs w:val="20"/>
          <w:color w:val="auto"/>
        </w:rPr>
      </w:pPr>
      <w:r>
        <w:rPr>
          <w:rFonts w:ascii="Courier New" w:cs="Courier New" w:eastAsia="Courier New" w:hAnsi="Courier New"/>
          <w:sz w:val="18"/>
          <w:szCs w:val="18"/>
          <w:color w:val="auto"/>
        </w:rPr>
        <w:t>TEN ENT - as tenants by the entireties</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JT TEN</w:t>
      </w:r>
      <w:r>
        <w:rPr>
          <w:sz w:val="20"/>
          <w:szCs w:val="20"/>
          <w:color w:val="auto"/>
        </w:rPr>
        <w:tab/>
      </w:r>
      <w:r>
        <w:rPr>
          <w:rFonts w:ascii="Courier New" w:cs="Courier New" w:eastAsia="Courier New" w:hAnsi="Courier New"/>
          <w:sz w:val="16"/>
          <w:szCs w:val="16"/>
          <w:color w:val="auto"/>
        </w:rPr>
        <w:t>- as joint tenants with right of</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survivorship and not as tenants</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hanging="1895"/>
        <w:spacing w:after="0" w:line="296" w:lineRule="auto"/>
        <w:rPr>
          <w:sz w:val="20"/>
          <w:szCs w:val="20"/>
          <w:color w:val="auto"/>
        </w:rPr>
      </w:pPr>
      <w:r>
        <w:rPr>
          <w:rFonts w:ascii="Courier New" w:cs="Courier New" w:eastAsia="Courier New" w:hAnsi="Courier New"/>
          <w:sz w:val="15"/>
          <w:szCs w:val="15"/>
          <w:color w:val="auto"/>
        </w:rPr>
        <w:t>UNIF GIFT MIN ACT-..........Custodian.......... (Cust) (Minor) under Uniform Gifts to Minors Act___________________________ (State)</w:t>
      </w:r>
    </w:p>
    <w:p>
      <w:pPr>
        <w:spacing w:after="0" w:line="200" w:lineRule="exact"/>
        <w:rPr>
          <w:sz w:val="20"/>
          <w:szCs w:val="20"/>
          <w:color w:val="auto"/>
        </w:rPr>
      </w:pPr>
    </w:p>
    <w:p>
      <w:pPr>
        <w:sectPr>
          <w:pgSz w:w="11900" w:h="16838" w:orient="portrait"/>
          <w:cols w:equalWidth="0" w:num="2">
            <w:col w:w="6460" w:space="720"/>
            <w:col w:w="3160"/>
          </w:cols>
          <w:pgMar w:left="240" w:top="1128" w:right="1319" w:bottom="1440" w:gutter="0" w:footer="0" w:header="0"/>
          <w:type w:val="continuous"/>
        </w:sectPr>
      </w:pPr>
    </w:p>
    <w:p>
      <w:pPr>
        <w:spacing w:after="0" w:line="16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Additional abbreviations may also be used though not in the above</w:t>
      </w:r>
    </w:p>
    <w:p>
      <w:pPr>
        <w:spacing w:after="0" w:line="238" w:lineRule="auto"/>
        <w:rPr>
          <w:sz w:val="20"/>
          <w:szCs w:val="20"/>
          <w:color w:val="auto"/>
        </w:rPr>
      </w:pPr>
      <w:r>
        <w:rPr>
          <w:rFonts w:ascii="Courier New" w:cs="Courier New" w:eastAsia="Courier New" w:hAnsi="Courier New"/>
          <w:sz w:val="18"/>
          <w:szCs w:val="18"/>
          <w:color w:val="auto"/>
        </w:rPr>
        <w:t>list.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Value Received, ___________ hereby sell(s), assign(s) and transfer(s)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w:t>
      </w:r>
    </w:p>
    <w:p>
      <w:pPr>
        <w:ind w:left="320"/>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line="207" w:lineRule="exact"/>
        <w:rPr>
          <w:sz w:val="20"/>
          <w:szCs w:val="20"/>
          <w:color w:val="auto"/>
        </w:rPr>
      </w:pPr>
    </w:p>
    <w:p>
      <w:pPr>
        <w:ind w:right="4540"/>
        <w:spacing w:after="0"/>
        <w:rPr>
          <w:sz w:val="20"/>
          <w:szCs w:val="20"/>
          <w:color w:val="auto"/>
        </w:rPr>
      </w:pPr>
      <w:r>
        <w:rPr>
          <w:rFonts w:ascii="Courier New" w:cs="Courier New" w:eastAsia="Courier New" w:hAnsi="Courier New"/>
          <w:sz w:val="18"/>
          <w:szCs w:val="18"/>
          <w:color w:val="auto"/>
        </w:rPr>
        <w:t>- ----------------------------------------------------- : : : :</w:t>
      </w:r>
    </w:p>
    <w:p>
      <w:pPr>
        <w:sectPr>
          <w:pgSz w:w="11900" w:h="16838" w:orient="portrait"/>
          <w:cols w:equalWidth="0" w:num="1">
            <w:col w:w="10340"/>
          </w:cols>
          <w:pgMar w:left="240" w:top="1128" w:right="1319" w:bottom="1440" w:gutter="0" w:footer="0" w:header="0"/>
          <w:type w:val="continuous"/>
        </w:sectPr>
      </w:pPr>
    </w:p>
    <w:p>
      <w:pPr>
        <w:spacing w:after="0" w:line="19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INCLUDING ZIP CODE, OF</w:t>
      </w:r>
    </w:p>
    <w:p>
      <w:pPr>
        <w:spacing w:after="0"/>
        <w:rPr>
          <w:sz w:val="20"/>
          <w:szCs w:val="20"/>
          <w:color w:val="auto"/>
        </w:rPr>
      </w:pPr>
      <w:r>
        <w:rPr>
          <w:rFonts w:ascii="Courier New" w:cs="Courier New" w:eastAsia="Courier New" w:hAnsi="Courier New"/>
          <w:sz w:val="18"/>
          <w:szCs w:val="18"/>
          <w:color w:val="auto"/>
        </w:rPr>
        <w:t>ASSIGNEE)</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within Debenture and all rights thereunder, irrevocably constituting and appointing</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right="1800" w:firstLine="8"/>
        <w:spacing w:after="0" w:line="236" w:lineRule="auto"/>
        <w:tabs>
          <w:tab w:leader="none" w:pos="21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 to transfer said Debenture on the books of the within named Company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NOTICE: THE SIGNATURE TO THIS ASSIGNMENT MUST</w:t>
      </w:r>
    </w:p>
    <w:p>
      <w:pPr>
        <w:ind w:left="4020"/>
        <w:spacing w:after="0"/>
        <w:rPr>
          <w:sz w:val="20"/>
          <w:szCs w:val="20"/>
          <w:color w:val="auto"/>
        </w:rPr>
      </w:pPr>
      <w:r>
        <w:rPr>
          <w:rFonts w:ascii="Courier New" w:cs="Courier New" w:eastAsia="Courier New" w:hAnsi="Courier New"/>
          <w:sz w:val="18"/>
          <w:szCs w:val="18"/>
          <w:color w:val="auto"/>
        </w:rPr>
        <w:t>CORRESPOND WITH THE NAME AS WRITTEN UPON</w:t>
      </w:r>
    </w:p>
    <w:p>
      <w:pPr>
        <w:ind w:left="4020"/>
        <w:spacing w:after="0" w:line="237" w:lineRule="auto"/>
        <w:rPr>
          <w:sz w:val="20"/>
          <w:szCs w:val="20"/>
          <w:color w:val="auto"/>
        </w:rPr>
      </w:pPr>
      <w:r>
        <w:rPr>
          <w:rFonts w:ascii="Courier New" w:cs="Courier New" w:eastAsia="Courier New" w:hAnsi="Courier New"/>
          <w:sz w:val="18"/>
          <w:szCs w:val="18"/>
          <w:color w:val="auto"/>
        </w:rPr>
        <w:t>THE FACE OF THE CERTIFICATE IN EVERY</w:t>
      </w:r>
    </w:p>
    <w:p>
      <w:pPr>
        <w:ind w:left="4020"/>
        <w:spacing w:after="0" w:line="238" w:lineRule="auto"/>
        <w:rPr>
          <w:sz w:val="20"/>
          <w:szCs w:val="20"/>
          <w:color w:val="auto"/>
        </w:rPr>
      </w:pPr>
      <w:r>
        <w:rPr>
          <w:rFonts w:ascii="Courier New" w:cs="Courier New" w:eastAsia="Courier New" w:hAnsi="Courier New"/>
          <w:sz w:val="18"/>
          <w:szCs w:val="18"/>
          <w:color w:val="auto"/>
        </w:rPr>
        <w:t>PARTICULAR, WITHOUT ALTERATION OR</w:t>
      </w:r>
    </w:p>
    <w:p>
      <w:pPr>
        <w:ind w:left="4020"/>
        <w:spacing w:after="0"/>
        <w:rPr>
          <w:sz w:val="20"/>
          <w:szCs w:val="20"/>
          <w:color w:val="auto"/>
        </w:rPr>
      </w:pPr>
      <w:r>
        <w:rPr>
          <w:rFonts w:ascii="Courier New" w:cs="Courier New" w:eastAsia="Courier New" w:hAnsi="Courier New"/>
          <w:sz w:val="18"/>
          <w:szCs w:val="18"/>
          <w:color w:val="auto"/>
        </w:rPr>
        <w:t>ENLARGEMENT OR ANY CHANGE WHATEVER.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R-13</w:t>
      </w:r>
    </w:p>
    <w:sectPr>
      <w:pgSz w:w="11900" w:h="16838" w:orient="portrait"/>
      <w:cols w:equalWidth="0" w:num="1">
        <w:col w:w="10340"/>
      </w:cols>
      <w:pgMar w:left="240" w:top="1128" w:right="1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4"/>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4E6AFB66"/>
    <w:multiLevelType w:val="hybridMultilevel"/>
    <w:lvl w:ilvl="0">
      <w:lvlJc w:val="left"/>
      <w:lvlText w:val="(%1)"/>
      <w:numFmt w:val="lowerRoman"/>
      <w:start w:val="4"/>
    </w:lvl>
  </w:abstractNum>
  <w:abstractNum w:abstractNumId="6">
    <w:nsid w:val="25E45D32"/>
    <w:multiLevelType w:val="hybridMultilevel"/>
    <w:lvl w:ilvl="0">
      <w:lvlJc w:val="left"/>
      <w:lvlText w:val="(%1)"/>
      <w:numFmt w:val="lowerRoman"/>
      <w:start w:val="9"/>
    </w:lvl>
  </w:abstractNum>
  <w:abstractNum w:abstractNumId="7">
    <w:nsid w:val="519B500D"/>
    <w:multiLevelType w:val="hybridMultilevel"/>
    <w:lvl w:ilvl="0">
      <w:lvlJc w:val="left"/>
      <w:lvlText w:val="(%1)"/>
      <w:numFmt w:val="lowerLetter"/>
      <w:start w:val="3"/>
    </w:lvl>
    <w:lvl w:ilvl="1">
      <w:lvlJc w:val="left"/>
      <w:lvlText w:val="(%2)"/>
      <w:numFmt w:val="lowerLetter"/>
      <w:start w:val="9"/>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lowerRoman"/>
      <w:start w:val="6"/>
    </w:lvl>
  </w:abstractNum>
  <w:abstractNum w:abstractNumId="10">
    <w:nsid w:val="7C83E458"/>
    <w:multiLevelType w:val="hybridMultilevel"/>
    <w:lvl w:ilvl="0">
      <w:lvlJc w:val="left"/>
      <w:lvlText w:val="(%1)"/>
      <w:numFmt w:val="lowerLetter"/>
      <w:start w:val="4"/>
    </w:lvl>
    <w:lvl w:ilvl="1">
      <w:lvlJc w:val="left"/>
      <w:lvlText w:val="(%2)"/>
      <w:numFmt w:val="lowerRoman"/>
      <w:start w:val="1"/>
    </w:lvl>
  </w:abstractNum>
  <w:abstractNum w:abstractNumId="11">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
    <w:nsid w:val="62BBD95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436C612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628C895D"/>
    <w:multiLevelType w:val="hybridMultilevel"/>
    <w:lvl w:ilvl="0">
      <w:lvlJc w:val="left"/>
      <w:lvlText w:val="%1"/>
      <w:numFmt w:val="decimal"/>
      <w:start w:val="1"/>
    </w:lvl>
    <w:lvl w:ilvl="1">
      <w:lvlJc w:val="left"/>
      <w:lvlText w:val="(%2)"/>
      <w:numFmt w:val="lowerLetter"/>
      <w:start w:val="2"/>
    </w:lvl>
  </w:abstractNum>
  <w:abstractNum w:abstractNumId="15">
    <w:nsid w:val="333AB105"/>
    <w:multiLevelType w:val="hybridMultilevel"/>
    <w:lvl w:ilvl="0">
      <w:lvlJc w:val="left"/>
      <w:lvlText w:val="%1."/>
      <w:numFmt w:val="decimal"/>
      <w:start w:val="6"/>
    </w:lvl>
    <w:lvl w:ilvl="1">
      <w:lvlJc w:val="left"/>
      <w:lvlText w:val="%2"/>
      <w:numFmt w:val="lowerLetter"/>
      <w:start w:val="1"/>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1)"/>
      <w:numFmt w:val="lowerLetter"/>
      <w:start w:val="7"/>
    </w:lvl>
  </w:abstractNum>
  <w:abstractNum w:abstractNumId="18">
    <w:nsid w:val="2D1D5AE9"/>
    <w:multiLevelType w:val="hybridMultilevel"/>
    <w:lvl w:ilvl="0">
      <w:lvlJc w:val="left"/>
      <w:lvlText w:val="%1."/>
      <w:numFmt w:val="decimal"/>
      <w:start w:val="8"/>
    </w:lvl>
  </w:abstractNum>
  <w:abstractNum w:abstractNumId="19">
    <w:nsid w:val="6763845E"/>
    <w:multiLevelType w:val="hybridMultilevel"/>
    <w:lvl w:ilvl="0">
      <w:lvlJc w:val="left"/>
      <w:lvlText w:val="%1."/>
      <w:numFmt w:val="decimal"/>
      <w:start w:val="9"/>
    </w:lvl>
  </w:abstractNum>
  <w:abstractNum w:abstractNumId="20">
    <w:nsid w:val="75A2A8D4"/>
    <w:multiLevelType w:val="hybridMultilevel"/>
    <w:lvl w:ilvl="0">
      <w:lvlJc w:val="left"/>
      <w:lvlText w:val="(%1)"/>
      <w:numFmt w:val="lowerRoman"/>
      <w:start w:val="5"/>
    </w:lvl>
  </w:abstractNum>
  <w:abstractNum w:abstractNumId="21">
    <w:nsid w:val="8EDBDAB"/>
    <w:multiLevelType w:val="hybridMultilevel"/>
    <w:lvl w:ilvl="0">
      <w:lvlJc w:val="left"/>
      <w:lvlText w:val="(%1)"/>
      <w:numFmt w:val="lowerLetter"/>
      <w:start w:val="2"/>
    </w:lvl>
    <w:lvl w:ilvl="1">
      <w:lvlJc w:val="left"/>
      <w:lvlText w:val="(%2)"/>
      <w:numFmt w:val="decimal"/>
      <w:start w:val="1"/>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lowerRoman"/>
      <w:start w:val="3"/>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2019-12-12T22:59:35Z</dcterms:created>
  <dcterms:modified xsi:type="dcterms:W3CDTF">2019-12-12T22:59:35Z</dcterms:modified>
</cp:coreProperties>
</file>